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25FA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CE9274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FCAB350" w:rsidR="00FD13BE" w:rsidRDefault="00040685" w:rsidP="00FD13BE">
      <w:pPr>
        <w:pStyle w:val="Heading1"/>
        <w:ind w:left="142"/>
        <w:rPr>
          <w:color w:val="FFFFFF" w:themeColor="background1"/>
          <w:lang w:val="en-NZ"/>
        </w:rPr>
      </w:pPr>
      <w:r w:rsidRPr="00040685">
        <w:rPr>
          <w:color w:val="FFFFFF" w:themeColor="background1"/>
          <w:lang w:val="en-NZ"/>
        </w:rPr>
        <w:t>Team Administrato</w:t>
      </w:r>
      <w:r>
        <w:rPr>
          <w:color w:val="FFFFFF" w:themeColor="background1"/>
          <w:lang w:val="en-NZ"/>
        </w:rPr>
        <w:t>r</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B6A43"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D760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4D1B6"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87EA4"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9BF0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7B04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9CDF8"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F9C36"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657A7"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79E6F57" w14:textId="2BCCA6A0" w:rsidR="005F26E8" w:rsidRDefault="00040685" w:rsidP="0080061F">
      <w:r w:rsidRPr="00040685">
        <w:t xml:space="preserve">The primary purpose of the position is to provide efficient and high-quality administrative support to the </w:t>
      </w:r>
      <w:r w:rsidR="00233702">
        <w:t>Disability Support Services</w:t>
      </w:r>
      <w:r w:rsidRPr="00040685">
        <w:t xml:space="preserve"> group including project administration and coordinating a variety of events and activities. The Team Administrator will provide effective administrative support to the </w:t>
      </w:r>
      <w:r w:rsidR="00233702">
        <w:t>Disability Support Services</w:t>
      </w:r>
      <w:r w:rsidRPr="00040685">
        <w:t>, including the New Zealand Sign Language (NZSL) Board secretariat, and will also be committed to support the work programmes that progress the rights of and opportunities for disabled people and tāngata whaikaha Māori</w:t>
      </w:r>
      <w:r>
        <w:t>.</w:t>
      </w:r>
    </w:p>
    <w:p w14:paraId="2EC18287" w14:textId="77777777" w:rsidR="0080061F" w:rsidRPr="002632F0" w:rsidRDefault="0080061F" w:rsidP="0080061F">
      <w:pPr>
        <w:pStyle w:val="Heading3"/>
      </w:pPr>
      <w:r w:rsidRPr="002632F0">
        <w:t>Location</w:t>
      </w:r>
    </w:p>
    <w:p w14:paraId="50B953AD" w14:textId="2EAC105E" w:rsidR="0080061F" w:rsidRDefault="00A50841" w:rsidP="0080061F">
      <w:r>
        <w:t>Various</w:t>
      </w:r>
    </w:p>
    <w:p w14:paraId="70CBFD7E" w14:textId="77777777" w:rsidR="0080061F" w:rsidRDefault="0080061F" w:rsidP="0080061F">
      <w:pPr>
        <w:pStyle w:val="Heading3"/>
      </w:pPr>
      <w:r>
        <w:t>Reports to</w:t>
      </w:r>
    </w:p>
    <w:p w14:paraId="3BD35AB1" w14:textId="27C9E166" w:rsidR="0080061F" w:rsidRDefault="00040685" w:rsidP="0080061F">
      <w:pPr>
        <w:spacing w:after="0" w:line="240" w:lineRule="auto"/>
      </w:pPr>
      <w:r w:rsidRPr="00040685">
        <w:t xml:space="preserve">The Team Administrator position reports to the </w:t>
      </w:r>
      <w:r w:rsidR="00E47EAE">
        <w:t>Manager, (Region)</w:t>
      </w:r>
      <w:r w:rsidRPr="00040685">
        <w:t xml:space="preserve">. The team sits in the </w:t>
      </w:r>
      <w:r w:rsidR="00233702">
        <w:t>Disability Support Services</w:t>
      </w:r>
      <w:r w:rsidR="00233702" w:rsidRPr="00040685">
        <w:t xml:space="preserve"> </w:t>
      </w:r>
      <w:r w:rsidRPr="00040685">
        <w:t>Business Group.</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549D8007" w:rsidR="0080061F" w:rsidRDefault="00040685" w:rsidP="0080061F">
      <w:pPr>
        <w:pStyle w:val="Heading3"/>
      </w:pPr>
      <w:r w:rsidRPr="00040685">
        <w:t>Administrative Support</w:t>
      </w:r>
    </w:p>
    <w:p w14:paraId="56195836" w14:textId="5B1CE235" w:rsidR="00040685" w:rsidRDefault="00040685" w:rsidP="00040685">
      <w:pPr>
        <w:spacing w:before="60" w:after="60"/>
        <w:ind w:left="357" w:hanging="357"/>
      </w:pPr>
      <w:r>
        <w:t>•</w:t>
      </w:r>
      <w:r>
        <w:tab/>
        <w:t xml:space="preserve">Provide high quality administrative support services in an efficient and timely manner </w:t>
      </w:r>
    </w:p>
    <w:p w14:paraId="2559F0E0" w14:textId="77777777" w:rsidR="00040685" w:rsidRDefault="00040685" w:rsidP="00040685">
      <w:pPr>
        <w:spacing w:before="60" w:after="60"/>
        <w:ind w:left="357" w:hanging="357"/>
      </w:pPr>
      <w:r>
        <w:t>•</w:t>
      </w:r>
      <w:r>
        <w:tab/>
        <w:t xml:space="preserve">Assist with invoice processing and related activities </w:t>
      </w:r>
    </w:p>
    <w:p w14:paraId="067A9260" w14:textId="01F6FDA2" w:rsidR="00040685" w:rsidRDefault="00040685" w:rsidP="00040685">
      <w:pPr>
        <w:spacing w:before="60" w:after="60"/>
        <w:ind w:left="357" w:hanging="357"/>
      </w:pPr>
      <w:r>
        <w:t>•</w:t>
      </w:r>
      <w:r>
        <w:tab/>
        <w:t>Provide administrative support for projects, grants</w:t>
      </w:r>
      <w:r w:rsidR="00FE7706">
        <w:t>,</w:t>
      </w:r>
      <w:r>
        <w:t xml:space="preserve"> and tasks across the team </w:t>
      </w:r>
    </w:p>
    <w:p w14:paraId="274E2DEA" w14:textId="77777777" w:rsidR="00040685" w:rsidRDefault="00040685" w:rsidP="00040685">
      <w:pPr>
        <w:spacing w:before="60" w:after="60"/>
        <w:ind w:left="357" w:hanging="357"/>
      </w:pPr>
      <w:r>
        <w:t>•</w:t>
      </w:r>
      <w:r>
        <w:tab/>
        <w:t xml:space="preserve">Adhere to and maintain team systems and procedures </w:t>
      </w:r>
    </w:p>
    <w:p w14:paraId="7D4436F5" w14:textId="7B6CE02D" w:rsidR="00040685" w:rsidRDefault="00040685" w:rsidP="00040685">
      <w:pPr>
        <w:spacing w:before="60" w:after="60"/>
        <w:ind w:left="357" w:hanging="357"/>
      </w:pPr>
      <w:r>
        <w:t>•</w:t>
      </w:r>
      <w:r>
        <w:tab/>
        <w:t>Assist in the organisation and delivery of internal meetings, workshops, conferences, and events included but not limited to finding venues, ensuring attendee accessibility requirements, organising catering</w:t>
      </w:r>
      <w:r w:rsidR="00FE7706">
        <w:t>,</w:t>
      </w:r>
      <w:r>
        <w:t xml:space="preserve"> and making travel / accommodation arrangements</w:t>
      </w:r>
    </w:p>
    <w:p w14:paraId="4A3B8772" w14:textId="65AE6C7A" w:rsidR="0080061F" w:rsidRDefault="00040685" w:rsidP="00040685">
      <w:pPr>
        <w:spacing w:before="60" w:after="60"/>
        <w:ind w:left="357" w:hanging="357"/>
      </w:pPr>
      <w:r>
        <w:t>•</w:t>
      </w:r>
      <w:r>
        <w:tab/>
        <w:t>Register team members for training and conferences</w:t>
      </w:r>
    </w:p>
    <w:p w14:paraId="198AF419" w14:textId="4F0611E0" w:rsidR="006C15F4" w:rsidRDefault="00040685" w:rsidP="006C15F4">
      <w:pPr>
        <w:pStyle w:val="Heading3"/>
      </w:pPr>
      <w:r w:rsidRPr="00040685">
        <w:t>Supporting team members</w:t>
      </w:r>
    </w:p>
    <w:p w14:paraId="3C90A8BE" w14:textId="31194552" w:rsidR="00040685" w:rsidRDefault="00040685" w:rsidP="00040685">
      <w:pPr>
        <w:spacing w:before="60" w:after="60"/>
        <w:ind w:left="357" w:hanging="357"/>
      </w:pPr>
      <w:r>
        <w:t>•</w:t>
      </w:r>
      <w:r>
        <w:tab/>
        <w:t xml:space="preserve">Assist with maintaining team calendar </w:t>
      </w:r>
    </w:p>
    <w:p w14:paraId="14A644FD" w14:textId="77777777" w:rsidR="00040685" w:rsidRDefault="00040685" w:rsidP="00040685">
      <w:pPr>
        <w:spacing w:before="60" w:after="60"/>
        <w:ind w:left="357" w:hanging="357"/>
      </w:pPr>
      <w:r>
        <w:t>•</w:t>
      </w:r>
      <w:r>
        <w:tab/>
        <w:t>Cover Senior Administrative tasks when required</w:t>
      </w:r>
    </w:p>
    <w:p w14:paraId="02C3337C" w14:textId="781120E3" w:rsidR="006C15F4" w:rsidRDefault="00040685" w:rsidP="00040685">
      <w:pPr>
        <w:spacing w:before="60" w:after="60"/>
        <w:ind w:left="357" w:hanging="357"/>
      </w:pPr>
      <w:r>
        <w:t>•</w:t>
      </w:r>
      <w:r>
        <w:tab/>
        <w:t>Assist with meeting individual accessibility needs, for example booking NZSL interpreters, managing online meetings and notetaking</w:t>
      </w:r>
    </w:p>
    <w:p w14:paraId="159ACBB4" w14:textId="61483F1D" w:rsidR="006C15F4" w:rsidRDefault="00040685" w:rsidP="006C15F4">
      <w:pPr>
        <w:pStyle w:val="Heading3"/>
      </w:pPr>
      <w:r w:rsidRPr="00040685">
        <w:t>Facilities Support / Services</w:t>
      </w:r>
    </w:p>
    <w:p w14:paraId="4511E5A5" w14:textId="742B24F0" w:rsidR="00040685" w:rsidRDefault="00040685" w:rsidP="00040685">
      <w:pPr>
        <w:spacing w:before="60" w:after="60"/>
        <w:ind w:left="357" w:hanging="357"/>
      </w:pPr>
      <w:r>
        <w:t>•</w:t>
      </w:r>
      <w:r>
        <w:tab/>
        <w:t xml:space="preserve">Provide a high-quality service to staff and visitors </w:t>
      </w:r>
    </w:p>
    <w:p w14:paraId="5AA3C6CD" w14:textId="77777777" w:rsidR="00040685" w:rsidRDefault="00040685" w:rsidP="00040685">
      <w:pPr>
        <w:spacing w:before="60" w:after="60"/>
        <w:ind w:left="357" w:hanging="357"/>
      </w:pPr>
      <w:r>
        <w:t>•</w:t>
      </w:r>
      <w:r>
        <w:tab/>
        <w:t>Engage with disability sector stakeholders</w:t>
      </w:r>
    </w:p>
    <w:p w14:paraId="580E9AD6" w14:textId="77777777" w:rsidR="00040685" w:rsidRDefault="00040685" w:rsidP="00040685">
      <w:pPr>
        <w:spacing w:before="60" w:after="60"/>
        <w:ind w:left="357" w:hanging="357"/>
      </w:pPr>
      <w:r>
        <w:t>•</w:t>
      </w:r>
      <w:r>
        <w:tab/>
        <w:t>Ensure team resources are stocked and replenished</w:t>
      </w:r>
    </w:p>
    <w:p w14:paraId="4356E0F4" w14:textId="77777777" w:rsidR="00040685" w:rsidRDefault="00040685" w:rsidP="00040685">
      <w:pPr>
        <w:spacing w:before="60" w:after="60"/>
        <w:ind w:left="357" w:hanging="357"/>
      </w:pPr>
      <w:r>
        <w:t>•</w:t>
      </w:r>
      <w:r>
        <w:tab/>
        <w:t>Co-ordinate dispatch and collection of courier packages as required</w:t>
      </w:r>
    </w:p>
    <w:p w14:paraId="6E857FF2" w14:textId="45458D0B" w:rsidR="006C15F4" w:rsidRDefault="00040685" w:rsidP="00040685">
      <w:pPr>
        <w:spacing w:before="60" w:after="60"/>
        <w:ind w:left="357" w:hanging="357"/>
      </w:pPr>
      <w:r>
        <w:t>•</w:t>
      </w:r>
      <w:r>
        <w:tab/>
        <w:t>Deliver documents or packages to other areas of the Ministry as required</w:t>
      </w:r>
    </w:p>
    <w:p w14:paraId="128A69AB" w14:textId="100E8988" w:rsidR="006C15F4" w:rsidRDefault="00040685" w:rsidP="006C15F4">
      <w:pPr>
        <w:pStyle w:val="Heading3"/>
      </w:pPr>
      <w:r w:rsidRPr="00040685">
        <w:lastRenderedPageBreak/>
        <w:t xml:space="preserve">Embedding accessibility </w:t>
      </w:r>
    </w:p>
    <w:p w14:paraId="6304773F" w14:textId="5D19DF4B" w:rsidR="006C15F4" w:rsidRDefault="00040685" w:rsidP="00040685">
      <w:pPr>
        <w:spacing w:before="60" w:after="60"/>
        <w:ind w:left="357" w:hanging="357"/>
      </w:pPr>
      <w:r w:rsidRPr="00040685">
        <w:t>•</w:t>
      </w:r>
      <w:r w:rsidRPr="00040685">
        <w:tab/>
        <w:t>Embedding a culture of genuine accessibility within teams where people work actively identify and remove barriers and recognizes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4A46C57F"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w:t>
      </w:r>
      <w:r w:rsidR="00FE7706">
        <w:t>,</w:t>
      </w:r>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1AE124A0"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FE7706">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0258C59" w14:textId="5C65D77B" w:rsidR="00040685" w:rsidRDefault="00040685" w:rsidP="00040685">
      <w:pPr>
        <w:spacing w:before="60" w:after="60"/>
        <w:ind w:left="357" w:hanging="357"/>
      </w:pPr>
      <w:r>
        <w:t>•</w:t>
      </w:r>
      <w:r>
        <w:tab/>
        <w:t>Fluency in written English</w:t>
      </w:r>
    </w:p>
    <w:p w14:paraId="1B860D4C" w14:textId="77777777" w:rsidR="00040685" w:rsidRDefault="00040685" w:rsidP="00040685">
      <w:pPr>
        <w:spacing w:before="60" w:after="60"/>
        <w:ind w:left="357" w:hanging="357"/>
      </w:pPr>
      <w:r>
        <w:t>•</w:t>
      </w:r>
      <w:r>
        <w:tab/>
        <w:t>Demonstrated experience in providing high-level administrative support</w:t>
      </w:r>
    </w:p>
    <w:p w14:paraId="00B8E3B8" w14:textId="18137BE5" w:rsidR="00040685" w:rsidRDefault="00040685" w:rsidP="00040685">
      <w:pPr>
        <w:spacing w:before="60" w:after="60"/>
        <w:ind w:left="357" w:hanging="357"/>
      </w:pPr>
      <w:r>
        <w:t>•</w:t>
      </w:r>
      <w:r>
        <w:tab/>
        <w:t>Strong knowledge of administrative processes, systems</w:t>
      </w:r>
      <w:r w:rsidR="00FE7706">
        <w:t>,</w:t>
      </w:r>
      <w:r>
        <w:t xml:space="preserve"> and technology</w:t>
      </w:r>
    </w:p>
    <w:p w14:paraId="5004CBC8" w14:textId="77777777" w:rsidR="00040685" w:rsidRDefault="00040685" w:rsidP="00040685">
      <w:pPr>
        <w:spacing w:before="60" w:after="60"/>
        <w:ind w:left="357" w:hanging="357"/>
      </w:pPr>
      <w:r>
        <w:t>•</w:t>
      </w:r>
      <w:r>
        <w:tab/>
        <w:t>Good attention to detail</w:t>
      </w:r>
    </w:p>
    <w:p w14:paraId="630A8B80" w14:textId="77777777" w:rsidR="00040685" w:rsidRDefault="00040685" w:rsidP="00040685">
      <w:pPr>
        <w:spacing w:before="60" w:after="60"/>
        <w:ind w:left="357" w:hanging="357"/>
      </w:pPr>
      <w:r>
        <w:t>•</w:t>
      </w:r>
      <w:r>
        <w:tab/>
        <w:t>The ability to work independently and in a team environment, be adaptable, and cope with continuing change</w:t>
      </w:r>
    </w:p>
    <w:p w14:paraId="26969C9F" w14:textId="77777777" w:rsidR="00040685" w:rsidRDefault="00040685" w:rsidP="00040685">
      <w:pPr>
        <w:spacing w:before="60" w:after="60"/>
        <w:ind w:left="357" w:hanging="357"/>
      </w:pPr>
      <w:r>
        <w:t>•</w:t>
      </w:r>
      <w:r>
        <w:tab/>
        <w:t>Good communication skills with the ability to mix professionally and build effective relationships at all levels both within the Ministry and with outside agencies and individuals</w:t>
      </w:r>
    </w:p>
    <w:p w14:paraId="7B03418C" w14:textId="77777777" w:rsidR="00040685" w:rsidRDefault="00040685" w:rsidP="00040685">
      <w:pPr>
        <w:spacing w:before="60" w:after="60"/>
        <w:ind w:left="357" w:hanging="357"/>
      </w:pPr>
      <w:r>
        <w:t>•</w:t>
      </w:r>
      <w:r>
        <w:tab/>
        <w:t>The ability to effectively prioritise and schedule work to meet competing deadlines and maintain the quality of services delivered</w:t>
      </w:r>
    </w:p>
    <w:p w14:paraId="46F68421" w14:textId="77777777" w:rsidR="00040685" w:rsidRDefault="00040685" w:rsidP="00040685">
      <w:pPr>
        <w:spacing w:before="60" w:after="60"/>
        <w:ind w:left="357" w:hanging="357"/>
      </w:pPr>
      <w:r>
        <w:t>•</w:t>
      </w:r>
      <w:r>
        <w:tab/>
        <w:t>Excellent problem-solving ability with the ability to take initiative in addressing issues and problems</w:t>
      </w:r>
    </w:p>
    <w:p w14:paraId="7A37D1F5" w14:textId="77777777" w:rsidR="00040685" w:rsidRDefault="00040685" w:rsidP="00040685">
      <w:pPr>
        <w:spacing w:before="60" w:after="60"/>
        <w:ind w:left="357" w:hanging="357"/>
      </w:pPr>
      <w:r>
        <w:t>•</w:t>
      </w:r>
      <w:r>
        <w:tab/>
        <w:t>Proficiency in the Microsoft office suite of applications</w:t>
      </w:r>
    </w:p>
    <w:p w14:paraId="4A7E9A64" w14:textId="77777777" w:rsidR="00040685" w:rsidRDefault="00040685" w:rsidP="00040685">
      <w:pPr>
        <w:spacing w:before="60" w:after="60"/>
        <w:ind w:left="357" w:hanging="357"/>
      </w:pPr>
      <w:r>
        <w:t>•</w:t>
      </w:r>
      <w:r>
        <w:tab/>
        <w:t xml:space="preserve">Committed to understanding the Deaf community and knowledge of NZSL if not already demonstrated </w:t>
      </w:r>
    </w:p>
    <w:p w14:paraId="75F5C7DD" w14:textId="77777777" w:rsidR="00040685" w:rsidRDefault="00040685" w:rsidP="00040685">
      <w:pPr>
        <w:spacing w:before="60" w:after="60"/>
        <w:ind w:left="357" w:hanging="357"/>
      </w:pPr>
      <w:r>
        <w:t>•</w:t>
      </w:r>
      <w:r>
        <w:tab/>
        <w:t>An understanding of the workings of central Government - the role of Parliament, Ministers and public service agencies is desirable but not essential</w:t>
      </w:r>
    </w:p>
    <w:p w14:paraId="71016BCF" w14:textId="77777777" w:rsidR="00040685" w:rsidRDefault="00040685" w:rsidP="00040685">
      <w:pPr>
        <w:spacing w:before="60" w:after="60"/>
        <w:ind w:left="357" w:hanging="357"/>
      </w:pPr>
      <w:r>
        <w:t>•</w:t>
      </w:r>
      <w:r>
        <w:tab/>
        <w:t>Exercises sound judgement and sensitivity</w:t>
      </w:r>
    </w:p>
    <w:p w14:paraId="5E91CE39" w14:textId="77777777" w:rsidR="00040685" w:rsidRDefault="00040685" w:rsidP="00040685">
      <w:pPr>
        <w:spacing w:before="60" w:after="60"/>
        <w:ind w:left="357" w:hanging="357"/>
      </w:pPr>
      <w:r>
        <w:t>•</w:t>
      </w:r>
      <w:r>
        <w:tab/>
        <w:t>Welcomes and values diversity and contributes to an inclusive working environment where differences are acknowledged and respected</w:t>
      </w:r>
    </w:p>
    <w:p w14:paraId="1AA13B73" w14:textId="77777777" w:rsidR="00040685" w:rsidRDefault="00040685" w:rsidP="00040685">
      <w:pPr>
        <w:spacing w:before="60" w:after="60"/>
        <w:ind w:left="357" w:hanging="357"/>
      </w:pPr>
      <w:r>
        <w:lastRenderedPageBreak/>
        <w:t>•</w:t>
      </w:r>
      <w:r>
        <w:tab/>
        <w:t>To undertake this role successfully the incumbent will be a disabled person, or have credibility and trust with the disability community, or a commitment to understanding the unique and diverse experiences of disabled people</w:t>
      </w:r>
    </w:p>
    <w:p w14:paraId="7462F486" w14:textId="29DD7C0C" w:rsidR="0080061F" w:rsidRDefault="00040685" w:rsidP="00040685">
      <w:pPr>
        <w:spacing w:before="60" w:after="60"/>
        <w:ind w:left="357" w:hanging="357"/>
      </w:pPr>
      <w:r>
        <w:t>•</w:t>
      </w:r>
      <w:r>
        <w:tab/>
        <w:t>Limited ad hoc travel may be required</w:t>
      </w:r>
    </w:p>
    <w:p w14:paraId="134BA960" w14:textId="77777777" w:rsidR="0080061F" w:rsidRPr="00D5437E" w:rsidRDefault="0080061F" w:rsidP="0055724C">
      <w:pPr>
        <w:pStyle w:val="Heading2"/>
        <w:spacing w:before="360"/>
      </w:pPr>
      <w:r w:rsidRPr="00D5437E">
        <w:t>Attributes</w:t>
      </w:r>
    </w:p>
    <w:p w14:paraId="2484CD0D" w14:textId="77777777" w:rsidR="00792EF4" w:rsidRDefault="00792EF4" w:rsidP="00792EF4">
      <w:pPr>
        <w:pStyle w:val="Bullet1"/>
        <w:numPr>
          <w:ilvl w:val="0"/>
          <w:numId w:val="12"/>
        </w:numPr>
        <w:tabs>
          <w:tab w:val="clear" w:pos="454"/>
        </w:tabs>
        <w:spacing w:before="60" w:after="60"/>
      </w:pPr>
      <w:r>
        <w:t>Highly organised – approaches tasks and situations pragmatically and efficiently</w:t>
      </w:r>
    </w:p>
    <w:p w14:paraId="15BB341B" w14:textId="73945B7B" w:rsidR="00792EF4" w:rsidRDefault="00792EF4" w:rsidP="00792EF4">
      <w:pPr>
        <w:pStyle w:val="Bullet1"/>
        <w:numPr>
          <w:ilvl w:val="0"/>
          <w:numId w:val="12"/>
        </w:numPr>
        <w:tabs>
          <w:tab w:val="clear" w:pos="454"/>
        </w:tabs>
        <w:spacing w:before="60" w:after="60"/>
      </w:pPr>
      <w:r>
        <w:t>Time management – ability to prioritise work, often within tight timeframes and under pressure</w:t>
      </w:r>
    </w:p>
    <w:p w14:paraId="49CAB51E" w14:textId="77777777" w:rsidR="00792EF4" w:rsidRDefault="00792EF4" w:rsidP="00792EF4">
      <w:pPr>
        <w:pStyle w:val="Bullet1"/>
        <w:numPr>
          <w:ilvl w:val="0"/>
          <w:numId w:val="12"/>
        </w:numPr>
        <w:tabs>
          <w:tab w:val="clear" w:pos="454"/>
        </w:tabs>
        <w:spacing w:before="60" w:after="60"/>
      </w:pPr>
      <w:r>
        <w:t>Excellent attention to detail – ability to achieve thoroughness and accuracy when accomplishing tasks</w:t>
      </w:r>
    </w:p>
    <w:p w14:paraId="00931A6A" w14:textId="77777777" w:rsidR="00792EF4" w:rsidRDefault="00792EF4" w:rsidP="00792EF4">
      <w:pPr>
        <w:pStyle w:val="Bullet1"/>
        <w:numPr>
          <w:ilvl w:val="0"/>
          <w:numId w:val="12"/>
        </w:numPr>
        <w:tabs>
          <w:tab w:val="clear" w:pos="454"/>
        </w:tabs>
        <w:spacing w:before="60" w:after="60"/>
      </w:pPr>
      <w:r>
        <w:t>Flexible, adaptable and pragmatic – ability to adapt to a busy and changing environment and take the initiative</w:t>
      </w:r>
    </w:p>
    <w:p w14:paraId="2669182C" w14:textId="77777777" w:rsidR="00792EF4" w:rsidRDefault="00792EF4" w:rsidP="00792EF4">
      <w:pPr>
        <w:pStyle w:val="Bullet1"/>
        <w:numPr>
          <w:ilvl w:val="0"/>
          <w:numId w:val="12"/>
        </w:numPr>
        <w:tabs>
          <w:tab w:val="clear" w:pos="454"/>
        </w:tabs>
        <w:spacing w:before="60" w:after="60"/>
      </w:pPr>
      <w:r>
        <w:t>Resilient and able to stay calm under pressure and utilise effective problem-solving approaches</w:t>
      </w:r>
    </w:p>
    <w:p w14:paraId="28D1044A" w14:textId="77777777" w:rsidR="00792EF4" w:rsidRDefault="00792EF4" w:rsidP="00792EF4">
      <w:pPr>
        <w:pStyle w:val="Bullet1"/>
        <w:numPr>
          <w:ilvl w:val="0"/>
          <w:numId w:val="12"/>
        </w:numPr>
        <w:tabs>
          <w:tab w:val="clear" w:pos="454"/>
        </w:tabs>
        <w:spacing w:before="60" w:after="60"/>
      </w:pPr>
      <w:r>
        <w:t>Exercises sound judgement and discretion – able to assess individual situations to make quality judgements and decisions</w:t>
      </w:r>
    </w:p>
    <w:p w14:paraId="759E419D" w14:textId="77777777" w:rsidR="00792EF4" w:rsidRDefault="00792EF4" w:rsidP="00792EF4">
      <w:pPr>
        <w:pStyle w:val="Bullet1"/>
        <w:numPr>
          <w:ilvl w:val="0"/>
          <w:numId w:val="12"/>
        </w:numPr>
        <w:tabs>
          <w:tab w:val="clear" w:pos="454"/>
        </w:tabs>
        <w:spacing w:before="60" w:after="60"/>
      </w:pPr>
      <w:r>
        <w:t>Relationship management skills – able to develop and maintain effective working relationships</w:t>
      </w:r>
    </w:p>
    <w:p w14:paraId="53482B78" w14:textId="77777777" w:rsidR="00792EF4" w:rsidRDefault="00792EF4" w:rsidP="00792EF4">
      <w:pPr>
        <w:pStyle w:val="Bullet1"/>
        <w:numPr>
          <w:ilvl w:val="0"/>
          <w:numId w:val="12"/>
        </w:numPr>
        <w:tabs>
          <w:tab w:val="clear" w:pos="454"/>
        </w:tabs>
        <w:spacing w:before="60" w:after="60"/>
      </w:pPr>
      <w:r>
        <w:t>Interpersonal skills – ability to relate to people at all levels and demonstrate active listening skills</w:t>
      </w:r>
    </w:p>
    <w:p w14:paraId="12B86D65" w14:textId="77777777" w:rsidR="00792EF4" w:rsidRDefault="00792EF4" w:rsidP="00792EF4">
      <w:pPr>
        <w:pStyle w:val="Bullet1"/>
        <w:numPr>
          <w:ilvl w:val="0"/>
          <w:numId w:val="12"/>
        </w:numPr>
        <w:tabs>
          <w:tab w:val="clear" w:pos="454"/>
        </w:tabs>
        <w:spacing w:before="60" w:after="60"/>
      </w:pPr>
      <w:r>
        <w:t>Excellent communication skills – able to communicate clearly and concisely across multiple channels</w:t>
      </w:r>
    </w:p>
    <w:p w14:paraId="48496427" w14:textId="77777777" w:rsidR="00792EF4" w:rsidRDefault="00792EF4" w:rsidP="00792EF4">
      <w:pPr>
        <w:pStyle w:val="Bullet1"/>
        <w:numPr>
          <w:ilvl w:val="0"/>
          <w:numId w:val="12"/>
        </w:numPr>
        <w:tabs>
          <w:tab w:val="clear" w:pos="454"/>
        </w:tabs>
        <w:spacing w:before="60" w:after="60"/>
      </w:pPr>
      <w:r>
        <w:t>Willingly shares knowledge and actively contributes to a supportive environment based on co-operation and commitment to achieve goals</w:t>
      </w:r>
    </w:p>
    <w:p w14:paraId="4294094E" w14:textId="77777777" w:rsidR="00792EF4" w:rsidRDefault="00792EF4" w:rsidP="00792EF4">
      <w:pPr>
        <w:pStyle w:val="Bullet1"/>
        <w:numPr>
          <w:ilvl w:val="0"/>
          <w:numId w:val="12"/>
        </w:numPr>
        <w:tabs>
          <w:tab w:val="clear" w:pos="454"/>
        </w:tabs>
        <w:spacing w:before="60" w:after="60"/>
      </w:pPr>
      <w: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173CC5B" w14:textId="632F9D51"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 xml:space="preserve">Director and Managers of the </w:t>
      </w:r>
      <w:r w:rsidR="00233702">
        <w:t>Disability Support Services</w:t>
      </w:r>
      <w:r w:rsidR="00233702" w:rsidRPr="00040685">
        <w:t xml:space="preserve"> </w:t>
      </w:r>
      <w:r w:rsidRPr="00040685">
        <w:rPr>
          <w:rFonts w:eastAsia="Times New Roman"/>
          <w:kern w:val="28"/>
          <w:szCs w:val="20"/>
          <w:lang w:val="en-US"/>
        </w:rPr>
        <w:t>business group</w:t>
      </w:r>
    </w:p>
    <w:p w14:paraId="0273AD6F"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Ministry Executive Assistants and other administrators</w:t>
      </w:r>
    </w:p>
    <w:p w14:paraId="2AD11DDE"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Other groups, teams and people as required.</w:t>
      </w:r>
    </w:p>
    <w:p w14:paraId="48DBAD43" w14:textId="77777777" w:rsidR="0080061F" w:rsidRDefault="0080061F" w:rsidP="000469A5">
      <w:pPr>
        <w:pStyle w:val="Heading3"/>
      </w:pPr>
      <w:r w:rsidRPr="00E83550">
        <w:t xml:space="preserve">External </w:t>
      </w:r>
    </w:p>
    <w:p w14:paraId="6271A8B1" w14:textId="3222EBF0"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 xml:space="preserve">Other Government departments </w:t>
      </w:r>
    </w:p>
    <w:p w14:paraId="3D618849"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Non-Government Organisations / community organisations</w:t>
      </w:r>
    </w:p>
    <w:p w14:paraId="61B62744"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Client service organisations, including equipment and catering suppliers</w:t>
      </w:r>
    </w:p>
    <w:p w14:paraId="240D583C"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 xml:space="preserve">Members of the disability community, carers, and disability support providers </w:t>
      </w:r>
    </w:p>
    <w:p w14:paraId="2EFECB4B"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The NZSL Board, contracted project leads and grant recipients</w:t>
      </w:r>
    </w:p>
    <w:p w14:paraId="7FC9B962" w14:textId="77777777" w:rsidR="00040685" w:rsidRPr="00040685" w:rsidRDefault="00040685" w:rsidP="00040685">
      <w:pPr>
        <w:pStyle w:val="ListBullet"/>
        <w:spacing w:before="60" w:after="60"/>
        <w:ind w:left="357" w:hanging="357"/>
        <w:rPr>
          <w:rFonts w:eastAsia="Times New Roman"/>
          <w:kern w:val="28"/>
          <w:szCs w:val="20"/>
          <w:lang w:val="en-US"/>
        </w:rPr>
      </w:pPr>
      <w:r w:rsidRPr="00040685">
        <w:rPr>
          <w:rFonts w:eastAsia="Times New Roman"/>
          <w:kern w:val="28"/>
          <w:szCs w:val="20"/>
          <w:lang w:val="en-US"/>
        </w:rPr>
        <w:t>Other organisations / agencies / people as required.</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6073DA05" w:rsidR="0080061F" w:rsidRPr="00B27E44" w:rsidRDefault="0080061F" w:rsidP="00086206">
      <w:pPr>
        <w:pStyle w:val="Bullet1"/>
        <w:numPr>
          <w:ilvl w:val="0"/>
          <w:numId w:val="2"/>
        </w:numPr>
        <w:tabs>
          <w:tab w:val="clear" w:pos="454"/>
        </w:tabs>
        <w:spacing w:before="60" w:after="60"/>
      </w:pPr>
      <w:r w:rsidRPr="00B27E44">
        <w:t>Financial – No</w:t>
      </w:r>
    </w:p>
    <w:p w14:paraId="1A13EE12" w14:textId="2A6CF271"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78BD22CD" w:rsidR="0080061F" w:rsidRDefault="0080061F" w:rsidP="000469A5">
      <w:pPr>
        <w:pStyle w:val="Heading3"/>
      </w:pPr>
      <w:r w:rsidRPr="00096E86">
        <w:t>Direct reports</w:t>
      </w:r>
      <w:r w:rsidR="006C15F4">
        <w:t>:</w:t>
      </w:r>
      <w:r>
        <w:t xml:space="preserve"> </w:t>
      </w:r>
      <w:r w:rsidRPr="0074781A">
        <w:t>No</w:t>
      </w:r>
    </w:p>
    <w:p w14:paraId="7A424157" w14:textId="73B1794C" w:rsidR="0080061F" w:rsidRDefault="0080061F" w:rsidP="000469A5">
      <w:pPr>
        <w:pStyle w:val="Heading3"/>
      </w:pPr>
      <w:r>
        <w:t>Security clearance</w:t>
      </w:r>
      <w:r w:rsidR="006C15F4">
        <w:t xml:space="preserve">: </w:t>
      </w:r>
      <w:r w:rsidRPr="0074781A">
        <w:t>No</w:t>
      </w:r>
    </w:p>
    <w:p w14:paraId="5AD192A7" w14:textId="65C1708C" w:rsidR="0080061F" w:rsidRPr="0076538D" w:rsidRDefault="0080061F" w:rsidP="000469A5">
      <w:pPr>
        <w:pStyle w:val="Heading3"/>
      </w:pPr>
      <w:r>
        <w:t>Children’s worker</w:t>
      </w:r>
      <w:r w:rsidR="006C15F4">
        <w:t>:</w:t>
      </w:r>
      <w:r>
        <w:t xml:space="preserve"> </w:t>
      </w:r>
      <w:r w:rsidRPr="0074781A">
        <w:t>No</w:t>
      </w:r>
    </w:p>
    <w:p w14:paraId="34F3E7D0" w14:textId="4A844BA0" w:rsidR="0080061F" w:rsidRDefault="0080061F" w:rsidP="0080061F">
      <w:pPr>
        <w:spacing w:after="0" w:line="240" w:lineRule="auto"/>
      </w:pPr>
      <w:r>
        <w:t>Limited ad</w:t>
      </w:r>
      <w:r w:rsidR="00FE7706">
        <w:t xml:space="preserve"> </w:t>
      </w:r>
      <w:r>
        <w:t>hoc travel may be required</w:t>
      </w:r>
      <w:r w:rsidR="00FE7706">
        <w:t>.</w:t>
      </w:r>
    </w:p>
    <w:p w14:paraId="27FE445A" w14:textId="77777777" w:rsidR="00803002" w:rsidRDefault="00803002" w:rsidP="0080061F"/>
    <w:p w14:paraId="5F667520" w14:textId="77777777" w:rsidR="004230ED" w:rsidRDefault="004230ED" w:rsidP="0080061F"/>
    <w:p w14:paraId="78A82DBB" w14:textId="26AEFA96"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484E26">
        <w:t>April 2025</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8619" w14:textId="77777777" w:rsidR="002B48A4" w:rsidRDefault="002B48A4" w:rsidP="0077711D">
      <w:pPr>
        <w:spacing w:after="0" w:line="240" w:lineRule="auto"/>
      </w:pPr>
      <w:r>
        <w:separator/>
      </w:r>
    </w:p>
  </w:endnote>
  <w:endnote w:type="continuationSeparator" w:id="0">
    <w:p w14:paraId="1B24424F" w14:textId="77777777" w:rsidR="002B48A4" w:rsidRDefault="002B48A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2D56C1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40685" w:rsidRPr="00040685">
      <w:t xml:space="preserve">Team Administrator, </w:t>
    </w:r>
    <w:r w:rsidR="00DD4434">
      <w:t>DSS</w:t>
    </w:r>
    <w:r w:rsidR="00DD4434">
      <w:tab/>
    </w:r>
    <w:r w:rsidR="00040685">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0B7D3D2" w:rsidR="00803002" w:rsidRPr="002E5827" w:rsidRDefault="0015069B" w:rsidP="0080061F">
    <w:pPr>
      <w:pStyle w:val="Footer"/>
      <w:pBdr>
        <w:top w:val="single" w:sz="4" w:space="1" w:color="auto"/>
      </w:pBdr>
      <w:tabs>
        <w:tab w:val="clear" w:pos="9026"/>
        <w:tab w:val="right" w:pos="10206"/>
      </w:tabs>
      <w:rPr>
        <w:szCs w:val="18"/>
      </w:rPr>
    </w:pPr>
    <w:r w:rsidRPr="008B5C31">
      <w:t>Position Description –</w:t>
    </w:r>
    <w:r w:rsidR="00040685" w:rsidRPr="00040685">
      <w:t xml:space="preserve"> Team Administrator</w:t>
    </w:r>
    <w:r w:rsidR="002632F0">
      <w:t>- DSS</w:t>
    </w:r>
    <w:r w:rsidR="002632F0">
      <w:tab/>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2775" w14:textId="77777777" w:rsidR="002B48A4" w:rsidRDefault="002B48A4" w:rsidP="0077711D">
      <w:pPr>
        <w:spacing w:after="0" w:line="240" w:lineRule="auto"/>
      </w:pPr>
      <w:r>
        <w:separator/>
      </w:r>
    </w:p>
  </w:footnote>
  <w:footnote w:type="continuationSeparator" w:id="0">
    <w:p w14:paraId="35F5869A" w14:textId="77777777" w:rsidR="002B48A4" w:rsidRDefault="002B48A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0267A31C" w:rsidR="0015069B" w:rsidRDefault="00150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0"/>
  </w:num>
  <w:num w:numId="7" w16cid:durableId="101803501">
    <w:abstractNumId w:val="8"/>
  </w:num>
  <w:num w:numId="8" w16cid:durableId="108086667">
    <w:abstractNumId w:val="3"/>
  </w:num>
  <w:num w:numId="9" w16cid:durableId="1485195578">
    <w:abstractNumId w:val="7"/>
  </w:num>
  <w:num w:numId="10" w16cid:durableId="1505703867">
    <w:abstractNumId w:val="11"/>
  </w:num>
  <w:num w:numId="11" w16cid:durableId="1379696147">
    <w:abstractNumId w:val="9"/>
  </w:num>
  <w:num w:numId="12" w16cid:durableId="15399738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0685"/>
    <w:rsid w:val="000469A5"/>
    <w:rsid w:val="000710E0"/>
    <w:rsid w:val="00086206"/>
    <w:rsid w:val="000964FE"/>
    <w:rsid w:val="000969AE"/>
    <w:rsid w:val="000A576B"/>
    <w:rsid w:val="000C1F92"/>
    <w:rsid w:val="000E3BB9"/>
    <w:rsid w:val="000F24D2"/>
    <w:rsid w:val="001026C0"/>
    <w:rsid w:val="00106AED"/>
    <w:rsid w:val="0015069B"/>
    <w:rsid w:val="001B360A"/>
    <w:rsid w:val="001D3744"/>
    <w:rsid w:val="00213DA6"/>
    <w:rsid w:val="00216302"/>
    <w:rsid w:val="00233702"/>
    <w:rsid w:val="00233BCC"/>
    <w:rsid w:val="00236D2D"/>
    <w:rsid w:val="00245A2B"/>
    <w:rsid w:val="00252382"/>
    <w:rsid w:val="002632F0"/>
    <w:rsid w:val="002B48A4"/>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84E26"/>
    <w:rsid w:val="004957D3"/>
    <w:rsid w:val="00495E9D"/>
    <w:rsid w:val="004D1E30"/>
    <w:rsid w:val="00533E65"/>
    <w:rsid w:val="0055724C"/>
    <w:rsid w:val="0056681E"/>
    <w:rsid w:val="00572AA9"/>
    <w:rsid w:val="00595906"/>
    <w:rsid w:val="005A6D69"/>
    <w:rsid w:val="005B11F9"/>
    <w:rsid w:val="005F26E8"/>
    <w:rsid w:val="00631D73"/>
    <w:rsid w:val="006B19BD"/>
    <w:rsid w:val="006C15F4"/>
    <w:rsid w:val="0077711D"/>
    <w:rsid w:val="00792EF4"/>
    <w:rsid w:val="007B201A"/>
    <w:rsid w:val="007C2143"/>
    <w:rsid w:val="007F3ACD"/>
    <w:rsid w:val="0080061F"/>
    <w:rsid w:val="0080133F"/>
    <w:rsid w:val="00803002"/>
    <w:rsid w:val="0080498F"/>
    <w:rsid w:val="00860654"/>
    <w:rsid w:val="008C20D5"/>
    <w:rsid w:val="00903467"/>
    <w:rsid w:val="00906EAA"/>
    <w:rsid w:val="00907418"/>
    <w:rsid w:val="009560BA"/>
    <w:rsid w:val="00965C35"/>
    <w:rsid w:val="00970DD2"/>
    <w:rsid w:val="0099555E"/>
    <w:rsid w:val="009A077C"/>
    <w:rsid w:val="009D15F1"/>
    <w:rsid w:val="009D2B10"/>
    <w:rsid w:val="00A2199C"/>
    <w:rsid w:val="00A43896"/>
    <w:rsid w:val="00A43F21"/>
    <w:rsid w:val="00A50841"/>
    <w:rsid w:val="00A6244E"/>
    <w:rsid w:val="00A678E1"/>
    <w:rsid w:val="00B41635"/>
    <w:rsid w:val="00B52748"/>
    <w:rsid w:val="00B5357A"/>
    <w:rsid w:val="00C1388C"/>
    <w:rsid w:val="00C503A7"/>
    <w:rsid w:val="00C5215F"/>
    <w:rsid w:val="00CB4A28"/>
    <w:rsid w:val="00D34EA0"/>
    <w:rsid w:val="00D5437E"/>
    <w:rsid w:val="00D637C3"/>
    <w:rsid w:val="00DD3676"/>
    <w:rsid w:val="00DD4434"/>
    <w:rsid w:val="00DD62A5"/>
    <w:rsid w:val="00DD6907"/>
    <w:rsid w:val="00DD7526"/>
    <w:rsid w:val="00DE3537"/>
    <w:rsid w:val="00E22E32"/>
    <w:rsid w:val="00E31BBB"/>
    <w:rsid w:val="00E43B69"/>
    <w:rsid w:val="00E4584F"/>
    <w:rsid w:val="00E47EAE"/>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E77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6</cp:revision>
  <dcterms:created xsi:type="dcterms:W3CDTF">2025-04-06T21:27:00Z</dcterms:created>
  <dcterms:modified xsi:type="dcterms:W3CDTF">2025-04-21T23:45:00Z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