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3DB34D4A">
                <wp:simplePos x="0" y="0"/>
                <wp:positionH relativeFrom="margin">
                  <wp:posOffset>-11575</wp:posOffset>
                </wp:positionH>
                <wp:positionV relativeFrom="paragraph">
                  <wp:posOffset>740780</wp:posOffset>
                </wp:positionV>
                <wp:extent cx="6067425" cy="1064871"/>
                <wp:effectExtent l="0" t="0" r="28575" b="215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1064871"/>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9pt;margin-top:58.35pt;width:477.75pt;height:83.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6A6265C7">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321206DC" w:rsidR="00FD13BE" w:rsidRPr="00AF1432" w:rsidRDefault="00FC226D" w:rsidP="004939A3">
      <w:pPr>
        <w:pStyle w:val="Heading1"/>
        <w:spacing w:after="120"/>
        <w:ind w:left="142"/>
        <w:rPr>
          <w:rFonts w:eastAsiaTheme="minorEastAsia"/>
          <w:color w:val="FFFFFF" w:themeColor="background1"/>
          <w:lang w:val="en-NZ" w:eastAsia="zh-CN"/>
        </w:rPr>
      </w:pPr>
      <w:r>
        <w:rPr>
          <w:color w:val="FFFFFF" w:themeColor="background1"/>
          <w:lang w:val="en-NZ"/>
        </w:rPr>
        <w:t xml:space="preserve">Principal Advisor </w:t>
      </w:r>
      <w:r w:rsidR="00247C20">
        <w:rPr>
          <w:color w:val="FFFFFF" w:themeColor="background1"/>
          <w:lang w:val="en-NZ"/>
        </w:rPr>
        <w:t>Workforce</w:t>
      </w:r>
    </w:p>
    <w:p w14:paraId="2DE42C20" w14:textId="77777777" w:rsidR="00142D0F" w:rsidRDefault="00142D0F" w:rsidP="000710E0">
      <w:pPr>
        <w:pStyle w:val="Heading2"/>
        <w:jc w:val="center"/>
        <w:rPr>
          <w:color w:val="auto"/>
        </w:rPr>
      </w:pPr>
    </w:p>
    <w:p w14:paraId="2EE60ED3" w14:textId="77777777" w:rsidR="00A015A9" w:rsidRDefault="00A015A9" w:rsidP="000710E0">
      <w:pPr>
        <w:pStyle w:val="Heading2"/>
        <w:jc w:val="center"/>
        <w:rPr>
          <w:color w:val="auto"/>
        </w:rPr>
      </w:pPr>
    </w:p>
    <w:p w14:paraId="0E99AF74" w14:textId="2DF86FCE"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7228E36"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F2F39E9"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735A3D3"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FCBC389"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29DEB0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60C86B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C7C10F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25BD3D98" w14:textId="55D3939F" w:rsidR="00B90208"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5D02B3A6" w14:textId="7C22F80F" w:rsidR="002B376B" w:rsidRPr="006650BB" w:rsidRDefault="002B376B" w:rsidP="00B42AE0">
      <w:pPr>
        <w:pStyle w:val="Bullet1"/>
        <w:tabs>
          <w:tab w:val="clear" w:pos="454"/>
          <w:tab w:val="left" w:pos="709"/>
          <w:tab w:val="left" w:pos="4820"/>
        </w:tabs>
        <w:ind w:left="709" w:hanging="567"/>
      </w:pPr>
    </w:p>
    <w:p w14:paraId="253AEFFF" w14:textId="5EF2F8C4" w:rsidR="003F320E" w:rsidRPr="003F320E" w:rsidRDefault="003F320E" w:rsidP="00B42AE0">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33A06A2E"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w:t>
      </w:r>
      <w:r w:rsidR="0014335D">
        <w:rPr>
          <w:lang w:eastAsia="en-GB"/>
        </w:rPr>
        <w:t xml:space="preserve"> </w:t>
      </w:r>
      <w:r>
        <w:rPr>
          <w:lang w:eastAsia="en-GB"/>
        </w:rPr>
        <w:t>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325AB9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282E94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37755CF1" w14:textId="2C4F6739" w:rsidR="0044216E" w:rsidRPr="00A015A9" w:rsidRDefault="0080061F" w:rsidP="00A015A9">
      <w:pPr>
        <w:pStyle w:val="Heading3"/>
      </w:pPr>
      <w:r>
        <w:t>Overview of position</w:t>
      </w:r>
    </w:p>
    <w:p w14:paraId="6EF5FCC2" w14:textId="77777777" w:rsidR="005A4C95" w:rsidRPr="005A4C95" w:rsidRDefault="005A4C95" w:rsidP="005A4C95">
      <w:pPr>
        <w:pStyle w:val="paragraph"/>
        <w:spacing w:after="0"/>
        <w:textAlignment w:val="baseline"/>
        <w:rPr>
          <w:rFonts w:ascii="Verdana" w:eastAsia="Calibri" w:hAnsi="Verdana" w:cs="Arial"/>
          <w:sz w:val="20"/>
          <w:szCs w:val="20"/>
          <w:lang w:val="en-GB" w:eastAsia="en-US"/>
        </w:rPr>
      </w:pPr>
      <w:r w:rsidRPr="007F4BE3">
        <w:rPr>
          <w:rFonts w:ascii="Verdana" w:eastAsia="Calibri" w:hAnsi="Verdana" w:cs="Arial"/>
          <w:sz w:val="20"/>
          <w:szCs w:val="20"/>
          <w:lang w:val="en-GB" w:eastAsia="en-US"/>
        </w:rPr>
        <w:t>The Principal Advisor Workforce Development provides strategic and operational leadership to drive sector workforce capability and capacity improvements across the disability support system.</w:t>
      </w:r>
    </w:p>
    <w:p w14:paraId="6DEE8BDF" w14:textId="70065312" w:rsidR="005A4C95" w:rsidRPr="005A4C95" w:rsidRDefault="005A4C95" w:rsidP="005A4C95">
      <w:pPr>
        <w:pStyle w:val="paragraph"/>
        <w:spacing w:after="0"/>
        <w:textAlignment w:val="baseline"/>
        <w:rPr>
          <w:rFonts w:ascii="Verdana" w:eastAsia="Calibri" w:hAnsi="Verdana" w:cs="Arial"/>
          <w:sz w:val="20"/>
          <w:szCs w:val="20"/>
          <w:lang w:val="en-GB" w:eastAsia="en-US"/>
        </w:rPr>
      </w:pPr>
      <w:r w:rsidRPr="005A4C95">
        <w:rPr>
          <w:rFonts w:ascii="Verdana" w:eastAsia="Calibri" w:hAnsi="Verdana" w:cs="Arial"/>
          <w:sz w:val="20"/>
          <w:szCs w:val="20"/>
          <w:lang w:val="en-GB" w:eastAsia="en-US"/>
        </w:rPr>
        <w:t>This role is central to identifying, facilitating, and implementing system-level workforce development initiatives that strengthen service delivery, address workforce gaps, and support a culture of continuous learning and professional growth.</w:t>
      </w:r>
      <w:r w:rsidR="001E65C6">
        <w:rPr>
          <w:rFonts w:ascii="Verdana" w:eastAsia="Calibri" w:hAnsi="Verdana" w:cs="Arial"/>
          <w:sz w:val="20"/>
          <w:szCs w:val="20"/>
          <w:lang w:val="en-GB" w:eastAsia="en-US"/>
        </w:rPr>
        <w:t xml:space="preserve"> </w:t>
      </w:r>
    </w:p>
    <w:p w14:paraId="7C1DC702" w14:textId="036E1BCE" w:rsidR="005A4C95" w:rsidRPr="005A4C95" w:rsidRDefault="005A4C95" w:rsidP="005A4C95">
      <w:pPr>
        <w:pStyle w:val="paragraph"/>
        <w:spacing w:after="0"/>
        <w:textAlignment w:val="baseline"/>
        <w:rPr>
          <w:rFonts w:ascii="Verdana" w:eastAsia="Calibri" w:hAnsi="Verdana" w:cs="Arial"/>
          <w:sz w:val="20"/>
          <w:szCs w:val="20"/>
          <w:lang w:val="en-GB" w:eastAsia="en-US"/>
        </w:rPr>
      </w:pPr>
      <w:r w:rsidRPr="005A4C95">
        <w:rPr>
          <w:rFonts w:ascii="Verdana" w:eastAsia="Calibri" w:hAnsi="Verdana" w:cs="Arial"/>
          <w:sz w:val="20"/>
          <w:szCs w:val="20"/>
          <w:lang w:val="en-GB" w:eastAsia="en-US"/>
        </w:rPr>
        <w:t>Key aspects of the role involve building strong, collaborative relationships with internal teams, providers, sector partners, and workforce organisations to ensure workforce initiatives are person-centred and align with the principles of Enabling Good Lives.</w:t>
      </w:r>
    </w:p>
    <w:p w14:paraId="000388BB" w14:textId="1D68820D" w:rsidR="00AF1432" w:rsidRDefault="005A4C95" w:rsidP="005A4C95">
      <w:pPr>
        <w:pStyle w:val="paragraph"/>
        <w:spacing w:before="0" w:beforeAutospacing="0" w:after="0" w:afterAutospacing="0"/>
        <w:textAlignment w:val="baseline"/>
        <w:rPr>
          <w:rFonts w:ascii="Verdana" w:eastAsia="Calibri" w:hAnsi="Verdana" w:cs="Arial"/>
          <w:sz w:val="20"/>
          <w:szCs w:val="20"/>
          <w:lang w:val="en-GB" w:eastAsia="en-US"/>
        </w:rPr>
      </w:pPr>
      <w:r w:rsidRPr="005A4C95">
        <w:rPr>
          <w:rFonts w:ascii="Verdana" w:eastAsia="Calibri" w:hAnsi="Verdana" w:cs="Arial"/>
          <w:sz w:val="20"/>
          <w:szCs w:val="20"/>
          <w:lang w:val="en-GB" w:eastAsia="en-US"/>
        </w:rPr>
        <w:t>The Principal Advisor supports the design, implementation, and evaluation of practical workforce development tools, processes, and change initiatives that enable consistency, reduce inequities, and foster a sustainable and skilled sector workforce.</w:t>
      </w:r>
    </w:p>
    <w:p w14:paraId="1BADA600" w14:textId="10DF0755" w:rsidR="00757A3C" w:rsidRDefault="00757A3C" w:rsidP="005A4C95">
      <w:pPr>
        <w:pStyle w:val="paragraph"/>
        <w:spacing w:before="0" w:beforeAutospacing="0" w:after="0" w:afterAutospacing="0"/>
        <w:textAlignment w:val="baseline"/>
        <w:rPr>
          <w:rStyle w:val="eop"/>
          <w:color w:val="000000"/>
          <w:sz w:val="18"/>
          <w:szCs w:val="18"/>
          <w:shd w:val="clear" w:color="auto" w:fill="FFFFFF"/>
        </w:rPr>
      </w:pPr>
    </w:p>
    <w:p w14:paraId="2EC18287" w14:textId="214F7335" w:rsidR="0080061F" w:rsidRPr="00A70B36" w:rsidRDefault="0080061F" w:rsidP="00AF1432">
      <w:pPr>
        <w:pStyle w:val="Heading3"/>
      </w:pPr>
      <w:r>
        <w:t>Location</w:t>
      </w:r>
    </w:p>
    <w:p w14:paraId="1D4AEF38" w14:textId="756746D3" w:rsidR="6CB18812" w:rsidRDefault="00E80996" w:rsidP="6ADEEF1F">
      <w:r>
        <w:t>Various</w:t>
      </w:r>
    </w:p>
    <w:p w14:paraId="70CBFD7E" w14:textId="77777777" w:rsidR="0080061F" w:rsidRDefault="0080061F" w:rsidP="0080061F">
      <w:pPr>
        <w:pStyle w:val="Heading3"/>
      </w:pPr>
      <w:r>
        <w:t>Reports to</w:t>
      </w:r>
    </w:p>
    <w:p w14:paraId="3BD35AB1" w14:textId="7C86C0D9" w:rsidR="0080061F" w:rsidRDefault="000D38DC" w:rsidP="0080061F">
      <w:pPr>
        <w:spacing w:after="0" w:line="240" w:lineRule="auto"/>
      </w:pPr>
      <w:r>
        <w:t xml:space="preserve">Manager </w:t>
      </w:r>
      <w:r w:rsidR="00AF1432">
        <w:t>Quality Improvement</w:t>
      </w:r>
    </w:p>
    <w:p w14:paraId="364B1823" w14:textId="77777777" w:rsidR="0080061F" w:rsidRDefault="0080061F" w:rsidP="0055724C">
      <w:pPr>
        <w:pStyle w:val="Heading2"/>
        <w:spacing w:before="360"/>
      </w:pPr>
      <w:r>
        <w:t>Key responsibilities</w:t>
      </w:r>
    </w:p>
    <w:p w14:paraId="4B0138F9" w14:textId="77777777" w:rsidR="00472790" w:rsidRPr="00472790" w:rsidRDefault="00472790" w:rsidP="00472790">
      <w:pPr>
        <w:pStyle w:val="Bullet1"/>
        <w:numPr>
          <w:ilvl w:val="0"/>
          <w:numId w:val="2"/>
        </w:numPr>
        <w:tabs>
          <w:tab w:val="clear" w:pos="454"/>
        </w:tabs>
        <w:spacing w:before="60" w:after="60"/>
      </w:pPr>
      <w:r w:rsidRPr="00472790">
        <w:t>Lead innovative and evidence-informed workforce development initiatives ensuring alignment with disability rights, safeguarding principles, and regulatory obligations.</w:t>
      </w:r>
    </w:p>
    <w:p w14:paraId="08F37736" w14:textId="77777777" w:rsidR="00472790" w:rsidRPr="00472790" w:rsidRDefault="00472790" w:rsidP="00472790">
      <w:pPr>
        <w:pStyle w:val="Bullet1"/>
        <w:numPr>
          <w:ilvl w:val="0"/>
          <w:numId w:val="2"/>
        </w:numPr>
        <w:tabs>
          <w:tab w:val="clear" w:pos="454"/>
        </w:tabs>
        <w:spacing w:before="60" w:after="60"/>
      </w:pPr>
      <w:r w:rsidRPr="00472790">
        <w:t>Provide strategic advice on sector workforce capacity, career pathways, skills development, and training needs.</w:t>
      </w:r>
    </w:p>
    <w:p w14:paraId="7F31026B" w14:textId="77777777" w:rsidR="00472790" w:rsidRPr="00472790" w:rsidRDefault="00472790" w:rsidP="00472790">
      <w:pPr>
        <w:pStyle w:val="Bullet1"/>
        <w:numPr>
          <w:ilvl w:val="0"/>
          <w:numId w:val="2"/>
        </w:numPr>
        <w:tabs>
          <w:tab w:val="clear" w:pos="454"/>
        </w:tabs>
        <w:spacing w:before="60" w:after="60"/>
      </w:pPr>
      <w:r w:rsidRPr="00472790">
        <w:t>Oversee complex and high-risk workforce issues, providing expert advice and early resolution strategies.</w:t>
      </w:r>
    </w:p>
    <w:p w14:paraId="1636BEBB" w14:textId="77777777" w:rsidR="00472790" w:rsidRPr="00472790" w:rsidRDefault="00472790" w:rsidP="00472790">
      <w:pPr>
        <w:pStyle w:val="Bullet1"/>
        <w:numPr>
          <w:ilvl w:val="0"/>
          <w:numId w:val="2"/>
        </w:numPr>
        <w:tabs>
          <w:tab w:val="clear" w:pos="454"/>
        </w:tabs>
        <w:spacing w:before="60" w:after="60"/>
      </w:pPr>
      <w:r w:rsidRPr="00472790">
        <w:t>Lead the development and implementation of workforce development strategies and frameworks to address system and practice gaps.</w:t>
      </w:r>
    </w:p>
    <w:p w14:paraId="4D3FC926" w14:textId="77777777" w:rsidR="00472790" w:rsidRPr="00472790" w:rsidRDefault="00472790" w:rsidP="00472790">
      <w:pPr>
        <w:pStyle w:val="Bullet1"/>
        <w:numPr>
          <w:ilvl w:val="0"/>
          <w:numId w:val="2"/>
        </w:numPr>
        <w:tabs>
          <w:tab w:val="clear" w:pos="454"/>
        </w:tabs>
        <w:spacing w:before="60" w:after="60"/>
      </w:pPr>
      <w:r w:rsidRPr="00472790">
        <w:t>Lead sector workforce planning and support cross-agency efforts to strengthen workforce sustainability.</w:t>
      </w:r>
    </w:p>
    <w:p w14:paraId="2314A002" w14:textId="77777777" w:rsidR="00472790" w:rsidRPr="00472790" w:rsidRDefault="00472790" w:rsidP="00472790">
      <w:pPr>
        <w:pStyle w:val="Bullet1"/>
        <w:numPr>
          <w:ilvl w:val="0"/>
          <w:numId w:val="2"/>
        </w:numPr>
        <w:tabs>
          <w:tab w:val="clear" w:pos="454"/>
        </w:tabs>
        <w:spacing w:before="60" w:after="60"/>
      </w:pPr>
      <w:r w:rsidRPr="00472790">
        <w:t>Build and maintain trusted relationships with providers, sector partners, training institutes, disabled people, and whānau to design and implement meaningful workforce initiatives.</w:t>
      </w:r>
    </w:p>
    <w:p w14:paraId="694B2119" w14:textId="77777777" w:rsidR="00472790" w:rsidRPr="00472790" w:rsidRDefault="00472790" w:rsidP="00472790">
      <w:pPr>
        <w:pStyle w:val="Bullet1"/>
        <w:numPr>
          <w:ilvl w:val="0"/>
          <w:numId w:val="2"/>
        </w:numPr>
        <w:tabs>
          <w:tab w:val="clear" w:pos="454"/>
        </w:tabs>
        <w:spacing w:before="60" w:after="60"/>
      </w:pPr>
      <w:r w:rsidRPr="00472790">
        <w:t>Translate policy, standards, and strategic priorities into operational workforce development solutions and tools.</w:t>
      </w:r>
    </w:p>
    <w:p w14:paraId="0241BB04" w14:textId="77777777" w:rsidR="00472790" w:rsidRPr="00472790" w:rsidRDefault="00472790" w:rsidP="00472790">
      <w:pPr>
        <w:pStyle w:val="Bullet1"/>
        <w:numPr>
          <w:ilvl w:val="0"/>
          <w:numId w:val="2"/>
        </w:numPr>
        <w:tabs>
          <w:tab w:val="clear" w:pos="454"/>
        </w:tabs>
        <w:spacing w:before="60" w:after="60"/>
      </w:pPr>
      <w:r w:rsidRPr="00472790">
        <w:t>Identify workforce trends, challenges, and opportunities through data analysis, sector feedback, and best practice review.</w:t>
      </w:r>
    </w:p>
    <w:p w14:paraId="2EB03064" w14:textId="77777777" w:rsidR="00472790" w:rsidRPr="00472790" w:rsidRDefault="00472790" w:rsidP="00472790">
      <w:pPr>
        <w:pStyle w:val="Bullet1"/>
        <w:numPr>
          <w:ilvl w:val="0"/>
          <w:numId w:val="2"/>
        </w:numPr>
        <w:tabs>
          <w:tab w:val="clear" w:pos="454"/>
        </w:tabs>
        <w:spacing w:before="60" w:after="60"/>
      </w:pPr>
      <w:r w:rsidRPr="00472790">
        <w:t xml:space="preserve">Provide thought leadership in engagement, change management, and </w:t>
      </w:r>
      <w:proofErr w:type="spellStart"/>
      <w:r w:rsidRPr="00472790">
        <w:t>organisational</w:t>
      </w:r>
      <w:proofErr w:type="spellEnd"/>
      <w:r w:rsidRPr="00472790">
        <w:t xml:space="preserve"> learning for workforce development.</w:t>
      </w:r>
    </w:p>
    <w:p w14:paraId="383D3F0D" w14:textId="77777777" w:rsidR="00472790" w:rsidRPr="00472790" w:rsidRDefault="00472790" w:rsidP="00472790">
      <w:pPr>
        <w:pStyle w:val="Bullet1"/>
        <w:numPr>
          <w:ilvl w:val="0"/>
          <w:numId w:val="2"/>
        </w:numPr>
        <w:tabs>
          <w:tab w:val="clear" w:pos="454"/>
        </w:tabs>
        <w:spacing w:before="60" w:after="60"/>
      </w:pPr>
      <w:r w:rsidRPr="00472790">
        <w:t>Present detailed reports and recommendations to senior management on sector workforce development, informing strategic decisions.</w:t>
      </w:r>
    </w:p>
    <w:p w14:paraId="20A8B496" w14:textId="77777777" w:rsidR="00472790" w:rsidRPr="00472790" w:rsidRDefault="00472790" w:rsidP="00472790">
      <w:pPr>
        <w:pStyle w:val="Bullet1"/>
        <w:numPr>
          <w:ilvl w:val="0"/>
          <w:numId w:val="2"/>
        </w:numPr>
        <w:tabs>
          <w:tab w:val="clear" w:pos="454"/>
        </w:tabs>
        <w:spacing w:before="60" w:after="60"/>
      </w:pPr>
      <w:r w:rsidRPr="00472790">
        <w:lastRenderedPageBreak/>
        <w:t>Mentor and support staff and stakeholders to strengthen workforce development capability.</w:t>
      </w:r>
    </w:p>
    <w:p w14:paraId="03249053" w14:textId="77777777" w:rsidR="00472790" w:rsidRPr="00472790" w:rsidRDefault="00472790" w:rsidP="00472790">
      <w:pPr>
        <w:pStyle w:val="Bullet1"/>
        <w:numPr>
          <w:ilvl w:val="0"/>
          <w:numId w:val="2"/>
        </w:numPr>
        <w:tabs>
          <w:tab w:val="clear" w:pos="454"/>
        </w:tabs>
        <w:spacing w:before="60" w:after="60"/>
      </w:pPr>
      <w:r w:rsidRPr="00472790">
        <w:t>Promote a culture of openness, accountability, and continuous improvement in workforce practices.</w:t>
      </w:r>
    </w:p>
    <w:p w14:paraId="2CC16B9D" w14:textId="77777777" w:rsidR="00472790" w:rsidRPr="00472790" w:rsidRDefault="00472790" w:rsidP="00472790">
      <w:pPr>
        <w:pStyle w:val="Bullet1"/>
        <w:numPr>
          <w:ilvl w:val="0"/>
          <w:numId w:val="2"/>
        </w:numPr>
        <w:tabs>
          <w:tab w:val="clear" w:pos="454"/>
        </w:tabs>
        <w:spacing w:before="60" w:after="60"/>
      </w:pPr>
      <w:r w:rsidRPr="00472790">
        <w:t xml:space="preserve">Represent the </w:t>
      </w:r>
      <w:proofErr w:type="spellStart"/>
      <w:r w:rsidRPr="00472790">
        <w:t>organisation</w:t>
      </w:r>
      <w:proofErr w:type="spellEnd"/>
      <w:r w:rsidRPr="00472790">
        <w:t xml:space="preserve"> in cross-agency workforce forums and lead sector alignment with workforce development principles.</w:t>
      </w:r>
    </w:p>
    <w:p w14:paraId="134A2701" w14:textId="77777777" w:rsidR="00472790" w:rsidRPr="00472790" w:rsidRDefault="00472790" w:rsidP="00472790">
      <w:pPr>
        <w:pStyle w:val="Bullet1"/>
        <w:numPr>
          <w:ilvl w:val="0"/>
          <w:numId w:val="2"/>
        </w:numPr>
        <w:tabs>
          <w:tab w:val="clear" w:pos="454"/>
        </w:tabs>
        <w:spacing w:before="60" w:after="60"/>
      </w:pPr>
      <w:r w:rsidRPr="00472790">
        <w:t>Implement best-practice engagement, communication, and feedback channels to ensure workforce voices are included.</w:t>
      </w:r>
    </w:p>
    <w:p w14:paraId="1EC707FD" w14:textId="77777777" w:rsidR="00472790" w:rsidRPr="00472790" w:rsidRDefault="00472790" w:rsidP="00472790">
      <w:pPr>
        <w:pStyle w:val="Bullet1"/>
        <w:numPr>
          <w:ilvl w:val="0"/>
          <w:numId w:val="2"/>
        </w:numPr>
        <w:tabs>
          <w:tab w:val="clear" w:pos="454"/>
        </w:tabs>
        <w:spacing w:before="60" w:after="60"/>
      </w:pPr>
      <w:r w:rsidRPr="00472790">
        <w:t>Monitor and evaluate the impact of workforce initiatives on sector capability and service quality.</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1F800F6B" w:rsidR="0080061F" w:rsidRDefault="0080061F" w:rsidP="00086206">
      <w:pPr>
        <w:pStyle w:val="Bullet1"/>
        <w:numPr>
          <w:ilvl w:val="0"/>
          <w:numId w:val="2"/>
        </w:numPr>
        <w:tabs>
          <w:tab w:val="clear" w:pos="454"/>
        </w:tabs>
        <w:spacing w:before="60" w:after="60"/>
      </w:pPr>
      <w:r w:rsidRPr="00B27E44">
        <w:t xml:space="preserve">Embedding Te Ao Māori (te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2344745B"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7A4FA77B" w14:textId="77777777" w:rsidR="00A11330" w:rsidRPr="00A11330" w:rsidRDefault="00A11330" w:rsidP="00A11330">
      <w:pPr>
        <w:numPr>
          <w:ilvl w:val="0"/>
          <w:numId w:val="7"/>
        </w:numPr>
        <w:spacing w:before="60" w:after="60"/>
        <w:ind w:left="425" w:hanging="425"/>
        <w:contextualSpacing/>
      </w:pPr>
      <w:r w:rsidRPr="00A11330">
        <w:t>Relevant tertiary qualification and/or equivalent experience.</w:t>
      </w:r>
    </w:p>
    <w:p w14:paraId="5CD90B33" w14:textId="77777777" w:rsidR="00A11330" w:rsidRPr="00A11330" w:rsidRDefault="00A11330" w:rsidP="00A11330">
      <w:pPr>
        <w:numPr>
          <w:ilvl w:val="0"/>
          <w:numId w:val="7"/>
        </w:numPr>
        <w:spacing w:before="60" w:after="60"/>
        <w:ind w:left="425" w:hanging="425"/>
        <w:contextualSpacing/>
      </w:pPr>
      <w:r w:rsidRPr="00A11330">
        <w:t>Highly skilled in systems thinking, leadership, workforce analysis and workforce planning.</w:t>
      </w:r>
    </w:p>
    <w:p w14:paraId="0D8F8490" w14:textId="77777777" w:rsidR="00A11330" w:rsidRPr="00A11330" w:rsidRDefault="00A11330" w:rsidP="00A11330">
      <w:pPr>
        <w:numPr>
          <w:ilvl w:val="0"/>
          <w:numId w:val="7"/>
        </w:numPr>
        <w:spacing w:before="60" w:after="60"/>
        <w:ind w:left="425" w:hanging="425"/>
        <w:contextualSpacing/>
      </w:pPr>
      <w:r w:rsidRPr="00A11330">
        <w:t>Demonstrated ability to influence, lead, and enable behaviour change across the sector through workforce initiatives.</w:t>
      </w:r>
    </w:p>
    <w:p w14:paraId="55DD4467" w14:textId="77777777" w:rsidR="00A11330" w:rsidRPr="00A11330" w:rsidRDefault="00A11330" w:rsidP="00A11330">
      <w:pPr>
        <w:numPr>
          <w:ilvl w:val="0"/>
          <w:numId w:val="7"/>
        </w:numPr>
        <w:spacing w:before="60" w:after="60"/>
        <w:ind w:left="425" w:hanging="425"/>
        <w:contextualSpacing/>
      </w:pPr>
      <w:r w:rsidRPr="00A11330">
        <w:t>Deep knowledge of sector workforce development methodologies, best practice frameworks, and training requirements, particularly in health and disability sectors.</w:t>
      </w:r>
    </w:p>
    <w:p w14:paraId="2496172F" w14:textId="77777777" w:rsidR="00A11330" w:rsidRPr="00A11330" w:rsidRDefault="00A11330" w:rsidP="00A11330">
      <w:pPr>
        <w:numPr>
          <w:ilvl w:val="0"/>
          <w:numId w:val="7"/>
        </w:numPr>
        <w:spacing w:before="60" w:after="60"/>
        <w:ind w:left="425" w:hanging="425"/>
        <w:contextualSpacing/>
      </w:pPr>
      <w:r w:rsidRPr="00A11330">
        <w:t>Significant experience in project management and change management for workforce improvement.</w:t>
      </w:r>
    </w:p>
    <w:p w14:paraId="2D0431E7" w14:textId="77777777" w:rsidR="00A11330" w:rsidRPr="00A11330" w:rsidRDefault="00A11330" w:rsidP="00A11330">
      <w:pPr>
        <w:numPr>
          <w:ilvl w:val="0"/>
          <w:numId w:val="7"/>
        </w:numPr>
        <w:spacing w:before="60" w:after="60"/>
        <w:ind w:left="425" w:hanging="425"/>
        <w:contextualSpacing/>
      </w:pPr>
      <w:r w:rsidRPr="00A11330">
        <w:t>Capable in data analysis and performance measurement to monitor workforce development effectiveness.</w:t>
      </w:r>
    </w:p>
    <w:p w14:paraId="14FB3DDE" w14:textId="77777777" w:rsidR="00A11330" w:rsidRPr="00A11330" w:rsidRDefault="00A11330" w:rsidP="00A11330">
      <w:pPr>
        <w:numPr>
          <w:ilvl w:val="0"/>
          <w:numId w:val="7"/>
        </w:numPr>
        <w:spacing w:before="60" w:after="60"/>
        <w:ind w:left="425" w:hanging="425"/>
        <w:contextualSpacing/>
      </w:pPr>
      <w:r w:rsidRPr="00A11330">
        <w:t>Skilled stakeholder engagement, including developing trust with provider networks, workforce stakeholders, and professional bodies.</w:t>
      </w:r>
    </w:p>
    <w:p w14:paraId="0581240D" w14:textId="77777777" w:rsidR="00A11330" w:rsidRPr="00A11330" w:rsidRDefault="00A11330" w:rsidP="00A11330">
      <w:pPr>
        <w:numPr>
          <w:ilvl w:val="0"/>
          <w:numId w:val="7"/>
        </w:numPr>
        <w:spacing w:before="60" w:after="60"/>
        <w:ind w:left="425" w:hanging="425"/>
        <w:contextualSpacing/>
      </w:pPr>
      <w:r w:rsidRPr="00A11330">
        <w:t>Knowledge of legislative requirements affecting the workforce, MSD, and DSS operations.</w:t>
      </w:r>
    </w:p>
    <w:p w14:paraId="4650B541" w14:textId="77777777" w:rsidR="00A11330" w:rsidRPr="00A11330" w:rsidRDefault="00A11330" w:rsidP="00A11330">
      <w:pPr>
        <w:numPr>
          <w:ilvl w:val="0"/>
          <w:numId w:val="7"/>
        </w:numPr>
        <w:spacing w:before="60" w:after="60"/>
        <w:ind w:left="425" w:hanging="425"/>
        <w:contextualSpacing/>
      </w:pPr>
      <w:r w:rsidRPr="00A11330">
        <w:t>Strong risk management capacity for workforce strategy, escalation, and issue resolution.</w:t>
      </w:r>
    </w:p>
    <w:p w14:paraId="214650BD" w14:textId="77777777" w:rsidR="00A11330" w:rsidRPr="00A11330" w:rsidRDefault="00A11330" w:rsidP="00A11330">
      <w:pPr>
        <w:numPr>
          <w:ilvl w:val="0"/>
          <w:numId w:val="7"/>
        </w:numPr>
        <w:spacing w:before="60" w:after="60"/>
        <w:ind w:left="425" w:hanging="425"/>
        <w:contextualSpacing/>
      </w:pPr>
      <w:r w:rsidRPr="00A11330">
        <w:lastRenderedPageBreak/>
        <w:t>Able to represent the team/organisation effectively in workforce and sector forums.</w:t>
      </w:r>
    </w:p>
    <w:p w14:paraId="21941923" w14:textId="77777777" w:rsidR="00A11330" w:rsidRPr="00A11330" w:rsidRDefault="00A11330" w:rsidP="00A11330">
      <w:pPr>
        <w:numPr>
          <w:ilvl w:val="0"/>
          <w:numId w:val="7"/>
        </w:numPr>
        <w:spacing w:before="60" w:after="60"/>
        <w:ind w:left="425" w:hanging="425"/>
        <w:contextualSpacing/>
      </w:pPr>
      <w:r w:rsidRPr="00A11330">
        <w:t>Comprehensive understanding of New Zealand’s disability system and its workforce.</w:t>
      </w:r>
    </w:p>
    <w:p w14:paraId="49950937" w14:textId="77777777" w:rsidR="00A11330" w:rsidRPr="00A11330" w:rsidRDefault="00A11330" w:rsidP="00A11330">
      <w:pPr>
        <w:numPr>
          <w:ilvl w:val="0"/>
          <w:numId w:val="7"/>
        </w:numPr>
        <w:spacing w:before="60" w:after="60"/>
        <w:ind w:left="425" w:hanging="425"/>
        <w:contextualSpacing/>
      </w:pPr>
      <w:r w:rsidRPr="00A11330">
        <w:t xml:space="preserve">Understanding of Te </w:t>
      </w:r>
      <w:proofErr w:type="spellStart"/>
      <w:r w:rsidRPr="00A11330">
        <w:t>Tiriti</w:t>
      </w:r>
      <w:proofErr w:type="spellEnd"/>
      <w:r w:rsidRPr="00A11330">
        <w:t xml:space="preserve"> o Waitangi and partnership implications for workforce development.</w:t>
      </w:r>
    </w:p>
    <w:p w14:paraId="758F50FA" w14:textId="77777777" w:rsidR="00A11330" w:rsidRPr="00A11330" w:rsidRDefault="00A11330" w:rsidP="00A11330">
      <w:pPr>
        <w:numPr>
          <w:ilvl w:val="0"/>
          <w:numId w:val="7"/>
        </w:numPr>
        <w:spacing w:before="60" w:after="60"/>
        <w:ind w:left="425" w:hanging="425"/>
        <w:contextualSpacing/>
      </w:pPr>
      <w:r w:rsidRPr="00A11330">
        <w:t>Strong ability to foster high-performing, inclusive, and learning-oriented workforce culture.</w:t>
      </w:r>
    </w:p>
    <w:p w14:paraId="16228A66" w14:textId="77777777" w:rsidR="00A11330" w:rsidRPr="00A11330" w:rsidRDefault="00A11330" w:rsidP="00A11330">
      <w:pPr>
        <w:numPr>
          <w:ilvl w:val="0"/>
          <w:numId w:val="7"/>
        </w:numPr>
        <w:spacing w:before="60" w:after="60"/>
        <w:ind w:left="425" w:hanging="425"/>
        <w:contextualSpacing/>
      </w:pPr>
      <w:r w:rsidRPr="00A11330">
        <w:t>Welcomes diversity and supports inclusive approaches to workforce planning and engagement.</w:t>
      </w:r>
    </w:p>
    <w:p w14:paraId="134BA960" w14:textId="77777777" w:rsidR="0080061F" w:rsidRDefault="0080061F" w:rsidP="0055724C">
      <w:pPr>
        <w:pStyle w:val="Heading2"/>
        <w:spacing w:before="360"/>
      </w:pPr>
      <w:r w:rsidRPr="00B27E44">
        <w:t>Attributes</w:t>
      </w:r>
    </w:p>
    <w:p w14:paraId="02700A00" w14:textId="5AE6A371"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Strong critical thinking, with an ability to challenge the status quo, while maintaining empathy and impartiality.</w:t>
      </w:r>
    </w:p>
    <w:p w14:paraId="1F3C4525"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Highly skilled in inquiry, investigation and resolution of issues including complaints, and critical incidents with a view to driving improved practice and service delivery.</w:t>
      </w:r>
    </w:p>
    <w:p w14:paraId="5CB3C34A"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t>High level of o</w:t>
      </w:r>
      <w:r w:rsidRPr="00A015A9">
        <w:rPr>
          <w:rFonts w:eastAsiaTheme="minorEastAsia"/>
        </w:rPr>
        <w:t>rganisational and environmental awareness.</w:t>
      </w:r>
    </w:p>
    <w:p w14:paraId="01C325C6"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 xml:space="preserve">Exercises sound judgement and </w:t>
      </w:r>
      <w:r w:rsidRPr="00A015A9">
        <w:t xml:space="preserve">is </w:t>
      </w:r>
      <w:r w:rsidRPr="00A015A9">
        <w:rPr>
          <w:rFonts w:eastAsiaTheme="minorEastAsia"/>
        </w:rPr>
        <w:t>political s</w:t>
      </w:r>
      <w:r w:rsidRPr="00A015A9">
        <w:t>avvy.</w:t>
      </w:r>
    </w:p>
    <w:p w14:paraId="368CD19B" w14:textId="77777777" w:rsidR="00DD27FF" w:rsidRPr="00A015A9" w:rsidRDefault="00DD27FF" w:rsidP="00DD27FF">
      <w:pPr>
        <w:numPr>
          <w:ilvl w:val="0"/>
          <w:numId w:val="7"/>
        </w:numPr>
        <w:spacing w:before="60" w:after="60" w:line="312" w:lineRule="auto"/>
        <w:ind w:left="425" w:hanging="425"/>
        <w:contextualSpacing/>
      </w:pPr>
      <w:r w:rsidRPr="00A015A9">
        <w:t xml:space="preserve">Excellent research, numerical, </w:t>
      </w:r>
      <w:proofErr w:type="gramStart"/>
      <w:r w:rsidRPr="00A015A9">
        <w:t>planning</w:t>
      </w:r>
      <w:proofErr w:type="gramEnd"/>
      <w:r w:rsidRPr="00A015A9">
        <w:t xml:space="preserve"> and organisational skills</w:t>
      </w:r>
    </w:p>
    <w:p w14:paraId="5351F563"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t>Ability to think strategically with a view to future requirements.</w:t>
      </w:r>
    </w:p>
    <w:p w14:paraId="0A3FABCA"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t>Highly effective</w:t>
      </w:r>
      <w:r w:rsidRPr="00A015A9">
        <w:rPr>
          <w:rFonts w:eastAsiaTheme="minorEastAsia"/>
        </w:rPr>
        <w:t xml:space="preserve"> communication skills, both written and oral</w:t>
      </w:r>
      <w:r w:rsidRPr="00A015A9">
        <w:t xml:space="preserve"> with exceptional ability to translate technical information into information suited to diverse audiences.</w:t>
      </w:r>
      <w:r w:rsidRPr="00A015A9">
        <w:rPr>
          <w:rFonts w:eastAsiaTheme="minorEastAsia"/>
        </w:rPr>
        <w:t xml:space="preserve"> </w:t>
      </w:r>
    </w:p>
    <w:p w14:paraId="47AE092C"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 xml:space="preserve">Flexible, </w:t>
      </w:r>
      <w:proofErr w:type="gramStart"/>
      <w:r w:rsidRPr="00A015A9">
        <w:rPr>
          <w:rFonts w:eastAsiaTheme="minorEastAsia"/>
        </w:rPr>
        <w:t>adaptable</w:t>
      </w:r>
      <w:proofErr w:type="gramEnd"/>
      <w:r w:rsidRPr="00A015A9">
        <w:rPr>
          <w:rFonts w:eastAsiaTheme="minorEastAsia"/>
        </w:rPr>
        <w:t xml:space="preserve"> and pragmatic</w:t>
      </w:r>
    </w:p>
    <w:p w14:paraId="7AA2BDF0"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Strong person-centred focus</w:t>
      </w:r>
    </w:p>
    <w:p w14:paraId="505DA20A" w14:textId="77777777" w:rsidR="00DD27FF" w:rsidRPr="00A015A9" w:rsidRDefault="00DD27FF" w:rsidP="00DD27FF">
      <w:pPr>
        <w:numPr>
          <w:ilvl w:val="0"/>
          <w:numId w:val="7"/>
        </w:numPr>
        <w:spacing w:before="60" w:after="60" w:line="312" w:lineRule="auto"/>
        <w:ind w:left="425" w:hanging="425"/>
        <w:contextualSpacing/>
        <w:rPr>
          <w:rFonts w:eastAsiaTheme="minorEastAsia"/>
        </w:rPr>
      </w:pPr>
      <w:r w:rsidRPr="00A015A9">
        <w:rPr>
          <w:rFonts w:eastAsiaTheme="minorEastAsia"/>
        </w:rPr>
        <w:t>Establishes a high-performing culture and learning environment.</w:t>
      </w:r>
    </w:p>
    <w:p w14:paraId="38AE6436" w14:textId="4105B65F" w:rsidR="009B0E36" w:rsidRPr="00A015A9" w:rsidRDefault="00DD27FF" w:rsidP="00A015A9">
      <w:pPr>
        <w:numPr>
          <w:ilvl w:val="0"/>
          <w:numId w:val="7"/>
        </w:numPr>
        <w:spacing w:before="60" w:after="60" w:line="312" w:lineRule="auto"/>
        <w:ind w:left="425" w:hanging="425"/>
        <w:contextualSpacing/>
        <w:rPr>
          <w:rFonts w:eastAsiaTheme="minorEastAsia"/>
        </w:rPr>
      </w:pPr>
      <w:r w:rsidRPr="00A015A9">
        <w:rPr>
          <w:rFonts w:eastAsiaTheme="minorEastAsia"/>
        </w:rP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659F61E" w14:textId="77777777" w:rsidR="00971E15" w:rsidRDefault="00971E15" w:rsidP="00971E15">
      <w:pPr>
        <w:pStyle w:val="Heading3"/>
      </w:pPr>
      <w:r w:rsidRPr="007B1B6A">
        <w:t>Internal</w:t>
      </w:r>
    </w:p>
    <w:p w14:paraId="3443BC82" w14:textId="77777777" w:rsidR="00971E15" w:rsidRDefault="00971E15" w:rsidP="00971E15">
      <w:pPr>
        <w:pStyle w:val="ListBullet"/>
      </w:pPr>
      <w:bookmarkStart w:id="0" w:name="_Hlk202276371"/>
      <w:r>
        <w:t>Quality Assurance &amp; Improvement team</w:t>
      </w:r>
    </w:p>
    <w:p w14:paraId="25A39860" w14:textId="77777777" w:rsidR="00971E15" w:rsidRDefault="00971E15" w:rsidP="00971E15">
      <w:pPr>
        <w:pStyle w:val="ListBullet"/>
      </w:pPr>
      <w:r>
        <w:t>DSS Leadership team</w:t>
      </w:r>
    </w:p>
    <w:p w14:paraId="101969DA" w14:textId="77777777" w:rsidR="00971E15" w:rsidRDefault="00971E15" w:rsidP="00971E15">
      <w:pPr>
        <w:pStyle w:val="ListBullet"/>
      </w:pPr>
      <w:r>
        <w:t xml:space="preserve">DSS clinical leads </w:t>
      </w:r>
    </w:p>
    <w:p w14:paraId="39FE94E8" w14:textId="77777777" w:rsidR="00971E15" w:rsidRDefault="00971E15" w:rsidP="00971E15">
      <w:pPr>
        <w:pStyle w:val="ListBullet"/>
      </w:pPr>
      <w:r>
        <w:t>DSS Operational Delivery Team</w:t>
      </w:r>
    </w:p>
    <w:p w14:paraId="76A35169" w14:textId="77777777" w:rsidR="00971E15" w:rsidRDefault="00971E15" w:rsidP="00971E15">
      <w:pPr>
        <w:pStyle w:val="ListBullet"/>
      </w:pPr>
      <w:r>
        <w:t xml:space="preserve">Other </w:t>
      </w:r>
      <w:r w:rsidRPr="00D8426C">
        <w:t xml:space="preserve">DSS </w:t>
      </w:r>
      <w:r>
        <w:t>and MSD business groups</w:t>
      </w:r>
    </w:p>
    <w:p w14:paraId="72770DC5" w14:textId="77777777" w:rsidR="00971E15" w:rsidRDefault="00971E15" w:rsidP="00971E15">
      <w:pPr>
        <w:pStyle w:val="ListBullet"/>
      </w:pPr>
      <w:r>
        <w:t>Counterparts and staff across MSD and DSS</w:t>
      </w:r>
    </w:p>
    <w:bookmarkEnd w:id="0"/>
    <w:p w14:paraId="5C583CAB" w14:textId="77777777" w:rsidR="00971E15" w:rsidRPr="00F72109" w:rsidRDefault="00971E15" w:rsidP="00971E15">
      <w:pPr>
        <w:pStyle w:val="Heading3"/>
      </w:pPr>
      <w:r w:rsidRPr="00F72109">
        <w:t xml:space="preserve">External </w:t>
      </w:r>
    </w:p>
    <w:p w14:paraId="401C60EF" w14:textId="77777777" w:rsidR="00971E15" w:rsidRDefault="00971E15" w:rsidP="00971E15">
      <w:pPr>
        <w:pStyle w:val="ListBullet"/>
      </w:pPr>
      <w:bookmarkStart w:id="1" w:name="_Hlk202276383"/>
      <w:r>
        <w:t>Disability Support Service funded providers</w:t>
      </w:r>
    </w:p>
    <w:p w14:paraId="1F3D01AA" w14:textId="77777777" w:rsidR="00971E15" w:rsidRDefault="00971E15" w:rsidP="00971E15">
      <w:pPr>
        <w:pStyle w:val="ListBullet"/>
      </w:pPr>
      <w:r>
        <w:t xml:space="preserve">Contracted providers delivering quality assurance and improvement activities for </w:t>
      </w:r>
      <w:proofErr w:type="gramStart"/>
      <w:r>
        <w:t>DSS</w:t>
      </w:r>
      <w:proofErr w:type="gramEnd"/>
    </w:p>
    <w:p w14:paraId="02759268" w14:textId="77777777" w:rsidR="00971E15" w:rsidRDefault="00971E15" w:rsidP="00971E15">
      <w:pPr>
        <w:pStyle w:val="ListBullet"/>
      </w:pPr>
      <w:r>
        <w:t xml:space="preserve">DSS facilitated Quality Forums </w:t>
      </w:r>
    </w:p>
    <w:p w14:paraId="737E435F" w14:textId="77777777" w:rsidR="00971E15" w:rsidRDefault="00971E15" w:rsidP="00971E15">
      <w:pPr>
        <w:pStyle w:val="ListBullet"/>
      </w:pPr>
      <w:r>
        <w:t>New Zealand Disability Support Network</w:t>
      </w:r>
    </w:p>
    <w:p w14:paraId="4DEB7811" w14:textId="77777777" w:rsidR="00971E15" w:rsidRDefault="00971E15" w:rsidP="00971E15">
      <w:pPr>
        <w:pStyle w:val="ListBullet"/>
      </w:pPr>
      <w:r>
        <w:t>Office of the Health and Disability Commission</w:t>
      </w:r>
    </w:p>
    <w:p w14:paraId="4AB27CC4" w14:textId="77777777" w:rsidR="00084A03" w:rsidRDefault="00971E15" w:rsidP="00084A03">
      <w:pPr>
        <w:pStyle w:val="ListBullet"/>
      </w:pPr>
      <w:r w:rsidRPr="00D8426C">
        <w:t>Disability community partnership groups</w:t>
      </w:r>
    </w:p>
    <w:bookmarkEnd w:id="1"/>
    <w:p w14:paraId="295816D6" w14:textId="292F51E0" w:rsidR="006650BB" w:rsidRDefault="006650BB" w:rsidP="006650BB">
      <w:pPr>
        <w:pStyle w:val="ListBullet"/>
        <w:rPr>
          <w:szCs w:val="24"/>
          <w:lang w:val="en-NZ"/>
        </w:rPr>
      </w:pPr>
      <w:r>
        <w:t xml:space="preserve">Other government agencies and sector workforce </w:t>
      </w:r>
      <w:r w:rsidR="00C66C60">
        <w:t xml:space="preserve">training and </w:t>
      </w:r>
      <w:r>
        <w:t xml:space="preserve">working </w:t>
      </w:r>
      <w:proofErr w:type="gramStart"/>
      <w:r>
        <w:t>groups</w:t>
      </w:r>
      <w:proofErr w:type="gramEnd"/>
    </w:p>
    <w:p w14:paraId="32FB05B1" w14:textId="303E1700"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78A82DBB" w14:textId="007A7996"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582915">
        <w:t>ly</w:t>
      </w:r>
      <w:r w:rsidR="00142D0F">
        <w:t xml:space="preserve">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C369" w14:textId="77777777" w:rsidR="00393AE7" w:rsidRDefault="00393AE7" w:rsidP="0077711D">
      <w:pPr>
        <w:spacing w:after="0" w:line="240" w:lineRule="auto"/>
      </w:pPr>
      <w:r>
        <w:separator/>
      </w:r>
    </w:p>
  </w:endnote>
  <w:endnote w:type="continuationSeparator" w:id="0">
    <w:p w14:paraId="137D465C" w14:textId="77777777" w:rsidR="00393AE7" w:rsidRDefault="00393AE7" w:rsidP="0077711D">
      <w:pPr>
        <w:spacing w:after="0" w:line="240" w:lineRule="auto"/>
      </w:pPr>
      <w:r>
        <w:continuationSeparator/>
      </w:r>
    </w:p>
  </w:endnote>
  <w:endnote w:type="continuationNotice" w:id="1">
    <w:p w14:paraId="66124D4B" w14:textId="77777777" w:rsidR="00393AE7" w:rsidRDefault="00393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85336A0"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C226D">
      <w:t xml:space="preserve">Principal Advisor </w:t>
    </w:r>
    <w:r w:rsidR="007F4BE3">
      <w:t>Workforce</w:t>
    </w:r>
    <w:r>
      <w:rPr>
        <w:szCs w:val="18"/>
      </w:rPr>
      <w:tab/>
    </w:r>
    <w:sdt>
      <w:sdtPr>
        <w:id w:val="-1382166284"/>
        <w:docPartObj>
          <w:docPartGallery w:val="Page Numbers (Bottom of Page)"/>
          <w:docPartUnique/>
        </w:docPartObj>
      </w:sdtPr>
      <w:sdtEndPr>
        <w:rPr>
          <w:noProof/>
          <w:szCs w:val="18"/>
        </w:rPr>
      </w:sdtEndPr>
      <w:sdtContent>
        <w:r w:rsidR="007F4BE3">
          <w:t xml:space="preserve">                                         </w:t>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889E0CF"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FC226D">
      <w:t>Principal Advisor</w:t>
    </w:r>
    <w:r w:rsidR="00A44A9E">
      <w:t xml:space="preserve"> </w:t>
    </w:r>
    <w:r w:rsidR="00A10D9A">
      <w:t xml:space="preserve">Workforce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E228" w14:textId="77777777" w:rsidR="00393AE7" w:rsidRDefault="00393AE7" w:rsidP="0077711D">
      <w:pPr>
        <w:spacing w:after="0" w:line="240" w:lineRule="auto"/>
      </w:pPr>
      <w:r>
        <w:separator/>
      </w:r>
    </w:p>
  </w:footnote>
  <w:footnote w:type="continuationSeparator" w:id="0">
    <w:p w14:paraId="11CB2AFF" w14:textId="77777777" w:rsidR="00393AE7" w:rsidRDefault="00393AE7" w:rsidP="0077711D">
      <w:pPr>
        <w:spacing w:after="0" w:line="240" w:lineRule="auto"/>
      </w:pPr>
      <w:r>
        <w:continuationSeparator/>
      </w:r>
    </w:p>
  </w:footnote>
  <w:footnote w:type="continuationNotice" w:id="1">
    <w:p w14:paraId="58002423" w14:textId="77777777" w:rsidR="00393AE7" w:rsidRDefault="00393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089C2889" w:rsidR="00DB63D9" w:rsidRPr="00C24421" w:rsidRDefault="00DB63D9" w:rsidP="00C24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9FA252C"/>
    <w:multiLevelType w:val="hybridMultilevel"/>
    <w:tmpl w:val="764CB8F2"/>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C21DA2"/>
    <w:multiLevelType w:val="multilevel"/>
    <w:tmpl w:val="2AA0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25BBA"/>
    <w:multiLevelType w:val="multilevel"/>
    <w:tmpl w:val="8044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8"/>
  </w:num>
  <w:num w:numId="7" w16cid:durableId="207687743">
    <w:abstractNumId w:val="5"/>
  </w:num>
  <w:num w:numId="8" w16cid:durableId="1444768195">
    <w:abstractNumId w:val="6"/>
  </w:num>
  <w:num w:numId="9" w16cid:durableId="1139492414">
    <w:abstractNumId w:val="8"/>
  </w:num>
  <w:num w:numId="10" w16cid:durableId="1833377477">
    <w:abstractNumId w:val="1"/>
  </w:num>
  <w:num w:numId="11" w16cid:durableId="13549213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2FE8"/>
    <w:rsid w:val="00005BBE"/>
    <w:rsid w:val="000106D0"/>
    <w:rsid w:val="0003271D"/>
    <w:rsid w:val="00034336"/>
    <w:rsid w:val="000365FD"/>
    <w:rsid w:val="00037CB0"/>
    <w:rsid w:val="0004190E"/>
    <w:rsid w:val="000469A5"/>
    <w:rsid w:val="00067D86"/>
    <w:rsid w:val="000710E0"/>
    <w:rsid w:val="00076805"/>
    <w:rsid w:val="00084A03"/>
    <w:rsid w:val="00086206"/>
    <w:rsid w:val="000964FE"/>
    <w:rsid w:val="000969AE"/>
    <w:rsid w:val="000A4890"/>
    <w:rsid w:val="000A576B"/>
    <w:rsid w:val="000B5FE2"/>
    <w:rsid w:val="000C1F92"/>
    <w:rsid w:val="000D38DC"/>
    <w:rsid w:val="000E0853"/>
    <w:rsid w:val="000E3BB9"/>
    <w:rsid w:val="001026C0"/>
    <w:rsid w:val="00106AED"/>
    <w:rsid w:val="00124AB8"/>
    <w:rsid w:val="00142D0F"/>
    <w:rsid w:val="0014335D"/>
    <w:rsid w:val="001569FF"/>
    <w:rsid w:val="00161D34"/>
    <w:rsid w:val="00176EF0"/>
    <w:rsid w:val="001810B0"/>
    <w:rsid w:val="00183948"/>
    <w:rsid w:val="001B360A"/>
    <w:rsid w:val="001D3744"/>
    <w:rsid w:val="001E65C6"/>
    <w:rsid w:val="001F1FB2"/>
    <w:rsid w:val="00202DDB"/>
    <w:rsid w:val="00213DA6"/>
    <w:rsid w:val="00215ECF"/>
    <w:rsid w:val="00216302"/>
    <w:rsid w:val="002339DB"/>
    <w:rsid w:val="00233BCC"/>
    <w:rsid w:val="00236D2D"/>
    <w:rsid w:val="00245A2B"/>
    <w:rsid w:val="00247C20"/>
    <w:rsid w:val="00252382"/>
    <w:rsid w:val="002974FD"/>
    <w:rsid w:val="002B14F1"/>
    <w:rsid w:val="002B376B"/>
    <w:rsid w:val="002D1C62"/>
    <w:rsid w:val="002D2596"/>
    <w:rsid w:val="002D367B"/>
    <w:rsid w:val="002D469E"/>
    <w:rsid w:val="002F67EC"/>
    <w:rsid w:val="00327384"/>
    <w:rsid w:val="0035421E"/>
    <w:rsid w:val="00354EC2"/>
    <w:rsid w:val="00387FAC"/>
    <w:rsid w:val="00393AE7"/>
    <w:rsid w:val="00397220"/>
    <w:rsid w:val="003B0A38"/>
    <w:rsid w:val="003E2869"/>
    <w:rsid w:val="003E3258"/>
    <w:rsid w:val="003E3722"/>
    <w:rsid w:val="003F320E"/>
    <w:rsid w:val="00415BEC"/>
    <w:rsid w:val="004227ED"/>
    <w:rsid w:val="004230ED"/>
    <w:rsid w:val="00441841"/>
    <w:rsid w:val="0044216E"/>
    <w:rsid w:val="00445BCE"/>
    <w:rsid w:val="00447DD8"/>
    <w:rsid w:val="00454F25"/>
    <w:rsid w:val="00463951"/>
    <w:rsid w:val="004710B8"/>
    <w:rsid w:val="00472790"/>
    <w:rsid w:val="004874DF"/>
    <w:rsid w:val="004939A3"/>
    <w:rsid w:val="004957D3"/>
    <w:rsid w:val="00495E9D"/>
    <w:rsid w:val="004B2D1F"/>
    <w:rsid w:val="004C05AD"/>
    <w:rsid w:val="004D1E30"/>
    <w:rsid w:val="004D5B9B"/>
    <w:rsid w:val="00500292"/>
    <w:rsid w:val="0050246A"/>
    <w:rsid w:val="00533E65"/>
    <w:rsid w:val="00555BC5"/>
    <w:rsid w:val="0055724C"/>
    <w:rsid w:val="0056681E"/>
    <w:rsid w:val="00572AA9"/>
    <w:rsid w:val="00582915"/>
    <w:rsid w:val="00582D1D"/>
    <w:rsid w:val="00595906"/>
    <w:rsid w:val="005A4C95"/>
    <w:rsid w:val="005B11F9"/>
    <w:rsid w:val="005B44A6"/>
    <w:rsid w:val="005C34C8"/>
    <w:rsid w:val="005C65A4"/>
    <w:rsid w:val="005D156A"/>
    <w:rsid w:val="00626D8E"/>
    <w:rsid w:val="00631D73"/>
    <w:rsid w:val="006520FB"/>
    <w:rsid w:val="0065263F"/>
    <w:rsid w:val="006650BB"/>
    <w:rsid w:val="00680BB9"/>
    <w:rsid w:val="00683B13"/>
    <w:rsid w:val="006B19BD"/>
    <w:rsid w:val="006F4BD4"/>
    <w:rsid w:val="00757A3C"/>
    <w:rsid w:val="00763199"/>
    <w:rsid w:val="0077711D"/>
    <w:rsid w:val="007A2919"/>
    <w:rsid w:val="007B201A"/>
    <w:rsid w:val="007C057C"/>
    <w:rsid w:val="007C2143"/>
    <w:rsid w:val="007E7D62"/>
    <w:rsid w:val="007F28E1"/>
    <w:rsid w:val="007F3ACD"/>
    <w:rsid w:val="007F4BE3"/>
    <w:rsid w:val="0080061F"/>
    <w:rsid w:val="0080133F"/>
    <w:rsid w:val="00803002"/>
    <w:rsid w:val="0080498F"/>
    <w:rsid w:val="00843B98"/>
    <w:rsid w:val="00851B59"/>
    <w:rsid w:val="00860654"/>
    <w:rsid w:val="008832B7"/>
    <w:rsid w:val="008A7BB5"/>
    <w:rsid w:val="008C20D5"/>
    <w:rsid w:val="008E649B"/>
    <w:rsid w:val="00903467"/>
    <w:rsid w:val="00906EAA"/>
    <w:rsid w:val="009172FF"/>
    <w:rsid w:val="009361D7"/>
    <w:rsid w:val="00965C35"/>
    <w:rsid w:val="00970DD2"/>
    <w:rsid w:val="00971E15"/>
    <w:rsid w:val="00974305"/>
    <w:rsid w:val="0098124A"/>
    <w:rsid w:val="0099555E"/>
    <w:rsid w:val="009A077C"/>
    <w:rsid w:val="009A07D5"/>
    <w:rsid w:val="009B0E36"/>
    <w:rsid w:val="009D15F1"/>
    <w:rsid w:val="009D2B10"/>
    <w:rsid w:val="009D3289"/>
    <w:rsid w:val="009E7732"/>
    <w:rsid w:val="00A015A9"/>
    <w:rsid w:val="00A10D9A"/>
    <w:rsid w:val="00A11330"/>
    <w:rsid w:val="00A2199C"/>
    <w:rsid w:val="00A43896"/>
    <w:rsid w:val="00A43F21"/>
    <w:rsid w:val="00A44A9E"/>
    <w:rsid w:val="00A6244E"/>
    <w:rsid w:val="00A678E1"/>
    <w:rsid w:val="00AB3190"/>
    <w:rsid w:val="00AB4A83"/>
    <w:rsid w:val="00AF1432"/>
    <w:rsid w:val="00B209F1"/>
    <w:rsid w:val="00B227B0"/>
    <w:rsid w:val="00B407DC"/>
    <w:rsid w:val="00B41635"/>
    <w:rsid w:val="00B42AE0"/>
    <w:rsid w:val="00B52748"/>
    <w:rsid w:val="00B5357A"/>
    <w:rsid w:val="00B65661"/>
    <w:rsid w:val="00B81FA1"/>
    <w:rsid w:val="00B90208"/>
    <w:rsid w:val="00C24421"/>
    <w:rsid w:val="00C503A7"/>
    <w:rsid w:val="00C5215F"/>
    <w:rsid w:val="00C558BE"/>
    <w:rsid w:val="00C65A6E"/>
    <w:rsid w:val="00C66C60"/>
    <w:rsid w:val="00C76F53"/>
    <w:rsid w:val="00CB37F6"/>
    <w:rsid w:val="00CB4A28"/>
    <w:rsid w:val="00CD7DEE"/>
    <w:rsid w:val="00D07BE7"/>
    <w:rsid w:val="00D13675"/>
    <w:rsid w:val="00D14EE2"/>
    <w:rsid w:val="00D34EA0"/>
    <w:rsid w:val="00D637C3"/>
    <w:rsid w:val="00D8777A"/>
    <w:rsid w:val="00DB63D9"/>
    <w:rsid w:val="00DD27FF"/>
    <w:rsid w:val="00DD3676"/>
    <w:rsid w:val="00DD62A5"/>
    <w:rsid w:val="00DD6907"/>
    <w:rsid w:val="00DD7526"/>
    <w:rsid w:val="00DE3537"/>
    <w:rsid w:val="00DF0874"/>
    <w:rsid w:val="00E22E32"/>
    <w:rsid w:val="00E24A9B"/>
    <w:rsid w:val="00E41044"/>
    <w:rsid w:val="00E43B69"/>
    <w:rsid w:val="00E4584F"/>
    <w:rsid w:val="00E671C3"/>
    <w:rsid w:val="00E80996"/>
    <w:rsid w:val="00E90142"/>
    <w:rsid w:val="00E9269E"/>
    <w:rsid w:val="00EE56B1"/>
    <w:rsid w:val="00EF3676"/>
    <w:rsid w:val="00F05841"/>
    <w:rsid w:val="00F06EE8"/>
    <w:rsid w:val="00F071B6"/>
    <w:rsid w:val="00F07349"/>
    <w:rsid w:val="00F113EF"/>
    <w:rsid w:val="00F12474"/>
    <w:rsid w:val="00F126F3"/>
    <w:rsid w:val="00F22AE5"/>
    <w:rsid w:val="00F44E2C"/>
    <w:rsid w:val="00F45B9C"/>
    <w:rsid w:val="00F5603A"/>
    <w:rsid w:val="00F829C0"/>
    <w:rsid w:val="00F829F6"/>
    <w:rsid w:val="00F866F3"/>
    <w:rsid w:val="00FA72F5"/>
    <w:rsid w:val="00FC226D"/>
    <w:rsid w:val="00FD13BE"/>
    <w:rsid w:val="0F50B647"/>
    <w:rsid w:val="1771B75E"/>
    <w:rsid w:val="1C9773DD"/>
    <w:rsid w:val="30B9D1DD"/>
    <w:rsid w:val="3F1036C0"/>
    <w:rsid w:val="6ADEEF1F"/>
    <w:rsid w:val="6CB1881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paragraph" w:customStyle="1" w:styleId="my-0">
    <w:name w:val="my-0"/>
    <w:basedOn w:val="Normal"/>
    <w:rsid w:val="006650BB"/>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7362">
      <w:bodyDiv w:val="1"/>
      <w:marLeft w:val="0"/>
      <w:marRight w:val="0"/>
      <w:marTop w:val="0"/>
      <w:marBottom w:val="0"/>
      <w:divBdr>
        <w:top w:val="none" w:sz="0" w:space="0" w:color="auto"/>
        <w:left w:val="none" w:sz="0" w:space="0" w:color="auto"/>
        <w:bottom w:val="none" w:sz="0" w:space="0" w:color="auto"/>
        <w:right w:val="none" w:sz="0" w:space="0" w:color="auto"/>
      </w:divBdr>
    </w:div>
    <w:div w:id="380440314">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996306984">
      <w:bodyDiv w:val="1"/>
      <w:marLeft w:val="0"/>
      <w:marRight w:val="0"/>
      <w:marTop w:val="0"/>
      <w:marBottom w:val="0"/>
      <w:divBdr>
        <w:top w:val="none" w:sz="0" w:space="0" w:color="auto"/>
        <w:left w:val="none" w:sz="0" w:space="0" w:color="auto"/>
        <w:bottom w:val="none" w:sz="0" w:space="0" w:color="auto"/>
        <w:right w:val="none" w:sz="0" w:space="0" w:color="auto"/>
      </w:divBdr>
    </w:div>
    <w:div w:id="1013453163">
      <w:bodyDiv w:val="1"/>
      <w:marLeft w:val="0"/>
      <w:marRight w:val="0"/>
      <w:marTop w:val="0"/>
      <w:marBottom w:val="0"/>
      <w:divBdr>
        <w:top w:val="none" w:sz="0" w:space="0" w:color="auto"/>
        <w:left w:val="none" w:sz="0" w:space="0" w:color="auto"/>
        <w:bottom w:val="none" w:sz="0" w:space="0" w:color="auto"/>
        <w:right w:val="none" w:sz="0" w:space="0" w:color="auto"/>
      </w:divBdr>
    </w:div>
    <w:div w:id="1015183918">
      <w:bodyDiv w:val="1"/>
      <w:marLeft w:val="0"/>
      <w:marRight w:val="0"/>
      <w:marTop w:val="0"/>
      <w:marBottom w:val="0"/>
      <w:divBdr>
        <w:top w:val="none" w:sz="0" w:space="0" w:color="auto"/>
        <w:left w:val="none" w:sz="0" w:space="0" w:color="auto"/>
        <w:bottom w:val="none" w:sz="0" w:space="0" w:color="auto"/>
        <w:right w:val="none" w:sz="0" w:space="0" w:color="auto"/>
      </w:divBdr>
    </w:div>
    <w:div w:id="1042753308">
      <w:bodyDiv w:val="1"/>
      <w:marLeft w:val="0"/>
      <w:marRight w:val="0"/>
      <w:marTop w:val="0"/>
      <w:marBottom w:val="0"/>
      <w:divBdr>
        <w:top w:val="none" w:sz="0" w:space="0" w:color="auto"/>
        <w:left w:val="none" w:sz="0" w:space="0" w:color="auto"/>
        <w:bottom w:val="none" w:sz="0" w:space="0" w:color="auto"/>
        <w:right w:val="none" w:sz="0" w:space="0" w:color="auto"/>
      </w:divBdr>
    </w:div>
    <w:div w:id="1138381087">
      <w:bodyDiv w:val="1"/>
      <w:marLeft w:val="0"/>
      <w:marRight w:val="0"/>
      <w:marTop w:val="0"/>
      <w:marBottom w:val="0"/>
      <w:divBdr>
        <w:top w:val="none" w:sz="0" w:space="0" w:color="auto"/>
        <w:left w:val="none" w:sz="0" w:space="0" w:color="auto"/>
        <w:bottom w:val="none" w:sz="0" w:space="0" w:color="auto"/>
        <w:right w:val="none" w:sz="0" w:space="0" w:color="auto"/>
      </w:divBdr>
    </w:div>
    <w:div w:id="1140654849">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01935391">
      <w:bodyDiv w:val="1"/>
      <w:marLeft w:val="0"/>
      <w:marRight w:val="0"/>
      <w:marTop w:val="0"/>
      <w:marBottom w:val="0"/>
      <w:divBdr>
        <w:top w:val="none" w:sz="0" w:space="0" w:color="auto"/>
        <w:left w:val="none" w:sz="0" w:space="0" w:color="auto"/>
        <w:bottom w:val="none" w:sz="0" w:space="0" w:color="auto"/>
        <w:right w:val="none" w:sz="0" w:space="0" w:color="auto"/>
      </w:divBdr>
    </w:div>
    <w:div w:id="1244880395">
      <w:bodyDiv w:val="1"/>
      <w:marLeft w:val="0"/>
      <w:marRight w:val="0"/>
      <w:marTop w:val="0"/>
      <w:marBottom w:val="0"/>
      <w:divBdr>
        <w:top w:val="none" w:sz="0" w:space="0" w:color="auto"/>
        <w:left w:val="none" w:sz="0" w:space="0" w:color="auto"/>
        <w:bottom w:val="none" w:sz="0" w:space="0" w:color="auto"/>
        <w:right w:val="none" w:sz="0" w:space="0" w:color="auto"/>
      </w:divBdr>
    </w:div>
    <w:div w:id="1251163546">
      <w:bodyDiv w:val="1"/>
      <w:marLeft w:val="0"/>
      <w:marRight w:val="0"/>
      <w:marTop w:val="0"/>
      <w:marBottom w:val="0"/>
      <w:divBdr>
        <w:top w:val="none" w:sz="0" w:space="0" w:color="auto"/>
        <w:left w:val="none" w:sz="0" w:space="0" w:color="auto"/>
        <w:bottom w:val="none" w:sz="0" w:space="0" w:color="auto"/>
        <w:right w:val="none" w:sz="0" w:space="0" w:color="auto"/>
      </w:divBdr>
    </w:div>
    <w:div w:id="1306930418">
      <w:bodyDiv w:val="1"/>
      <w:marLeft w:val="0"/>
      <w:marRight w:val="0"/>
      <w:marTop w:val="0"/>
      <w:marBottom w:val="0"/>
      <w:divBdr>
        <w:top w:val="none" w:sz="0" w:space="0" w:color="auto"/>
        <w:left w:val="none" w:sz="0" w:space="0" w:color="auto"/>
        <w:bottom w:val="none" w:sz="0" w:space="0" w:color="auto"/>
        <w:right w:val="none" w:sz="0" w:space="0" w:color="auto"/>
      </w:divBdr>
    </w:div>
    <w:div w:id="1314215334">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415709307">
      <w:bodyDiv w:val="1"/>
      <w:marLeft w:val="0"/>
      <w:marRight w:val="0"/>
      <w:marTop w:val="0"/>
      <w:marBottom w:val="0"/>
      <w:divBdr>
        <w:top w:val="none" w:sz="0" w:space="0" w:color="auto"/>
        <w:left w:val="none" w:sz="0" w:space="0" w:color="auto"/>
        <w:bottom w:val="none" w:sz="0" w:space="0" w:color="auto"/>
        <w:right w:val="none" w:sz="0" w:space="0" w:color="auto"/>
      </w:divBdr>
    </w:div>
    <w:div w:id="1521771012">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64396867">
      <w:bodyDiv w:val="1"/>
      <w:marLeft w:val="0"/>
      <w:marRight w:val="0"/>
      <w:marTop w:val="0"/>
      <w:marBottom w:val="0"/>
      <w:divBdr>
        <w:top w:val="none" w:sz="0" w:space="0" w:color="auto"/>
        <w:left w:val="none" w:sz="0" w:space="0" w:color="auto"/>
        <w:bottom w:val="none" w:sz="0" w:space="0" w:color="auto"/>
        <w:right w:val="none" w:sz="0" w:space="0" w:color="auto"/>
      </w:divBdr>
    </w:div>
    <w:div w:id="2005232557">
      <w:bodyDiv w:val="1"/>
      <w:marLeft w:val="0"/>
      <w:marRight w:val="0"/>
      <w:marTop w:val="0"/>
      <w:marBottom w:val="0"/>
      <w:divBdr>
        <w:top w:val="none" w:sz="0" w:space="0" w:color="auto"/>
        <w:left w:val="none" w:sz="0" w:space="0" w:color="auto"/>
        <w:bottom w:val="none" w:sz="0" w:space="0" w:color="auto"/>
        <w:right w:val="none" w:sz="0" w:space="0" w:color="auto"/>
      </w:divBdr>
    </w:div>
    <w:div w:id="2022855142">
      <w:bodyDiv w:val="1"/>
      <w:marLeft w:val="0"/>
      <w:marRight w:val="0"/>
      <w:marTop w:val="0"/>
      <w:marBottom w:val="0"/>
      <w:divBdr>
        <w:top w:val="none" w:sz="0" w:space="0" w:color="auto"/>
        <w:left w:val="none" w:sz="0" w:space="0" w:color="auto"/>
        <w:bottom w:val="none" w:sz="0" w:space="0" w:color="auto"/>
        <w:right w:val="none" w:sz="0" w:space="0" w:color="auto"/>
      </w:divBdr>
    </w:div>
    <w:div w:id="2121144437">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 w:id="2138571355">
      <w:bodyDiv w:val="1"/>
      <w:marLeft w:val="0"/>
      <w:marRight w:val="0"/>
      <w:marTop w:val="0"/>
      <w:marBottom w:val="0"/>
      <w:divBdr>
        <w:top w:val="none" w:sz="0" w:space="0" w:color="auto"/>
        <w:left w:val="none" w:sz="0" w:space="0" w:color="auto"/>
        <w:bottom w:val="none" w:sz="0" w:space="0" w:color="auto"/>
        <w:right w:val="none" w:sz="0" w:space="0" w:color="auto"/>
      </w:divBdr>
      <w:divsChild>
        <w:div w:id="1030910983">
          <w:marLeft w:val="0"/>
          <w:marRight w:val="0"/>
          <w:marTop w:val="0"/>
          <w:marBottom w:val="0"/>
          <w:divBdr>
            <w:top w:val="none" w:sz="0" w:space="0" w:color="auto"/>
            <w:left w:val="none" w:sz="0" w:space="0" w:color="auto"/>
            <w:bottom w:val="none" w:sz="0" w:space="0" w:color="auto"/>
            <w:right w:val="none" w:sz="0" w:space="0" w:color="auto"/>
          </w:divBdr>
        </w:div>
        <w:div w:id="1260141528">
          <w:marLeft w:val="0"/>
          <w:marRight w:val="0"/>
          <w:marTop w:val="0"/>
          <w:marBottom w:val="0"/>
          <w:divBdr>
            <w:top w:val="none" w:sz="0" w:space="0" w:color="auto"/>
            <w:left w:val="none" w:sz="0" w:space="0" w:color="auto"/>
            <w:bottom w:val="none" w:sz="0" w:space="0" w:color="auto"/>
            <w:right w:val="none" w:sz="0" w:space="0" w:color="auto"/>
          </w:divBdr>
        </w:div>
        <w:div w:id="174968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a4208d-6389-4ccf-93db-5bf6e7a6ca4d" xsi:nil="true"/>
    <_dlc_DocId xmlns="f5655c14-143d-4812-9d48-85cb4e9489a4">INFO-1382905582-9524</_dlc_DocId>
    <_dlc_DocIdUrl xmlns="f5655c14-143d-4812-9d48-85cb4e9489a4">
      <Url>https://msdgovtnz.sharepoint.com/sites/COP-People-Group-Change-Practice/_layouts/15/DocIdRedir.aspx?ID=INFO-1382905582-9524</Url>
      <Description>INFO-1382905582-9524</Description>
    </_dlc_DocIdUrl>
    <lcf76f155ced4ddcb4097134ff3c332f xmlns="ea7f3347-cc1f-4827-9798-b3543c6f11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D95105-6F4D-4A0C-9B98-9AE5E316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CCAC7585-9107-4C82-A67D-0503DBA68280}">
  <ds:schemaRefs>
    <ds:schemaRef ds:uri="http://schemas.microsoft.com/office/2006/metadata/properties"/>
    <ds:schemaRef ds:uri="http://schemas.microsoft.com/office/infopath/2007/PartnerControls"/>
    <ds:schemaRef ds:uri="24a4208d-6389-4ccf-93db-5bf6e7a6ca4d"/>
    <ds:schemaRef ds:uri="f5655c14-143d-4812-9d48-85cb4e9489a4"/>
    <ds:schemaRef ds:uri="ea7f3347-cc1f-4827-9798-b3543c6f111f"/>
  </ds:schemaRefs>
</ds:datastoreItem>
</file>

<file path=customXml/itemProps4.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5.xml><?xml version="1.0" encoding="utf-8"?>
<ds:datastoreItem xmlns:ds="http://schemas.openxmlformats.org/officeDocument/2006/customXml" ds:itemID="{53116419-6CF1-4C09-92EC-0AAAA32AE8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2025-09-10T23:37:00Z</dcterms:created>
  <dcterms:modified xsi:type="dcterms:W3CDTF">2025-09-10T23:37:00Z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Topic">
    <vt:lpwstr/>
  </property>
  <property fmtid="{D5CDD505-2E9C-101B-9397-08002B2CF9AE}" pid="14" name="m9723a55395648e4be2eca5940cd18ad">
    <vt:lpwstr/>
  </property>
  <property fmtid="{D5CDD505-2E9C-101B-9397-08002B2CF9AE}" pid="15" name="MediaServiceImageTags">
    <vt:lpwstr/>
  </property>
  <property fmtid="{D5CDD505-2E9C-101B-9397-08002B2CF9AE}" pid="16" name="DocumentType">
    <vt:lpwstr/>
  </property>
  <property fmtid="{D5CDD505-2E9C-101B-9397-08002B2CF9AE}" pid="17" name="b1b07801cc1f48bc97eb71b42ffad3e3">
    <vt:lpwstr/>
  </property>
  <property fmtid="{D5CDD505-2E9C-101B-9397-08002B2CF9AE}" pid="18" name="n3e7d51dc9ed4717829e532813330b6f">
    <vt:lpwstr/>
  </property>
  <property fmtid="{D5CDD505-2E9C-101B-9397-08002B2CF9AE}" pid="19" name="abe53b9722184f3a80529765dd5eb953">
    <vt:lpwstr/>
  </property>
  <property fmtid="{D5CDD505-2E9C-101B-9397-08002B2CF9AE}" pid="20" name="ObjectiveFolderPath">
    <vt:lpwstr/>
  </property>
  <property fmtid="{D5CDD505-2E9C-101B-9397-08002B2CF9AE}" pid="21" name="BCS">
    <vt:lpwstr/>
  </property>
  <property fmtid="{D5CDD505-2E9C-101B-9397-08002B2CF9AE}" pid="22" name="_dlc_DocIdItemGuid">
    <vt:lpwstr>82ec2369-e2cc-413c-805c-1f56f1ce0d66</vt:lpwstr>
  </property>
</Properties>
</file>