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021DE" w14:textId="77777777" w:rsidR="009D7476" w:rsidRDefault="009D7476" w:rsidP="009D7476">
                            <w:pPr>
                              <w:pStyle w:val="pf0"/>
                              <w:rPr>
                                <w:rFonts w:ascii="Arial" w:hAnsi="Arial" w:cs="Arial"/>
                                <w:sz w:val="20"/>
                                <w:szCs w:val="20"/>
                              </w:rPr>
                            </w:pPr>
                            <w:r>
                              <w:rPr>
                                <w:rStyle w:val="cf01"/>
                              </w:rPr>
                              <w:t>Chief Advisor, Economics and Policy</w:t>
                            </w:r>
                          </w:p>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150021DE" w14:textId="77777777" w:rsidR="009D7476" w:rsidRDefault="009D7476" w:rsidP="009D7476">
                      <w:pPr>
                        <w:pStyle w:val="pf0"/>
                        <w:rPr>
                          <w:rFonts w:ascii="Arial" w:hAnsi="Arial" w:cs="Arial"/>
                          <w:sz w:val="20"/>
                          <w:szCs w:val="20"/>
                        </w:rPr>
                      </w:pPr>
                      <w:r>
                        <w:rPr>
                          <w:rStyle w:val="cf01"/>
                        </w:rPr>
                        <w:t>Chief Advisor, Economics and Policy</w:t>
                      </w:r>
                    </w:p>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E2AC9"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782D2142">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2178EEFF" w14:textId="77777777" w:rsidR="004D3EA1" w:rsidRDefault="004D3EA1" w:rsidP="00C1718B">
      <w:pPr>
        <w:pStyle w:val="Heading2"/>
        <w:spacing w:before="120" w:after="0"/>
        <w:rPr>
          <w:iCs w:val="0"/>
          <w:color w:val="FFFFFF" w:themeColor="background1"/>
          <w:kern w:val="32"/>
          <w:sz w:val="36"/>
          <w:szCs w:val="40"/>
        </w:rPr>
      </w:pPr>
      <w:r w:rsidRPr="004D3EA1">
        <w:rPr>
          <w:iCs w:val="0"/>
          <w:color w:val="FFFFFF" w:themeColor="background1"/>
          <w:kern w:val="32"/>
          <w:sz w:val="36"/>
          <w:szCs w:val="40"/>
        </w:rPr>
        <w:t>Director Future Funding Models</w:t>
      </w:r>
    </w:p>
    <w:p w14:paraId="62A5803C" w14:textId="4BC7BF4B" w:rsidR="00190C72" w:rsidRDefault="004D3EA1" w:rsidP="00C1718B">
      <w:pPr>
        <w:pStyle w:val="Heading2"/>
        <w:spacing w:before="120" w:after="0"/>
        <w:rPr>
          <w:iCs w:val="0"/>
          <w:color w:val="FFFFFF" w:themeColor="background1"/>
          <w:kern w:val="32"/>
          <w:sz w:val="36"/>
          <w:szCs w:val="40"/>
          <w:lang w:val="en-NZ"/>
        </w:rPr>
      </w:pPr>
      <w:r>
        <w:rPr>
          <w:iCs w:val="0"/>
          <w:color w:val="FFFFFF" w:themeColor="background1"/>
          <w:kern w:val="32"/>
          <w:sz w:val="36"/>
          <w:szCs w:val="40"/>
          <w:lang w:val="en-NZ"/>
        </w:rPr>
        <w:t>Disability Support Services</w:t>
      </w:r>
    </w:p>
    <w:p w14:paraId="0E99AF74" w14:textId="45FBA995" w:rsidR="000710E0" w:rsidRPr="00233BCC" w:rsidRDefault="000710E0" w:rsidP="00C1718B">
      <w:pPr>
        <w:pStyle w:val="Heading2"/>
        <w:spacing w:before="480"/>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3DA0D"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0169DC98"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r w:rsidR="003D06C4" w:rsidRPr="00C8531A">
        <w:t>partner,</w:t>
      </w:r>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BA5CE"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9529E"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A6C79"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C1718B">
      <w:pPr>
        <w:pStyle w:val="Normal-centred"/>
        <w:ind w:left="0"/>
        <w:jc w:val="both"/>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C1718B">
      <w:pPr>
        <w:jc w:val="both"/>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A16D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37D37"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ABDE9"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48AA9773" w:rsidR="00F071B6" w:rsidRDefault="00F071B6" w:rsidP="00F071B6">
      <w:pPr>
        <w:pStyle w:val="Heading2"/>
        <w:jc w:val="center"/>
        <w:rPr>
          <w:color w:val="auto"/>
          <w:szCs w:val="20"/>
        </w:rPr>
      </w:pPr>
      <w:r w:rsidRPr="00F071B6">
        <w:rPr>
          <w:color w:val="auto"/>
        </w:rPr>
        <w:t>We carry out a broad range of responsibilities and functions including</w:t>
      </w:r>
      <w:r w:rsidR="00C1718B">
        <w:rPr>
          <w:color w:val="auto"/>
        </w:rPr>
        <w:t>:</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41E5CC3B"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70791D38" w14:textId="41060219" w:rsidR="0048294B"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F1FD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3DFC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3E7F2778" w14:textId="3EA33301" w:rsidR="004D3EA1" w:rsidRPr="004D3EA1" w:rsidRDefault="004D3EA1" w:rsidP="004D3EA1">
      <w:pPr>
        <w:pStyle w:val="Heading3"/>
        <w:rPr>
          <w:b w:val="0"/>
          <w:kern w:val="28"/>
          <w:sz w:val="20"/>
          <w:lang w:val="en-US" w:eastAsia="en-US"/>
        </w:rPr>
      </w:pPr>
      <w:bookmarkStart w:id="0" w:name="_Hlk200459126"/>
      <w:r w:rsidRPr="004D3EA1">
        <w:rPr>
          <w:b w:val="0"/>
          <w:kern w:val="28"/>
          <w:sz w:val="20"/>
          <w:lang w:val="en-US" w:eastAsia="en-US"/>
        </w:rPr>
        <w:t xml:space="preserve">The Director Future Funding Models </w:t>
      </w:r>
      <w:bookmarkEnd w:id="0"/>
      <w:r w:rsidRPr="004D3EA1">
        <w:rPr>
          <w:b w:val="0"/>
          <w:kern w:val="28"/>
          <w:sz w:val="20"/>
          <w:lang w:val="en-US" w:eastAsia="en-US"/>
        </w:rPr>
        <w:t xml:space="preserve">is responsible for building the evidence base, </w:t>
      </w:r>
      <w:proofErr w:type="gramStart"/>
      <w:r w:rsidRPr="004D3EA1">
        <w:rPr>
          <w:b w:val="0"/>
          <w:kern w:val="28"/>
          <w:sz w:val="20"/>
          <w:lang w:val="en-US" w:eastAsia="en-US"/>
        </w:rPr>
        <w:t>commissioning</w:t>
      </w:r>
      <w:proofErr w:type="gramEnd"/>
      <w:r w:rsidRPr="004D3EA1">
        <w:rPr>
          <w:b w:val="0"/>
          <w:kern w:val="28"/>
          <w:sz w:val="20"/>
          <w:lang w:val="en-US" w:eastAsia="en-US"/>
        </w:rPr>
        <w:t xml:space="preserve"> and contributing to the design, and ensuring Treasury buy-in, to </w:t>
      </w:r>
      <w:r>
        <w:rPr>
          <w:b w:val="0"/>
          <w:kern w:val="28"/>
          <w:sz w:val="20"/>
          <w:lang w:val="en-US" w:eastAsia="en-US"/>
        </w:rPr>
        <w:t>Disability Support Services</w:t>
      </w:r>
      <w:r w:rsidR="001F7252">
        <w:rPr>
          <w:b w:val="0"/>
          <w:kern w:val="28"/>
          <w:sz w:val="20"/>
          <w:lang w:val="en-US" w:eastAsia="en-US"/>
        </w:rPr>
        <w:t>’</w:t>
      </w:r>
      <w:r>
        <w:rPr>
          <w:b w:val="0"/>
          <w:kern w:val="28"/>
          <w:sz w:val="20"/>
          <w:lang w:val="en-US" w:eastAsia="en-US"/>
        </w:rPr>
        <w:t xml:space="preserve"> (</w:t>
      </w:r>
      <w:r w:rsidRPr="004D3EA1">
        <w:rPr>
          <w:b w:val="0"/>
          <w:kern w:val="28"/>
          <w:sz w:val="20"/>
          <w:lang w:val="en-US" w:eastAsia="en-US"/>
        </w:rPr>
        <w:t>DSS</w:t>
      </w:r>
      <w:r>
        <w:rPr>
          <w:b w:val="0"/>
          <w:kern w:val="28"/>
          <w:sz w:val="20"/>
          <w:lang w:val="en-US" w:eastAsia="en-US"/>
        </w:rPr>
        <w:t>)</w:t>
      </w:r>
      <w:r w:rsidRPr="004D3EA1">
        <w:rPr>
          <w:b w:val="0"/>
          <w:kern w:val="28"/>
          <w:sz w:val="20"/>
          <w:lang w:val="en-US" w:eastAsia="en-US"/>
        </w:rPr>
        <w:t xml:space="preserve"> funding and allocation models through the strengthening phase of the work </w:t>
      </w:r>
      <w:proofErr w:type="spellStart"/>
      <w:r w:rsidRPr="004D3EA1">
        <w:rPr>
          <w:b w:val="0"/>
          <w:kern w:val="28"/>
          <w:sz w:val="20"/>
          <w:lang w:val="en-US" w:eastAsia="en-US"/>
        </w:rPr>
        <w:t>programme</w:t>
      </w:r>
      <w:proofErr w:type="spellEnd"/>
      <w:r w:rsidRPr="004D3EA1">
        <w:rPr>
          <w:b w:val="0"/>
          <w:kern w:val="28"/>
          <w:sz w:val="20"/>
          <w:lang w:val="en-US" w:eastAsia="en-US"/>
        </w:rPr>
        <w:t>. The Director Future Funding Models</w:t>
      </w:r>
      <w:r>
        <w:rPr>
          <w:b w:val="0"/>
          <w:kern w:val="28"/>
          <w:sz w:val="20"/>
          <w:lang w:val="en-US" w:eastAsia="en-US"/>
        </w:rPr>
        <w:t xml:space="preserve"> applies</w:t>
      </w:r>
      <w:r w:rsidRPr="004D3EA1">
        <w:rPr>
          <w:b w:val="0"/>
          <w:kern w:val="28"/>
          <w:sz w:val="20"/>
          <w:lang w:val="en-US" w:eastAsia="en-US"/>
        </w:rPr>
        <w:t xml:space="preserve"> economic and funding expert</w:t>
      </w:r>
      <w:r w:rsidR="001F7252">
        <w:rPr>
          <w:b w:val="0"/>
          <w:kern w:val="28"/>
          <w:sz w:val="20"/>
          <w:lang w:val="en-US" w:eastAsia="en-US"/>
        </w:rPr>
        <w:t>ise</w:t>
      </w:r>
      <w:r w:rsidRPr="004D3EA1">
        <w:rPr>
          <w:b w:val="0"/>
          <w:kern w:val="28"/>
          <w:sz w:val="20"/>
          <w:lang w:val="en-US" w:eastAsia="en-US"/>
        </w:rPr>
        <w:t xml:space="preserve"> </w:t>
      </w:r>
      <w:r>
        <w:rPr>
          <w:b w:val="0"/>
          <w:kern w:val="28"/>
          <w:sz w:val="20"/>
          <w:lang w:val="en-US" w:eastAsia="en-US"/>
        </w:rPr>
        <w:t xml:space="preserve">to </w:t>
      </w:r>
      <w:r w:rsidRPr="004D3EA1">
        <w:rPr>
          <w:b w:val="0"/>
          <w:kern w:val="28"/>
          <w:sz w:val="20"/>
          <w:lang w:val="en-US" w:eastAsia="en-US"/>
        </w:rPr>
        <w:t>provid</w:t>
      </w:r>
      <w:r>
        <w:rPr>
          <w:b w:val="0"/>
          <w:kern w:val="28"/>
          <w:sz w:val="20"/>
          <w:lang w:val="en-US" w:eastAsia="en-US"/>
        </w:rPr>
        <w:t>e</w:t>
      </w:r>
      <w:r w:rsidRPr="004D3EA1">
        <w:rPr>
          <w:b w:val="0"/>
          <w:kern w:val="28"/>
          <w:sz w:val="20"/>
          <w:lang w:val="en-US" w:eastAsia="en-US"/>
        </w:rPr>
        <w:t xml:space="preserve"> intellectual and strategic leadership with a focus on developing robust funding allocation frameworks for </w:t>
      </w:r>
      <w:r>
        <w:rPr>
          <w:b w:val="0"/>
          <w:kern w:val="28"/>
          <w:sz w:val="20"/>
          <w:lang w:val="en-US" w:eastAsia="en-US"/>
        </w:rPr>
        <w:t>DSS</w:t>
      </w:r>
      <w:r w:rsidRPr="004D3EA1">
        <w:rPr>
          <w:b w:val="0"/>
          <w:kern w:val="28"/>
          <w:sz w:val="20"/>
          <w:lang w:val="en-US" w:eastAsia="en-US"/>
        </w:rPr>
        <w:t>.</w:t>
      </w:r>
    </w:p>
    <w:p w14:paraId="2F1A083A" w14:textId="200CB0DF" w:rsidR="004D3EA1" w:rsidRPr="004D3EA1" w:rsidRDefault="004D3EA1" w:rsidP="004D3EA1">
      <w:pPr>
        <w:pStyle w:val="Heading3"/>
        <w:rPr>
          <w:b w:val="0"/>
          <w:kern w:val="28"/>
          <w:sz w:val="20"/>
          <w:lang w:val="en-US" w:eastAsia="en-US"/>
        </w:rPr>
      </w:pPr>
      <w:r w:rsidRPr="004D3EA1">
        <w:rPr>
          <w:b w:val="0"/>
          <w:kern w:val="28"/>
          <w:sz w:val="20"/>
          <w:lang w:val="en-US" w:eastAsia="en-US"/>
        </w:rPr>
        <w:t xml:space="preserve">This position serves as the key conduit between DSS and Treasury, providing economic, market, and health disability sector analysis and advice to input to the Policy work on the 'Fair Funding Allocation Approach' element of strengthening work. </w:t>
      </w:r>
    </w:p>
    <w:p w14:paraId="2FA45042" w14:textId="48C674CD" w:rsidR="004D3EA1" w:rsidRDefault="004D3EA1" w:rsidP="004D3EA1">
      <w:pPr>
        <w:pStyle w:val="Heading3"/>
        <w:rPr>
          <w:b w:val="0"/>
          <w:kern w:val="28"/>
          <w:sz w:val="20"/>
          <w:lang w:val="en-US" w:eastAsia="en-US"/>
        </w:rPr>
      </w:pPr>
      <w:r w:rsidRPr="004D3EA1">
        <w:rPr>
          <w:b w:val="0"/>
          <w:kern w:val="28"/>
          <w:sz w:val="20"/>
          <w:lang w:val="en-US" w:eastAsia="en-US"/>
        </w:rPr>
        <w:t xml:space="preserve">The Director works towards establishing multi-year funding tracks and potentially multi-year appropriation approaches, collaborating with the existing </w:t>
      </w:r>
      <w:r>
        <w:rPr>
          <w:b w:val="0"/>
          <w:kern w:val="28"/>
          <w:sz w:val="20"/>
          <w:lang w:val="en-US" w:eastAsia="en-US"/>
        </w:rPr>
        <w:t xml:space="preserve">DSS </w:t>
      </w:r>
      <w:r w:rsidRPr="004D3EA1">
        <w:rPr>
          <w:b w:val="0"/>
          <w:kern w:val="28"/>
          <w:sz w:val="20"/>
          <w:lang w:val="en-US" w:eastAsia="en-US"/>
        </w:rPr>
        <w:t xml:space="preserve">Taskforce and </w:t>
      </w:r>
      <w:r>
        <w:rPr>
          <w:b w:val="0"/>
          <w:kern w:val="28"/>
          <w:sz w:val="20"/>
          <w:lang w:val="en-US" w:eastAsia="en-US"/>
        </w:rPr>
        <w:t xml:space="preserve">DSS </w:t>
      </w:r>
      <w:r w:rsidRPr="004D3EA1">
        <w:rPr>
          <w:b w:val="0"/>
          <w:kern w:val="28"/>
          <w:sz w:val="20"/>
          <w:lang w:val="en-US" w:eastAsia="en-US"/>
        </w:rPr>
        <w:t>Operations resources</w:t>
      </w:r>
      <w:r>
        <w:rPr>
          <w:b w:val="0"/>
          <w:kern w:val="28"/>
          <w:sz w:val="20"/>
          <w:lang w:val="en-US" w:eastAsia="en-US"/>
        </w:rPr>
        <w:t xml:space="preserve"> to</w:t>
      </w:r>
      <w:r w:rsidRPr="004D3EA1">
        <w:rPr>
          <w:b w:val="0"/>
          <w:kern w:val="28"/>
          <w:sz w:val="20"/>
          <w:lang w:val="en-US" w:eastAsia="en-US"/>
        </w:rPr>
        <w:t xml:space="preserve"> research and evaluation, actuarial and modelling capability to deliver evidence-based funding models.</w:t>
      </w:r>
    </w:p>
    <w:p w14:paraId="2EC18287" w14:textId="21EA2BF0" w:rsidR="0080061F" w:rsidRPr="00A70B36" w:rsidRDefault="0080061F" w:rsidP="004D3EA1">
      <w:pPr>
        <w:pStyle w:val="Heading3"/>
      </w:pPr>
      <w:r w:rsidRPr="00A70B36">
        <w:t>Location</w:t>
      </w:r>
    </w:p>
    <w:p w14:paraId="50B953AD" w14:textId="6F490DC3" w:rsidR="0080061F" w:rsidRDefault="000517E1" w:rsidP="0080061F">
      <w:r>
        <w:t>National Office, Wellington</w:t>
      </w:r>
    </w:p>
    <w:p w14:paraId="70CBFD7E" w14:textId="77777777" w:rsidR="0080061F" w:rsidRDefault="0080061F" w:rsidP="0080061F">
      <w:pPr>
        <w:pStyle w:val="Heading3"/>
      </w:pPr>
      <w:r>
        <w:t>Reports to</w:t>
      </w:r>
    </w:p>
    <w:p w14:paraId="3BD35AB1" w14:textId="433187B2" w:rsidR="0080061F" w:rsidRDefault="004D3EA1" w:rsidP="0080061F">
      <w:pPr>
        <w:spacing w:after="0" w:line="240" w:lineRule="auto"/>
      </w:pPr>
      <w:r>
        <w:t>Programme Director</w:t>
      </w:r>
      <w:r w:rsidR="001F7252">
        <w:t>, DSS Taskforce</w:t>
      </w:r>
    </w:p>
    <w:p w14:paraId="364B1823" w14:textId="67F42EBE" w:rsidR="0080061F" w:rsidRDefault="0080061F" w:rsidP="0055724C">
      <w:pPr>
        <w:pStyle w:val="Heading2"/>
        <w:spacing w:before="360"/>
      </w:pPr>
      <w:r w:rsidRPr="00776B90">
        <w:t>Key</w:t>
      </w:r>
      <w:r>
        <w:t xml:space="preserve"> </w:t>
      </w:r>
      <w:r w:rsidRPr="00B27E44">
        <w:t>responsibilities</w:t>
      </w:r>
    </w:p>
    <w:p w14:paraId="5049F634" w14:textId="1DCA7CFE" w:rsidR="004D3EA1" w:rsidRPr="004D3EA1" w:rsidRDefault="004D3EA1" w:rsidP="004D3EA1">
      <w:pPr>
        <w:pStyle w:val="Heading2"/>
        <w:spacing w:before="360"/>
      </w:pPr>
      <w:r w:rsidRPr="004D3EA1">
        <w:t xml:space="preserve">Funding Model Development and Treasury Engagement </w:t>
      </w:r>
    </w:p>
    <w:p w14:paraId="4076FB03" w14:textId="5DE7EA02" w:rsidR="004D3EA1" w:rsidRPr="004D3EA1" w:rsidRDefault="004D3EA1" w:rsidP="004D3EA1">
      <w:pPr>
        <w:pStyle w:val="Bullet1"/>
        <w:numPr>
          <w:ilvl w:val="0"/>
          <w:numId w:val="2"/>
        </w:numPr>
        <w:tabs>
          <w:tab w:val="clear" w:pos="454"/>
        </w:tabs>
        <w:spacing w:before="60" w:after="60"/>
        <w:jc w:val="both"/>
      </w:pPr>
      <w:r w:rsidRPr="004D3EA1">
        <w:t>Build the evidence base for fair, sustainable</w:t>
      </w:r>
      <w:r w:rsidR="001F7252">
        <w:t>,</w:t>
      </w:r>
      <w:r w:rsidRPr="004D3EA1">
        <w:t xml:space="preserve"> and appropriate DSS funding and allocation models through the strengthening phase of the work </w:t>
      </w:r>
      <w:proofErr w:type="spellStart"/>
      <w:r w:rsidRPr="004D3EA1">
        <w:t>programme</w:t>
      </w:r>
      <w:proofErr w:type="spellEnd"/>
      <w:r w:rsidRPr="004D3EA1">
        <w:t xml:space="preserve">. </w:t>
      </w:r>
    </w:p>
    <w:p w14:paraId="2F887EED" w14:textId="68E033F6" w:rsidR="004D3EA1" w:rsidRPr="004D3EA1" w:rsidRDefault="004D3EA1" w:rsidP="004D3EA1">
      <w:pPr>
        <w:pStyle w:val="Bullet1"/>
        <w:numPr>
          <w:ilvl w:val="0"/>
          <w:numId w:val="2"/>
        </w:numPr>
        <w:tabs>
          <w:tab w:val="clear" w:pos="454"/>
        </w:tabs>
        <w:spacing w:before="60" w:after="60"/>
        <w:jc w:val="both"/>
      </w:pPr>
      <w:r w:rsidRPr="004D3EA1">
        <w:t>Serve as the key conduit between DSS and Treasury, establishing and maintaining constructive relationships to ensure Treasury buy-in to funding approaches.</w:t>
      </w:r>
    </w:p>
    <w:p w14:paraId="227A25F6" w14:textId="7C364E50" w:rsidR="004D3EA1" w:rsidRPr="004D3EA1" w:rsidRDefault="004D3EA1" w:rsidP="004D3EA1">
      <w:pPr>
        <w:pStyle w:val="Bullet1"/>
        <w:numPr>
          <w:ilvl w:val="0"/>
          <w:numId w:val="2"/>
        </w:numPr>
        <w:tabs>
          <w:tab w:val="clear" w:pos="454"/>
        </w:tabs>
        <w:spacing w:before="60" w:after="60"/>
        <w:jc w:val="both"/>
      </w:pPr>
      <w:r w:rsidRPr="004D3EA1">
        <w:t xml:space="preserve">Provide economic, market, and health disability sector analysis to inform the 'Fair Funding Allocation Approach' element of the strengthening work. </w:t>
      </w:r>
    </w:p>
    <w:p w14:paraId="430F1C5E" w14:textId="4A674D1F" w:rsidR="004D3EA1" w:rsidRPr="004D3EA1" w:rsidRDefault="004D3EA1" w:rsidP="004D3EA1">
      <w:pPr>
        <w:pStyle w:val="Bullet1"/>
        <w:numPr>
          <w:ilvl w:val="0"/>
          <w:numId w:val="2"/>
        </w:numPr>
        <w:tabs>
          <w:tab w:val="clear" w:pos="454"/>
        </w:tabs>
        <w:spacing w:before="60" w:after="60"/>
        <w:jc w:val="both"/>
      </w:pPr>
      <w:r w:rsidRPr="004D3EA1">
        <w:t xml:space="preserve">Lead work towards multi-year funding tracks and potentially multi-year appropriation. </w:t>
      </w:r>
    </w:p>
    <w:p w14:paraId="35C01F5C" w14:textId="7C29D24B" w:rsidR="004D3EA1" w:rsidRPr="004D3EA1" w:rsidRDefault="004D3EA1" w:rsidP="004D3EA1">
      <w:pPr>
        <w:pStyle w:val="Bullet1"/>
        <w:numPr>
          <w:ilvl w:val="0"/>
          <w:numId w:val="2"/>
        </w:numPr>
        <w:tabs>
          <w:tab w:val="clear" w:pos="454"/>
        </w:tabs>
        <w:spacing w:before="60" w:after="60"/>
        <w:jc w:val="both"/>
      </w:pPr>
      <w:r w:rsidRPr="004D3EA1">
        <w:t xml:space="preserve">Ensure that DSS is using robust economic and funding frameworks in how it approaches its thinking on disability support funding, drawing on welfare economics and social investment principles. </w:t>
      </w:r>
    </w:p>
    <w:p w14:paraId="267FE4C4" w14:textId="6B758606" w:rsidR="004D3EA1" w:rsidRPr="004D3EA1" w:rsidRDefault="004D3EA1" w:rsidP="004D3EA1">
      <w:pPr>
        <w:pStyle w:val="Bullet1"/>
        <w:numPr>
          <w:ilvl w:val="0"/>
          <w:numId w:val="2"/>
        </w:numPr>
        <w:tabs>
          <w:tab w:val="clear" w:pos="454"/>
        </w:tabs>
        <w:spacing w:before="60" w:after="60"/>
        <w:jc w:val="both"/>
      </w:pPr>
      <w:r w:rsidRPr="004D3EA1">
        <w:t xml:space="preserve">Lead complex, high-impact projects that drive long-term value for DSS, strategically integrating economic insights with policy innovation to shape future-focused funding solutions. </w:t>
      </w:r>
    </w:p>
    <w:p w14:paraId="1F78CA79" w14:textId="0A6CA4DE" w:rsidR="004D3EA1" w:rsidRPr="004D3EA1" w:rsidRDefault="004D3EA1" w:rsidP="004D3EA1">
      <w:pPr>
        <w:pStyle w:val="Heading2"/>
        <w:spacing w:before="360"/>
      </w:pPr>
      <w:r>
        <w:t xml:space="preserve">Strategic Leadership and Analysis </w:t>
      </w:r>
    </w:p>
    <w:p w14:paraId="77FC491D" w14:textId="0F3046EA" w:rsidR="004D3EA1" w:rsidRDefault="004D3EA1" w:rsidP="004D3EA1">
      <w:pPr>
        <w:pStyle w:val="Bullet1"/>
        <w:numPr>
          <w:ilvl w:val="0"/>
          <w:numId w:val="2"/>
        </w:numPr>
        <w:tabs>
          <w:tab w:val="clear" w:pos="454"/>
        </w:tabs>
        <w:spacing w:before="60" w:after="60"/>
        <w:jc w:val="both"/>
      </w:pPr>
      <w:r>
        <w:t xml:space="preserve">Promote improvement in analysis, framework design, business processes and decision-making to enhance the social outcomes achieved through DSS funding approaches. </w:t>
      </w:r>
    </w:p>
    <w:p w14:paraId="248DD07A" w14:textId="13DE3FB9" w:rsidR="004D3EA1" w:rsidRDefault="004D3EA1" w:rsidP="004D3EA1">
      <w:pPr>
        <w:pStyle w:val="Bullet1"/>
        <w:numPr>
          <w:ilvl w:val="0"/>
          <w:numId w:val="2"/>
        </w:numPr>
        <w:tabs>
          <w:tab w:val="clear" w:pos="454"/>
        </w:tabs>
        <w:spacing w:before="60" w:after="60"/>
        <w:jc w:val="both"/>
      </w:pPr>
      <w:r>
        <w:lastRenderedPageBreak/>
        <w:t xml:space="preserve">Provide strategic advice to senior leaders on economic frameworks, funding models and their implications for DSS's work. </w:t>
      </w:r>
    </w:p>
    <w:p w14:paraId="6F83A45F" w14:textId="38EEC4A7" w:rsidR="004D3EA1" w:rsidRDefault="004D3EA1" w:rsidP="004D3EA1">
      <w:pPr>
        <w:pStyle w:val="Bullet1"/>
        <w:numPr>
          <w:ilvl w:val="0"/>
          <w:numId w:val="2"/>
        </w:numPr>
        <w:tabs>
          <w:tab w:val="clear" w:pos="454"/>
        </w:tabs>
        <w:spacing w:before="60" w:after="60"/>
        <w:jc w:val="both"/>
      </w:pPr>
      <w:r>
        <w:t xml:space="preserve">Ensure that funding approaches reflect current international and domestic economic trends, identifying opportunities for innovative funding solutions. </w:t>
      </w:r>
    </w:p>
    <w:p w14:paraId="2845B85D" w14:textId="01088DD4" w:rsidR="004D3EA1" w:rsidRDefault="00DC2AFB" w:rsidP="004D3EA1">
      <w:pPr>
        <w:pStyle w:val="Bullet1"/>
        <w:numPr>
          <w:ilvl w:val="0"/>
          <w:numId w:val="2"/>
        </w:numPr>
        <w:tabs>
          <w:tab w:val="clear" w:pos="454"/>
        </w:tabs>
        <w:spacing w:before="60" w:after="60"/>
        <w:jc w:val="both"/>
      </w:pPr>
      <w:r w:rsidRPr="00DC2AFB">
        <w:t>Work collaboratively with other leads to identify benefits and support value management processes for DSS's funding models.</w:t>
      </w:r>
      <w:r w:rsidDel="00DC2AFB">
        <w:t xml:space="preserve"> </w:t>
      </w:r>
    </w:p>
    <w:p w14:paraId="15BE9856" w14:textId="5299FE07" w:rsidR="004D3EA1" w:rsidRDefault="001F7252" w:rsidP="004D3EA1">
      <w:pPr>
        <w:pStyle w:val="Bullet1"/>
        <w:numPr>
          <w:ilvl w:val="0"/>
          <w:numId w:val="2"/>
        </w:numPr>
        <w:tabs>
          <w:tab w:val="clear" w:pos="454"/>
        </w:tabs>
        <w:spacing w:before="60" w:after="60"/>
        <w:jc w:val="both"/>
      </w:pPr>
      <w:r>
        <w:t xml:space="preserve">Contribute to </w:t>
      </w:r>
      <w:r w:rsidR="004D3EA1">
        <w:t xml:space="preserve">a strong focus on funding investment planning, including the delivery of benefits and outcomes. </w:t>
      </w:r>
    </w:p>
    <w:p w14:paraId="4BE6D8D5" w14:textId="2A16F9FA" w:rsidR="004D3EA1" w:rsidRDefault="004D3EA1" w:rsidP="004D3EA1">
      <w:pPr>
        <w:pStyle w:val="Bullet1"/>
        <w:numPr>
          <w:ilvl w:val="0"/>
          <w:numId w:val="2"/>
        </w:numPr>
        <w:tabs>
          <w:tab w:val="clear" w:pos="454"/>
        </w:tabs>
        <w:spacing w:before="60" w:after="60"/>
        <w:jc w:val="both"/>
      </w:pPr>
      <w:r>
        <w:t>Provide support</w:t>
      </w:r>
      <w:r w:rsidR="001F7252">
        <w:t xml:space="preserve"> and</w:t>
      </w:r>
      <w:r>
        <w:t xml:space="preserve"> governance coordination for relevant funding committees and Treasury engagements. </w:t>
      </w:r>
    </w:p>
    <w:p w14:paraId="1266266D" w14:textId="4E80B254" w:rsidR="004D3EA1" w:rsidRDefault="004D3EA1" w:rsidP="004D3EA1">
      <w:pPr>
        <w:pStyle w:val="Heading2"/>
        <w:spacing w:before="360"/>
      </w:pPr>
      <w:r>
        <w:t xml:space="preserve">Relationship Management </w:t>
      </w:r>
    </w:p>
    <w:p w14:paraId="25CC938D" w14:textId="77777777" w:rsidR="004D3EA1" w:rsidRDefault="004D3EA1" w:rsidP="004D3EA1">
      <w:pPr>
        <w:pStyle w:val="Bullet1"/>
        <w:numPr>
          <w:ilvl w:val="0"/>
          <w:numId w:val="0"/>
        </w:numPr>
        <w:tabs>
          <w:tab w:val="clear" w:pos="454"/>
        </w:tabs>
        <w:spacing w:before="60" w:after="60"/>
        <w:jc w:val="both"/>
      </w:pPr>
    </w:p>
    <w:p w14:paraId="73DCE0BC" w14:textId="3A46176F" w:rsidR="004D3EA1" w:rsidRDefault="004D3EA1" w:rsidP="004D3EA1">
      <w:pPr>
        <w:pStyle w:val="Bullet1"/>
        <w:numPr>
          <w:ilvl w:val="0"/>
          <w:numId w:val="2"/>
        </w:numPr>
        <w:tabs>
          <w:tab w:val="clear" w:pos="454"/>
        </w:tabs>
        <w:spacing w:before="60" w:after="60"/>
        <w:jc w:val="both"/>
      </w:pPr>
      <w:r>
        <w:t xml:space="preserve">Establish and manage constructive working relationships with Treasury officials, actuarial teams, and other external stakeholders to support a collective view of shared goals needed to achieve desired results. </w:t>
      </w:r>
    </w:p>
    <w:p w14:paraId="7BA694E3" w14:textId="2DFDCBC7" w:rsidR="004D3EA1" w:rsidRDefault="004D3EA1" w:rsidP="004D3EA1">
      <w:pPr>
        <w:pStyle w:val="Bullet1"/>
        <w:numPr>
          <w:ilvl w:val="0"/>
          <w:numId w:val="2"/>
        </w:numPr>
        <w:tabs>
          <w:tab w:val="clear" w:pos="454"/>
        </w:tabs>
        <w:spacing w:before="60" w:after="60"/>
        <w:jc w:val="both"/>
      </w:pPr>
      <w:r>
        <w:t xml:space="preserve">Develop and maintain constructive working relationships with other key functions within DSS and the wider Ministry, particularly those with responsibility or influence over funding models and financial planning. </w:t>
      </w:r>
    </w:p>
    <w:p w14:paraId="40AACDC3" w14:textId="7C7F4B95" w:rsidR="004D3EA1" w:rsidRDefault="004D3EA1" w:rsidP="004D3EA1">
      <w:pPr>
        <w:pStyle w:val="Bullet1"/>
        <w:numPr>
          <w:ilvl w:val="0"/>
          <w:numId w:val="2"/>
        </w:numPr>
        <w:tabs>
          <w:tab w:val="clear" w:pos="454"/>
        </w:tabs>
        <w:spacing w:before="60" w:after="60"/>
        <w:jc w:val="both"/>
      </w:pPr>
      <w:r>
        <w:t xml:space="preserve">Work across the state sector with other senior Advisers and Economists to strengthen the use of evidence in funding models and to build communities of practice around disability funding approaches. </w:t>
      </w:r>
    </w:p>
    <w:p w14:paraId="73A49112" w14:textId="3A839F78" w:rsidR="004D3EA1" w:rsidRDefault="004D3EA1" w:rsidP="004D3EA1">
      <w:pPr>
        <w:pStyle w:val="Bullet1"/>
        <w:numPr>
          <w:ilvl w:val="0"/>
          <w:numId w:val="2"/>
        </w:numPr>
        <w:tabs>
          <w:tab w:val="clear" w:pos="454"/>
        </w:tabs>
        <w:spacing w:before="60" w:after="60"/>
        <w:jc w:val="both"/>
      </w:pPr>
      <w:r>
        <w:t xml:space="preserve">Identify common areas of interest emerging across stakeholders and proactively develop opportunities for collaboration on funding models. </w:t>
      </w:r>
    </w:p>
    <w:p w14:paraId="3DC576C5" w14:textId="6689A0AC" w:rsidR="004D3EA1" w:rsidRDefault="004D3EA1" w:rsidP="004D3EA1">
      <w:pPr>
        <w:pStyle w:val="Heading2"/>
        <w:spacing w:before="360"/>
      </w:pPr>
      <w:r>
        <w:t xml:space="preserve">Capability Building </w:t>
      </w:r>
    </w:p>
    <w:p w14:paraId="5B6A3456" w14:textId="77777777" w:rsidR="004D3EA1" w:rsidRDefault="004D3EA1" w:rsidP="004D3EA1">
      <w:pPr>
        <w:pStyle w:val="Bullet1"/>
        <w:numPr>
          <w:ilvl w:val="0"/>
          <w:numId w:val="0"/>
        </w:numPr>
        <w:tabs>
          <w:tab w:val="clear" w:pos="454"/>
        </w:tabs>
        <w:spacing w:before="60" w:after="60"/>
        <w:jc w:val="both"/>
      </w:pPr>
    </w:p>
    <w:p w14:paraId="1466C01B" w14:textId="48E5DDC5" w:rsidR="004D3EA1" w:rsidRDefault="004D3EA1" w:rsidP="004D3EA1">
      <w:pPr>
        <w:pStyle w:val="Bullet1"/>
        <w:numPr>
          <w:ilvl w:val="0"/>
          <w:numId w:val="2"/>
        </w:numPr>
        <w:tabs>
          <w:tab w:val="clear" w:pos="454"/>
        </w:tabs>
        <w:spacing w:before="60" w:after="60"/>
        <w:jc w:val="both"/>
      </w:pPr>
      <w:r>
        <w:t xml:space="preserve">Provide leadership to lift the economic and funding capability in DSS by building the capability of the team through coaching and mentoring. </w:t>
      </w:r>
    </w:p>
    <w:p w14:paraId="44E47EC3" w14:textId="7146873E" w:rsidR="004D3EA1" w:rsidRDefault="004D3EA1" w:rsidP="004D3EA1">
      <w:pPr>
        <w:pStyle w:val="Bullet1"/>
        <w:numPr>
          <w:ilvl w:val="0"/>
          <w:numId w:val="2"/>
        </w:numPr>
        <w:tabs>
          <w:tab w:val="clear" w:pos="454"/>
        </w:tabs>
        <w:spacing w:before="60" w:after="60"/>
        <w:jc w:val="both"/>
      </w:pPr>
      <w:r>
        <w:t>Work with</w:t>
      </w:r>
      <w:r w:rsidR="001F7252">
        <w:t xml:space="preserve"> Taskforce leadership, </w:t>
      </w:r>
      <w:r>
        <w:t>actuarial</w:t>
      </w:r>
      <w:r w:rsidR="001F7252">
        <w:t>,</w:t>
      </w:r>
      <w:r>
        <w:t xml:space="preserve"> and modelling teams to ensure appropriate use of data and evidence in funding models. </w:t>
      </w:r>
    </w:p>
    <w:p w14:paraId="0CDFC61A" w14:textId="39BF4BE9" w:rsidR="004D3EA1" w:rsidRDefault="004D3EA1" w:rsidP="004D3EA1">
      <w:pPr>
        <w:pStyle w:val="Bullet1"/>
        <w:numPr>
          <w:ilvl w:val="0"/>
          <w:numId w:val="2"/>
        </w:numPr>
        <w:tabs>
          <w:tab w:val="clear" w:pos="454"/>
        </w:tabs>
        <w:spacing w:before="60" w:after="60"/>
        <w:jc w:val="both"/>
      </w:pPr>
      <w:r>
        <w:t xml:space="preserve">Champion the availability and use of research and evaluation findings, ensuring that insights are translated into practical funding approaches. </w:t>
      </w:r>
    </w:p>
    <w:p w14:paraId="30449693" w14:textId="7AD0032E" w:rsidR="004D3EA1" w:rsidRDefault="004D3EA1" w:rsidP="004D3EA1">
      <w:pPr>
        <w:pStyle w:val="Bullet1"/>
        <w:numPr>
          <w:ilvl w:val="0"/>
          <w:numId w:val="2"/>
        </w:numPr>
        <w:tabs>
          <w:tab w:val="clear" w:pos="454"/>
        </w:tabs>
        <w:spacing w:before="60" w:after="60"/>
        <w:jc w:val="both"/>
      </w:pPr>
      <w:r>
        <w:t xml:space="preserve">Maintain a watching brief on international economic developments with implications for disability funding models and how evidence is used in other jurisdictions. </w:t>
      </w:r>
    </w:p>
    <w:p w14:paraId="68C809B0" w14:textId="3142B9CF"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DA5111">
      <w:pPr>
        <w:pStyle w:val="Bullet1"/>
        <w:numPr>
          <w:ilvl w:val="0"/>
          <w:numId w:val="2"/>
        </w:numPr>
        <w:tabs>
          <w:tab w:val="clear" w:pos="454"/>
        </w:tabs>
        <w:spacing w:before="60" w:after="60"/>
        <w:jc w:val="both"/>
      </w:pPr>
      <w:r>
        <w:t>Embedding and building on Te Ao Māori within their leadership role.</w:t>
      </w:r>
    </w:p>
    <w:p w14:paraId="775512ED" w14:textId="77777777" w:rsidR="0080061F" w:rsidRPr="00D650D1" w:rsidRDefault="0080061F" w:rsidP="00DA5111">
      <w:pPr>
        <w:pStyle w:val="Bullet1"/>
        <w:numPr>
          <w:ilvl w:val="0"/>
          <w:numId w:val="2"/>
        </w:numPr>
        <w:tabs>
          <w:tab w:val="clear" w:pos="454"/>
        </w:tabs>
        <w:spacing w:before="60" w:after="60"/>
        <w:jc w:val="both"/>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DA5111">
      <w:pPr>
        <w:pStyle w:val="Heading2"/>
        <w:spacing w:before="360"/>
        <w:jc w:val="both"/>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DA5111">
      <w:pPr>
        <w:pStyle w:val="Bullet1"/>
        <w:numPr>
          <w:ilvl w:val="0"/>
          <w:numId w:val="2"/>
        </w:numPr>
        <w:tabs>
          <w:tab w:val="clear" w:pos="454"/>
        </w:tabs>
        <w:spacing w:before="60" w:after="60"/>
        <w:jc w:val="both"/>
      </w:pPr>
      <w:r>
        <w:t xml:space="preserve">Understand and implement your manager accountabilities as outlined in the HSS Accountability </w:t>
      </w:r>
      <w:r w:rsidRPr="00B27E44">
        <w:t>Framework.</w:t>
      </w:r>
    </w:p>
    <w:p w14:paraId="51F25BA9" w14:textId="77777777" w:rsidR="0080061F" w:rsidRDefault="0080061F" w:rsidP="00DA5111">
      <w:pPr>
        <w:pStyle w:val="Bullet1"/>
        <w:numPr>
          <w:ilvl w:val="0"/>
          <w:numId w:val="2"/>
        </w:numPr>
        <w:tabs>
          <w:tab w:val="clear" w:pos="454"/>
        </w:tabs>
        <w:spacing w:before="60" w:after="60"/>
        <w:jc w:val="both"/>
      </w:pPr>
      <w:r w:rsidRPr="00B27E44">
        <w:lastRenderedPageBreak/>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DA5111">
      <w:pPr>
        <w:pStyle w:val="Heading2"/>
        <w:spacing w:before="360"/>
        <w:jc w:val="both"/>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DA5111">
      <w:pPr>
        <w:pStyle w:val="Bullet1"/>
        <w:numPr>
          <w:ilvl w:val="0"/>
          <w:numId w:val="2"/>
        </w:numPr>
        <w:tabs>
          <w:tab w:val="clear" w:pos="454"/>
        </w:tabs>
        <w:spacing w:before="60" w:after="60"/>
        <w:jc w:val="both"/>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215ECA48" w:rsidR="0080061F" w:rsidRDefault="0080061F" w:rsidP="00DA5111">
      <w:pPr>
        <w:pStyle w:val="Bullet1"/>
        <w:numPr>
          <w:ilvl w:val="0"/>
          <w:numId w:val="2"/>
        </w:numPr>
        <w:tabs>
          <w:tab w:val="clear" w:pos="454"/>
        </w:tabs>
        <w:spacing w:before="60" w:after="60"/>
        <w:jc w:val="both"/>
      </w:pPr>
      <w:r w:rsidRPr="00EF2412">
        <w:t xml:space="preserve">Ensure that policies and procedures encompassing emergency management, business continuity and crisis management arrangements are understood, </w:t>
      </w:r>
      <w:r w:rsidR="000646BD" w:rsidRPr="00EF2412">
        <w:t>followed,</w:t>
      </w:r>
      <w:r w:rsidRPr="00EF2412">
        <w:t xml:space="preserve"> and implemented by employees.</w:t>
      </w:r>
    </w:p>
    <w:p w14:paraId="4F56B34E" w14:textId="283329B4" w:rsidR="00F95189" w:rsidRDefault="00F95189" w:rsidP="00DA5111">
      <w:pPr>
        <w:pStyle w:val="Bullet1"/>
        <w:numPr>
          <w:ilvl w:val="0"/>
          <w:numId w:val="0"/>
        </w:numPr>
        <w:tabs>
          <w:tab w:val="clear" w:pos="454"/>
        </w:tabs>
        <w:spacing w:before="60" w:after="60"/>
        <w:jc w:val="both"/>
      </w:pPr>
    </w:p>
    <w:p w14:paraId="3AD62957" w14:textId="63917E53" w:rsidR="00D90CA0" w:rsidRPr="00DA04AE" w:rsidRDefault="00D90CA0" w:rsidP="00DA5111">
      <w:pPr>
        <w:jc w:val="both"/>
        <w:rPr>
          <w:b/>
          <w:color w:val="000000" w:themeColor="text1"/>
          <w:sz w:val="28"/>
          <w:szCs w:val="30"/>
        </w:rPr>
      </w:pPr>
      <w:r w:rsidRPr="00DA04AE">
        <w:rPr>
          <w:b/>
          <w:color w:val="000000" w:themeColor="text1"/>
          <w:sz w:val="28"/>
          <w:szCs w:val="30"/>
        </w:rPr>
        <w:t xml:space="preserve">Knowledge </w:t>
      </w:r>
    </w:p>
    <w:p w14:paraId="41FAEE60" w14:textId="1916FE3D" w:rsidR="00CF26B5" w:rsidRPr="00CF26B5" w:rsidRDefault="00CF26B5" w:rsidP="00CF26B5">
      <w:pPr>
        <w:pStyle w:val="Bullet1"/>
        <w:numPr>
          <w:ilvl w:val="0"/>
          <w:numId w:val="2"/>
        </w:numPr>
        <w:tabs>
          <w:tab w:val="clear" w:pos="454"/>
        </w:tabs>
        <w:spacing w:before="60" w:after="60"/>
        <w:jc w:val="both"/>
      </w:pPr>
      <w:r w:rsidRPr="00CF26B5">
        <w:t xml:space="preserve">Advanced academic qualifications in economics, public policy, </w:t>
      </w:r>
      <w:proofErr w:type="gramStart"/>
      <w:r w:rsidRPr="00CF26B5">
        <w:t>finance</w:t>
      </w:r>
      <w:proofErr w:type="gramEnd"/>
      <w:r w:rsidRPr="00CF26B5">
        <w:t xml:space="preserve"> or a related field, ideally with focus on funding models and/or health economics. </w:t>
      </w:r>
    </w:p>
    <w:p w14:paraId="5297BFFA" w14:textId="22242DD3" w:rsidR="00CF26B5" w:rsidRPr="00CF26B5" w:rsidRDefault="00CF26B5" w:rsidP="00CF26B5">
      <w:pPr>
        <w:pStyle w:val="Bullet1"/>
        <w:numPr>
          <w:ilvl w:val="0"/>
          <w:numId w:val="2"/>
        </w:numPr>
        <w:tabs>
          <w:tab w:val="clear" w:pos="454"/>
        </w:tabs>
        <w:spacing w:before="60" w:after="60"/>
        <w:jc w:val="both"/>
      </w:pPr>
      <w:r w:rsidRPr="00CF26B5">
        <w:t xml:space="preserve">Substantial experience in economic analysis, funding model development, and/or financial planning, particularly in health, </w:t>
      </w:r>
      <w:proofErr w:type="gramStart"/>
      <w:r w:rsidRPr="00CF26B5">
        <w:t>disability</w:t>
      </w:r>
      <w:proofErr w:type="gramEnd"/>
      <w:r w:rsidRPr="00CF26B5">
        <w:t xml:space="preserve"> or social services sectors. </w:t>
      </w:r>
    </w:p>
    <w:p w14:paraId="22ACB144" w14:textId="60FEABF3" w:rsidR="00CF26B5" w:rsidRPr="00CF26B5" w:rsidRDefault="00CF26B5" w:rsidP="00CF26B5">
      <w:pPr>
        <w:pStyle w:val="Bullet1"/>
        <w:numPr>
          <w:ilvl w:val="0"/>
          <w:numId w:val="2"/>
        </w:numPr>
        <w:tabs>
          <w:tab w:val="clear" w:pos="454"/>
        </w:tabs>
        <w:spacing w:before="60" w:after="60"/>
        <w:jc w:val="both"/>
      </w:pPr>
      <w:r w:rsidRPr="00CF26B5">
        <w:t xml:space="preserve">Demonstrated experience working with Treasury or central agencies on funding approaches, preferably with experience in multi-year funding and appropriation models. </w:t>
      </w:r>
    </w:p>
    <w:p w14:paraId="56193034" w14:textId="2517813D" w:rsidR="00CF26B5" w:rsidRPr="00CF26B5" w:rsidRDefault="00CF26B5" w:rsidP="00CF26B5">
      <w:pPr>
        <w:pStyle w:val="Bullet1"/>
        <w:numPr>
          <w:ilvl w:val="0"/>
          <w:numId w:val="2"/>
        </w:numPr>
        <w:tabs>
          <w:tab w:val="clear" w:pos="454"/>
        </w:tabs>
        <w:spacing w:before="60" w:after="60"/>
        <w:jc w:val="both"/>
      </w:pPr>
      <w:r w:rsidRPr="00CF26B5">
        <w:t xml:space="preserve">Knowledge of disability sector funding challenges and opportunities. </w:t>
      </w:r>
    </w:p>
    <w:p w14:paraId="1F5B2511" w14:textId="11C5D396" w:rsidR="00CF26B5" w:rsidRPr="00CF26B5" w:rsidRDefault="00CF26B5" w:rsidP="00CF26B5">
      <w:pPr>
        <w:pStyle w:val="Bullet1"/>
        <w:numPr>
          <w:ilvl w:val="0"/>
          <w:numId w:val="2"/>
        </w:numPr>
        <w:tabs>
          <w:tab w:val="clear" w:pos="454"/>
        </w:tabs>
        <w:spacing w:before="60" w:after="60"/>
        <w:jc w:val="both"/>
      </w:pPr>
      <w:r w:rsidRPr="00CF26B5">
        <w:t xml:space="preserve">Understanding of actuarial principles and ability to bridge between actuarial and economic frameworks. </w:t>
      </w:r>
    </w:p>
    <w:p w14:paraId="06A9BF6B" w14:textId="6D52CD79" w:rsidR="00CF26B5" w:rsidRPr="00CF26B5" w:rsidRDefault="00CF26B5" w:rsidP="00CF26B5">
      <w:pPr>
        <w:pStyle w:val="Bullet1"/>
        <w:numPr>
          <w:ilvl w:val="0"/>
          <w:numId w:val="2"/>
        </w:numPr>
        <w:tabs>
          <w:tab w:val="clear" w:pos="454"/>
        </w:tabs>
        <w:spacing w:before="60" w:after="60"/>
        <w:jc w:val="both"/>
      </w:pPr>
      <w:r w:rsidRPr="00CF26B5">
        <w:t xml:space="preserve">Proven experience in establishing and leading the design and implementation of funding frameworks and models. </w:t>
      </w:r>
    </w:p>
    <w:p w14:paraId="39210EDD" w14:textId="1CA18CB3" w:rsidR="00CF26B5" w:rsidRPr="00CF26B5" w:rsidRDefault="00CF26B5" w:rsidP="00CF26B5">
      <w:pPr>
        <w:pStyle w:val="Bullet1"/>
        <w:numPr>
          <w:ilvl w:val="0"/>
          <w:numId w:val="2"/>
        </w:numPr>
        <w:tabs>
          <w:tab w:val="clear" w:pos="454"/>
        </w:tabs>
        <w:spacing w:before="60" w:after="60"/>
        <w:jc w:val="both"/>
      </w:pPr>
      <w:r w:rsidRPr="00CF26B5">
        <w:t xml:space="preserve">Demonstrated ability to build effective relationships with Treasury and finance officials. </w:t>
      </w:r>
    </w:p>
    <w:p w14:paraId="44440775" w14:textId="7C9F7EAC" w:rsidR="00CF26B5" w:rsidRPr="00CF26B5" w:rsidRDefault="00CF26B5" w:rsidP="00CF26B5">
      <w:pPr>
        <w:pStyle w:val="Bullet1"/>
        <w:numPr>
          <w:ilvl w:val="0"/>
          <w:numId w:val="2"/>
        </w:numPr>
        <w:tabs>
          <w:tab w:val="clear" w:pos="454"/>
        </w:tabs>
        <w:spacing w:before="60" w:after="60"/>
        <w:jc w:val="both"/>
      </w:pPr>
      <w:r w:rsidRPr="00CF26B5">
        <w:t xml:space="preserve">Experience in executive level engagement and managing relationships with a range of diverse and challenging stakeholders, particularly in economic and financial contexts. </w:t>
      </w:r>
    </w:p>
    <w:p w14:paraId="00DEDED0" w14:textId="0DCB8FE9" w:rsidR="00CF26B5" w:rsidRPr="00CF26B5" w:rsidRDefault="00CF26B5" w:rsidP="00CF26B5">
      <w:pPr>
        <w:pStyle w:val="Bullet1"/>
        <w:numPr>
          <w:ilvl w:val="0"/>
          <w:numId w:val="2"/>
        </w:numPr>
        <w:tabs>
          <w:tab w:val="clear" w:pos="454"/>
        </w:tabs>
        <w:spacing w:before="60" w:after="60"/>
        <w:jc w:val="both"/>
      </w:pPr>
      <w:r w:rsidRPr="00CF26B5">
        <w:t xml:space="preserve">Thorough understanding of government financial priorities and political contexts, with the ability to gain clarity from ministers and senior leaders on desired outcomes. </w:t>
      </w:r>
    </w:p>
    <w:p w14:paraId="011673BC" w14:textId="555CA832" w:rsidR="00CF26B5" w:rsidRPr="00CF26B5" w:rsidRDefault="00CF26B5" w:rsidP="00CF26B5">
      <w:pPr>
        <w:pStyle w:val="Bullet1"/>
        <w:numPr>
          <w:ilvl w:val="0"/>
          <w:numId w:val="2"/>
        </w:numPr>
        <w:tabs>
          <w:tab w:val="clear" w:pos="454"/>
        </w:tabs>
        <w:spacing w:before="60" w:after="60"/>
        <w:jc w:val="both"/>
      </w:pPr>
      <w:r w:rsidRPr="00CF26B5">
        <w:t xml:space="preserve">Strong communication skills, capable of explaining complex economic and funding concepts to non-technical audiences. </w:t>
      </w:r>
    </w:p>
    <w:p w14:paraId="5562A02E" w14:textId="5EAD7C1A" w:rsidR="00CF26B5" w:rsidRPr="00CF26B5" w:rsidRDefault="00CF26B5" w:rsidP="00CF26B5">
      <w:pPr>
        <w:pStyle w:val="Bullet1"/>
        <w:numPr>
          <w:ilvl w:val="0"/>
          <w:numId w:val="2"/>
        </w:numPr>
        <w:tabs>
          <w:tab w:val="clear" w:pos="454"/>
        </w:tabs>
        <w:spacing w:before="60" w:after="60"/>
        <w:jc w:val="both"/>
      </w:pPr>
      <w:r w:rsidRPr="00CF26B5">
        <w:t xml:space="preserve">Experience leveraging research, evaluation, and actuarial modeling to develop evidence-based funding approaches. </w:t>
      </w:r>
    </w:p>
    <w:p w14:paraId="43A7E27B" w14:textId="407EC78A" w:rsidR="00CF26B5" w:rsidRPr="00CF26B5" w:rsidRDefault="00CF26B5" w:rsidP="00CF26B5">
      <w:pPr>
        <w:pStyle w:val="Bullet1"/>
        <w:numPr>
          <w:ilvl w:val="0"/>
          <w:numId w:val="2"/>
        </w:numPr>
        <w:tabs>
          <w:tab w:val="clear" w:pos="454"/>
        </w:tabs>
        <w:spacing w:before="60" w:after="60"/>
        <w:jc w:val="both"/>
      </w:pPr>
      <w:r w:rsidRPr="00CF26B5">
        <w:t xml:space="preserve">Experience working in or with government agencies on funding model development and appropriation processes. </w:t>
      </w:r>
    </w:p>
    <w:p w14:paraId="7BAE53E6" w14:textId="77777777" w:rsidR="00CF26B5" w:rsidRDefault="00CF26B5" w:rsidP="00CF26B5">
      <w:pPr>
        <w:pStyle w:val="Heading2"/>
        <w:spacing w:before="360"/>
      </w:pPr>
      <w:r w:rsidRPr="00B27E44">
        <w:t>Attributes</w:t>
      </w:r>
    </w:p>
    <w:p w14:paraId="69D595EA" w14:textId="77777777" w:rsidR="00CF26B5" w:rsidRDefault="00CF26B5" w:rsidP="00CF26B5">
      <w:pPr>
        <w:pStyle w:val="ListBullet"/>
      </w:pPr>
      <w:r>
        <w:t>Effective communication and presentation skills to an executive level, with demonstrable ability to handle media and ministerial enquiries.</w:t>
      </w:r>
    </w:p>
    <w:p w14:paraId="41E5197C" w14:textId="77777777" w:rsidR="00CF26B5" w:rsidRDefault="00CF26B5" w:rsidP="00CF26B5">
      <w:pPr>
        <w:pStyle w:val="ListBullet"/>
      </w:pPr>
      <w:r w:rsidRPr="00842143">
        <w:t xml:space="preserve">Strategic </w:t>
      </w:r>
      <w:r w:rsidRPr="009F6174">
        <w:t xml:space="preserve">leadership </w:t>
      </w:r>
    </w:p>
    <w:p w14:paraId="0D0F7DF8" w14:textId="77777777" w:rsidR="00CF26B5" w:rsidRDefault="00CF26B5" w:rsidP="00CF26B5">
      <w:pPr>
        <w:pStyle w:val="ListBullet"/>
      </w:pPr>
      <w:r>
        <w:t>Senior managerial expertise and the management of people</w:t>
      </w:r>
    </w:p>
    <w:p w14:paraId="2660575B" w14:textId="77777777" w:rsidR="00CF26B5" w:rsidRDefault="00CF26B5" w:rsidP="00CF26B5">
      <w:pPr>
        <w:pStyle w:val="ListBullet"/>
      </w:pPr>
      <w:r>
        <w:t>Strong</w:t>
      </w:r>
      <w:r w:rsidRPr="0044074C">
        <w:t xml:space="preserve"> strategic thinking, analytical and problem-solving skills. </w:t>
      </w:r>
    </w:p>
    <w:p w14:paraId="590403BE" w14:textId="77777777" w:rsidR="00CF26B5" w:rsidRDefault="00CF26B5" w:rsidP="00CF26B5">
      <w:pPr>
        <w:pStyle w:val="ListBullet"/>
      </w:pPr>
      <w:r>
        <w:t>Ability to provide high quality specialised programme advice and reporting.</w:t>
      </w:r>
    </w:p>
    <w:p w14:paraId="0A106705" w14:textId="77777777" w:rsidR="00CF26B5" w:rsidRDefault="00CF26B5" w:rsidP="00CF26B5">
      <w:pPr>
        <w:pStyle w:val="ListBullet"/>
      </w:pPr>
      <w:r>
        <w:t>Proven ability to effect change in an uncertain, ambiguous, complex environment.</w:t>
      </w:r>
    </w:p>
    <w:p w14:paraId="324CD9DF" w14:textId="77777777" w:rsidR="00CF26B5" w:rsidRDefault="00CF26B5" w:rsidP="00CF26B5">
      <w:pPr>
        <w:pStyle w:val="ListBullet"/>
      </w:pPr>
      <w:r>
        <w:t>Proven negotiation and influencing skills.</w:t>
      </w:r>
    </w:p>
    <w:p w14:paraId="494F1C8C" w14:textId="77777777" w:rsidR="00CF26B5" w:rsidRDefault="00CF26B5" w:rsidP="00CF26B5">
      <w:pPr>
        <w:pStyle w:val="Bullet1"/>
        <w:numPr>
          <w:ilvl w:val="0"/>
          <w:numId w:val="2"/>
        </w:numPr>
        <w:tabs>
          <w:tab w:val="clear" w:pos="454"/>
        </w:tabs>
        <w:spacing w:before="60" w:after="60"/>
      </w:pPr>
      <w:r>
        <w:t>Welcomes</w:t>
      </w:r>
      <w:r w:rsidRPr="001B4B40">
        <w:t xml:space="preserve"> </w:t>
      </w:r>
      <w:r>
        <w:t>and</w:t>
      </w:r>
      <w:r w:rsidRPr="001B4B40">
        <w:t xml:space="preserve"> </w:t>
      </w:r>
      <w:r>
        <w:t>values</w:t>
      </w:r>
      <w:r w:rsidRPr="001B4B40">
        <w:t xml:space="preserve"> </w:t>
      </w:r>
      <w:r>
        <w:t>diversity and</w:t>
      </w:r>
      <w:r w:rsidRPr="001B4B40">
        <w:t xml:space="preserve"> </w:t>
      </w:r>
      <w:r>
        <w:t>contributes</w:t>
      </w:r>
      <w:r w:rsidRPr="001B4B40">
        <w:t xml:space="preserve"> </w:t>
      </w:r>
      <w:r>
        <w:t>to</w:t>
      </w:r>
      <w:r w:rsidRPr="001B4B40">
        <w:t xml:space="preserve"> </w:t>
      </w:r>
      <w:r>
        <w:t>an</w:t>
      </w:r>
      <w:r w:rsidRPr="001B4B40">
        <w:t xml:space="preserve"> </w:t>
      </w:r>
      <w:r>
        <w:t>inclusive</w:t>
      </w:r>
      <w:r w:rsidRPr="001B4B40">
        <w:t xml:space="preserve"> </w:t>
      </w:r>
      <w:r>
        <w:t>working</w:t>
      </w:r>
      <w:r w:rsidRPr="001B4B40">
        <w:t xml:space="preserve"> </w:t>
      </w:r>
      <w:r>
        <w:t>environment where</w:t>
      </w:r>
      <w:r w:rsidRPr="001B4B40">
        <w:t xml:space="preserve"> </w:t>
      </w:r>
      <w:r>
        <w:t>differences are</w:t>
      </w:r>
      <w:r w:rsidRPr="001B4B40">
        <w:t xml:space="preserve"> </w:t>
      </w:r>
      <w:r>
        <w:t>acknowledged and respected.</w:t>
      </w:r>
    </w:p>
    <w:p w14:paraId="34125658" w14:textId="5FCAA9EE" w:rsidR="0080061F" w:rsidRPr="0076538D" w:rsidRDefault="0080061F" w:rsidP="00CF26B5">
      <w:pPr>
        <w:pStyle w:val="Heading3"/>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480375E3" w14:textId="3C0C7B49" w:rsidR="00CF26B5" w:rsidRDefault="00CF26B5" w:rsidP="00CF26B5">
      <w:pPr>
        <w:numPr>
          <w:ilvl w:val="0"/>
          <w:numId w:val="10"/>
        </w:numPr>
        <w:tabs>
          <w:tab w:val="left" w:pos="3420"/>
        </w:tabs>
        <w:spacing w:after="0" w:line="240" w:lineRule="auto"/>
        <w:ind w:left="357" w:hanging="357"/>
        <w:rPr>
          <w:rFonts w:eastAsiaTheme="minorEastAsia"/>
        </w:rPr>
      </w:pPr>
      <w:r w:rsidRPr="00CF26B5">
        <w:rPr>
          <w:rFonts w:eastAsiaTheme="minorEastAsia"/>
        </w:rPr>
        <w:t xml:space="preserve">DCE </w:t>
      </w:r>
      <w:r w:rsidRPr="00CF26B5">
        <w:rPr>
          <w:rFonts w:eastAsiaTheme="minorEastAsia" w:hint="eastAsia"/>
          <w:lang w:eastAsia="zh-CN"/>
        </w:rPr>
        <w:t>Disability Support Services</w:t>
      </w:r>
      <w:r w:rsidRPr="00CF26B5">
        <w:rPr>
          <w:rFonts w:eastAsiaTheme="minorEastAsia"/>
        </w:rPr>
        <w:t xml:space="preserve"> </w:t>
      </w:r>
    </w:p>
    <w:p w14:paraId="1AE6B7A7" w14:textId="757ADFD1" w:rsidR="00CF26B5" w:rsidRDefault="00CF26B5" w:rsidP="00CF26B5">
      <w:pPr>
        <w:numPr>
          <w:ilvl w:val="0"/>
          <w:numId w:val="10"/>
        </w:numPr>
        <w:tabs>
          <w:tab w:val="left" w:pos="3420"/>
        </w:tabs>
        <w:spacing w:after="0" w:line="240" w:lineRule="auto"/>
        <w:ind w:left="357" w:hanging="357"/>
        <w:rPr>
          <w:rFonts w:eastAsiaTheme="minorEastAsia"/>
        </w:rPr>
      </w:pPr>
      <w:r>
        <w:rPr>
          <w:rFonts w:eastAsiaTheme="minorEastAsia"/>
        </w:rPr>
        <w:t>Programme Director</w:t>
      </w:r>
      <w:r w:rsidR="001F7252">
        <w:rPr>
          <w:rFonts w:eastAsiaTheme="minorEastAsia"/>
        </w:rPr>
        <w:t>, DSS Taskforce</w:t>
      </w:r>
    </w:p>
    <w:p w14:paraId="34819ABE" w14:textId="6F17C240" w:rsidR="00CF26B5" w:rsidRPr="00CF26B5" w:rsidRDefault="00CF26B5" w:rsidP="00CF26B5">
      <w:pPr>
        <w:numPr>
          <w:ilvl w:val="0"/>
          <w:numId w:val="10"/>
        </w:numPr>
        <w:tabs>
          <w:tab w:val="left" w:pos="3420"/>
        </w:tabs>
        <w:spacing w:after="0" w:line="240" w:lineRule="auto"/>
        <w:ind w:left="357" w:hanging="357"/>
        <w:rPr>
          <w:rFonts w:eastAsiaTheme="minorEastAsia"/>
        </w:rPr>
      </w:pPr>
      <w:r>
        <w:rPr>
          <w:rFonts w:eastAsiaTheme="minorEastAsia"/>
        </w:rPr>
        <w:t xml:space="preserve">Associate DCE </w:t>
      </w:r>
      <w:r w:rsidRPr="00CF26B5">
        <w:rPr>
          <w:rFonts w:eastAsiaTheme="minorEastAsia" w:hint="eastAsia"/>
          <w:lang w:eastAsia="zh-CN"/>
        </w:rPr>
        <w:t>Disability Support Services</w:t>
      </w:r>
    </w:p>
    <w:p w14:paraId="47CE5A70" w14:textId="77777777" w:rsidR="00CF26B5" w:rsidRPr="00CF26B5" w:rsidRDefault="00CF26B5" w:rsidP="00CF26B5">
      <w:pPr>
        <w:numPr>
          <w:ilvl w:val="0"/>
          <w:numId w:val="10"/>
        </w:numPr>
        <w:tabs>
          <w:tab w:val="left" w:pos="3420"/>
        </w:tabs>
        <w:spacing w:after="0" w:line="240" w:lineRule="auto"/>
        <w:ind w:left="357" w:hanging="357"/>
        <w:rPr>
          <w:rFonts w:eastAsiaTheme="minorEastAsia"/>
        </w:rPr>
      </w:pPr>
      <w:r w:rsidRPr="00CF26B5">
        <w:rPr>
          <w:rFonts w:eastAsiaTheme="minorEastAsia" w:hint="eastAsia"/>
          <w:lang w:eastAsia="zh-CN"/>
        </w:rPr>
        <w:t>Managers in DSS Business Group</w:t>
      </w:r>
    </w:p>
    <w:p w14:paraId="5270446B" w14:textId="77777777" w:rsidR="00CF26B5" w:rsidRPr="00CF26B5" w:rsidRDefault="00CF26B5" w:rsidP="00CF26B5">
      <w:pPr>
        <w:numPr>
          <w:ilvl w:val="0"/>
          <w:numId w:val="10"/>
        </w:numPr>
        <w:tabs>
          <w:tab w:val="left" w:pos="3420"/>
        </w:tabs>
        <w:spacing w:after="0" w:line="240" w:lineRule="auto"/>
        <w:ind w:left="357" w:hanging="357"/>
        <w:rPr>
          <w:rFonts w:eastAsiaTheme="minorEastAsia"/>
        </w:rPr>
      </w:pPr>
      <w:r w:rsidRPr="00CF26B5">
        <w:rPr>
          <w:rFonts w:eastAsiaTheme="minorEastAsia"/>
        </w:rPr>
        <w:t>Leaders responsible for delivery across all elements of the programme</w:t>
      </w:r>
    </w:p>
    <w:p w14:paraId="37FD8C85" w14:textId="77777777" w:rsidR="00CF26B5" w:rsidRPr="00CF26B5" w:rsidRDefault="00CF26B5" w:rsidP="00CF26B5">
      <w:pPr>
        <w:numPr>
          <w:ilvl w:val="0"/>
          <w:numId w:val="10"/>
        </w:numPr>
        <w:tabs>
          <w:tab w:val="left" w:pos="3420"/>
        </w:tabs>
        <w:spacing w:after="0" w:line="240" w:lineRule="auto"/>
        <w:ind w:left="357" w:hanging="357"/>
        <w:rPr>
          <w:rFonts w:eastAsiaTheme="minorEastAsia"/>
        </w:rPr>
      </w:pPr>
      <w:r w:rsidRPr="00CF26B5">
        <w:rPr>
          <w:rFonts w:eastAsiaTheme="minorEastAsia"/>
        </w:rPr>
        <w:t>Senior executives and leaders in other government agencies and authorities</w:t>
      </w:r>
    </w:p>
    <w:p w14:paraId="1504A761" w14:textId="77777777" w:rsidR="00CF26B5" w:rsidRPr="00CF26B5" w:rsidRDefault="00CF26B5" w:rsidP="00CF26B5">
      <w:pPr>
        <w:numPr>
          <w:ilvl w:val="0"/>
          <w:numId w:val="10"/>
        </w:numPr>
        <w:tabs>
          <w:tab w:val="left" w:pos="3420"/>
        </w:tabs>
        <w:spacing w:after="0" w:line="240" w:lineRule="auto"/>
        <w:ind w:left="357" w:hanging="357"/>
        <w:rPr>
          <w:rFonts w:eastAsiaTheme="minorEastAsia"/>
        </w:rPr>
      </w:pPr>
      <w:r w:rsidRPr="00CF26B5">
        <w:rPr>
          <w:rFonts w:eastAsiaTheme="minorEastAsia"/>
        </w:rPr>
        <w:t>Stakeholder groups</w:t>
      </w:r>
    </w:p>
    <w:p w14:paraId="65642C5B" w14:textId="5BDD978B" w:rsidR="000517E1" w:rsidRDefault="0080061F" w:rsidP="00E44B7B">
      <w:pPr>
        <w:pStyle w:val="Heading3"/>
        <w:jc w:val="both"/>
      </w:pPr>
      <w:r w:rsidRPr="00E83550">
        <w:t xml:space="preserve">External </w:t>
      </w:r>
    </w:p>
    <w:p w14:paraId="77D84B77" w14:textId="77777777" w:rsidR="00CF26B5" w:rsidRPr="006453C9" w:rsidRDefault="00CF26B5" w:rsidP="00CF26B5">
      <w:pPr>
        <w:pStyle w:val="Bullet1"/>
        <w:numPr>
          <w:ilvl w:val="0"/>
          <w:numId w:val="10"/>
        </w:numPr>
        <w:tabs>
          <w:tab w:val="clear" w:pos="454"/>
        </w:tabs>
        <w:spacing w:before="120" w:after="0" w:line="240" w:lineRule="auto"/>
        <w:ind w:left="357" w:hanging="357"/>
      </w:pPr>
      <w:r w:rsidRPr="006453C9">
        <w:t>External Government agency managers</w:t>
      </w:r>
    </w:p>
    <w:p w14:paraId="3FD40AFE" w14:textId="77777777" w:rsidR="00CF26B5" w:rsidRPr="006453C9" w:rsidRDefault="00CF26B5" w:rsidP="00CF26B5">
      <w:pPr>
        <w:pStyle w:val="Bullet1"/>
        <w:numPr>
          <w:ilvl w:val="0"/>
          <w:numId w:val="10"/>
        </w:numPr>
        <w:tabs>
          <w:tab w:val="clear" w:pos="454"/>
        </w:tabs>
        <w:spacing w:after="0" w:line="240" w:lineRule="auto"/>
      </w:pPr>
      <w:r w:rsidRPr="006453C9">
        <w:t>Service Providers</w:t>
      </w:r>
    </w:p>
    <w:p w14:paraId="32FB05B1" w14:textId="704C5F5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0B06047" w:rsidR="0080061F" w:rsidRPr="00F84379" w:rsidRDefault="0080061F" w:rsidP="00086206">
      <w:pPr>
        <w:pStyle w:val="Bullet1"/>
        <w:numPr>
          <w:ilvl w:val="0"/>
          <w:numId w:val="2"/>
        </w:numPr>
        <w:tabs>
          <w:tab w:val="clear" w:pos="454"/>
        </w:tabs>
        <w:spacing w:before="60" w:after="60"/>
      </w:pPr>
      <w:r w:rsidRPr="00F84379">
        <w:t xml:space="preserve">Financial – </w:t>
      </w:r>
      <w:r w:rsidR="00CF26B5">
        <w:t>4</w:t>
      </w:r>
    </w:p>
    <w:p w14:paraId="1A13EE12" w14:textId="5A448A55" w:rsidR="0080061F" w:rsidRPr="00F84379" w:rsidRDefault="0080061F" w:rsidP="00086206">
      <w:pPr>
        <w:pStyle w:val="Bullet1"/>
        <w:numPr>
          <w:ilvl w:val="0"/>
          <w:numId w:val="2"/>
        </w:numPr>
        <w:tabs>
          <w:tab w:val="clear" w:pos="454"/>
        </w:tabs>
        <w:spacing w:before="60" w:after="60"/>
      </w:pPr>
      <w:r w:rsidRPr="00F84379">
        <w:t xml:space="preserve">Human Resources </w:t>
      </w:r>
      <w:r w:rsidR="000517E1" w:rsidRPr="00F84379">
        <w:t xml:space="preserve">– </w:t>
      </w:r>
      <w:r w:rsidR="00CF26B5">
        <w:t>4</w:t>
      </w:r>
    </w:p>
    <w:p w14:paraId="09A0D619" w14:textId="664B90BB" w:rsidR="0080061F" w:rsidRDefault="0080061F" w:rsidP="000469A5">
      <w:pPr>
        <w:pStyle w:val="Heading3"/>
      </w:pPr>
      <w:r w:rsidRPr="00096E86">
        <w:t>Direct reports</w:t>
      </w:r>
      <w:r>
        <w:t xml:space="preserve"> </w:t>
      </w:r>
      <w:r w:rsidR="00F95189">
        <w:t>- No</w:t>
      </w:r>
    </w:p>
    <w:p w14:paraId="7A424157" w14:textId="050EE7D0" w:rsidR="0080061F" w:rsidRDefault="0080061F" w:rsidP="000469A5">
      <w:pPr>
        <w:pStyle w:val="Heading3"/>
      </w:pPr>
      <w:r>
        <w:t>Security clearance</w:t>
      </w:r>
      <w:r w:rsidR="00F95189">
        <w:t xml:space="preserve"> - No </w:t>
      </w:r>
    </w:p>
    <w:p w14:paraId="5AD192A7" w14:textId="39164A96" w:rsidR="0080061F" w:rsidRPr="0076538D" w:rsidRDefault="0080061F" w:rsidP="000469A5">
      <w:pPr>
        <w:pStyle w:val="Heading3"/>
      </w:pPr>
      <w:r>
        <w:t xml:space="preserve">Children’s worker </w:t>
      </w:r>
      <w:r w:rsidR="00907A7C">
        <w:t xml:space="preserve">– No </w:t>
      </w:r>
    </w:p>
    <w:p w14:paraId="34F3E7D0" w14:textId="4416BD63" w:rsidR="0080061F" w:rsidRDefault="0080061F" w:rsidP="0080061F">
      <w:pPr>
        <w:spacing w:after="0" w:line="240" w:lineRule="auto"/>
      </w:pPr>
      <w:r>
        <w:t>Limited ad</w:t>
      </w:r>
      <w:r w:rsidR="00E259D7">
        <w:t xml:space="preserve"> </w:t>
      </w:r>
      <w:r>
        <w:t xml:space="preserve">hoc travel may be </w:t>
      </w:r>
      <w:r w:rsidR="003D06C4">
        <w:t>required.</w:t>
      </w:r>
    </w:p>
    <w:p w14:paraId="5F667520" w14:textId="77777777" w:rsidR="004230ED" w:rsidRDefault="004230ED" w:rsidP="0080061F"/>
    <w:p w14:paraId="01BC106E" w14:textId="16538C17" w:rsidR="004230ED" w:rsidRPr="0080061F" w:rsidRDefault="004230ED" w:rsidP="00CE41FE">
      <w:pPr>
        <w:rPr>
          <w:b/>
          <w:bCs/>
          <w:lang w:eastAsia="en-GB"/>
        </w:rPr>
      </w:pPr>
      <w:r w:rsidRPr="004230ED">
        <w:rPr>
          <w:rFonts w:eastAsia="Times New Roman"/>
          <w:b/>
          <w:sz w:val="24"/>
          <w:szCs w:val="20"/>
          <w:lang w:eastAsia="en-GB"/>
        </w:rPr>
        <w:t xml:space="preserve">Position Description </w:t>
      </w:r>
      <w:r w:rsidR="003D06C4">
        <w:rPr>
          <w:rFonts w:eastAsia="Times New Roman"/>
          <w:b/>
          <w:sz w:val="24"/>
          <w:szCs w:val="20"/>
          <w:lang w:eastAsia="en-GB"/>
        </w:rPr>
        <w:t>Developed</w:t>
      </w:r>
      <w:r w:rsidRPr="004230ED">
        <w:rPr>
          <w:rFonts w:eastAsia="Times New Roman"/>
          <w:b/>
          <w:sz w:val="24"/>
          <w:szCs w:val="20"/>
          <w:lang w:eastAsia="en-GB"/>
        </w:rPr>
        <w:t>:</w:t>
      </w:r>
      <w:r w:rsidRPr="004230ED">
        <w:rPr>
          <w:rFonts w:eastAsia="Times New Roman"/>
          <w:b/>
          <w:sz w:val="22"/>
          <w:szCs w:val="20"/>
          <w:lang w:val="en-NZ" w:eastAsia="en-GB"/>
        </w:rPr>
        <w:t xml:space="preserve"> </w:t>
      </w:r>
      <w:r w:rsidR="00CF26B5">
        <w:t>June 2025</w:t>
      </w: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E842" w14:textId="77777777" w:rsidR="005C5D37" w:rsidRDefault="005C5D37" w:rsidP="0077711D">
      <w:pPr>
        <w:spacing w:after="0" w:line="240" w:lineRule="auto"/>
      </w:pPr>
      <w:r>
        <w:separator/>
      </w:r>
    </w:p>
  </w:endnote>
  <w:endnote w:type="continuationSeparator" w:id="0">
    <w:p w14:paraId="26DDA8E7" w14:textId="77777777" w:rsidR="005C5D37" w:rsidRDefault="005C5D3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EF8F61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D3EA1" w:rsidRPr="004D3EA1">
      <w:t>Director Future Funding Models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450EEDE" w:rsidR="00803002" w:rsidRPr="002E5827" w:rsidRDefault="00617E99" w:rsidP="0080061F">
    <w:pPr>
      <w:pStyle w:val="Footer"/>
      <w:pBdr>
        <w:top w:val="single" w:sz="4" w:space="1" w:color="auto"/>
      </w:pBdr>
      <w:tabs>
        <w:tab w:val="clear" w:pos="9026"/>
        <w:tab w:val="right" w:pos="10206"/>
      </w:tabs>
      <w:rPr>
        <w:szCs w:val="18"/>
      </w:rPr>
    </w:pPr>
    <w:r w:rsidRPr="008B5C31">
      <w:t xml:space="preserve">Position Description – </w:t>
    </w:r>
    <w:r w:rsidR="00CF26B5" w:rsidRPr="00CF26B5">
      <w:t>Director Future Funding Models</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0ED" w14:textId="77777777" w:rsidR="005C5D37" w:rsidRDefault="005C5D37" w:rsidP="0077711D">
      <w:pPr>
        <w:spacing w:after="0" w:line="240" w:lineRule="auto"/>
      </w:pPr>
      <w:r>
        <w:separator/>
      </w:r>
    </w:p>
  </w:footnote>
  <w:footnote w:type="continuationSeparator" w:id="0">
    <w:p w14:paraId="747E7D76" w14:textId="77777777" w:rsidR="005C5D37" w:rsidRDefault="005C5D3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F828" w14:textId="79C87C89" w:rsidR="001D4FBA" w:rsidRDefault="001D4FBA">
    <w:pPr>
      <w:pStyle w:val="Header"/>
    </w:pPr>
    <w:r>
      <w:rPr>
        <w:noProof/>
      </w:rPr>
      <mc:AlternateContent>
        <mc:Choice Requires="wps">
          <w:drawing>
            <wp:anchor distT="0" distB="0" distL="0" distR="0" simplePos="0" relativeHeight="251659264" behindDoc="0" locked="0" layoutInCell="1" allowOverlap="1" wp14:anchorId="1B5E8B35" wp14:editId="1B93E2A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7D385" w14:textId="58CA7E37"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5E8B3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87D385" w14:textId="58CA7E37"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9A53" w14:textId="300FC9A6" w:rsidR="001D4FBA" w:rsidRDefault="001D4FBA">
    <w:pPr>
      <w:pStyle w:val="Header"/>
    </w:pPr>
    <w:r>
      <w:rPr>
        <w:noProof/>
      </w:rPr>
      <mc:AlternateContent>
        <mc:Choice Requires="wps">
          <w:drawing>
            <wp:anchor distT="0" distB="0" distL="0" distR="0" simplePos="0" relativeHeight="251660288" behindDoc="0" locked="0" layoutInCell="1" allowOverlap="1" wp14:anchorId="68B7B746" wp14:editId="059FB843">
              <wp:simplePos x="9144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AFA08" w14:textId="2F9B8297" w:rsidR="001D4FBA" w:rsidRPr="00B81136" w:rsidRDefault="001D4FBA" w:rsidP="001D4FBA">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7B746"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4AFA08" w14:textId="2F9B8297" w:rsidR="001D4FBA" w:rsidRPr="00B81136" w:rsidRDefault="001D4FBA" w:rsidP="001D4FBA">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7DA" w14:textId="047292AD" w:rsidR="001D4FBA" w:rsidRDefault="001D4FBA">
    <w:pPr>
      <w:pStyle w:val="Header"/>
    </w:pPr>
    <w:r>
      <w:rPr>
        <w:noProof/>
      </w:rPr>
      <mc:AlternateContent>
        <mc:Choice Requires="wps">
          <w:drawing>
            <wp:anchor distT="0" distB="0" distL="0" distR="0" simplePos="0" relativeHeight="251658240" behindDoc="0" locked="0" layoutInCell="1" allowOverlap="1" wp14:anchorId="3A71B976" wp14:editId="7B47FEE6">
              <wp:simplePos x="914400" y="28575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6B02F" w14:textId="69CB31B4" w:rsidR="001D4FBA" w:rsidRPr="001D4FBA" w:rsidRDefault="001D4FBA" w:rsidP="001D4FB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71B97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816B02F" w14:textId="69CB31B4" w:rsidR="001D4FBA" w:rsidRPr="001D4FBA" w:rsidRDefault="001D4FBA" w:rsidP="001D4FBA">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6E1E" w14:textId="425353F0" w:rsidR="001D4FBA" w:rsidRDefault="001D4FBA">
    <w:pPr>
      <w:pStyle w:val="Header"/>
    </w:pPr>
    <w:r>
      <w:rPr>
        <w:noProof/>
      </w:rPr>
      <mc:AlternateContent>
        <mc:Choice Requires="wps">
          <w:drawing>
            <wp:anchor distT="0" distB="0" distL="0" distR="0" simplePos="0" relativeHeight="251662336" behindDoc="0" locked="0" layoutInCell="1" allowOverlap="1" wp14:anchorId="11C801EC" wp14:editId="73B88FA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8E680" w14:textId="30AFAA1F"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801EC"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DF8E680" w14:textId="30AFAA1F"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87B2" w14:textId="4BC6D5CF" w:rsidR="001D4FBA" w:rsidRDefault="001D4FBA">
    <w:pPr>
      <w:pStyle w:val="Header"/>
    </w:pPr>
    <w:r>
      <w:rPr>
        <w:noProof/>
      </w:rPr>
      <mc:AlternateContent>
        <mc:Choice Requires="wps">
          <w:drawing>
            <wp:anchor distT="0" distB="0" distL="0" distR="0" simplePos="0" relativeHeight="251663360" behindDoc="0" locked="0" layoutInCell="1" allowOverlap="1" wp14:anchorId="260554A5" wp14:editId="7C27ACC2">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7738E" w14:textId="6EE23C38" w:rsidR="001D4FBA" w:rsidRPr="00B81136" w:rsidRDefault="001D4FBA" w:rsidP="001D4FBA">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0554A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987738E" w14:textId="6EE23C38" w:rsidR="001D4FBA" w:rsidRPr="00B81136" w:rsidRDefault="001D4FBA" w:rsidP="001D4FBA">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FCF" w14:textId="35A20856" w:rsidR="001D4FBA" w:rsidRDefault="001D4FBA">
    <w:pPr>
      <w:pStyle w:val="Header"/>
    </w:pPr>
    <w:r>
      <w:rPr>
        <w:noProof/>
      </w:rPr>
      <mc:AlternateContent>
        <mc:Choice Requires="wps">
          <w:drawing>
            <wp:anchor distT="0" distB="0" distL="0" distR="0" simplePos="0" relativeHeight="251661312" behindDoc="0" locked="0" layoutInCell="1" allowOverlap="1" wp14:anchorId="242695B9" wp14:editId="0289A93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9A372" w14:textId="06A01134"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2695B9"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419A372" w14:textId="06A01134" w:rsidR="001D4FBA" w:rsidRPr="001D4FBA" w:rsidRDefault="001D4FBA" w:rsidP="001D4FBA">
                    <w:pPr>
                      <w:spacing w:after="0"/>
                      <w:rPr>
                        <w:rFonts w:ascii="Calibri" w:hAnsi="Calibri" w:cs="Calibri"/>
                        <w:noProof/>
                        <w:color w:val="000000"/>
                        <w:szCs w:val="20"/>
                      </w:rPr>
                    </w:pPr>
                    <w:r w:rsidRPr="001D4FB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78C2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6" w15:restartNumberingAfterBreak="0">
    <w:nsid w:val="6E312B61"/>
    <w:multiLevelType w:val="multilevel"/>
    <w:tmpl w:val="B788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765BD5"/>
    <w:multiLevelType w:val="hybridMultilevel"/>
    <w:tmpl w:val="28E2D904"/>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27234674">
    <w:abstractNumId w:val="4"/>
  </w:num>
  <w:num w:numId="2" w16cid:durableId="1636565348">
    <w:abstractNumId w:val="1"/>
  </w:num>
  <w:num w:numId="3" w16cid:durableId="221059521">
    <w:abstractNumId w:val="0"/>
  </w:num>
  <w:num w:numId="4" w16cid:durableId="1993098847">
    <w:abstractNumId w:val="2"/>
  </w:num>
  <w:num w:numId="5" w16cid:durableId="1448233880">
    <w:abstractNumId w:val="3"/>
  </w:num>
  <w:num w:numId="6" w16cid:durableId="1026560075">
    <w:abstractNumId w:val="5"/>
  </w:num>
  <w:num w:numId="7" w16cid:durableId="1402556648">
    <w:abstractNumId w:val="5"/>
  </w:num>
  <w:num w:numId="8" w16cid:durableId="1670329720">
    <w:abstractNumId w:val="6"/>
  </w:num>
  <w:num w:numId="9" w16cid:durableId="428434784">
    <w:abstractNumId w:val="5"/>
  </w:num>
  <w:num w:numId="10" w16cid:durableId="62759209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17E1"/>
    <w:rsid w:val="000646BD"/>
    <w:rsid w:val="000710E0"/>
    <w:rsid w:val="00086206"/>
    <w:rsid w:val="000964FE"/>
    <w:rsid w:val="000969AE"/>
    <w:rsid w:val="000A576B"/>
    <w:rsid w:val="000C1F92"/>
    <w:rsid w:val="000E3BB9"/>
    <w:rsid w:val="001026C0"/>
    <w:rsid w:val="00106AED"/>
    <w:rsid w:val="00121058"/>
    <w:rsid w:val="0018418A"/>
    <w:rsid w:val="00190C72"/>
    <w:rsid w:val="001B360A"/>
    <w:rsid w:val="001D3744"/>
    <w:rsid w:val="001D4FBA"/>
    <w:rsid w:val="001F7252"/>
    <w:rsid w:val="00213DA6"/>
    <w:rsid w:val="00215149"/>
    <w:rsid w:val="00216302"/>
    <w:rsid w:val="00233BCC"/>
    <w:rsid w:val="00236D2D"/>
    <w:rsid w:val="00245A2B"/>
    <w:rsid w:val="00252382"/>
    <w:rsid w:val="00280E35"/>
    <w:rsid w:val="002D1C62"/>
    <w:rsid w:val="002D367B"/>
    <w:rsid w:val="00327384"/>
    <w:rsid w:val="00354EC2"/>
    <w:rsid w:val="0036388A"/>
    <w:rsid w:val="00387FAC"/>
    <w:rsid w:val="00397220"/>
    <w:rsid w:val="003A0400"/>
    <w:rsid w:val="003B0A38"/>
    <w:rsid w:val="003D06C4"/>
    <w:rsid w:val="003D0BF8"/>
    <w:rsid w:val="003E2869"/>
    <w:rsid w:val="003E2FF8"/>
    <w:rsid w:val="003E3722"/>
    <w:rsid w:val="003F320E"/>
    <w:rsid w:val="003F5109"/>
    <w:rsid w:val="004227ED"/>
    <w:rsid w:val="004230ED"/>
    <w:rsid w:val="00445BCE"/>
    <w:rsid w:val="00447DD8"/>
    <w:rsid w:val="00454F25"/>
    <w:rsid w:val="004710B8"/>
    <w:rsid w:val="0048294B"/>
    <w:rsid w:val="004957D3"/>
    <w:rsid w:val="00495E9D"/>
    <w:rsid w:val="004B6069"/>
    <w:rsid w:val="004D1E30"/>
    <w:rsid w:val="004D3EA1"/>
    <w:rsid w:val="004F5F5E"/>
    <w:rsid w:val="00517818"/>
    <w:rsid w:val="00533E65"/>
    <w:rsid w:val="00556508"/>
    <w:rsid w:val="0055724C"/>
    <w:rsid w:val="0056681E"/>
    <w:rsid w:val="00572AA9"/>
    <w:rsid w:val="00595906"/>
    <w:rsid w:val="005A4EA9"/>
    <w:rsid w:val="005B11F9"/>
    <w:rsid w:val="005B34D6"/>
    <w:rsid w:val="005B7839"/>
    <w:rsid w:val="005C5D37"/>
    <w:rsid w:val="005D7EE2"/>
    <w:rsid w:val="00617E99"/>
    <w:rsid w:val="00631D73"/>
    <w:rsid w:val="006A6894"/>
    <w:rsid w:val="006B19BD"/>
    <w:rsid w:val="00732149"/>
    <w:rsid w:val="00736E32"/>
    <w:rsid w:val="0077711D"/>
    <w:rsid w:val="007B201A"/>
    <w:rsid w:val="007C2143"/>
    <w:rsid w:val="007F3ACD"/>
    <w:rsid w:val="007F4EA3"/>
    <w:rsid w:val="0080061F"/>
    <w:rsid w:val="0080133F"/>
    <w:rsid w:val="00803002"/>
    <w:rsid w:val="0080498F"/>
    <w:rsid w:val="00821F38"/>
    <w:rsid w:val="00860654"/>
    <w:rsid w:val="008801CF"/>
    <w:rsid w:val="008C20D5"/>
    <w:rsid w:val="008F71EC"/>
    <w:rsid w:val="00903467"/>
    <w:rsid w:val="00906EAA"/>
    <w:rsid w:val="00907A7C"/>
    <w:rsid w:val="00965C35"/>
    <w:rsid w:val="00970DD2"/>
    <w:rsid w:val="0099555E"/>
    <w:rsid w:val="009A077C"/>
    <w:rsid w:val="009D15F1"/>
    <w:rsid w:val="009D2B10"/>
    <w:rsid w:val="009D7476"/>
    <w:rsid w:val="009E4862"/>
    <w:rsid w:val="00A2199C"/>
    <w:rsid w:val="00A43896"/>
    <w:rsid w:val="00A43F21"/>
    <w:rsid w:val="00A6244E"/>
    <w:rsid w:val="00A678E1"/>
    <w:rsid w:val="00B41635"/>
    <w:rsid w:val="00B441EF"/>
    <w:rsid w:val="00B52748"/>
    <w:rsid w:val="00B5357A"/>
    <w:rsid w:val="00B81136"/>
    <w:rsid w:val="00B8212D"/>
    <w:rsid w:val="00BA762A"/>
    <w:rsid w:val="00C1718B"/>
    <w:rsid w:val="00C503A7"/>
    <w:rsid w:val="00C5215F"/>
    <w:rsid w:val="00C7761A"/>
    <w:rsid w:val="00CB4A28"/>
    <w:rsid w:val="00CD0DFA"/>
    <w:rsid w:val="00CD4254"/>
    <w:rsid w:val="00CE41FE"/>
    <w:rsid w:val="00CF26B5"/>
    <w:rsid w:val="00D26AE6"/>
    <w:rsid w:val="00D34EA0"/>
    <w:rsid w:val="00D44AFA"/>
    <w:rsid w:val="00D637C3"/>
    <w:rsid w:val="00D90CA0"/>
    <w:rsid w:val="00DA5111"/>
    <w:rsid w:val="00DC2AFB"/>
    <w:rsid w:val="00DC4257"/>
    <w:rsid w:val="00DD3676"/>
    <w:rsid w:val="00DD4845"/>
    <w:rsid w:val="00DD4F32"/>
    <w:rsid w:val="00DD62A5"/>
    <w:rsid w:val="00DD6907"/>
    <w:rsid w:val="00DD7526"/>
    <w:rsid w:val="00DE3537"/>
    <w:rsid w:val="00E114E8"/>
    <w:rsid w:val="00E22E32"/>
    <w:rsid w:val="00E259D7"/>
    <w:rsid w:val="00E35521"/>
    <w:rsid w:val="00E43B69"/>
    <w:rsid w:val="00E44B7B"/>
    <w:rsid w:val="00E4584F"/>
    <w:rsid w:val="00E671C3"/>
    <w:rsid w:val="00E90142"/>
    <w:rsid w:val="00E9269E"/>
    <w:rsid w:val="00EF3676"/>
    <w:rsid w:val="00F05841"/>
    <w:rsid w:val="00F06EE8"/>
    <w:rsid w:val="00F071B6"/>
    <w:rsid w:val="00F07349"/>
    <w:rsid w:val="00F113EF"/>
    <w:rsid w:val="00F12474"/>
    <w:rsid w:val="00F126F3"/>
    <w:rsid w:val="00F13048"/>
    <w:rsid w:val="00F22AE5"/>
    <w:rsid w:val="00F60B82"/>
    <w:rsid w:val="00F829C0"/>
    <w:rsid w:val="00F829F6"/>
    <w:rsid w:val="00F84379"/>
    <w:rsid w:val="00F95189"/>
    <w:rsid w:val="00FA72F5"/>
    <w:rsid w:val="00FB527F"/>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styleId="Hyperlink">
    <w:name w:val="Hyperlink"/>
    <w:basedOn w:val="DefaultParagraphFont"/>
    <w:uiPriority w:val="99"/>
    <w:rsid w:val="00D90CA0"/>
    <w:rPr>
      <w:color w:val="0000FF" w:themeColor="hyperlink"/>
      <w:u w:val="single"/>
    </w:rPr>
  </w:style>
  <w:style w:type="paragraph" w:customStyle="1" w:styleId="pf0">
    <w:name w:val="pf0"/>
    <w:basedOn w:val="Normal"/>
    <w:rsid w:val="009D747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9D7476"/>
    <w:rPr>
      <w:rFonts w:ascii="Segoe UI" w:hAnsi="Segoe UI" w:cs="Segoe UI" w:hint="default"/>
      <w:sz w:val="18"/>
      <w:szCs w:val="18"/>
    </w:rPr>
  </w:style>
  <w:style w:type="character" w:customStyle="1" w:styleId="ui-provider">
    <w:name w:val="ui-provider"/>
    <w:basedOn w:val="DefaultParagraphFont"/>
    <w:rsid w:val="00F13048"/>
  </w:style>
  <w:style w:type="paragraph" w:customStyle="1" w:styleId="whitespace-normal">
    <w:name w:val="whitespace-normal"/>
    <w:basedOn w:val="Normal"/>
    <w:rsid w:val="004D3EA1"/>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101430">
      <w:bodyDiv w:val="1"/>
      <w:marLeft w:val="0"/>
      <w:marRight w:val="0"/>
      <w:marTop w:val="0"/>
      <w:marBottom w:val="0"/>
      <w:divBdr>
        <w:top w:val="none" w:sz="0" w:space="0" w:color="auto"/>
        <w:left w:val="none" w:sz="0" w:space="0" w:color="auto"/>
        <w:bottom w:val="none" w:sz="0" w:space="0" w:color="auto"/>
        <w:right w:val="none" w:sz="0" w:space="0" w:color="auto"/>
      </w:divBdr>
    </w:div>
    <w:div w:id="1510215360">
      <w:bodyDiv w:val="1"/>
      <w:marLeft w:val="0"/>
      <w:marRight w:val="0"/>
      <w:marTop w:val="0"/>
      <w:marBottom w:val="0"/>
      <w:divBdr>
        <w:top w:val="none" w:sz="0" w:space="0" w:color="auto"/>
        <w:left w:val="none" w:sz="0" w:space="0" w:color="auto"/>
        <w:bottom w:val="none" w:sz="0" w:space="0" w:color="auto"/>
        <w:right w:val="none" w:sz="0" w:space="0" w:color="auto"/>
      </w:divBdr>
    </w:div>
    <w:div w:id="1541747498">
      <w:bodyDiv w:val="1"/>
      <w:marLeft w:val="0"/>
      <w:marRight w:val="0"/>
      <w:marTop w:val="0"/>
      <w:marBottom w:val="0"/>
      <w:divBdr>
        <w:top w:val="none" w:sz="0" w:space="0" w:color="auto"/>
        <w:left w:val="none" w:sz="0" w:space="0" w:color="auto"/>
        <w:bottom w:val="none" w:sz="0" w:space="0" w:color="auto"/>
        <w:right w:val="none" w:sz="0" w:space="0" w:color="auto"/>
      </w:divBdr>
    </w:div>
    <w:div w:id="19006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2025-07-01T21:58:00Z</dcterms:created>
  <dcterms:modified xsi:type="dcterms:W3CDTF">2025-07-01T21:58:00Z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2024-01-31T00:44:25Z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5a69e125-06fd-46be-859c-8b68346eda71</vt:lpwstr>
  </property>
  <property fmtid="{D5CDD505-2E9C-101B-9397-08002B2CF9AE}" pid="11" name="MSIP_Label_f43e46a9-9901-46e9-bfae-bb6189d4cb66_ContentBits">
    <vt:lpwstr>1</vt:lpwstr>
  </property>
</Properties>
</file>