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58249"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68AA7738">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49144E02" w:rsidR="00FD13BE" w:rsidRPr="00D73E82" w:rsidRDefault="00426497" w:rsidP="004939A3">
      <w:pPr>
        <w:pStyle w:val="Heading1"/>
        <w:spacing w:after="120"/>
        <w:ind w:left="142"/>
        <w:rPr>
          <w:rFonts w:eastAsiaTheme="minorEastAsia"/>
          <w:color w:val="FFFFFF" w:themeColor="background1"/>
          <w:lang w:val="en-NZ" w:eastAsia="zh-CN"/>
        </w:rPr>
      </w:pPr>
      <w:r>
        <w:rPr>
          <w:color w:val="FFFFFF" w:themeColor="background1"/>
          <w:lang w:val="en-NZ"/>
        </w:rPr>
        <w:t xml:space="preserve">Director </w:t>
      </w:r>
      <w:r w:rsidR="00D73E82" w:rsidRPr="00D73E82">
        <w:rPr>
          <w:color w:val="FFFFFF" w:themeColor="background1"/>
          <w:lang w:val="en-NZ"/>
        </w:rPr>
        <w:t>Data and</w:t>
      </w:r>
      <w:r w:rsidR="00D73E82">
        <w:rPr>
          <w:rFonts w:asciiTheme="minorEastAsia" w:eastAsiaTheme="minorEastAsia" w:hAnsiTheme="minorEastAsia"/>
          <w:color w:val="FFFFFF" w:themeColor="background1"/>
          <w:lang w:val="en-NZ" w:eastAsia="zh-CN"/>
        </w:rPr>
        <w:t xml:space="preserve"> </w:t>
      </w:r>
      <w:r w:rsidR="007C73EF">
        <w:rPr>
          <w:color w:val="FFFFFF" w:themeColor="background1"/>
          <w:lang w:val="en-NZ"/>
        </w:rPr>
        <w:t>Evidence</w:t>
      </w:r>
    </w:p>
    <w:p w14:paraId="0EE1C846" w14:textId="77777777" w:rsidR="00ED73E8" w:rsidRDefault="00ED73E8" w:rsidP="000710E0">
      <w:pPr>
        <w:pStyle w:val="Heading2"/>
        <w:jc w:val="center"/>
        <w:rPr>
          <w:color w:val="auto"/>
          <w:lang w:val="en-NZ"/>
        </w:rPr>
      </w:pPr>
    </w:p>
    <w:p w14:paraId="0E99AF74" w14:textId="6801247D"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58240"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93CFC" id="Straight Connector 5"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58241"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7DACA" id="Straight Connector 9"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58242"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E4979" id="Straight Connector 14" o:spid="_x0000_s1026" alt="&quot;&quot;" style="position:absolute;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58243"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38B0D" id="Straight Connector 16" o:spid="_x0000_s1026" alt="&quot;&quot;" style="position:absolute;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58244"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C7415" id="Straight Connector 17" o:spid="_x0000_s1026" alt="&quot;&quot;"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58245"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A3E17" id="Straight Connector 18" o:spid="_x0000_s1026" alt="&quot;&quot;" style="position:absolute;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6D0A0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58246"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33E96" id="Straight Connector 19" o:spid="_x0000_s1026" alt="&quot;&quot;"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58247"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23EB5" id="Straight Connector 20" o:spid="_x0000_s1026" alt="&quot;&quot;" style="position:absolute;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B96A8B">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58248"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5B1F3" id="Straight Connector 21" o:spid="_x0000_s1026" alt="&quot;&quot;" style="position:absolute;flip:x;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399BA698" w14:textId="00BCE8A6" w:rsidR="007C73EF" w:rsidRDefault="007C73EF" w:rsidP="007C73EF">
      <w:pPr>
        <w:pStyle w:val="paragraph"/>
        <w:spacing w:before="0" w:beforeAutospacing="0" w:after="0" w:afterAutospacing="0"/>
        <w:textAlignment w:val="baseline"/>
        <w:rPr>
          <w:rFonts w:eastAsia="Calibri" w:cs="Arial"/>
          <w:sz w:val="20"/>
          <w:szCs w:val="22"/>
          <w:lang w:val="en-GB" w:eastAsia="en-US"/>
        </w:rPr>
      </w:pPr>
      <w:r w:rsidRPr="007C73EF">
        <w:rPr>
          <w:rFonts w:ascii="Verdana" w:eastAsia="Calibri" w:hAnsi="Verdana" w:cs="Arial"/>
          <w:sz w:val="20"/>
          <w:szCs w:val="22"/>
          <w:lang w:eastAsia="en-US"/>
        </w:rPr>
        <w:t xml:space="preserve">The Director </w:t>
      </w:r>
      <w:r w:rsidR="00D73E82">
        <w:rPr>
          <w:rFonts w:ascii="Verdana" w:eastAsia="Calibri" w:hAnsi="Verdana" w:cs="Arial"/>
          <w:sz w:val="20"/>
          <w:szCs w:val="22"/>
          <w:lang w:eastAsia="en-US"/>
        </w:rPr>
        <w:t xml:space="preserve">Data and Evidence </w:t>
      </w:r>
      <w:r w:rsidRPr="007C73EF">
        <w:rPr>
          <w:rFonts w:ascii="Verdana" w:eastAsia="Calibri" w:hAnsi="Verdana" w:cs="Arial"/>
          <w:sz w:val="20"/>
          <w:szCs w:val="22"/>
          <w:lang w:val="en-GB" w:eastAsia="en-US"/>
        </w:rPr>
        <w:t>lead</w:t>
      </w:r>
      <w:r w:rsidR="00AD4113">
        <w:rPr>
          <w:rFonts w:ascii="Verdana" w:eastAsia="Calibri" w:hAnsi="Verdana" w:cs="Arial"/>
          <w:sz w:val="20"/>
          <w:szCs w:val="22"/>
          <w:lang w:val="en-GB" w:eastAsia="en-US"/>
        </w:rPr>
        <w:t>s</w:t>
      </w:r>
      <w:r w:rsidRPr="007C73EF">
        <w:rPr>
          <w:rFonts w:ascii="Verdana" w:eastAsia="Calibri" w:hAnsi="Verdana" w:cs="Arial"/>
          <w:sz w:val="20"/>
          <w:szCs w:val="22"/>
          <w:lang w:val="en-GB" w:eastAsia="en-US"/>
        </w:rPr>
        <w:t xml:space="preserve"> the development and application of evidence, performance, and outcomes frameworks that support learning, accountability, and continuous improvement</w:t>
      </w:r>
      <w:r w:rsidR="00033C4C">
        <w:rPr>
          <w:rFonts w:ascii="Verdana" w:eastAsia="Calibri" w:hAnsi="Verdana" w:cs="Arial"/>
          <w:sz w:val="20"/>
          <w:szCs w:val="22"/>
          <w:lang w:val="en-GB" w:eastAsia="en-US"/>
        </w:rPr>
        <w:t xml:space="preserve"> across DSS</w:t>
      </w:r>
      <w:r w:rsidRPr="007C73EF">
        <w:rPr>
          <w:rFonts w:ascii="Verdana" w:eastAsia="Calibri" w:hAnsi="Verdana" w:cs="Arial"/>
          <w:sz w:val="20"/>
          <w:szCs w:val="22"/>
          <w:lang w:val="en-GB" w:eastAsia="en-US"/>
        </w:rPr>
        <w:t>. </w:t>
      </w:r>
      <w:r w:rsidRPr="007C73EF">
        <w:rPr>
          <w:rFonts w:eastAsia="Calibri" w:cs="Arial"/>
          <w:sz w:val="20"/>
          <w:szCs w:val="22"/>
          <w:lang w:val="en-GB" w:eastAsia="en-US"/>
        </w:rPr>
        <w:t> </w:t>
      </w:r>
    </w:p>
    <w:p w14:paraId="798B5B25" w14:textId="77777777" w:rsidR="007C73EF" w:rsidRPr="007C73EF" w:rsidRDefault="007C73EF" w:rsidP="007C73EF">
      <w:pPr>
        <w:pStyle w:val="paragraph"/>
        <w:spacing w:before="0" w:beforeAutospacing="0" w:after="0" w:afterAutospacing="0"/>
        <w:textAlignment w:val="baseline"/>
        <w:rPr>
          <w:rFonts w:ascii="Verdana" w:eastAsia="Calibri" w:hAnsi="Verdana" w:cs="Arial"/>
          <w:sz w:val="20"/>
          <w:szCs w:val="22"/>
          <w:lang w:val="en-GB" w:eastAsia="en-US"/>
        </w:rPr>
      </w:pPr>
    </w:p>
    <w:p w14:paraId="2352D91B" w14:textId="52A45BD0" w:rsidR="007C73EF" w:rsidRDefault="007C73EF" w:rsidP="007C73EF">
      <w:pPr>
        <w:pStyle w:val="paragraph"/>
        <w:spacing w:before="0" w:beforeAutospacing="0" w:after="0" w:afterAutospacing="0"/>
        <w:textAlignment w:val="baseline"/>
        <w:rPr>
          <w:rFonts w:eastAsia="Calibri" w:cs="Arial"/>
          <w:sz w:val="20"/>
          <w:szCs w:val="22"/>
          <w:lang w:val="en-GB" w:eastAsia="en-US"/>
        </w:rPr>
      </w:pPr>
      <w:r w:rsidRPr="007C73EF">
        <w:rPr>
          <w:rFonts w:ascii="Verdana" w:eastAsia="Calibri" w:hAnsi="Verdana" w:cs="Arial"/>
          <w:sz w:val="20"/>
          <w:szCs w:val="22"/>
          <w:lang w:val="en-GB" w:eastAsia="en-US"/>
        </w:rPr>
        <w:t xml:space="preserve">This role ensures that decisions </w:t>
      </w:r>
      <w:r w:rsidR="00FE33FB">
        <w:rPr>
          <w:rFonts w:ascii="Verdana" w:eastAsia="Calibri" w:hAnsi="Verdana" w:cs="Arial"/>
          <w:sz w:val="20"/>
          <w:szCs w:val="22"/>
          <w:lang w:val="en-GB" w:eastAsia="en-US"/>
        </w:rPr>
        <w:t xml:space="preserve">made across the group </w:t>
      </w:r>
      <w:r w:rsidRPr="007C73EF">
        <w:rPr>
          <w:rFonts w:ascii="Verdana" w:eastAsia="Calibri" w:hAnsi="Verdana" w:cs="Arial"/>
          <w:sz w:val="20"/>
          <w:szCs w:val="22"/>
          <w:lang w:val="en-GB" w:eastAsia="en-US"/>
        </w:rPr>
        <w:t>are informed by robust data and insights, and that the organisation can clearly demonstrate its impact and value to stakeholders, communities, and government. </w:t>
      </w:r>
      <w:r w:rsidRPr="007C73EF">
        <w:rPr>
          <w:rFonts w:eastAsia="Calibri" w:cs="Arial"/>
          <w:sz w:val="20"/>
          <w:szCs w:val="22"/>
          <w:lang w:val="en-GB" w:eastAsia="en-US"/>
        </w:rPr>
        <w:t> </w:t>
      </w:r>
    </w:p>
    <w:p w14:paraId="30934DE1" w14:textId="77777777" w:rsidR="007C73EF" w:rsidRPr="007C73EF" w:rsidRDefault="007C73EF" w:rsidP="007C73EF">
      <w:pPr>
        <w:pStyle w:val="paragraph"/>
        <w:spacing w:before="0" w:beforeAutospacing="0" w:after="0" w:afterAutospacing="0"/>
        <w:textAlignment w:val="baseline"/>
        <w:rPr>
          <w:rFonts w:ascii="Verdana" w:eastAsia="Calibri" w:hAnsi="Verdana" w:cs="Arial"/>
          <w:sz w:val="20"/>
          <w:szCs w:val="22"/>
          <w:lang w:val="en-GB" w:eastAsia="en-US"/>
        </w:rPr>
      </w:pPr>
    </w:p>
    <w:p w14:paraId="3C5FAA04" w14:textId="3385F301" w:rsidR="007C73EF" w:rsidRDefault="00FE33FB" w:rsidP="007C73EF">
      <w:pPr>
        <w:pStyle w:val="paragraph"/>
        <w:spacing w:before="0" w:beforeAutospacing="0" w:after="0" w:afterAutospacing="0"/>
        <w:textAlignment w:val="baseline"/>
        <w:rPr>
          <w:rFonts w:eastAsia="Calibri" w:cs="Arial"/>
          <w:sz w:val="20"/>
          <w:szCs w:val="22"/>
          <w:lang w:val="en-GB" w:eastAsia="en-US"/>
        </w:rPr>
      </w:pPr>
      <w:r>
        <w:rPr>
          <w:rFonts w:ascii="Verdana" w:eastAsia="Calibri" w:hAnsi="Verdana" w:cs="Arial"/>
          <w:sz w:val="20"/>
          <w:szCs w:val="22"/>
          <w:lang w:val="en-GB" w:eastAsia="en-US"/>
        </w:rPr>
        <w:t>The</w:t>
      </w:r>
      <w:r w:rsidRPr="007C73EF">
        <w:rPr>
          <w:rFonts w:ascii="Verdana" w:eastAsia="Calibri" w:hAnsi="Verdana" w:cs="Arial"/>
          <w:sz w:val="20"/>
          <w:szCs w:val="22"/>
          <w:lang w:val="en-GB" w:eastAsia="en-US"/>
        </w:rPr>
        <w:t xml:space="preserve"> </w:t>
      </w:r>
      <w:r w:rsidR="007C73EF" w:rsidRPr="007C73EF">
        <w:rPr>
          <w:rFonts w:ascii="Verdana" w:eastAsia="Calibri" w:hAnsi="Verdana" w:cs="Arial"/>
          <w:sz w:val="20"/>
          <w:szCs w:val="22"/>
          <w:lang w:val="en-GB" w:eastAsia="en-US"/>
        </w:rPr>
        <w:t>Director plays a critical role in building a culture of evidence-informed practice and ensuring that performance measurement is meaningful, equitable, and aligned with strategic priorities.</w:t>
      </w:r>
      <w:r w:rsidR="007C73EF" w:rsidRPr="007C73EF">
        <w:rPr>
          <w:rFonts w:eastAsia="Calibri" w:cs="Arial"/>
          <w:sz w:val="20"/>
          <w:szCs w:val="22"/>
          <w:lang w:val="en-GB" w:eastAsia="en-US"/>
        </w:rPr>
        <w:t> </w:t>
      </w:r>
    </w:p>
    <w:p w14:paraId="7C2D09CF" w14:textId="77777777" w:rsidR="007C73EF" w:rsidRPr="007C73EF" w:rsidRDefault="007C73EF" w:rsidP="007C73EF">
      <w:pPr>
        <w:pStyle w:val="paragraph"/>
        <w:spacing w:before="0" w:beforeAutospacing="0" w:after="0" w:afterAutospacing="0"/>
        <w:textAlignment w:val="baseline"/>
        <w:rPr>
          <w:rFonts w:ascii="Verdana" w:eastAsia="Calibri" w:hAnsi="Verdana" w:cs="Arial"/>
          <w:sz w:val="20"/>
          <w:szCs w:val="22"/>
          <w:lang w:val="en-GB" w:eastAsia="en-US"/>
        </w:rPr>
      </w:pPr>
    </w:p>
    <w:p w14:paraId="3D0A20B0" w14:textId="34C83525" w:rsidR="007C73EF" w:rsidRPr="007C73EF" w:rsidRDefault="007C73EF" w:rsidP="007C73EF">
      <w:pPr>
        <w:pStyle w:val="paragraph"/>
        <w:spacing w:before="0" w:beforeAutospacing="0" w:after="0" w:afterAutospacing="0"/>
        <w:textAlignment w:val="baseline"/>
        <w:rPr>
          <w:rFonts w:ascii="Verdana" w:eastAsia="Calibri" w:hAnsi="Verdana" w:cs="Arial"/>
          <w:sz w:val="20"/>
          <w:szCs w:val="22"/>
          <w:lang w:val="en-GB" w:eastAsia="en-US"/>
        </w:rPr>
      </w:pPr>
      <w:r w:rsidRPr="007C73EF">
        <w:rPr>
          <w:rFonts w:ascii="Verdana" w:eastAsia="Calibri" w:hAnsi="Verdana" w:cs="Arial"/>
          <w:sz w:val="20"/>
          <w:szCs w:val="22"/>
          <w:lang w:val="en-GB" w:eastAsia="en-US"/>
        </w:rPr>
        <w:t>Th</w:t>
      </w:r>
      <w:r w:rsidR="00AD4113">
        <w:rPr>
          <w:rFonts w:ascii="Verdana" w:eastAsia="Calibri" w:hAnsi="Verdana" w:cs="Arial"/>
          <w:sz w:val="20"/>
          <w:szCs w:val="22"/>
          <w:lang w:val="en-GB" w:eastAsia="en-US"/>
        </w:rPr>
        <w:t>is</w:t>
      </w:r>
      <w:r w:rsidRPr="007C73EF">
        <w:rPr>
          <w:rFonts w:ascii="Verdana" w:eastAsia="Calibri" w:hAnsi="Verdana" w:cs="Arial"/>
          <w:sz w:val="20"/>
          <w:szCs w:val="22"/>
          <w:lang w:val="en-GB" w:eastAsia="en-US"/>
        </w:rPr>
        <w:t xml:space="preserve"> </w:t>
      </w:r>
      <w:r w:rsidR="00FE33FB">
        <w:rPr>
          <w:rFonts w:ascii="Verdana" w:eastAsia="Calibri" w:hAnsi="Verdana" w:cs="Arial"/>
          <w:sz w:val="20"/>
          <w:szCs w:val="22"/>
          <w:lang w:val="en-GB" w:eastAsia="en-US"/>
        </w:rPr>
        <w:t>role</w:t>
      </w:r>
      <w:r w:rsidR="00FE33FB" w:rsidRPr="007C73EF">
        <w:rPr>
          <w:rFonts w:ascii="Verdana" w:eastAsia="Calibri" w:hAnsi="Verdana" w:cs="Arial"/>
          <w:sz w:val="20"/>
          <w:szCs w:val="22"/>
          <w:lang w:val="en-GB" w:eastAsia="en-US"/>
        </w:rPr>
        <w:t xml:space="preserve"> </w:t>
      </w:r>
      <w:r w:rsidRPr="007C73EF">
        <w:rPr>
          <w:rFonts w:ascii="Verdana" w:eastAsia="Calibri" w:hAnsi="Verdana" w:cs="Arial"/>
          <w:sz w:val="20"/>
          <w:szCs w:val="22"/>
          <w:lang w:val="en-GB" w:eastAsia="en-US"/>
        </w:rPr>
        <w:t xml:space="preserve">also works closely with MSD Strategy and Insights colleagues to commission insights, </w:t>
      </w:r>
      <w:proofErr w:type="gramStart"/>
      <w:r w:rsidRPr="007C73EF">
        <w:rPr>
          <w:rFonts w:ascii="Verdana" w:eastAsia="Calibri" w:hAnsi="Verdana" w:cs="Arial"/>
          <w:sz w:val="20"/>
          <w:szCs w:val="22"/>
          <w:lang w:val="en-GB" w:eastAsia="en-US"/>
        </w:rPr>
        <w:t>evaluation</w:t>
      </w:r>
      <w:proofErr w:type="gramEnd"/>
      <w:r w:rsidRPr="007C73EF">
        <w:rPr>
          <w:rFonts w:ascii="Verdana" w:eastAsia="Calibri" w:hAnsi="Verdana" w:cs="Arial"/>
          <w:sz w:val="20"/>
          <w:szCs w:val="22"/>
          <w:lang w:val="en-GB" w:eastAsia="en-US"/>
        </w:rPr>
        <w:t xml:space="preserve"> and research into current and future needs for disability support services</w:t>
      </w:r>
      <w:r w:rsidR="0076175E">
        <w:rPr>
          <w:rFonts w:ascii="Verdana" w:eastAsia="Calibri" w:hAnsi="Verdana" w:cs="Arial"/>
          <w:sz w:val="20"/>
          <w:szCs w:val="22"/>
          <w:lang w:val="en-GB" w:eastAsia="en-US"/>
        </w:rPr>
        <w:t>.</w:t>
      </w:r>
      <w:r w:rsidRPr="007C73EF">
        <w:rPr>
          <w:rFonts w:eastAsia="Calibri" w:cs="Arial"/>
          <w:sz w:val="20"/>
          <w:szCs w:val="22"/>
          <w:lang w:val="en-GB" w:eastAsia="en-US"/>
        </w:rPr>
        <w:t> </w:t>
      </w:r>
    </w:p>
    <w:p w14:paraId="2EC18287" w14:textId="6AD6E4C9" w:rsidR="0080061F" w:rsidRPr="00A70B36" w:rsidRDefault="0080061F" w:rsidP="0080061F">
      <w:pPr>
        <w:pStyle w:val="Heading3"/>
      </w:pPr>
      <w:r w:rsidRPr="00A70B36">
        <w:t>Location</w:t>
      </w:r>
    </w:p>
    <w:p w14:paraId="50B953AD" w14:textId="2A003A2A" w:rsidR="0080061F" w:rsidRDefault="00F406A9" w:rsidP="0080061F">
      <w:r>
        <w:t>Various</w:t>
      </w:r>
    </w:p>
    <w:p w14:paraId="70CBFD7E" w14:textId="77777777" w:rsidR="0080061F" w:rsidRDefault="0080061F" w:rsidP="0080061F">
      <w:pPr>
        <w:pStyle w:val="Heading3"/>
      </w:pPr>
      <w:r>
        <w:t>Reports to</w:t>
      </w:r>
    </w:p>
    <w:p w14:paraId="3BD35AB1" w14:textId="337F2CD4" w:rsidR="0080061F" w:rsidRDefault="00426497" w:rsidP="0080061F">
      <w:pPr>
        <w:spacing w:after="0" w:line="240" w:lineRule="auto"/>
      </w:pPr>
      <w:r>
        <w:t xml:space="preserve">General Manager </w:t>
      </w:r>
      <w:r w:rsidR="007C73EF">
        <w:t>Design, Delivery</w:t>
      </w:r>
      <w:r w:rsidR="006D0A06">
        <w:t xml:space="preserve"> and </w:t>
      </w:r>
      <w:r w:rsidR="007C73EF">
        <w:t>Data</w:t>
      </w:r>
    </w:p>
    <w:p w14:paraId="364B1823" w14:textId="77777777" w:rsidR="0080061F" w:rsidRDefault="0080061F" w:rsidP="0055724C">
      <w:pPr>
        <w:pStyle w:val="Heading2"/>
        <w:spacing w:before="360"/>
      </w:pPr>
      <w:r w:rsidRPr="00776B90">
        <w:t>Key</w:t>
      </w:r>
      <w:r>
        <w:t xml:space="preserve"> </w:t>
      </w:r>
      <w:r w:rsidRPr="00B27E44">
        <w:t>responsibilities</w:t>
      </w:r>
    </w:p>
    <w:p w14:paraId="259E15D3" w14:textId="541D758E" w:rsidR="00576592"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Design</w:t>
      </w:r>
      <w:r w:rsidR="00D72755" w:rsidRPr="00C9505C">
        <w:rPr>
          <w:color w:val="000000" w:themeColor="text1"/>
        </w:rPr>
        <w:t>, implement</w:t>
      </w:r>
      <w:r w:rsidRPr="00C9505C">
        <w:rPr>
          <w:color w:val="000000" w:themeColor="text1"/>
        </w:rPr>
        <w:t xml:space="preserve"> and maintain an outcomes framework that aligns with strategic goals, government priorities, and community aspirations.</w:t>
      </w:r>
    </w:p>
    <w:p w14:paraId="70576585" w14:textId="753116C5" w:rsidR="007C73EF" w:rsidRPr="00C9505C" w:rsidRDefault="00576592" w:rsidP="00C9505C">
      <w:pPr>
        <w:pStyle w:val="Bullet1"/>
        <w:tabs>
          <w:tab w:val="clear" w:pos="454"/>
        </w:tabs>
        <w:spacing w:before="60" w:after="60"/>
        <w:ind w:left="357" w:hanging="357"/>
        <w:rPr>
          <w:color w:val="000000" w:themeColor="text1"/>
        </w:rPr>
      </w:pPr>
      <w:r w:rsidRPr="00C9505C">
        <w:rPr>
          <w:rStyle w:val="normaltextrun"/>
          <w:color w:val="000000" w:themeColor="text1"/>
        </w:rPr>
        <w:t>Lead,</w:t>
      </w:r>
      <w:r w:rsidR="00C9505C">
        <w:rPr>
          <w:rStyle w:val="normaltextrun"/>
          <w:color w:val="000000" w:themeColor="text1"/>
        </w:rPr>
        <w:t xml:space="preserve"> </w:t>
      </w:r>
      <w:r w:rsidRPr="00C9505C">
        <w:rPr>
          <w:rStyle w:val="normaltextrun"/>
          <w:color w:val="000000" w:themeColor="text1"/>
        </w:rPr>
        <w:t xml:space="preserve">coach, and develop the </w:t>
      </w:r>
      <w:r w:rsidR="00943B70" w:rsidRPr="00C9505C">
        <w:rPr>
          <w:rStyle w:val="normaltextrun"/>
          <w:color w:val="000000" w:themeColor="text1"/>
        </w:rPr>
        <w:t xml:space="preserve">Evidence, Performance &amp; Outcomes </w:t>
      </w:r>
      <w:r w:rsidRPr="00C9505C">
        <w:rPr>
          <w:rStyle w:val="normaltextrun"/>
          <w:color w:val="000000" w:themeColor="text1"/>
        </w:rPr>
        <w:t>team, fostering a culture of high performance, professional growth, continuous quality improvement, setting clear objectives and monitoring performance. </w:t>
      </w:r>
      <w:r w:rsidRPr="00C9505C">
        <w:rPr>
          <w:rStyle w:val="eop"/>
          <w:color w:val="000000" w:themeColor="text1"/>
        </w:rPr>
        <w:t> </w:t>
      </w:r>
      <w:r w:rsidR="007C73EF" w:rsidRPr="00C9505C">
        <w:rPr>
          <w:color w:val="000000" w:themeColor="text1"/>
        </w:rPr>
        <w:t> </w:t>
      </w:r>
    </w:p>
    <w:p w14:paraId="63DEA0A4" w14:textId="77777777"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Provide strategic direction for the collection, analysis, and use of data and evidence to inform service delivery, policy, and performance measurement. </w:t>
      </w:r>
    </w:p>
    <w:p w14:paraId="6EC5A132" w14:textId="77777777"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Lead the development and implementation of performance indicators, monitoring systems, and evaluation strategies to track progress and impact. </w:t>
      </w:r>
    </w:p>
    <w:p w14:paraId="2EC5F167" w14:textId="1F67C605"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 xml:space="preserve">Work with MSD Strategy and Insights colleagues to commission insights, </w:t>
      </w:r>
      <w:proofErr w:type="gramStart"/>
      <w:r w:rsidRPr="00C9505C">
        <w:rPr>
          <w:color w:val="000000" w:themeColor="text1"/>
        </w:rPr>
        <w:t>evaluation</w:t>
      </w:r>
      <w:proofErr w:type="gramEnd"/>
      <w:r w:rsidRPr="00C9505C">
        <w:rPr>
          <w:color w:val="000000" w:themeColor="text1"/>
        </w:rPr>
        <w:t xml:space="preserve"> and research into current and future needs for disability support services</w:t>
      </w:r>
      <w:r w:rsidR="00AD4113" w:rsidRPr="00C9505C">
        <w:rPr>
          <w:color w:val="000000" w:themeColor="text1"/>
        </w:rPr>
        <w:t>.</w:t>
      </w:r>
      <w:r w:rsidRPr="00C9505C">
        <w:rPr>
          <w:color w:val="000000" w:themeColor="text1"/>
        </w:rPr>
        <w:t> </w:t>
      </w:r>
    </w:p>
    <w:p w14:paraId="7ACAC82B" w14:textId="77777777"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Oversee the collection, integration, and analysis of data from multiple sources to generate actionable insights for decision-making. </w:t>
      </w:r>
    </w:p>
    <w:p w14:paraId="506E0BF6" w14:textId="77777777"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Ensure performance reporting is timely, accurate, and tailored to the needs of Ministers, the public, and internal stakeholders. </w:t>
      </w:r>
    </w:p>
    <w:p w14:paraId="28CDBD67" w14:textId="77777777"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 xml:space="preserve">Build </w:t>
      </w:r>
      <w:proofErr w:type="spellStart"/>
      <w:r w:rsidRPr="00C9505C">
        <w:rPr>
          <w:color w:val="000000" w:themeColor="text1"/>
        </w:rPr>
        <w:t>organisational</w:t>
      </w:r>
      <w:proofErr w:type="spellEnd"/>
      <w:r w:rsidRPr="00C9505C">
        <w:rPr>
          <w:color w:val="000000" w:themeColor="text1"/>
        </w:rPr>
        <w:t xml:space="preserve"> capability in using evidence and performance information through training, tools, and support. </w:t>
      </w:r>
    </w:p>
    <w:p w14:paraId="77E7D482" w14:textId="77777777"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Provide strategic advice on the use of data and evidence in policy development, service design, and operational delivery. </w:t>
      </w:r>
    </w:p>
    <w:p w14:paraId="13D072FE" w14:textId="77777777"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Ensure ethical, secure, and culturally appropriate use of data, including alignment with Māori data sovereignty principles and data governance standards. </w:t>
      </w:r>
    </w:p>
    <w:p w14:paraId="3ED8462D" w14:textId="77777777"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 xml:space="preserve">Commission and oversee evaluations of key </w:t>
      </w:r>
      <w:proofErr w:type="spellStart"/>
      <w:r w:rsidRPr="00C9505C">
        <w:rPr>
          <w:color w:val="000000" w:themeColor="text1"/>
        </w:rPr>
        <w:t>programmes</w:t>
      </w:r>
      <w:proofErr w:type="spellEnd"/>
      <w:r w:rsidRPr="00C9505C">
        <w:rPr>
          <w:color w:val="000000" w:themeColor="text1"/>
        </w:rPr>
        <w:t xml:space="preserve"> and initiatives, ensuring findings are used to inform future planning and investment. </w:t>
      </w:r>
    </w:p>
    <w:p w14:paraId="0A090644" w14:textId="77777777"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lastRenderedPageBreak/>
        <w:t xml:space="preserve">Lead the development of dashboards, </w:t>
      </w:r>
      <w:proofErr w:type="spellStart"/>
      <w:r w:rsidRPr="00C9505C">
        <w:rPr>
          <w:color w:val="000000" w:themeColor="text1"/>
        </w:rPr>
        <w:t>visualisations</w:t>
      </w:r>
      <w:proofErr w:type="spellEnd"/>
      <w:r w:rsidRPr="00C9505C">
        <w:rPr>
          <w:color w:val="000000" w:themeColor="text1"/>
        </w:rPr>
        <w:t>, and reporting tools that support transparency and accountability. </w:t>
      </w:r>
    </w:p>
    <w:p w14:paraId="174210FC" w14:textId="77777777"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 xml:space="preserve">Collaborate with external research partners, academic institutions, and other agencies to strengthen the </w:t>
      </w:r>
      <w:proofErr w:type="spellStart"/>
      <w:r w:rsidRPr="00C9505C">
        <w:rPr>
          <w:color w:val="000000" w:themeColor="text1"/>
        </w:rPr>
        <w:t>organisation’s</w:t>
      </w:r>
      <w:proofErr w:type="spellEnd"/>
      <w:r w:rsidRPr="00C9505C">
        <w:rPr>
          <w:color w:val="000000" w:themeColor="text1"/>
        </w:rPr>
        <w:t xml:space="preserve"> evidence base. </w:t>
      </w:r>
    </w:p>
    <w:p w14:paraId="01389362" w14:textId="6B287DC2" w:rsidR="002D3248" w:rsidRPr="00C9505C" w:rsidRDefault="002D3248" w:rsidP="00C9505C">
      <w:pPr>
        <w:pStyle w:val="Bullet1"/>
        <w:tabs>
          <w:tab w:val="clear" w:pos="454"/>
        </w:tabs>
        <w:spacing w:before="60" w:after="60"/>
        <w:ind w:left="357" w:hanging="357"/>
        <w:rPr>
          <w:color w:val="000000" w:themeColor="text1"/>
        </w:rPr>
      </w:pPr>
      <w:r w:rsidRPr="00C9505C">
        <w:rPr>
          <w:color w:val="000000" w:themeColor="text1"/>
        </w:rPr>
        <w:t>Set priorities for improving data quality in existing and emerging data requirements.</w:t>
      </w:r>
    </w:p>
    <w:p w14:paraId="59E51F07" w14:textId="0CA225AE" w:rsidR="002C4BB0" w:rsidRPr="00C9505C" w:rsidRDefault="002C4BB0" w:rsidP="00C9505C">
      <w:pPr>
        <w:pStyle w:val="Bullet1"/>
        <w:tabs>
          <w:tab w:val="clear" w:pos="454"/>
        </w:tabs>
        <w:spacing w:before="60" w:after="60"/>
        <w:ind w:left="357" w:hanging="357"/>
        <w:rPr>
          <w:color w:val="000000" w:themeColor="text1"/>
        </w:rPr>
      </w:pPr>
      <w:r w:rsidRPr="00C9505C">
        <w:rPr>
          <w:color w:val="000000" w:themeColor="text1"/>
        </w:rPr>
        <w:t>Champion continuous improvement and professional development and capability uplift across all teams. </w:t>
      </w:r>
    </w:p>
    <w:p w14:paraId="040B7B41" w14:textId="3AC2995C" w:rsidR="00581D20" w:rsidRPr="00C9505C" w:rsidRDefault="00581D20" w:rsidP="00C9505C">
      <w:pPr>
        <w:pStyle w:val="Bullet1"/>
        <w:tabs>
          <w:tab w:val="clear" w:pos="454"/>
        </w:tabs>
        <w:spacing w:before="60" w:after="60"/>
        <w:ind w:left="357" w:hanging="357"/>
        <w:rPr>
          <w:color w:val="000000" w:themeColor="text1"/>
        </w:rPr>
      </w:pPr>
      <w:r w:rsidRPr="00C9505C">
        <w:rPr>
          <w:color w:val="000000" w:themeColor="text1"/>
        </w:rPr>
        <w:t xml:space="preserve">Provide advice to senior leaders </w:t>
      </w:r>
      <w:r w:rsidR="00BE0C92" w:rsidRPr="00C9505C">
        <w:rPr>
          <w:color w:val="000000" w:themeColor="text1"/>
        </w:rPr>
        <w:t xml:space="preserve">in </w:t>
      </w:r>
      <w:r w:rsidR="0058038C" w:rsidRPr="00C9505C">
        <w:rPr>
          <w:color w:val="000000" w:themeColor="text1"/>
        </w:rPr>
        <w:t xml:space="preserve">the </w:t>
      </w:r>
      <w:r w:rsidR="00BE0C92" w:rsidRPr="00C9505C">
        <w:rPr>
          <w:color w:val="000000" w:themeColor="text1"/>
        </w:rPr>
        <w:t>evidence, performance, and outcomes</w:t>
      </w:r>
      <w:r w:rsidR="0058038C" w:rsidRPr="00C9505C">
        <w:rPr>
          <w:color w:val="000000" w:themeColor="text1"/>
        </w:rPr>
        <w:t xml:space="preserve"> areas</w:t>
      </w:r>
      <w:r w:rsidRPr="00C9505C">
        <w:rPr>
          <w:color w:val="000000" w:themeColor="text1"/>
        </w:rPr>
        <w:t>.  </w:t>
      </w:r>
    </w:p>
    <w:p w14:paraId="13DADF51" w14:textId="4F7D3CB6" w:rsidR="009F7FCF" w:rsidRPr="00C9505C" w:rsidRDefault="009F7FCF" w:rsidP="00C9505C">
      <w:pPr>
        <w:pStyle w:val="Bullet1"/>
        <w:tabs>
          <w:tab w:val="clear" w:pos="454"/>
        </w:tabs>
        <w:spacing w:before="60" w:after="60"/>
        <w:ind w:left="357" w:hanging="357"/>
        <w:rPr>
          <w:color w:val="000000" w:themeColor="text1"/>
        </w:rPr>
      </w:pPr>
      <w:r w:rsidRPr="00C9505C">
        <w:rPr>
          <w:color w:val="000000" w:themeColor="text1"/>
        </w:rPr>
        <w:t>Work collaboratively with DSS and MSD colleagues to share practice, ensure alignment and promote consistent standards. </w:t>
      </w:r>
    </w:p>
    <w:p w14:paraId="68C809B0" w14:textId="3EBFA12D" w:rsidR="0080061F" w:rsidRPr="00426497" w:rsidRDefault="0080061F" w:rsidP="00426497">
      <w:pPr>
        <w:pStyle w:val="Bullet1"/>
        <w:numPr>
          <w:ilvl w:val="0"/>
          <w:numId w:val="0"/>
        </w:numPr>
        <w:tabs>
          <w:tab w:val="clear" w:pos="454"/>
        </w:tabs>
        <w:spacing w:before="360" w:after="60"/>
        <w:rPr>
          <w:b/>
          <w:bCs/>
          <w:iCs/>
          <w:color w:val="000000" w:themeColor="text1"/>
          <w:kern w:val="0"/>
          <w:sz w:val="28"/>
          <w:szCs w:val="28"/>
          <w:lang w:val="en-GB" w:eastAsia="en-GB"/>
        </w:rPr>
      </w:pPr>
      <w:r w:rsidRPr="00426497">
        <w:rPr>
          <w:b/>
          <w:bCs/>
          <w:iCs/>
          <w:color w:val="000000" w:themeColor="text1"/>
          <w:kern w:val="0"/>
          <w:sz w:val="28"/>
          <w:szCs w:val="28"/>
          <w:lang w:val="en-GB" w:eastAsia="en-GB"/>
        </w:rPr>
        <w:t xml:space="preserve">Embedding </w:t>
      </w:r>
      <w:proofErr w:type="spellStart"/>
      <w:r w:rsidR="00E22E32" w:rsidRPr="00426497">
        <w:rPr>
          <w:b/>
          <w:bCs/>
          <w:iCs/>
          <w:color w:val="000000" w:themeColor="text1"/>
          <w:kern w:val="0"/>
          <w:sz w:val="28"/>
          <w:szCs w:val="28"/>
          <w:lang w:val="en-GB" w:eastAsia="en-GB"/>
        </w:rPr>
        <w:t>t</w:t>
      </w:r>
      <w:r w:rsidRPr="00426497">
        <w:rPr>
          <w:b/>
          <w:bCs/>
          <w:iCs/>
          <w:color w:val="000000" w:themeColor="text1"/>
          <w:kern w:val="0"/>
          <w:sz w:val="28"/>
          <w:szCs w:val="28"/>
          <w:lang w:val="en-GB" w:eastAsia="en-GB"/>
        </w:rPr>
        <w:t>e</w:t>
      </w:r>
      <w:proofErr w:type="spellEnd"/>
      <w:r w:rsidRPr="00426497">
        <w:rPr>
          <w:b/>
          <w:bCs/>
          <w:iCs/>
          <w:color w:val="000000" w:themeColor="text1"/>
          <w:kern w:val="0"/>
          <w:sz w:val="28"/>
          <w:szCs w:val="28"/>
          <w:lang w:val="en-GB" w:eastAsia="en-GB"/>
        </w:rPr>
        <w:t xml:space="preserve"> </w:t>
      </w:r>
      <w:proofErr w:type="spellStart"/>
      <w:r w:rsidR="00E22E32" w:rsidRPr="00426497">
        <w:rPr>
          <w:b/>
          <w:bCs/>
          <w:iCs/>
          <w:color w:val="000000" w:themeColor="text1"/>
          <w:kern w:val="0"/>
          <w:sz w:val="28"/>
          <w:szCs w:val="28"/>
          <w:lang w:val="en-GB" w:eastAsia="en-GB"/>
        </w:rPr>
        <w:t>a</w:t>
      </w:r>
      <w:r w:rsidRPr="00426497">
        <w:rPr>
          <w:b/>
          <w:bCs/>
          <w:iCs/>
          <w:color w:val="000000" w:themeColor="text1"/>
          <w:kern w:val="0"/>
          <w:sz w:val="28"/>
          <w:szCs w:val="28"/>
          <w:lang w:val="en-GB" w:eastAsia="en-GB"/>
        </w:rPr>
        <w:t>o</w:t>
      </w:r>
      <w:proofErr w:type="spellEnd"/>
      <w:r w:rsidRPr="00426497">
        <w:rPr>
          <w:b/>
          <w:bCs/>
          <w:iCs/>
          <w:color w:val="000000" w:themeColor="text1"/>
          <w:kern w:val="0"/>
          <w:sz w:val="28"/>
          <w:szCs w:val="28"/>
          <w:lang w:val="en-GB" w:eastAsia="en-GB"/>
        </w:rPr>
        <w:t xml:space="preserve"> Māori </w:t>
      </w:r>
    </w:p>
    <w:p w14:paraId="149370A4" w14:textId="701B837E" w:rsidR="0080061F" w:rsidRPr="00C9505C" w:rsidRDefault="0080061F" w:rsidP="00C9505C">
      <w:pPr>
        <w:pStyle w:val="Bullet1"/>
        <w:tabs>
          <w:tab w:val="clear" w:pos="454"/>
        </w:tabs>
        <w:spacing w:before="60" w:after="60"/>
        <w:ind w:left="357" w:hanging="357"/>
        <w:rPr>
          <w:color w:val="000000" w:themeColor="text1"/>
        </w:rPr>
      </w:pPr>
      <w:r w:rsidRPr="00C9505C">
        <w:rPr>
          <w:color w:val="000000" w:themeColor="text1"/>
        </w:rPr>
        <w:t>Embedding and building on Te Ao Māori within their leadership role.</w:t>
      </w:r>
    </w:p>
    <w:p w14:paraId="775512ED" w14:textId="77777777" w:rsidR="0080061F" w:rsidRPr="00C9505C" w:rsidRDefault="0080061F" w:rsidP="00C9505C">
      <w:pPr>
        <w:pStyle w:val="Bullet1"/>
        <w:tabs>
          <w:tab w:val="clear" w:pos="454"/>
        </w:tabs>
        <w:spacing w:before="60" w:after="60"/>
        <w:ind w:left="357" w:hanging="357"/>
        <w:rPr>
          <w:color w:val="000000" w:themeColor="text1"/>
        </w:rPr>
      </w:pPr>
      <w:r w:rsidRPr="00C9505C">
        <w:rPr>
          <w:color w:val="000000" w:themeColor="text1"/>
        </w:rPr>
        <w:t xml:space="preserve">Create the conditions for Te Ao Māori and Te </w:t>
      </w:r>
      <w:proofErr w:type="spellStart"/>
      <w:r w:rsidRPr="00C9505C">
        <w:rPr>
          <w:color w:val="000000" w:themeColor="text1"/>
        </w:rPr>
        <w:t>Tiriti</w:t>
      </w:r>
      <w:proofErr w:type="spellEnd"/>
      <w:r w:rsidRPr="00C9505C">
        <w:rPr>
          <w:color w:val="000000" w:themeColor="text1"/>
        </w:rPr>
        <w:t xml:space="preserve"> o Waitangi in all decisions to ensure Te </w:t>
      </w:r>
      <w:proofErr w:type="spellStart"/>
      <w:r w:rsidRPr="00C9505C">
        <w:rPr>
          <w:color w:val="000000" w:themeColor="text1"/>
        </w:rPr>
        <w:t>Pae</w:t>
      </w:r>
      <w:proofErr w:type="spellEnd"/>
      <w:r w:rsidRPr="00C9505C">
        <w:rPr>
          <w:color w:val="000000" w:themeColor="text1"/>
        </w:rP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C9505C" w:rsidRDefault="0080061F" w:rsidP="00C9505C">
      <w:pPr>
        <w:pStyle w:val="Bullet1"/>
        <w:tabs>
          <w:tab w:val="clear" w:pos="454"/>
        </w:tabs>
        <w:spacing w:before="60" w:after="60"/>
        <w:ind w:left="357" w:hanging="357"/>
        <w:rPr>
          <w:color w:val="000000" w:themeColor="text1"/>
        </w:rPr>
      </w:pPr>
      <w:r w:rsidRPr="00C9505C">
        <w:rPr>
          <w:color w:val="000000" w:themeColor="text1"/>
        </w:rPr>
        <w:t>Understand and implement your manager accountabilities as outlined in the HSS Accountability Framework.</w:t>
      </w:r>
    </w:p>
    <w:p w14:paraId="51F25BA9" w14:textId="77777777" w:rsidR="0080061F" w:rsidRPr="00C9505C" w:rsidRDefault="0080061F" w:rsidP="00C9505C">
      <w:pPr>
        <w:pStyle w:val="Bullet1"/>
        <w:tabs>
          <w:tab w:val="clear" w:pos="454"/>
        </w:tabs>
        <w:spacing w:before="60" w:after="60"/>
        <w:ind w:left="357" w:hanging="357"/>
        <w:rPr>
          <w:color w:val="000000" w:themeColor="text1"/>
        </w:rPr>
      </w:pPr>
      <w:r w:rsidRPr="00C9505C">
        <w:rPr>
          <w:color w:val="000000" w:themeColor="text1"/>
        </w:rPr>
        <w:t xml:space="preserve">Ensure health, safety, security and wellbeing policies and procedures are understood, </w:t>
      </w:r>
      <w:proofErr w:type="gramStart"/>
      <w:r w:rsidRPr="00C9505C">
        <w:rPr>
          <w:color w:val="000000" w:themeColor="text1"/>
        </w:rPr>
        <w:t>followed</w:t>
      </w:r>
      <w:proofErr w:type="gramEnd"/>
      <w:r w:rsidRPr="00C9505C">
        <w:rPr>
          <w:color w:val="000000" w:themeColor="text1"/>
        </w:rPr>
        <w:t xml:space="preserve"> and implemented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C9505C" w:rsidRDefault="0080061F" w:rsidP="00C9505C">
      <w:pPr>
        <w:pStyle w:val="Bullet1"/>
        <w:tabs>
          <w:tab w:val="clear" w:pos="454"/>
        </w:tabs>
        <w:spacing w:before="60" w:after="60"/>
        <w:ind w:left="357" w:hanging="357"/>
        <w:rPr>
          <w:color w:val="000000" w:themeColor="text1"/>
        </w:rPr>
      </w:pPr>
      <w:r w:rsidRPr="00C9505C">
        <w:rPr>
          <w:color w:val="000000" w:themeColor="text1"/>
        </w:rPr>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C9505C" w:rsidRDefault="0080061F" w:rsidP="00C9505C">
      <w:pPr>
        <w:pStyle w:val="Bullet1"/>
        <w:tabs>
          <w:tab w:val="clear" w:pos="454"/>
        </w:tabs>
        <w:spacing w:before="60" w:after="60"/>
        <w:ind w:left="357" w:hanging="357"/>
        <w:rPr>
          <w:color w:val="000000" w:themeColor="text1"/>
        </w:rPr>
      </w:pPr>
      <w:r w:rsidRPr="00C9505C">
        <w:rPr>
          <w:color w:val="000000" w:themeColor="text1"/>
        </w:rPr>
        <w:t xml:space="preserve">Ensure that policies and procedures encompassing emergency management, business continuity and crisis management arrangements are understood, </w:t>
      </w:r>
      <w:proofErr w:type="gramStart"/>
      <w:r w:rsidRPr="00C9505C">
        <w:rPr>
          <w:color w:val="000000" w:themeColor="text1"/>
        </w:rPr>
        <w:t>followed</w:t>
      </w:r>
      <w:proofErr w:type="gramEnd"/>
      <w:r w:rsidRPr="00C9505C">
        <w:rPr>
          <w:color w:val="000000" w:themeColor="text1"/>
        </w:rPr>
        <w:t xml:space="preserve"> and implemented by employees.</w:t>
      </w:r>
    </w:p>
    <w:p w14:paraId="1A1B18FC" w14:textId="77777777" w:rsidR="0080061F" w:rsidRDefault="0080061F" w:rsidP="0055724C">
      <w:pPr>
        <w:pStyle w:val="Heading2"/>
        <w:spacing w:before="360"/>
      </w:pPr>
      <w:r>
        <w:t>Know-how</w:t>
      </w:r>
    </w:p>
    <w:p w14:paraId="2D128D99" w14:textId="7EAE69DF" w:rsidR="00F83EEE" w:rsidRPr="00C9505C" w:rsidRDefault="00F83EEE" w:rsidP="00C9505C">
      <w:pPr>
        <w:pStyle w:val="Bullet1"/>
        <w:tabs>
          <w:tab w:val="clear" w:pos="454"/>
        </w:tabs>
        <w:spacing w:before="60" w:after="60"/>
        <w:ind w:left="357" w:hanging="357"/>
        <w:rPr>
          <w:color w:val="000000" w:themeColor="text1"/>
        </w:rPr>
      </w:pPr>
      <w:r w:rsidRPr="00C9505C">
        <w:rPr>
          <w:color w:val="000000" w:themeColor="text1"/>
        </w:rPr>
        <w:t>Relevant tertiary qualification and or equivalent experience</w:t>
      </w:r>
    </w:p>
    <w:p w14:paraId="537734B1" w14:textId="444565C1" w:rsidR="00C9505C" w:rsidRDefault="00C20821" w:rsidP="00C9505C">
      <w:pPr>
        <w:pStyle w:val="Bullet1"/>
        <w:tabs>
          <w:tab w:val="clear" w:pos="454"/>
        </w:tabs>
        <w:spacing w:before="60" w:after="60"/>
        <w:ind w:left="357" w:hanging="357"/>
        <w:rPr>
          <w:color w:val="000000" w:themeColor="text1"/>
        </w:rPr>
      </w:pPr>
      <w:r w:rsidRPr="00C9505C">
        <w:rPr>
          <w:color w:val="000000" w:themeColor="text1"/>
        </w:rPr>
        <w:t>Significant leadership and people management skills with experience of building high performing collaborative teams</w:t>
      </w:r>
      <w:r w:rsidR="00E755CB" w:rsidRPr="00C9505C">
        <w:rPr>
          <w:color w:val="000000" w:themeColor="text1"/>
        </w:rPr>
        <w:t xml:space="preserve"> in a </w:t>
      </w:r>
      <w:r w:rsidR="00C9505C" w:rsidRPr="00C9505C">
        <w:rPr>
          <w:color w:val="000000" w:themeColor="text1"/>
        </w:rPr>
        <w:t>fast-paced</w:t>
      </w:r>
      <w:r w:rsidR="00E755CB" w:rsidRPr="00C9505C">
        <w:rPr>
          <w:color w:val="000000" w:themeColor="text1"/>
        </w:rPr>
        <w:t xml:space="preserve"> environment</w:t>
      </w:r>
      <w:r w:rsidRPr="00C9505C">
        <w:rPr>
          <w:color w:val="000000" w:themeColor="text1"/>
        </w:rPr>
        <w:t>.</w:t>
      </w:r>
    </w:p>
    <w:p w14:paraId="61F95638" w14:textId="25B95ED1"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Advanced knowledge of evaluation, monitoring, and performance measurement methodologies (e.g., logic models, outcomes frameworks, developmental evaluation). </w:t>
      </w:r>
    </w:p>
    <w:p w14:paraId="495DCDE7" w14:textId="1DF88F9A"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Broad experience with both quantitative and qualitative research methods, including statistical analysis, survey design, and participatory evaluation. </w:t>
      </w:r>
    </w:p>
    <w:p w14:paraId="2EB0F507" w14:textId="19267B21"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Substantial experience with public sector accountability, reporting requirements, and performance frameworks (e.g., Results-Based Accountability, Treasury’s Living Standards Framework). </w:t>
      </w:r>
    </w:p>
    <w:p w14:paraId="18EC62F7" w14:textId="77777777"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 xml:space="preserve">Ability to </w:t>
      </w:r>
      <w:proofErr w:type="spellStart"/>
      <w:r w:rsidRPr="00C9505C">
        <w:rPr>
          <w:color w:val="000000" w:themeColor="text1"/>
        </w:rPr>
        <w:t>synthesise</w:t>
      </w:r>
      <w:proofErr w:type="spellEnd"/>
      <w:r w:rsidRPr="00C9505C">
        <w:rPr>
          <w:color w:val="000000" w:themeColor="text1"/>
        </w:rPr>
        <w:t xml:space="preserve"> complex data into clear, compelling narratives and recommendations for diverse audiences. </w:t>
      </w:r>
    </w:p>
    <w:p w14:paraId="3F9D5AF2" w14:textId="531F5AFB"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Substantial knowledge in building data literacy and capability across teams and functions. </w:t>
      </w:r>
    </w:p>
    <w:p w14:paraId="12B6DF1E" w14:textId="77777777"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lastRenderedPageBreak/>
        <w:t xml:space="preserve">Knowledge of data </w:t>
      </w:r>
      <w:proofErr w:type="spellStart"/>
      <w:r w:rsidRPr="00C9505C">
        <w:rPr>
          <w:color w:val="000000" w:themeColor="text1"/>
        </w:rPr>
        <w:t>visualisation</w:t>
      </w:r>
      <w:proofErr w:type="spellEnd"/>
      <w:r w:rsidRPr="00C9505C">
        <w:rPr>
          <w:color w:val="000000" w:themeColor="text1"/>
        </w:rPr>
        <w:t xml:space="preserve"> tools (e.g., Power BI, Tableau) and data integration platforms. </w:t>
      </w:r>
    </w:p>
    <w:p w14:paraId="0C9A3647" w14:textId="65D60711" w:rsidR="007C73EF" w:rsidRPr="00C9505C" w:rsidRDefault="00D07BE6" w:rsidP="00C9505C">
      <w:pPr>
        <w:pStyle w:val="Bullet1"/>
        <w:tabs>
          <w:tab w:val="clear" w:pos="454"/>
        </w:tabs>
        <w:spacing w:before="60" w:after="60"/>
        <w:ind w:left="357" w:hanging="357"/>
        <w:rPr>
          <w:color w:val="000000" w:themeColor="text1"/>
        </w:rPr>
      </w:pPr>
      <w:r w:rsidRPr="00C9505C">
        <w:rPr>
          <w:color w:val="000000" w:themeColor="text1"/>
        </w:rPr>
        <w:t>Experience in leading continuous improvement initiatives, embedding a culture of service excellence, innovation, and accountability across the team.  </w:t>
      </w:r>
      <w:r w:rsidR="007C73EF" w:rsidRPr="00C9505C">
        <w:rPr>
          <w:color w:val="000000" w:themeColor="text1"/>
        </w:rPr>
        <w:t xml:space="preserve">An understanding of equity issues and Te </w:t>
      </w:r>
      <w:proofErr w:type="spellStart"/>
      <w:r w:rsidR="007C73EF" w:rsidRPr="00C9505C">
        <w:rPr>
          <w:color w:val="000000" w:themeColor="text1"/>
        </w:rPr>
        <w:t>Tiriti</w:t>
      </w:r>
      <w:proofErr w:type="spellEnd"/>
      <w:r w:rsidR="007C73EF" w:rsidRPr="00C9505C">
        <w:rPr>
          <w:color w:val="000000" w:themeColor="text1"/>
        </w:rPr>
        <w:t xml:space="preserve"> o Waitangi, and the implications of working in partnership for improved outcomes. </w:t>
      </w:r>
    </w:p>
    <w:p w14:paraId="1320F3FF" w14:textId="77777777" w:rsidR="007C73EF" w:rsidRPr="00C9505C" w:rsidRDefault="007C73EF" w:rsidP="00C9505C">
      <w:pPr>
        <w:pStyle w:val="Bullet1"/>
        <w:tabs>
          <w:tab w:val="clear" w:pos="454"/>
        </w:tabs>
        <w:spacing w:before="60" w:after="60"/>
        <w:ind w:left="357" w:hanging="357"/>
        <w:rPr>
          <w:color w:val="000000" w:themeColor="text1"/>
        </w:rPr>
      </w:pPr>
      <w:r w:rsidRPr="00C9505C">
        <w:rPr>
          <w:color w:val="000000" w:themeColor="text1"/>
        </w:rPr>
        <w:t>Understanding of how to embed equity and cultural responsiveness into measurement and evaluation. </w:t>
      </w:r>
    </w:p>
    <w:p w14:paraId="354ECF69" w14:textId="09677449" w:rsidR="0B29DE3C" w:rsidRPr="00C9505C" w:rsidRDefault="2A7E0858" w:rsidP="00C9505C">
      <w:pPr>
        <w:pStyle w:val="Bullet1"/>
        <w:tabs>
          <w:tab w:val="clear" w:pos="454"/>
        </w:tabs>
        <w:spacing w:before="60" w:after="60"/>
        <w:ind w:left="357" w:hanging="357"/>
        <w:rPr>
          <w:color w:val="000000" w:themeColor="text1"/>
        </w:rPr>
      </w:pPr>
      <w:r w:rsidRPr="00C9505C">
        <w:rPr>
          <w:color w:val="000000" w:themeColor="text1"/>
        </w:rPr>
        <w:t>Strong understanding of data governance, ethics, privacy, and Māori data sovereignty. </w:t>
      </w:r>
    </w:p>
    <w:p w14:paraId="157D051C" w14:textId="5ED9FE47" w:rsidR="007C363B" w:rsidRPr="00C9505C" w:rsidRDefault="007C363B" w:rsidP="00C9505C">
      <w:pPr>
        <w:pStyle w:val="Bullet1"/>
        <w:tabs>
          <w:tab w:val="clear" w:pos="454"/>
        </w:tabs>
        <w:spacing w:before="60" w:after="60"/>
        <w:ind w:left="357" w:hanging="357"/>
        <w:rPr>
          <w:color w:val="000000" w:themeColor="text1"/>
        </w:rPr>
      </w:pPr>
      <w:r w:rsidRPr="00C9505C">
        <w:rPr>
          <w:color w:val="000000" w:themeColor="text1"/>
        </w:rPr>
        <w:t>Proven ability to communicate complex information clearly and persuasively to diverse audiences, including senior leaders and Ministers. </w:t>
      </w:r>
    </w:p>
    <w:p w14:paraId="134BA960" w14:textId="77777777" w:rsidR="0080061F" w:rsidRDefault="0080061F" w:rsidP="0055724C">
      <w:pPr>
        <w:pStyle w:val="Heading2"/>
        <w:spacing w:before="360"/>
      </w:pPr>
      <w:r>
        <w:t>Attributes</w:t>
      </w:r>
    </w:p>
    <w:p w14:paraId="3ED12DBD" w14:textId="13380BD5" w:rsidR="45F8684D" w:rsidRPr="00C9505C" w:rsidRDefault="45F8684D" w:rsidP="00C9505C">
      <w:pPr>
        <w:pStyle w:val="Bullet1"/>
        <w:tabs>
          <w:tab w:val="clear" w:pos="454"/>
        </w:tabs>
        <w:spacing w:before="60" w:after="60"/>
        <w:ind w:left="357" w:hanging="357"/>
        <w:rPr>
          <w:color w:val="000000" w:themeColor="text1"/>
        </w:rPr>
      </w:pPr>
      <w:r w:rsidRPr="00C9505C">
        <w:rPr>
          <w:color w:val="000000" w:themeColor="text1"/>
        </w:rPr>
        <w:t xml:space="preserve">Proven leadership and partnership building </w:t>
      </w:r>
      <w:proofErr w:type="gramStart"/>
      <w:r w:rsidRPr="00C9505C">
        <w:rPr>
          <w:color w:val="000000" w:themeColor="text1"/>
        </w:rPr>
        <w:t>skills</w:t>
      </w:r>
      <w:proofErr w:type="gramEnd"/>
    </w:p>
    <w:p w14:paraId="6E55743F" w14:textId="77777777" w:rsidR="45F8684D" w:rsidRPr="00C9505C" w:rsidRDefault="45F8684D" w:rsidP="00C9505C">
      <w:pPr>
        <w:pStyle w:val="Bullet1"/>
        <w:tabs>
          <w:tab w:val="clear" w:pos="454"/>
        </w:tabs>
        <w:spacing w:before="60" w:after="60"/>
        <w:ind w:left="357" w:hanging="357"/>
        <w:rPr>
          <w:color w:val="000000" w:themeColor="text1"/>
        </w:rPr>
      </w:pPr>
      <w:r w:rsidRPr="00C9505C">
        <w:rPr>
          <w:color w:val="000000" w:themeColor="text1"/>
        </w:rPr>
        <w:t>Excellent relationship management capability</w:t>
      </w:r>
    </w:p>
    <w:p w14:paraId="76830BEA" w14:textId="77777777" w:rsidR="007C363B" w:rsidRPr="00C9505C" w:rsidRDefault="007C363B" w:rsidP="00C9505C">
      <w:pPr>
        <w:pStyle w:val="Bullet1"/>
        <w:tabs>
          <w:tab w:val="clear" w:pos="454"/>
        </w:tabs>
        <w:spacing w:before="60" w:after="60"/>
        <w:ind w:left="357" w:hanging="357"/>
        <w:rPr>
          <w:color w:val="000000" w:themeColor="text1"/>
        </w:rPr>
      </w:pPr>
      <w:r w:rsidRPr="00C9505C">
        <w:rPr>
          <w:color w:val="000000" w:themeColor="text1"/>
        </w:rPr>
        <w:t xml:space="preserve">Applies analytical </w:t>
      </w:r>
      <w:proofErr w:type="spellStart"/>
      <w:r w:rsidRPr="00C9505C">
        <w:rPr>
          <w:color w:val="000000" w:themeColor="text1"/>
        </w:rPr>
        <w:t>rigour</w:t>
      </w:r>
      <w:proofErr w:type="spellEnd"/>
      <w:r w:rsidRPr="00C9505C">
        <w:rPr>
          <w:color w:val="000000" w:themeColor="text1"/>
        </w:rPr>
        <w:t xml:space="preserve"> and curiosity to data and evidence, generating insights that drive action. </w:t>
      </w:r>
    </w:p>
    <w:p w14:paraId="1C6CFD68" w14:textId="77777777" w:rsidR="007C363B" w:rsidRPr="00C9505C" w:rsidRDefault="007C363B" w:rsidP="00C9505C">
      <w:pPr>
        <w:pStyle w:val="Bullet1"/>
        <w:tabs>
          <w:tab w:val="clear" w:pos="454"/>
        </w:tabs>
        <w:spacing w:before="60" w:after="60"/>
        <w:ind w:left="357" w:hanging="357"/>
        <w:rPr>
          <w:color w:val="000000" w:themeColor="text1"/>
        </w:rPr>
      </w:pPr>
      <w:r w:rsidRPr="00C9505C">
        <w:rPr>
          <w:color w:val="000000" w:themeColor="text1"/>
        </w:rPr>
        <w:t>Thinks systemically and strategically, understanding how performance and outcomes connect across services and communities. </w:t>
      </w:r>
    </w:p>
    <w:p w14:paraId="1C4239C1" w14:textId="77777777" w:rsidR="007C363B" w:rsidRPr="00C9505C" w:rsidRDefault="007C363B" w:rsidP="00C9505C">
      <w:pPr>
        <w:pStyle w:val="Bullet1"/>
        <w:tabs>
          <w:tab w:val="clear" w:pos="454"/>
        </w:tabs>
        <w:spacing w:before="60" w:after="60"/>
        <w:ind w:left="357" w:hanging="357"/>
        <w:rPr>
          <w:color w:val="000000" w:themeColor="text1"/>
        </w:rPr>
      </w:pPr>
      <w:r w:rsidRPr="00C9505C">
        <w:rPr>
          <w:color w:val="000000" w:themeColor="text1"/>
        </w:rPr>
        <w:t>Upholds high standards of ethics, transparency, and accountability in the use of data and evidence. </w:t>
      </w:r>
    </w:p>
    <w:p w14:paraId="33AE52B8" w14:textId="77777777" w:rsidR="007C363B" w:rsidRPr="00C9505C" w:rsidRDefault="007C363B" w:rsidP="00C9505C">
      <w:pPr>
        <w:pStyle w:val="Bullet1"/>
        <w:tabs>
          <w:tab w:val="clear" w:pos="454"/>
        </w:tabs>
        <w:spacing w:before="60" w:after="60"/>
        <w:ind w:left="357" w:hanging="357"/>
        <w:rPr>
          <w:color w:val="000000" w:themeColor="text1"/>
        </w:rPr>
      </w:pPr>
      <w:r w:rsidRPr="00C9505C">
        <w:rPr>
          <w:color w:val="000000" w:themeColor="text1"/>
        </w:rPr>
        <w:t>Embeds equity and Māori data sovereignty principles in all measurement and evaluation work. </w:t>
      </w:r>
    </w:p>
    <w:p w14:paraId="68F11B2A" w14:textId="77777777" w:rsidR="007C363B" w:rsidRPr="00C9505C" w:rsidRDefault="007C363B" w:rsidP="00C9505C">
      <w:pPr>
        <w:pStyle w:val="Bullet1"/>
        <w:tabs>
          <w:tab w:val="clear" w:pos="454"/>
        </w:tabs>
        <w:spacing w:before="60" w:after="60"/>
        <w:ind w:left="357" w:hanging="357"/>
        <w:rPr>
          <w:color w:val="000000" w:themeColor="text1"/>
        </w:rPr>
      </w:pPr>
      <w:r w:rsidRPr="00C9505C">
        <w:rPr>
          <w:color w:val="000000" w:themeColor="text1"/>
        </w:rPr>
        <w:t>Builds collaborative relationships and enables others to use evidence effectively in their work. </w:t>
      </w:r>
    </w:p>
    <w:p w14:paraId="04AC057C" w14:textId="77777777" w:rsidR="007C363B" w:rsidRPr="00C9505C" w:rsidRDefault="007C363B" w:rsidP="00C9505C">
      <w:pPr>
        <w:pStyle w:val="Bullet1"/>
        <w:tabs>
          <w:tab w:val="clear" w:pos="454"/>
        </w:tabs>
        <w:spacing w:before="60" w:after="60"/>
        <w:ind w:left="357" w:hanging="357"/>
        <w:rPr>
          <w:color w:val="000000" w:themeColor="text1"/>
        </w:rPr>
      </w:pPr>
      <w:r w:rsidRPr="00C9505C">
        <w:rPr>
          <w:color w:val="000000" w:themeColor="text1"/>
        </w:rPr>
        <w:t>Seeks feedback and continuously reflects on practice to drive learning and improvement. </w:t>
      </w:r>
    </w:p>
    <w:p w14:paraId="03C80FE1" w14:textId="3846F55F" w:rsidR="007C363B" w:rsidRPr="00C9505C" w:rsidRDefault="007C363B" w:rsidP="00C9505C">
      <w:pPr>
        <w:pStyle w:val="Bullet1"/>
        <w:tabs>
          <w:tab w:val="clear" w:pos="454"/>
        </w:tabs>
        <w:spacing w:before="60" w:after="60"/>
        <w:ind w:left="357" w:hanging="357"/>
        <w:rPr>
          <w:color w:val="000000" w:themeColor="text1"/>
        </w:rPr>
      </w:pPr>
      <w:r w:rsidRPr="00C9505C">
        <w:rPr>
          <w:color w:val="000000" w:themeColor="text1"/>
        </w:rPr>
        <w:t xml:space="preserve">Demonstrates technical credibility and is </w:t>
      </w:r>
      <w:proofErr w:type="spellStart"/>
      <w:r w:rsidRPr="00C9505C">
        <w:rPr>
          <w:color w:val="000000" w:themeColor="text1"/>
        </w:rPr>
        <w:t>recognised</w:t>
      </w:r>
      <w:proofErr w:type="spellEnd"/>
      <w:r w:rsidRPr="00C9505C">
        <w:rPr>
          <w:color w:val="000000" w:themeColor="text1"/>
        </w:rPr>
        <w:t xml:space="preserve"> as a trusted expert in performance, evaluation, and outcomes measurement. </w:t>
      </w:r>
    </w:p>
    <w:p w14:paraId="39348A16" w14:textId="77777777" w:rsidR="007C363B" w:rsidRPr="00C9505C" w:rsidRDefault="007C363B" w:rsidP="00C9505C">
      <w:pPr>
        <w:pStyle w:val="Bullet1"/>
        <w:tabs>
          <w:tab w:val="clear" w:pos="454"/>
        </w:tabs>
        <w:spacing w:before="60" w:after="60"/>
        <w:ind w:left="357" w:hanging="357"/>
        <w:rPr>
          <w:color w:val="000000" w:themeColor="text1"/>
        </w:rPr>
      </w:pPr>
      <w:r w:rsidRPr="00C9505C">
        <w:rPr>
          <w:color w:val="000000" w:themeColor="text1"/>
        </w:rPr>
        <w:t xml:space="preserve">Depth of skill in planning, </w:t>
      </w:r>
      <w:proofErr w:type="spellStart"/>
      <w:r w:rsidRPr="00C9505C">
        <w:rPr>
          <w:color w:val="000000" w:themeColor="text1"/>
        </w:rPr>
        <w:t>organising</w:t>
      </w:r>
      <w:proofErr w:type="spellEnd"/>
      <w:r w:rsidRPr="00C9505C">
        <w:rPr>
          <w:color w:val="000000" w:themeColor="text1"/>
        </w:rPr>
        <w:t xml:space="preserve"> and time management, as well as being adaptable and flexible</w:t>
      </w:r>
    </w:p>
    <w:p w14:paraId="2FA24655" w14:textId="77777777" w:rsidR="007C363B" w:rsidRPr="00C9505C" w:rsidRDefault="007C363B" w:rsidP="00C9505C">
      <w:pPr>
        <w:pStyle w:val="Bullet1"/>
        <w:tabs>
          <w:tab w:val="clear" w:pos="454"/>
        </w:tabs>
        <w:spacing w:before="60" w:after="60"/>
        <w:ind w:left="357" w:hanging="357"/>
        <w:rPr>
          <w:color w:val="000000" w:themeColor="text1"/>
        </w:rPr>
      </w:pPr>
      <w:r w:rsidRPr="00C9505C">
        <w:rPr>
          <w:color w:val="000000" w:themeColor="text1"/>
        </w:rPr>
        <w:t>Role models integrity and accountability</w:t>
      </w:r>
    </w:p>
    <w:p w14:paraId="2EB1EE4D" w14:textId="77777777" w:rsidR="007C363B" w:rsidRPr="00C9505C" w:rsidRDefault="007C363B" w:rsidP="00C9505C">
      <w:pPr>
        <w:pStyle w:val="Bullet1"/>
        <w:tabs>
          <w:tab w:val="clear" w:pos="454"/>
        </w:tabs>
        <w:spacing w:before="60" w:after="60"/>
        <w:ind w:left="357" w:hanging="357"/>
        <w:rPr>
          <w:color w:val="000000" w:themeColor="text1"/>
        </w:rPr>
      </w:pPr>
      <w:r w:rsidRPr="00C9505C">
        <w:rPr>
          <w:color w:val="000000" w:themeColor="text1"/>
        </w:rPr>
        <w:t>Able to support and articulate strategy and vision and lead a team with inspiration, clarity and consistency, and display sound judgement.</w:t>
      </w:r>
    </w:p>
    <w:p w14:paraId="4BA40111" w14:textId="77777777" w:rsidR="002D3248" w:rsidRPr="00C9505C" w:rsidRDefault="007C363B" w:rsidP="00C9505C">
      <w:pPr>
        <w:pStyle w:val="Bullet1"/>
        <w:tabs>
          <w:tab w:val="clear" w:pos="454"/>
        </w:tabs>
        <w:spacing w:before="60" w:after="60"/>
        <w:ind w:left="357" w:hanging="357"/>
        <w:rPr>
          <w:color w:val="000000" w:themeColor="text1"/>
        </w:rPr>
      </w:pPr>
      <w:r w:rsidRPr="00C9505C">
        <w:rPr>
          <w:color w:val="000000" w:themeColor="text1"/>
        </w:rPr>
        <w:t>Exercises sound judgement, good decision making, and political savvy</w:t>
      </w:r>
      <w:r w:rsidR="00AD4113" w:rsidRPr="00C9505C">
        <w:rPr>
          <w:color w:val="000000" w:themeColor="text1"/>
        </w:rPr>
        <w:t>.</w:t>
      </w:r>
    </w:p>
    <w:p w14:paraId="2232A8A7" w14:textId="4F787503" w:rsidR="002D3248" w:rsidRPr="00C9505C" w:rsidRDefault="002D3248" w:rsidP="00C9505C">
      <w:pPr>
        <w:pStyle w:val="Bullet1"/>
        <w:tabs>
          <w:tab w:val="clear" w:pos="454"/>
        </w:tabs>
        <w:spacing w:before="60" w:after="60"/>
        <w:ind w:left="357" w:hanging="357"/>
        <w:rPr>
          <w:color w:val="000000" w:themeColor="text1"/>
        </w:rPr>
      </w:pPr>
      <w:r w:rsidRPr="00C9505C">
        <w:rPr>
          <w:color w:val="000000" w:themeColor="text1"/>
        </w:rPr>
        <w:t>Highly effective communication skills</w:t>
      </w:r>
    </w:p>
    <w:p w14:paraId="0C7CC153" w14:textId="77777777" w:rsidR="002D3248" w:rsidRPr="00C9505C" w:rsidRDefault="002D3248" w:rsidP="00C9505C">
      <w:pPr>
        <w:pStyle w:val="Bullet1"/>
        <w:tabs>
          <w:tab w:val="clear" w:pos="454"/>
        </w:tabs>
        <w:spacing w:before="60" w:after="60"/>
        <w:ind w:left="357" w:hanging="357"/>
        <w:rPr>
          <w:color w:val="000000" w:themeColor="text1"/>
        </w:rPr>
      </w:pPr>
      <w:r w:rsidRPr="00C9505C">
        <w:rPr>
          <w:color w:val="000000" w:themeColor="text1"/>
        </w:rPr>
        <w:t xml:space="preserve">Flexible, </w:t>
      </w:r>
      <w:proofErr w:type="gramStart"/>
      <w:r w:rsidRPr="00C9505C">
        <w:rPr>
          <w:color w:val="000000" w:themeColor="text1"/>
        </w:rPr>
        <w:t>adaptable</w:t>
      </w:r>
      <w:proofErr w:type="gramEnd"/>
      <w:r w:rsidRPr="00C9505C">
        <w:rPr>
          <w:color w:val="000000" w:themeColor="text1"/>
        </w:rPr>
        <w:t xml:space="preserve"> and pragmatic</w:t>
      </w:r>
    </w:p>
    <w:p w14:paraId="2911388A" w14:textId="77777777" w:rsidR="002D3248" w:rsidRPr="00C9505C" w:rsidRDefault="002D3248" w:rsidP="00C9505C">
      <w:pPr>
        <w:pStyle w:val="Bullet1"/>
        <w:tabs>
          <w:tab w:val="clear" w:pos="454"/>
        </w:tabs>
        <w:spacing w:before="60" w:after="60"/>
        <w:ind w:left="357" w:hanging="357"/>
        <w:rPr>
          <w:color w:val="000000" w:themeColor="text1"/>
        </w:rPr>
      </w:pPr>
      <w:r w:rsidRPr="00C9505C">
        <w:rPr>
          <w:color w:val="000000" w:themeColor="text1"/>
        </w:rPr>
        <w:t>Strong client focus</w:t>
      </w:r>
    </w:p>
    <w:p w14:paraId="06B25DE0" w14:textId="69FBA934" w:rsidR="007C363B" w:rsidRPr="00C9505C" w:rsidRDefault="002D3248" w:rsidP="00C9505C">
      <w:pPr>
        <w:pStyle w:val="Bullet1"/>
        <w:tabs>
          <w:tab w:val="clear" w:pos="454"/>
        </w:tabs>
        <w:spacing w:before="60" w:after="60"/>
        <w:ind w:left="357" w:hanging="357"/>
        <w:rPr>
          <w:color w:val="000000" w:themeColor="text1"/>
        </w:rPr>
      </w:pPr>
      <w:r w:rsidRPr="00C9505C">
        <w:rPr>
          <w:color w:val="000000" w:themeColor="text1"/>
        </w:rPr>
        <w:t xml:space="preserve">Welcomes and values diversity and contributes to an inclusive working environment where differences are acknowledged and </w:t>
      </w:r>
      <w:proofErr w:type="gramStart"/>
      <w:r w:rsidRPr="00C9505C">
        <w:rPr>
          <w:color w:val="000000" w:themeColor="text1"/>
        </w:rPr>
        <w:t>respected</w:t>
      </w:r>
      <w:proofErr w:type="gramEnd"/>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664A30B7" w14:textId="08BA443A" w:rsidR="00CF64DF" w:rsidRPr="00C9505C" w:rsidRDefault="002D3248" w:rsidP="00C9505C">
      <w:pPr>
        <w:pStyle w:val="Bullet1"/>
        <w:tabs>
          <w:tab w:val="clear" w:pos="454"/>
        </w:tabs>
        <w:spacing w:before="60" w:after="60"/>
        <w:ind w:left="357" w:hanging="357"/>
        <w:rPr>
          <w:color w:val="000000" w:themeColor="text1"/>
        </w:rPr>
      </w:pPr>
      <w:r w:rsidRPr="00C9505C">
        <w:rPr>
          <w:color w:val="000000" w:themeColor="text1"/>
        </w:rPr>
        <w:t>DSS Leadership Teams and Taskforce</w:t>
      </w:r>
    </w:p>
    <w:p w14:paraId="7E59749D" w14:textId="6CD82A14" w:rsidR="0080061F" w:rsidRPr="00C9505C" w:rsidRDefault="002D3248" w:rsidP="00C9505C">
      <w:pPr>
        <w:pStyle w:val="Bullet1"/>
        <w:tabs>
          <w:tab w:val="clear" w:pos="454"/>
        </w:tabs>
        <w:spacing w:before="60" w:after="60"/>
        <w:ind w:left="357" w:hanging="357"/>
        <w:rPr>
          <w:color w:val="000000" w:themeColor="text1"/>
        </w:rPr>
      </w:pPr>
      <w:r w:rsidRPr="00C9505C">
        <w:rPr>
          <w:color w:val="000000" w:themeColor="text1"/>
        </w:rPr>
        <w:t>MSD Strategy and Insights</w:t>
      </w:r>
    </w:p>
    <w:p w14:paraId="48DBAD43" w14:textId="77777777" w:rsidR="0080061F" w:rsidRDefault="0080061F" w:rsidP="000469A5">
      <w:pPr>
        <w:pStyle w:val="Heading3"/>
      </w:pPr>
      <w:r w:rsidRPr="00E83550">
        <w:lastRenderedPageBreak/>
        <w:t xml:space="preserve">External </w:t>
      </w:r>
    </w:p>
    <w:p w14:paraId="2E92B17E" w14:textId="6810B888" w:rsidR="0080061F" w:rsidRPr="00C9505C" w:rsidRDefault="002D3248" w:rsidP="00C9505C">
      <w:pPr>
        <w:pStyle w:val="Bullet1"/>
        <w:tabs>
          <w:tab w:val="clear" w:pos="454"/>
        </w:tabs>
        <w:spacing w:before="60" w:after="60"/>
        <w:ind w:left="357" w:hanging="357"/>
        <w:rPr>
          <w:color w:val="000000" w:themeColor="text1"/>
        </w:rPr>
      </w:pPr>
      <w:r w:rsidRPr="00C9505C">
        <w:rPr>
          <w:color w:val="000000" w:themeColor="text1"/>
        </w:rPr>
        <w:t xml:space="preserve">Key representative across other agencies </w:t>
      </w:r>
      <w:proofErr w:type="spellStart"/>
      <w:r w:rsidRPr="00C9505C">
        <w:rPr>
          <w:color w:val="000000" w:themeColor="text1"/>
        </w:rPr>
        <w:t>eg</w:t>
      </w:r>
      <w:proofErr w:type="spellEnd"/>
      <w:r w:rsidRPr="00C9505C">
        <w:rPr>
          <w:color w:val="000000" w:themeColor="text1"/>
        </w:rPr>
        <w:t xml:space="preserve"> Sector Operations, Health NZ</w:t>
      </w:r>
      <w:r w:rsidR="20C5D88B" w:rsidRPr="00C9505C">
        <w:rPr>
          <w:color w:val="000000" w:themeColor="text1"/>
        </w:rPr>
        <w:t>, Social Investment Agency</w:t>
      </w:r>
    </w:p>
    <w:p w14:paraId="653B23DD" w14:textId="4FEB0091" w:rsidR="00D411E1" w:rsidRPr="00C9505C" w:rsidRDefault="00D411E1" w:rsidP="00C9505C">
      <w:pPr>
        <w:pStyle w:val="Bullet1"/>
        <w:tabs>
          <w:tab w:val="clear" w:pos="454"/>
        </w:tabs>
        <w:spacing w:before="60" w:after="60"/>
        <w:ind w:left="357" w:hanging="357"/>
        <w:rPr>
          <w:color w:val="000000" w:themeColor="text1"/>
        </w:rPr>
      </w:pPr>
      <w:r w:rsidRPr="00C9505C">
        <w:rPr>
          <w:color w:val="000000" w:themeColor="text1"/>
        </w:rPr>
        <w:t xml:space="preserve">Other agencies involved with measuring population level </w:t>
      </w:r>
      <w:proofErr w:type="gramStart"/>
      <w:r w:rsidRPr="00C9505C">
        <w:rPr>
          <w:color w:val="000000" w:themeColor="text1"/>
        </w:rPr>
        <w:t>outcomes</w:t>
      </w:r>
      <w:proofErr w:type="gramEnd"/>
    </w:p>
    <w:p w14:paraId="753FFDDD" w14:textId="64841B56" w:rsidR="0080061F" w:rsidRPr="00C9505C" w:rsidRDefault="002D3248" w:rsidP="00C9505C">
      <w:pPr>
        <w:pStyle w:val="Bullet1"/>
        <w:tabs>
          <w:tab w:val="clear" w:pos="454"/>
        </w:tabs>
        <w:spacing w:before="60" w:after="60"/>
        <w:ind w:left="357" w:hanging="357"/>
        <w:rPr>
          <w:color w:val="000000" w:themeColor="text1"/>
        </w:rPr>
      </w:pPr>
      <w:r w:rsidRPr="00C9505C">
        <w:rPr>
          <w:color w:val="000000" w:themeColor="text1"/>
        </w:rPr>
        <w:t>Sector Providers</w:t>
      </w:r>
    </w:p>
    <w:p w14:paraId="2799121E" w14:textId="7F8B5FBD" w:rsidR="002D3248" w:rsidRPr="00C9505C" w:rsidRDefault="00CF64DF" w:rsidP="00C9505C">
      <w:pPr>
        <w:pStyle w:val="Bullet1"/>
        <w:tabs>
          <w:tab w:val="clear" w:pos="454"/>
        </w:tabs>
        <w:spacing w:before="60" w:after="60"/>
        <w:ind w:left="357" w:hanging="357"/>
        <w:rPr>
          <w:color w:val="000000" w:themeColor="text1"/>
        </w:rPr>
      </w:pPr>
      <w:r w:rsidRPr="00C9505C">
        <w:rPr>
          <w:color w:val="000000" w:themeColor="text1"/>
        </w:rPr>
        <w:t>Sector peak bodies and groups.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4C47CA4E" w:rsidR="0080061F" w:rsidRPr="00C9505C" w:rsidRDefault="0080061F" w:rsidP="00C9505C">
      <w:pPr>
        <w:pStyle w:val="Bullet1"/>
        <w:tabs>
          <w:tab w:val="clear" w:pos="454"/>
        </w:tabs>
        <w:spacing w:before="60" w:after="60"/>
        <w:ind w:left="357" w:hanging="357"/>
        <w:rPr>
          <w:color w:val="000000" w:themeColor="text1"/>
        </w:rPr>
      </w:pPr>
      <w:r w:rsidRPr="00C9505C">
        <w:rPr>
          <w:color w:val="000000" w:themeColor="text1"/>
        </w:rPr>
        <w:t>Financial – Yes</w:t>
      </w:r>
      <w:r w:rsidR="00AD4113" w:rsidRPr="00C9505C">
        <w:rPr>
          <w:color w:val="000000" w:themeColor="text1"/>
        </w:rPr>
        <w:t xml:space="preserve"> </w:t>
      </w:r>
      <w:r w:rsidR="00F406A9">
        <w:rPr>
          <w:color w:val="000000" w:themeColor="text1"/>
        </w:rPr>
        <w:t>level 4</w:t>
      </w:r>
    </w:p>
    <w:p w14:paraId="1A13EE12" w14:textId="33E7273B" w:rsidR="0080061F" w:rsidRPr="00C9505C" w:rsidRDefault="0080061F" w:rsidP="00C9505C">
      <w:pPr>
        <w:pStyle w:val="Bullet1"/>
        <w:tabs>
          <w:tab w:val="clear" w:pos="454"/>
        </w:tabs>
        <w:spacing w:before="60" w:after="60"/>
        <w:ind w:left="357" w:hanging="357"/>
        <w:rPr>
          <w:color w:val="000000" w:themeColor="text1"/>
        </w:rPr>
      </w:pPr>
      <w:r w:rsidRPr="00C9505C">
        <w:rPr>
          <w:color w:val="000000" w:themeColor="text1"/>
        </w:rPr>
        <w:t xml:space="preserve">Human Resources </w:t>
      </w:r>
      <w:r w:rsidR="006D0A06">
        <w:rPr>
          <w:color w:val="000000" w:themeColor="text1"/>
        </w:rPr>
        <w:t xml:space="preserve">- </w:t>
      </w:r>
      <w:r w:rsidRPr="00C9505C">
        <w:rPr>
          <w:color w:val="000000" w:themeColor="text1"/>
        </w:rPr>
        <w:t xml:space="preserve">Yes </w:t>
      </w:r>
      <w:r w:rsidR="00CF64DF" w:rsidRPr="00C9505C">
        <w:rPr>
          <w:color w:val="000000" w:themeColor="text1"/>
        </w:rPr>
        <w:t xml:space="preserve">level </w:t>
      </w:r>
      <w:r w:rsidR="00F406A9">
        <w:rPr>
          <w:color w:val="000000" w:themeColor="text1"/>
        </w:rPr>
        <w:t>4</w:t>
      </w:r>
    </w:p>
    <w:p w14:paraId="09A0D619" w14:textId="294818AD" w:rsidR="0080061F" w:rsidRDefault="0080061F" w:rsidP="000469A5">
      <w:pPr>
        <w:pStyle w:val="Heading3"/>
      </w:pPr>
      <w:r w:rsidRPr="00096E86">
        <w:t>Direct reports</w:t>
      </w:r>
      <w:r>
        <w:t xml:space="preserve"> </w:t>
      </w:r>
      <w:r w:rsidR="00F83EEE">
        <w:t xml:space="preserve">- </w:t>
      </w:r>
      <w:r>
        <w:t>Yes</w:t>
      </w:r>
    </w:p>
    <w:p w14:paraId="7A424157" w14:textId="6DF4FD50" w:rsidR="0080061F" w:rsidRDefault="0080061F" w:rsidP="000469A5">
      <w:pPr>
        <w:pStyle w:val="Heading3"/>
      </w:pPr>
      <w:r>
        <w:t xml:space="preserve">Security clearance </w:t>
      </w:r>
      <w:r w:rsidR="00F83EEE">
        <w:t xml:space="preserve">- </w:t>
      </w:r>
      <w:r w:rsidRPr="0074781A">
        <w:t>No</w:t>
      </w:r>
    </w:p>
    <w:p w14:paraId="5AD192A7" w14:textId="386E06D8" w:rsidR="0080061F" w:rsidRPr="0076538D" w:rsidRDefault="0080061F" w:rsidP="000469A5">
      <w:pPr>
        <w:pStyle w:val="Heading3"/>
      </w:pPr>
      <w:r>
        <w:t xml:space="preserve">Children’s worker </w:t>
      </w:r>
      <w:r w:rsidR="00F83EEE">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78A82DBB" w14:textId="332DACB7"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F83EEE">
        <w:t>June 2025</w:t>
      </w:r>
    </w:p>
    <w:p w14:paraId="01BC106E" w14:textId="77777777" w:rsidR="004230ED" w:rsidRPr="0080061F" w:rsidRDefault="004230ED" w:rsidP="00F83EEE">
      <w:pPr>
        <w:pStyle w:val="subtext"/>
        <w:ind w:left="0"/>
        <w:rPr>
          <w:b w:val="0"/>
          <w:bCs w:val="0"/>
          <w:lang w:eastAsia="en-GB"/>
        </w:rPr>
      </w:pPr>
    </w:p>
    <w:sectPr w:rsidR="004230ED" w:rsidRPr="0080061F"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3AC4" w14:textId="77777777" w:rsidR="002E7299" w:rsidRDefault="002E7299" w:rsidP="0077711D">
      <w:pPr>
        <w:spacing w:after="0" w:line="240" w:lineRule="auto"/>
      </w:pPr>
      <w:r>
        <w:separator/>
      </w:r>
    </w:p>
  </w:endnote>
  <w:endnote w:type="continuationSeparator" w:id="0">
    <w:p w14:paraId="51CC5246" w14:textId="77777777" w:rsidR="002E7299" w:rsidRDefault="002E7299" w:rsidP="0077711D">
      <w:pPr>
        <w:spacing w:after="0" w:line="240" w:lineRule="auto"/>
      </w:pPr>
      <w:r>
        <w:continuationSeparator/>
      </w:r>
    </w:p>
  </w:endnote>
  <w:endnote w:type="continuationNotice" w:id="1">
    <w:p w14:paraId="28BD0DE3" w14:textId="77777777" w:rsidR="002E7299" w:rsidRDefault="002E7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5FFFD70"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426497">
      <w:t xml:space="preserve">Director </w:t>
    </w:r>
    <w:r w:rsidR="00D73E82">
      <w:t xml:space="preserve">Data and </w:t>
    </w:r>
    <w:r w:rsidR="007C73EF">
      <w:t>Evidence</w:t>
    </w:r>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2F979BB0" w:rsidR="00803002" w:rsidRPr="002E5827" w:rsidRDefault="007C73EF" w:rsidP="0080061F">
    <w:pPr>
      <w:pStyle w:val="Footer"/>
      <w:pBdr>
        <w:top w:val="single" w:sz="4" w:space="1" w:color="auto"/>
      </w:pBdr>
      <w:tabs>
        <w:tab w:val="clear" w:pos="9026"/>
        <w:tab w:val="right" w:pos="10206"/>
      </w:tabs>
      <w:rPr>
        <w:szCs w:val="18"/>
      </w:rPr>
    </w:pPr>
    <w:r w:rsidRPr="008B5C31">
      <w:t xml:space="preserve">Position Description – </w:t>
    </w:r>
    <w:r>
      <w:t xml:space="preserve">Director </w:t>
    </w:r>
    <w:r w:rsidR="00D73E82">
      <w:t xml:space="preserve">Data and </w:t>
    </w:r>
    <w:r>
      <w:t xml:space="preserve">Evidence </w:t>
    </w:r>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A5F0" w14:textId="77777777" w:rsidR="002E7299" w:rsidRDefault="002E7299" w:rsidP="0077711D">
      <w:pPr>
        <w:spacing w:after="0" w:line="240" w:lineRule="auto"/>
      </w:pPr>
      <w:r>
        <w:separator/>
      </w:r>
    </w:p>
  </w:footnote>
  <w:footnote w:type="continuationSeparator" w:id="0">
    <w:p w14:paraId="641816CF" w14:textId="77777777" w:rsidR="002E7299" w:rsidRDefault="002E7299" w:rsidP="0077711D">
      <w:pPr>
        <w:spacing w:after="0" w:line="240" w:lineRule="auto"/>
      </w:pPr>
      <w:r>
        <w:continuationSeparator/>
      </w:r>
    </w:p>
  </w:footnote>
  <w:footnote w:type="continuationNotice" w:id="1">
    <w:p w14:paraId="4622DB99" w14:textId="77777777" w:rsidR="002E7299" w:rsidRDefault="002E72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8241"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58242"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3CA4A4C8"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3CA4A4C8"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3E34EEBE" w:rsidR="00DB63D9" w:rsidRPr="00427F8D"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3E34EEBE" w:rsidR="00DB63D9" w:rsidRPr="00427F8D"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58244"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58245"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68812077"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68812077"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58243"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55D9D8"/>
    <w:multiLevelType w:val="hybridMultilevel"/>
    <w:tmpl w:val="C928967C"/>
    <w:lvl w:ilvl="0" w:tplc="9EBC2700">
      <w:start w:val="1"/>
      <w:numFmt w:val="bullet"/>
      <w:lvlText w:val=""/>
      <w:lvlJc w:val="left"/>
      <w:pPr>
        <w:ind w:left="720" w:hanging="360"/>
      </w:pPr>
      <w:rPr>
        <w:rFonts w:ascii="Symbol" w:hAnsi="Symbol" w:hint="default"/>
      </w:rPr>
    </w:lvl>
    <w:lvl w:ilvl="1" w:tplc="A0DA429E">
      <w:start w:val="1"/>
      <w:numFmt w:val="bullet"/>
      <w:lvlText w:val="o"/>
      <w:lvlJc w:val="left"/>
      <w:pPr>
        <w:ind w:left="1440" w:hanging="360"/>
      </w:pPr>
      <w:rPr>
        <w:rFonts w:ascii="Courier New" w:hAnsi="Courier New" w:hint="default"/>
      </w:rPr>
    </w:lvl>
    <w:lvl w:ilvl="2" w:tplc="FBEC2CD4">
      <w:start w:val="1"/>
      <w:numFmt w:val="bullet"/>
      <w:lvlText w:val=""/>
      <w:lvlJc w:val="left"/>
      <w:pPr>
        <w:ind w:left="2160" w:hanging="360"/>
      </w:pPr>
      <w:rPr>
        <w:rFonts w:ascii="Wingdings" w:hAnsi="Wingdings" w:hint="default"/>
      </w:rPr>
    </w:lvl>
    <w:lvl w:ilvl="3" w:tplc="1042213E">
      <w:start w:val="1"/>
      <w:numFmt w:val="bullet"/>
      <w:lvlText w:val=""/>
      <w:lvlJc w:val="left"/>
      <w:pPr>
        <w:ind w:left="2880" w:hanging="360"/>
      </w:pPr>
      <w:rPr>
        <w:rFonts w:ascii="Symbol" w:hAnsi="Symbol" w:hint="default"/>
      </w:rPr>
    </w:lvl>
    <w:lvl w:ilvl="4" w:tplc="C0481F08">
      <w:start w:val="1"/>
      <w:numFmt w:val="bullet"/>
      <w:lvlText w:val="o"/>
      <w:lvlJc w:val="left"/>
      <w:pPr>
        <w:ind w:left="3600" w:hanging="360"/>
      </w:pPr>
      <w:rPr>
        <w:rFonts w:ascii="Courier New" w:hAnsi="Courier New" w:hint="default"/>
      </w:rPr>
    </w:lvl>
    <w:lvl w:ilvl="5" w:tplc="E884ABE4">
      <w:start w:val="1"/>
      <w:numFmt w:val="bullet"/>
      <w:lvlText w:val=""/>
      <w:lvlJc w:val="left"/>
      <w:pPr>
        <w:ind w:left="4320" w:hanging="360"/>
      </w:pPr>
      <w:rPr>
        <w:rFonts w:ascii="Wingdings" w:hAnsi="Wingdings" w:hint="default"/>
      </w:rPr>
    </w:lvl>
    <w:lvl w:ilvl="6" w:tplc="B890E4C2">
      <w:start w:val="1"/>
      <w:numFmt w:val="bullet"/>
      <w:lvlText w:val=""/>
      <w:lvlJc w:val="left"/>
      <w:pPr>
        <w:ind w:left="5040" w:hanging="360"/>
      </w:pPr>
      <w:rPr>
        <w:rFonts w:ascii="Symbol" w:hAnsi="Symbol" w:hint="default"/>
      </w:rPr>
    </w:lvl>
    <w:lvl w:ilvl="7" w:tplc="867815AA">
      <w:start w:val="1"/>
      <w:numFmt w:val="bullet"/>
      <w:lvlText w:val="o"/>
      <w:lvlJc w:val="left"/>
      <w:pPr>
        <w:ind w:left="5760" w:hanging="360"/>
      </w:pPr>
      <w:rPr>
        <w:rFonts w:ascii="Courier New" w:hAnsi="Courier New" w:hint="default"/>
      </w:rPr>
    </w:lvl>
    <w:lvl w:ilvl="8" w:tplc="9E3A95CC">
      <w:start w:val="1"/>
      <w:numFmt w:val="bullet"/>
      <w:lvlText w:val=""/>
      <w:lvlJc w:val="left"/>
      <w:pPr>
        <w:ind w:left="6480" w:hanging="360"/>
      </w:pPr>
      <w:rPr>
        <w:rFonts w:ascii="Wingdings" w:hAnsi="Wingdings" w:hint="default"/>
      </w:r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num w:numId="1" w16cid:durableId="1546404455">
    <w:abstractNumId w:val="3"/>
  </w:num>
  <w:num w:numId="2" w16cid:durableId="1267496620">
    <w:abstractNumId w:val="6"/>
  </w:num>
  <w:num w:numId="3" w16cid:durableId="2045134168">
    <w:abstractNumId w:val="1"/>
  </w:num>
  <w:num w:numId="4" w16cid:durableId="1983343402">
    <w:abstractNumId w:val="0"/>
  </w:num>
  <w:num w:numId="5" w16cid:durableId="103235133">
    <w:abstractNumId w:val="4"/>
  </w:num>
  <w:num w:numId="6" w16cid:durableId="1475877034">
    <w:abstractNumId w:val="5"/>
  </w:num>
  <w:num w:numId="7" w16cid:durableId="1783455097">
    <w:abstractNumId w:val="7"/>
  </w:num>
  <w:num w:numId="8" w16cid:durableId="1703633920">
    <w:abstractNumId w:val="2"/>
  </w:num>
  <w:num w:numId="9" w16cid:durableId="1072655723">
    <w:abstractNumId w:val="7"/>
  </w:num>
  <w:num w:numId="10" w16cid:durableId="1438215347">
    <w:abstractNumId w:val="7"/>
  </w:num>
  <w:num w:numId="11" w16cid:durableId="564492630">
    <w:abstractNumId w:val="7"/>
  </w:num>
  <w:num w:numId="12" w16cid:durableId="250045614">
    <w:abstractNumId w:val="7"/>
  </w:num>
  <w:num w:numId="13" w16cid:durableId="1518471023">
    <w:abstractNumId w:val="7"/>
  </w:num>
  <w:num w:numId="14" w16cid:durableId="1695577088">
    <w:abstractNumId w:val="7"/>
  </w:num>
  <w:num w:numId="15" w16cid:durableId="1420633814">
    <w:abstractNumId w:val="7"/>
  </w:num>
  <w:num w:numId="16" w16cid:durableId="1497841256">
    <w:abstractNumId w:val="7"/>
  </w:num>
  <w:num w:numId="17" w16cid:durableId="343672249">
    <w:abstractNumId w:val="7"/>
  </w:num>
  <w:num w:numId="18" w16cid:durableId="10892778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1118"/>
    <w:rsid w:val="00005BBE"/>
    <w:rsid w:val="000106D0"/>
    <w:rsid w:val="00033C4C"/>
    <w:rsid w:val="00034336"/>
    <w:rsid w:val="00037CB0"/>
    <w:rsid w:val="000469A5"/>
    <w:rsid w:val="000710E0"/>
    <w:rsid w:val="00086206"/>
    <w:rsid w:val="000964FE"/>
    <w:rsid w:val="000969AE"/>
    <w:rsid w:val="000A4890"/>
    <w:rsid w:val="000A576B"/>
    <w:rsid w:val="000C1F92"/>
    <w:rsid w:val="000C7B86"/>
    <w:rsid w:val="000E3BB9"/>
    <w:rsid w:val="001026C0"/>
    <w:rsid w:val="00106AED"/>
    <w:rsid w:val="001B360A"/>
    <w:rsid w:val="001D3744"/>
    <w:rsid w:val="00213DA6"/>
    <w:rsid w:val="00216302"/>
    <w:rsid w:val="00233BCC"/>
    <w:rsid w:val="00236D2D"/>
    <w:rsid w:val="00245A2B"/>
    <w:rsid w:val="00252382"/>
    <w:rsid w:val="002C4BB0"/>
    <w:rsid w:val="002D1C62"/>
    <w:rsid w:val="002D3248"/>
    <w:rsid w:val="002D367B"/>
    <w:rsid w:val="002E7299"/>
    <w:rsid w:val="00327384"/>
    <w:rsid w:val="00353A19"/>
    <w:rsid w:val="00354EC2"/>
    <w:rsid w:val="00366BAB"/>
    <w:rsid w:val="00387FAC"/>
    <w:rsid w:val="00397220"/>
    <w:rsid w:val="003B0A38"/>
    <w:rsid w:val="003D62A6"/>
    <w:rsid w:val="003E2869"/>
    <w:rsid w:val="003E3722"/>
    <w:rsid w:val="003F320E"/>
    <w:rsid w:val="004227ED"/>
    <w:rsid w:val="004230ED"/>
    <w:rsid w:val="00426497"/>
    <w:rsid w:val="00427F8D"/>
    <w:rsid w:val="00445BCE"/>
    <w:rsid w:val="00447DD8"/>
    <w:rsid w:val="00454F25"/>
    <w:rsid w:val="00462D65"/>
    <w:rsid w:val="004710B8"/>
    <w:rsid w:val="004939A3"/>
    <w:rsid w:val="004957D3"/>
    <w:rsid w:val="00495E9D"/>
    <w:rsid w:val="004D1E30"/>
    <w:rsid w:val="00533E65"/>
    <w:rsid w:val="0053719A"/>
    <w:rsid w:val="0055724C"/>
    <w:rsid w:val="0056681E"/>
    <w:rsid w:val="00572AA9"/>
    <w:rsid w:val="00576592"/>
    <w:rsid w:val="0058038C"/>
    <w:rsid w:val="00581D20"/>
    <w:rsid w:val="00595906"/>
    <w:rsid w:val="00596E34"/>
    <w:rsid w:val="005B11F9"/>
    <w:rsid w:val="00631D73"/>
    <w:rsid w:val="00683864"/>
    <w:rsid w:val="00683B13"/>
    <w:rsid w:val="006957C7"/>
    <w:rsid w:val="006B19BD"/>
    <w:rsid w:val="006D0A06"/>
    <w:rsid w:val="007041E7"/>
    <w:rsid w:val="00752208"/>
    <w:rsid w:val="0076175E"/>
    <w:rsid w:val="00767AFA"/>
    <w:rsid w:val="0077711D"/>
    <w:rsid w:val="007B201A"/>
    <w:rsid w:val="007C2143"/>
    <w:rsid w:val="007C363B"/>
    <w:rsid w:val="007C73EF"/>
    <w:rsid w:val="007F3ACD"/>
    <w:rsid w:val="0080061F"/>
    <w:rsid w:val="0080133F"/>
    <w:rsid w:val="00803002"/>
    <w:rsid w:val="0080498F"/>
    <w:rsid w:val="00840EC5"/>
    <w:rsid w:val="00860654"/>
    <w:rsid w:val="008C20D5"/>
    <w:rsid w:val="00903467"/>
    <w:rsid w:val="00906EAA"/>
    <w:rsid w:val="00943B70"/>
    <w:rsid w:val="00965C35"/>
    <w:rsid w:val="00970DD2"/>
    <w:rsid w:val="0099555E"/>
    <w:rsid w:val="009A077C"/>
    <w:rsid w:val="009D15F1"/>
    <w:rsid w:val="009D2B10"/>
    <w:rsid w:val="009F7FCF"/>
    <w:rsid w:val="00A2199C"/>
    <w:rsid w:val="00A43896"/>
    <w:rsid w:val="00A43F21"/>
    <w:rsid w:val="00A6244E"/>
    <w:rsid w:val="00A678E1"/>
    <w:rsid w:val="00AD4113"/>
    <w:rsid w:val="00B41635"/>
    <w:rsid w:val="00B52748"/>
    <w:rsid w:val="00B5357A"/>
    <w:rsid w:val="00B96A8B"/>
    <w:rsid w:val="00BE0C92"/>
    <w:rsid w:val="00C04A74"/>
    <w:rsid w:val="00C20821"/>
    <w:rsid w:val="00C503A7"/>
    <w:rsid w:val="00C5215F"/>
    <w:rsid w:val="00C9505C"/>
    <w:rsid w:val="00CB4A28"/>
    <w:rsid w:val="00CF64DF"/>
    <w:rsid w:val="00D07BE6"/>
    <w:rsid w:val="00D34EA0"/>
    <w:rsid w:val="00D411E1"/>
    <w:rsid w:val="00D637C3"/>
    <w:rsid w:val="00D72755"/>
    <w:rsid w:val="00D73E82"/>
    <w:rsid w:val="00DB63D9"/>
    <w:rsid w:val="00DD3676"/>
    <w:rsid w:val="00DD62A5"/>
    <w:rsid w:val="00DD6907"/>
    <w:rsid w:val="00DD7526"/>
    <w:rsid w:val="00DE3537"/>
    <w:rsid w:val="00E22E32"/>
    <w:rsid w:val="00E41044"/>
    <w:rsid w:val="00E43B69"/>
    <w:rsid w:val="00E4584F"/>
    <w:rsid w:val="00E671C3"/>
    <w:rsid w:val="00E755CB"/>
    <w:rsid w:val="00E90142"/>
    <w:rsid w:val="00E9269E"/>
    <w:rsid w:val="00ED73E8"/>
    <w:rsid w:val="00EF3676"/>
    <w:rsid w:val="00F05841"/>
    <w:rsid w:val="00F06EE8"/>
    <w:rsid w:val="00F071B6"/>
    <w:rsid w:val="00F07349"/>
    <w:rsid w:val="00F113EF"/>
    <w:rsid w:val="00F12474"/>
    <w:rsid w:val="00F126F3"/>
    <w:rsid w:val="00F22AE5"/>
    <w:rsid w:val="00F406A9"/>
    <w:rsid w:val="00F63092"/>
    <w:rsid w:val="00F829C0"/>
    <w:rsid w:val="00F829F6"/>
    <w:rsid w:val="00F83EEE"/>
    <w:rsid w:val="00FA72F5"/>
    <w:rsid w:val="00FD13BE"/>
    <w:rsid w:val="00FE1A69"/>
    <w:rsid w:val="00FE33FB"/>
    <w:rsid w:val="0B29DE3C"/>
    <w:rsid w:val="20C5D88B"/>
    <w:rsid w:val="2A7E0858"/>
    <w:rsid w:val="45F8684D"/>
    <w:rsid w:val="5B37A4A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211050F8-A434-484A-AB66-D899A1A8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6"/>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2"/>
      </w:numPr>
      <w:contextualSpacing/>
    </w:pPr>
  </w:style>
  <w:style w:type="paragraph" w:styleId="List">
    <w:name w:val="List"/>
    <w:basedOn w:val="Normal"/>
    <w:uiPriority w:val="99"/>
    <w:rsid w:val="00F06EE8"/>
    <w:pPr>
      <w:numPr>
        <w:numId w:val="2"/>
      </w:numPr>
      <w:ind w:left="454" w:hanging="454"/>
    </w:pPr>
  </w:style>
  <w:style w:type="paragraph" w:styleId="List2">
    <w:name w:val="List 2"/>
    <w:basedOn w:val="Normal"/>
    <w:uiPriority w:val="99"/>
    <w:rsid w:val="00906EAA"/>
    <w:pPr>
      <w:numPr>
        <w:ilvl w:val="1"/>
        <w:numId w:val="2"/>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7"/>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5"/>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4"/>
      </w:numPr>
      <w:tabs>
        <w:tab w:val="clear" w:pos="643"/>
      </w:tabs>
      <w:contextualSpacing/>
    </w:pPr>
  </w:style>
  <w:style w:type="paragraph" w:styleId="ListBullet">
    <w:name w:val="List Bullet"/>
    <w:basedOn w:val="Normal"/>
    <w:uiPriority w:val="99"/>
    <w:qFormat/>
    <w:rsid w:val="003B0A38"/>
    <w:pPr>
      <w:numPr>
        <w:numId w:val="3"/>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426497"/>
  </w:style>
  <w:style w:type="character" w:customStyle="1" w:styleId="eop">
    <w:name w:val="eop"/>
    <w:basedOn w:val="DefaultParagraphFont"/>
    <w:rsid w:val="00426497"/>
  </w:style>
  <w:style w:type="paragraph" w:customStyle="1" w:styleId="paragraph">
    <w:name w:val="paragraph"/>
    <w:basedOn w:val="Normal"/>
    <w:rsid w:val="00F83EEE"/>
    <w:pPr>
      <w:spacing w:before="100" w:beforeAutospacing="1" w:after="100" w:afterAutospacing="1" w:line="240" w:lineRule="auto"/>
    </w:pPr>
    <w:rPr>
      <w:rFonts w:ascii="Times New Roman" w:eastAsia="Times New Roman" w:hAnsi="Times New Roman" w:cs="Times New Roman"/>
      <w:sz w:val="24"/>
      <w:szCs w:val="24"/>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4180">
      <w:bodyDiv w:val="1"/>
      <w:marLeft w:val="0"/>
      <w:marRight w:val="0"/>
      <w:marTop w:val="0"/>
      <w:marBottom w:val="0"/>
      <w:divBdr>
        <w:top w:val="none" w:sz="0" w:space="0" w:color="auto"/>
        <w:left w:val="none" w:sz="0" w:space="0" w:color="auto"/>
        <w:bottom w:val="none" w:sz="0" w:space="0" w:color="auto"/>
        <w:right w:val="none" w:sz="0" w:space="0" w:color="auto"/>
      </w:divBdr>
    </w:div>
    <w:div w:id="278805978">
      <w:bodyDiv w:val="1"/>
      <w:marLeft w:val="0"/>
      <w:marRight w:val="0"/>
      <w:marTop w:val="0"/>
      <w:marBottom w:val="0"/>
      <w:divBdr>
        <w:top w:val="none" w:sz="0" w:space="0" w:color="auto"/>
        <w:left w:val="none" w:sz="0" w:space="0" w:color="auto"/>
        <w:bottom w:val="none" w:sz="0" w:space="0" w:color="auto"/>
        <w:right w:val="none" w:sz="0" w:space="0" w:color="auto"/>
      </w:divBdr>
      <w:divsChild>
        <w:div w:id="1286548896">
          <w:marLeft w:val="0"/>
          <w:marRight w:val="0"/>
          <w:marTop w:val="0"/>
          <w:marBottom w:val="0"/>
          <w:divBdr>
            <w:top w:val="none" w:sz="0" w:space="0" w:color="auto"/>
            <w:left w:val="none" w:sz="0" w:space="0" w:color="auto"/>
            <w:bottom w:val="none" w:sz="0" w:space="0" w:color="auto"/>
            <w:right w:val="none" w:sz="0" w:space="0" w:color="auto"/>
          </w:divBdr>
        </w:div>
        <w:div w:id="1410732244">
          <w:marLeft w:val="0"/>
          <w:marRight w:val="0"/>
          <w:marTop w:val="0"/>
          <w:marBottom w:val="0"/>
          <w:divBdr>
            <w:top w:val="none" w:sz="0" w:space="0" w:color="auto"/>
            <w:left w:val="none" w:sz="0" w:space="0" w:color="auto"/>
            <w:bottom w:val="none" w:sz="0" w:space="0" w:color="auto"/>
            <w:right w:val="none" w:sz="0" w:space="0" w:color="auto"/>
          </w:divBdr>
        </w:div>
        <w:div w:id="1797794707">
          <w:marLeft w:val="0"/>
          <w:marRight w:val="0"/>
          <w:marTop w:val="0"/>
          <w:marBottom w:val="0"/>
          <w:divBdr>
            <w:top w:val="none" w:sz="0" w:space="0" w:color="auto"/>
            <w:left w:val="none" w:sz="0" w:space="0" w:color="auto"/>
            <w:bottom w:val="none" w:sz="0" w:space="0" w:color="auto"/>
            <w:right w:val="none" w:sz="0" w:space="0" w:color="auto"/>
          </w:divBdr>
        </w:div>
        <w:div w:id="1933274609">
          <w:marLeft w:val="0"/>
          <w:marRight w:val="0"/>
          <w:marTop w:val="0"/>
          <w:marBottom w:val="0"/>
          <w:divBdr>
            <w:top w:val="none" w:sz="0" w:space="0" w:color="auto"/>
            <w:left w:val="none" w:sz="0" w:space="0" w:color="auto"/>
            <w:bottom w:val="none" w:sz="0" w:space="0" w:color="auto"/>
            <w:right w:val="none" w:sz="0" w:space="0" w:color="auto"/>
          </w:divBdr>
        </w:div>
      </w:divsChild>
    </w:div>
    <w:div w:id="602080560">
      <w:bodyDiv w:val="1"/>
      <w:marLeft w:val="0"/>
      <w:marRight w:val="0"/>
      <w:marTop w:val="0"/>
      <w:marBottom w:val="0"/>
      <w:divBdr>
        <w:top w:val="none" w:sz="0" w:space="0" w:color="auto"/>
        <w:left w:val="none" w:sz="0" w:space="0" w:color="auto"/>
        <w:bottom w:val="none" w:sz="0" w:space="0" w:color="auto"/>
        <w:right w:val="none" w:sz="0" w:space="0" w:color="auto"/>
      </w:divBdr>
    </w:div>
    <w:div w:id="1161000850">
      <w:bodyDiv w:val="1"/>
      <w:marLeft w:val="0"/>
      <w:marRight w:val="0"/>
      <w:marTop w:val="0"/>
      <w:marBottom w:val="0"/>
      <w:divBdr>
        <w:top w:val="none" w:sz="0" w:space="0" w:color="auto"/>
        <w:left w:val="none" w:sz="0" w:space="0" w:color="auto"/>
        <w:bottom w:val="none" w:sz="0" w:space="0" w:color="auto"/>
        <w:right w:val="none" w:sz="0" w:space="0" w:color="auto"/>
      </w:divBdr>
    </w:div>
    <w:div w:id="1360277747">
      <w:bodyDiv w:val="1"/>
      <w:marLeft w:val="0"/>
      <w:marRight w:val="0"/>
      <w:marTop w:val="0"/>
      <w:marBottom w:val="0"/>
      <w:divBdr>
        <w:top w:val="none" w:sz="0" w:space="0" w:color="auto"/>
        <w:left w:val="none" w:sz="0" w:space="0" w:color="auto"/>
        <w:bottom w:val="none" w:sz="0" w:space="0" w:color="auto"/>
        <w:right w:val="none" w:sz="0" w:space="0" w:color="auto"/>
      </w:divBdr>
    </w:div>
    <w:div w:id="1601182028">
      <w:bodyDiv w:val="1"/>
      <w:marLeft w:val="0"/>
      <w:marRight w:val="0"/>
      <w:marTop w:val="0"/>
      <w:marBottom w:val="0"/>
      <w:divBdr>
        <w:top w:val="none" w:sz="0" w:space="0" w:color="auto"/>
        <w:left w:val="none" w:sz="0" w:space="0" w:color="auto"/>
        <w:bottom w:val="none" w:sz="0" w:space="0" w:color="auto"/>
        <w:right w:val="none" w:sz="0" w:space="0" w:color="auto"/>
      </w:divBdr>
    </w:div>
    <w:div w:id="174563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INFO-1382905582-9442</_dlc_DocId>
    <_dlc_DocIdUrl xmlns="f5655c14-143d-4812-9d48-85cb4e9489a4">
      <Url>https://msdgovtnz.sharepoint.com/sites/COP-People-Group-Change-Practice/_layouts/15/DocIdRedir.aspx?ID=INFO-1382905582-9442</Url>
      <Description>INFO-1382905582-9442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439B6-26E2-491C-A378-F326DBF22C3D}">
  <ds:schemaRefs>
    <ds:schemaRef ds:uri="http://schemas.microsoft.com/office/2006/metadata/properties"/>
    <ds:schemaRef ds:uri="http://schemas.microsoft.com/office/infopath/2007/PartnerControls"/>
    <ds:schemaRef ds:uri="5ebd4053-9985-41be-8f9c-5de37190b58a"/>
    <ds:schemaRef ds:uri="ea7f3347-cc1f-4827-9798-b3543c6f111f"/>
    <ds:schemaRef ds:uri="24a4208d-6389-4ccf-93db-5bf6e7a6ca4d"/>
    <ds:schemaRef ds:uri="f5655c14-143d-4812-9d48-85cb4e9489a4"/>
  </ds:schemaRefs>
</ds:datastoreItem>
</file>

<file path=customXml/itemProps2.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3.xml><?xml version="1.0" encoding="utf-8"?>
<ds:datastoreItem xmlns:ds="http://schemas.openxmlformats.org/officeDocument/2006/customXml" ds:itemID="{714F4B31-C402-4924-B7C8-4FE858FCBEEF}">
  <ds:schemaRefs>
    <ds:schemaRef ds:uri="http://schemas.microsoft.com/sharepoint/events"/>
  </ds:schemaRefs>
</ds:datastoreItem>
</file>

<file path=customXml/itemProps4.xml><?xml version="1.0" encoding="utf-8"?>
<ds:datastoreItem xmlns:ds="http://schemas.openxmlformats.org/officeDocument/2006/customXml" ds:itemID="{F96BA02C-95AD-4854-A962-E0B0FEFB92D3}">
  <ds:schemaRefs>
    <ds:schemaRef ds:uri="http://schemas.microsoft.com/sharepoint/v3/contenttype/forms"/>
  </ds:schemaRefs>
</ds:datastoreItem>
</file>

<file path=customXml/itemProps5.xml><?xml version="1.0" encoding="utf-8"?>
<ds:datastoreItem xmlns:ds="http://schemas.openxmlformats.org/officeDocument/2006/customXml" ds:itemID="{8A4E1DC9-024A-4725-817F-832C6B2E3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1511</Words>
  <Characters>8616</Characters>
  <Application>Microsoft Office Word</Application>
  <DocSecurity>0</DocSecurity>
  <Lines>71</Lines>
  <Paragraphs>20</Paragraphs>
  <ScaleCrop>false</ScaleCrop>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6</cp:revision>
  <dcterms:created xsi:type="dcterms:W3CDTF">2025-07-08T01:35:00Z</dcterms:created>
  <dcterms:modified xsi:type="dcterms:W3CDTF">2025-07-31T20:04:00Z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07e775fe-fb9e-4354-b772-a5b526d7e082</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