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015DCC5">
              <v:rect id="Rectangle 1"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lt="&quot;&quot;" o:spid="_x0000_s1026" fillcolor="#2b5f2e" strokecolor="#2b5f2e" strokeweight="2pt" w14:anchorId="5D59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v:textbox>
                  <w:txbxContent>
                    <w:p w:rsidRPr="004939A3" w:rsidR="000710E0" w:rsidP="000710E0" w:rsidRDefault="000710E0" w14:paraId="672A6659" w14:textId="77777777">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42C420C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6488BB16" w14:textId="77777777" w:rsidR="00B51C84" w:rsidRDefault="00B51C84" w:rsidP="00B51C84">
      <w:pPr>
        <w:pStyle w:val="Heading1"/>
        <w:ind w:left="142"/>
        <w:rPr>
          <w:color w:val="FFFFFF" w:themeColor="background1"/>
          <w:lang w:val="en-NZ"/>
        </w:rPr>
      </w:pPr>
      <w:proofErr w:type="spellStart"/>
      <w:r w:rsidRPr="007050CE">
        <w:rPr>
          <w:color w:val="FFFFFF" w:themeColor="background1"/>
          <w:lang w:val="en-NZ"/>
        </w:rPr>
        <w:t>Kaitūhono</w:t>
      </w:r>
      <w:proofErr w:type="spellEnd"/>
      <w:r w:rsidRPr="007050CE">
        <w:rPr>
          <w:color w:val="FFFFFF" w:themeColor="background1"/>
          <w:lang w:val="en-NZ"/>
        </w:rPr>
        <w:t>/</w:t>
      </w:r>
      <w:r>
        <w:rPr>
          <w:color w:val="FFFFFF" w:themeColor="background1"/>
          <w:lang w:val="en-NZ"/>
        </w:rPr>
        <w:t>Connector Support</w:t>
      </w:r>
    </w:p>
    <w:p w14:paraId="42510B0C" w14:textId="77777777" w:rsidR="00B51C84" w:rsidRDefault="00B51C84" w:rsidP="000710E0">
      <w:pPr>
        <w:pStyle w:val="Heading2"/>
        <w:jc w:val="center"/>
        <w:rPr>
          <w:color w:val="auto"/>
        </w:rPr>
      </w:pPr>
    </w:p>
    <w:p w14:paraId="0E99AF74" w14:textId="1B1651E9"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C254631">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2EB6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D38CC3E">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A27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37A8A9A">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3A8EF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7280C165">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654C2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A99A96E">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2C64B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D5362BE">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3434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4621F3C">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2812F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1FC33C7D" w:rsidR="003F320E" w:rsidRPr="003F320E" w:rsidRDefault="003F320E" w:rsidP="003F320E">
      <w:pPr>
        <w:pStyle w:val="Bullet1"/>
        <w:tabs>
          <w:tab w:val="clear" w:pos="454"/>
          <w:tab w:val="left" w:pos="709"/>
          <w:tab w:val="left" w:pos="4820"/>
        </w:tabs>
        <w:ind w:left="709" w:hanging="567"/>
        <w:rPr>
          <w:lang w:eastAsia="en-GB"/>
        </w:rPr>
      </w:pPr>
      <w:r w:rsidRPr="0195170E">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C0BC927">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697EA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00EC62C">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66C9C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0285E48C" w14:textId="77777777" w:rsidR="00B51C84" w:rsidRPr="00B51C84" w:rsidRDefault="00B51C84" w:rsidP="00B51C84">
      <w:pPr>
        <w:pStyle w:val="Heading3"/>
        <w:rPr>
          <w:rFonts w:eastAsia="Calibri"/>
          <w:b w:val="0"/>
          <w:sz w:val="20"/>
          <w:szCs w:val="22"/>
          <w:lang w:eastAsia="en-US"/>
        </w:rPr>
      </w:pPr>
      <w:r w:rsidRPr="00B51C84">
        <w:rPr>
          <w:rFonts w:eastAsia="Calibri"/>
          <w:b w:val="0"/>
          <w:sz w:val="20"/>
          <w:szCs w:val="22"/>
          <w:lang w:eastAsia="en-US"/>
        </w:rPr>
        <w:t xml:space="preserve">The </w:t>
      </w:r>
      <w:proofErr w:type="spellStart"/>
      <w:r w:rsidRPr="00B51C84">
        <w:rPr>
          <w:rFonts w:eastAsia="Calibri"/>
          <w:b w:val="0"/>
          <w:sz w:val="20"/>
          <w:szCs w:val="22"/>
          <w:lang w:eastAsia="en-US"/>
        </w:rPr>
        <w:t>Kaitūhono</w:t>
      </w:r>
      <w:proofErr w:type="spellEnd"/>
      <w:r w:rsidRPr="00B51C84">
        <w:rPr>
          <w:rFonts w:eastAsia="Calibri"/>
          <w:b w:val="0"/>
          <w:sz w:val="20"/>
          <w:szCs w:val="22"/>
          <w:lang w:eastAsia="en-US"/>
        </w:rPr>
        <w:t xml:space="preserve">/Connector Support is responsible for responding to people who contact Enabling Good Lives, ensuring the enquirer receives the most appropriate support in a timely manner. The </w:t>
      </w:r>
      <w:proofErr w:type="spellStart"/>
      <w:r w:rsidRPr="00B51C84">
        <w:rPr>
          <w:rFonts w:eastAsia="Calibri"/>
          <w:b w:val="0"/>
          <w:sz w:val="20"/>
          <w:szCs w:val="22"/>
          <w:lang w:eastAsia="en-US"/>
        </w:rPr>
        <w:t>Kaitūhono</w:t>
      </w:r>
      <w:proofErr w:type="spellEnd"/>
      <w:r w:rsidRPr="00B51C84">
        <w:rPr>
          <w:rFonts w:eastAsia="Calibri"/>
          <w:b w:val="0"/>
          <w:sz w:val="20"/>
          <w:szCs w:val="22"/>
          <w:lang w:eastAsia="en-US"/>
        </w:rPr>
        <w:t xml:space="preserve">/Connector Support answers enquiries and escalates enquiries to Connectors or others within Disability Support Services as appropriate. The </w:t>
      </w:r>
      <w:proofErr w:type="spellStart"/>
      <w:r w:rsidRPr="00B51C84">
        <w:rPr>
          <w:rFonts w:eastAsia="Calibri"/>
          <w:b w:val="0"/>
          <w:sz w:val="20"/>
          <w:szCs w:val="22"/>
          <w:lang w:eastAsia="en-US"/>
        </w:rPr>
        <w:t>Kaitūhono</w:t>
      </w:r>
      <w:proofErr w:type="spellEnd"/>
      <w:r w:rsidRPr="00B51C84">
        <w:rPr>
          <w:rFonts w:eastAsia="Calibri"/>
          <w:b w:val="0"/>
          <w:sz w:val="20"/>
          <w:szCs w:val="22"/>
          <w:lang w:eastAsia="en-US"/>
        </w:rPr>
        <w:t xml:space="preserve">/Connector Support may also link people to other government and non-government organisations where appropriate. </w:t>
      </w:r>
    </w:p>
    <w:p w14:paraId="659D82C8" w14:textId="77777777" w:rsidR="00B51C84" w:rsidRPr="00B51C84" w:rsidRDefault="00B51C84" w:rsidP="00B51C84">
      <w:pPr>
        <w:pStyle w:val="Heading3"/>
        <w:rPr>
          <w:rFonts w:eastAsia="Calibri"/>
          <w:b w:val="0"/>
          <w:sz w:val="20"/>
          <w:szCs w:val="22"/>
          <w:lang w:eastAsia="en-US"/>
        </w:rPr>
      </w:pPr>
      <w:r w:rsidRPr="00B51C84">
        <w:rPr>
          <w:rFonts w:eastAsia="Calibri"/>
          <w:b w:val="0"/>
          <w:sz w:val="20"/>
          <w:szCs w:val="22"/>
          <w:lang w:eastAsia="en-US"/>
        </w:rPr>
        <w:t xml:space="preserve">The </w:t>
      </w:r>
      <w:proofErr w:type="spellStart"/>
      <w:r w:rsidRPr="00B51C84">
        <w:rPr>
          <w:rFonts w:eastAsia="Calibri"/>
          <w:b w:val="0"/>
          <w:sz w:val="20"/>
          <w:szCs w:val="22"/>
          <w:lang w:eastAsia="en-US"/>
        </w:rPr>
        <w:t>Kaitūhono</w:t>
      </w:r>
      <w:proofErr w:type="spellEnd"/>
      <w:r w:rsidRPr="00B51C84">
        <w:rPr>
          <w:rFonts w:eastAsia="Calibri"/>
          <w:b w:val="0"/>
          <w:sz w:val="20"/>
          <w:szCs w:val="22"/>
          <w:lang w:eastAsia="en-US"/>
        </w:rPr>
        <w:t xml:space="preserve">/Connector Support undertakes updates and administration of the client record management database. </w:t>
      </w:r>
    </w:p>
    <w:p w14:paraId="6C3250CA" w14:textId="77777777" w:rsidR="00B51C84" w:rsidRDefault="00B51C84" w:rsidP="00B51C84">
      <w:pPr>
        <w:pStyle w:val="Heading3"/>
        <w:rPr>
          <w:rFonts w:eastAsia="Calibri"/>
          <w:b w:val="0"/>
          <w:sz w:val="20"/>
          <w:szCs w:val="22"/>
          <w:lang w:eastAsia="en-US"/>
        </w:rPr>
      </w:pPr>
      <w:r w:rsidRPr="00B51C84">
        <w:rPr>
          <w:rFonts w:eastAsia="Calibri"/>
          <w:b w:val="0"/>
          <w:sz w:val="20"/>
          <w:szCs w:val="22"/>
          <w:lang w:eastAsia="en-US"/>
        </w:rPr>
        <w:t xml:space="preserve">The </w:t>
      </w:r>
      <w:proofErr w:type="spellStart"/>
      <w:r w:rsidRPr="00B51C84">
        <w:rPr>
          <w:rFonts w:eastAsia="Calibri"/>
          <w:b w:val="0"/>
          <w:sz w:val="20"/>
          <w:szCs w:val="22"/>
          <w:lang w:eastAsia="en-US"/>
        </w:rPr>
        <w:t>Kaitūhono</w:t>
      </w:r>
      <w:proofErr w:type="spellEnd"/>
      <w:r w:rsidRPr="00B51C84">
        <w:rPr>
          <w:rFonts w:eastAsia="Calibri"/>
          <w:b w:val="0"/>
          <w:sz w:val="20"/>
          <w:szCs w:val="22"/>
          <w:lang w:eastAsia="en-US"/>
        </w:rPr>
        <w:t>/Connector Support also undertakes specific research on behalf of the Connectors, sharing information in a way that enables Connectors to spend more time working directly with disabled people and their whānau.</w:t>
      </w:r>
    </w:p>
    <w:p w14:paraId="2EC18287" w14:textId="6989F2BE" w:rsidR="0080061F" w:rsidRPr="00A70B36" w:rsidRDefault="0080061F" w:rsidP="00B51C84">
      <w:pPr>
        <w:pStyle w:val="Heading3"/>
      </w:pPr>
      <w:r w:rsidRPr="00A70B36">
        <w:t>Location</w:t>
      </w:r>
    </w:p>
    <w:p w14:paraId="50B953AD" w14:textId="195949A3" w:rsidR="0080061F" w:rsidRDefault="00B51C84" w:rsidP="0080061F">
      <w:r>
        <w:t>Various</w:t>
      </w:r>
    </w:p>
    <w:p w14:paraId="70CBFD7E" w14:textId="77777777" w:rsidR="0080061F" w:rsidRDefault="0080061F" w:rsidP="0080061F">
      <w:pPr>
        <w:pStyle w:val="Heading3"/>
      </w:pPr>
      <w:r>
        <w:t>Reports to</w:t>
      </w:r>
    </w:p>
    <w:p w14:paraId="44862558" w14:textId="509ABFB2" w:rsidR="00B51C84" w:rsidRPr="00B51C84" w:rsidRDefault="00B51C84" w:rsidP="00B51C84">
      <w:pPr>
        <w:pStyle w:val="Heading2"/>
        <w:spacing w:before="360"/>
        <w:rPr>
          <w:rFonts w:eastAsia="Calibri"/>
          <w:b w:val="0"/>
          <w:bCs w:val="0"/>
          <w:iCs w:val="0"/>
          <w:color w:val="auto"/>
          <w:sz w:val="20"/>
          <w:szCs w:val="22"/>
          <w:lang w:eastAsia="en-US"/>
        </w:rPr>
      </w:pPr>
      <w:r w:rsidRPr="00B51C84">
        <w:rPr>
          <w:rFonts w:eastAsia="Calibri"/>
          <w:b w:val="0"/>
          <w:bCs w:val="0"/>
          <w:iCs w:val="0"/>
          <w:color w:val="auto"/>
          <w:sz w:val="20"/>
          <w:szCs w:val="22"/>
          <w:lang w:eastAsia="en-US"/>
        </w:rPr>
        <w:t xml:space="preserve">The </w:t>
      </w:r>
      <w:proofErr w:type="spellStart"/>
      <w:r w:rsidRPr="00B51C84">
        <w:rPr>
          <w:rFonts w:eastAsia="Calibri"/>
          <w:b w:val="0"/>
          <w:bCs w:val="0"/>
          <w:iCs w:val="0"/>
          <w:color w:val="auto"/>
          <w:sz w:val="20"/>
          <w:szCs w:val="22"/>
          <w:lang w:eastAsia="en-US"/>
        </w:rPr>
        <w:t>Kaitūhono</w:t>
      </w:r>
      <w:proofErr w:type="spellEnd"/>
      <w:r w:rsidRPr="00B51C84">
        <w:rPr>
          <w:rFonts w:eastAsia="Calibri"/>
          <w:b w:val="0"/>
          <w:bCs w:val="0"/>
          <w:iCs w:val="0"/>
          <w:color w:val="auto"/>
          <w:sz w:val="20"/>
          <w:szCs w:val="22"/>
          <w:lang w:eastAsia="en-US"/>
        </w:rPr>
        <w:t xml:space="preserve">/Connector Support reports to the </w:t>
      </w:r>
      <w:r>
        <w:rPr>
          <w:rFonts w:eastAsia="Calibri"/>
          <w:b w:val="0"/>
          <w:bCs w:val="0"/>
          <w:iCs w:val="0"/>
          <w:color w:val="auto"/>
          <w:sz w:val="20"/>
          <w:szCs w:val="22"/>
          <w:lang w:eastAsia="en-US"/>
        </w:rPr>
        <w:t>Lead Connector</w:t>
      </w:r>
      <w:r w:rsidRPr="00B51C84">
        <w:rPr>
          <w:rFonts w:eastAsia="Calibri"/>
          <w:b w:val="0"/>
          <w:bCs w:val="0"/>
          <w:iCs w:val="0"/>
          <w:color w:val="auto"/>
          <w:sz w:val="20"/>
          <w:szCs w:val="22"/>
          <w:lang w:eastAsia="en-US"/>
        </w:rPr>
        <w:t xml:space="preserve"> within the Enabling Good Lives team, which sits in the Disability Support Services Business Group. </w:t>
      </w:r>
    </w:p>
    <w:p w14:paraId="0EB49113" w14:textId="77777777" w:rsidR="00B51C84" w:rsidRDefault="00B51C84" w:rsidP="00B51C84">
      <w:pPr>
        <w:pStyle w:val="Heading2"/>
        <w:spacing w:before="360"/>
        <w:rPr>
          <w:rFonts w:eastAsia="Calibri"/>
          <w:b w:val="0"/>
          <w:bCs w:val="0"/>
          <w:iCs w:val="0"/>
          <w:color w:val="auto"/>
          <w:sz w:val="20"/>
          <w:szCs w:val="22"/>
          <w:lang w:eastAsia="en-US"/>
        </w:rPr>
      </w:pPr>
      <w:r w:rsidRPr="00B51C84">
        <w:rPr>
          <w:rFonts w:eastAsia="Calibri"/>
          <w:b w:val="0"/>
          <w:bCs w:val="0"/>
          <w:iCs w:val="0"/>
          <w:color w:val="auto"/>
          <w:sz w:val="20"/>
          <w:szCs w:val="22"/>
          <w:lang w:eastAsia="en-US"/>
        </w:rPr>
        <w:t>The purpose of the Disability Support Services Business Group is to transform how supports are provided to disabled people and their whānau who need support to live the lives they choose.</w:t>
      </w:r>
    </w:p>
    <w:p w14:paraId="364B1823" w14:textId="41EBD0C3" w:rsidR="0080061F" w:rsidRDefault="0080061F" w:rsidP="00B51C84">
      <w:pPr>
        <w:pStyle w:val="Heading2"/>
        <w:spacing w:before="360"/>
      </w:pPr>
      <w:r w:rsidRPr="00776B90">
        <w:t>Key</w:t>
      </w:r>
      <w:r>
        <w:t xml:space="preserve"> </w:t>
      </w:r>
      <w:r w:rsidRPr="00B27E44">
        <w:t>responsibilities</w:t>
      </w:r>
    </w:p>
    <w:p w14:paraId="0422F114" w14:textId="77777777" w:rsidR="00B51C84" w:rsidRPr="00B51C84" w:rsidRDefault="00B51C84" w:rsidP="00B51C84">
      <w:pPr>
        <w:rPr>
          <w:rFonts w:eastAsia="Times New Roman"/>
          <w:b/>
          <w:sz w:val="24"/>
          <w:szCs w:val="20"/>
          <w:lang w:eastAsia="en-GB"/>
        </w:rPr>
      </w:pPr>
      <w:r w:rsidRPr="00B51C84">
        <w:rPr>
          <w:rFonts w:eastAsia="Times New Roman"/>
          <w:b/>
          <w:sz w:val="24"/>
          <w:szCs w:val="20"/>
          <w:lang w:eastAsia="en-GB"/>
        </w:rPr>
        <w:t>Answer Enquiries</w:t>
      </w:r>
    </w:p>
    <w:p w14:paraId="4B874210"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Warmly welcome people as the first point of contact of Disability Support Services through various channels.</w:t>
      </w:r>
    </w:p>
    <w:p w14:paraId="1EFE49B0"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Build, develop and maintain trusting relationships with disabled people and whānau.</w:t>
      </w:r>
    </w:p>
    <w:p w14:paraId="1C5DB1AB"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Assess and understand the nature of the enquiry and the most appropriate solution to that enquiry, ensuring the EGL principles of mana enhancing and simple and easy to use are demonstrated throughout these interactions.</w:t>
      </w:r>
    </w:p>
    <w:p w14:paraId="5175A099"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Respond to all enquiries about the disability system with accurate, timely and useful information that meets the communication and information needs of disabled people and their whānau.</w:t>
      </w:r>
    </w:p>
    <w:p w14:paraId="289EDF41"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Be knowledgeable in all aspects of the disability support system, and able to communicate with diverse audiences to identify what information they want and how they want to receive it. </w:t>
      </w:r>
    </w:p>
    <w:p w14:paraId="71E79A00"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Proactively identify and respond to enquiries that need a more complex level of expertise or engagement by linking (‘hand shaking’) people to the appropriate person within Disability Support Services or other </w:t>
      </w:r>
      <w:proofErr w:type="spellStart"/>
      <w:r w:rsidRPr="00B51C84">
        <w:rPr>
          <w:rFonts w:eastAsia="Times New Roman"/>
          <w:kern w:val="28"/>
          <w:szCs w:val="20"/>
          <w:lang w:val="en-US"/>
        </w:rPr>
        <w:t>organisations</w:t>
      </w:r>
      <w:proofErr w:type="spellEnd"/>
      <w:r w:rsidRPr="00B51C84">
        <w:rPr>
          <w:rFonts w:eastAsia="Times New Roman"/>
          <w:kern w:val="28"/>
          <w:szCs w:val="20"/>
          <w:lang w:val="en-US"/>
        </w:rPr>
        <w:t xml:space="preserve">. </w:t>
      </w:r>
    </w:p>
    <w:p w14:paraId="5D0BE696" w14:textId="77777777" w:rsidR="00B51C84" w:rsidRPr="00B51C84" w:rsidRDefault="00B51C84" w:rsidP="00B51C84">
      <w:pPr>
        <w:spacing w:before="60" w:after="60"/>
        <w:ind w:left="357" w:hanging="357"/>
      </w:pPr>
    </w:p>
    <w:p w14:paraId="2C99FA9C" w14:textId="77777777" w:rsidR="00B51C84" w:rsidRPr="00B51C84" w:rsidRDefault="00B51C84" w:rsidP="00B51C84">
      <w:pPr>
        <w:spacing w:before="60" w:after="60"/>
        <w:ind w:left="357" w:hanging="357"/>
      </w:pPr>
    </w:p>
    <w:p w14:paraId="2A2FFEA7" w14:textId="77777777" w:rsidR="00B51C84" w:rsidRPr="00B51C84" w:rsidRDefault="00B51C84" w:rsidP="00B51C84">
      <w:pPr>
        <w:spacing w:before="60" w:after="60"/>
        <w:ind w:left="357" w:hanging="357"/>
      </w:pPr>
    </w:p>
    <w:p w14:paraId="0E490731" w14:textId="77777777" w:rsidR="00B51C84" w:rsidRPr="00B51C84" w:rsidRDefault="00B51C84" w:rsidP="00B51C84">
      <w:pPr>
        <w:rPr>
          <w:rFonts w:eastAsia="Times New Roman"/>
          <w:b/>
          <w:sz w:val="24"/>
          <w:szCs w:val="20"/>
          <w:lang w:eastAsia="en-GB"/>
        </w:rPr>
      </w:pPr>
      <w:r w:rsidRPr="00B51C84">
        <w:rPr>
          <w:rFonts w:eastAsia="Times New Roman"/>
          <w:b/>
          <w:sz w:val="24"/>
          <w:szCs w:val="20"/>
          <w:lang w:eastAsia="en-GB"/>
        </w:rPr>
        <w:t>Support Connectors</w:t>
      </w:r>
    </w:p>
    <w:p w14:paraId="22A590F5"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Complete agreed types of research on behalf of the Connector team, sharing information in a way that enables Connectors to spend more time working directly with disabled people and their whānau. </w:t>
      </w:r>
    </w:p>
    <w:p w14:paraId="44B6DCA6"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Accurately record key information so disabled people and whānau do not have to repeat information to different people, and Connectors have the information they need.  </w:t>
      </w:r>
    </w:p>
    <w:p w14:paraId="363B9762"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Accurately enter and update data and information on contacts with enquirers in accordance with client record management system standards.</w:t>
      </w:r>
    </w:p>
    <w:p w14:paraId="272B6498"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Accurately retrieve data to assist with answering enquiries accurately. </w:t>
      </w:r>
    </w:p>
    <w:p w14:paraId="46BED477"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Support Connectors with a range of tasks as required, including administrative tasks, additional support in a timely manner.</w:t>
      </w:r>
    </w:p>
    <w:p w14:paraId="21E9AA61"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Contribute to the development and continuous improvement of processes, </w:t>
      </w:r>
      <w:proofErr w:type="gramStart"/>
      <w:r w:rsidRPr="00B51C84">
        <w:rPr>
          <w:rFonts w:eastAsia="Times New Roman"/>
          <w:kern w:val="28"/>
          <w:szCs w:val="20"/>
          <w:lang w:val="en-US"/>
        </w:rPr>
        <w:t>tools</w:t>
      </w:r>
      <w:proofErr w:type="gramEnd"/>
      <w:r w:rsidRPr="00B51C84">
        <w:rPr>
          <w:rFonts w:eastAsia="Times New Roman"/>
          <w:kern w:val="28"/>
          <w:szCs w:val="20"/>
          <w:lang w:val="en-US"/>
        </w:rPr>
        <w:t xml:space="preserve"> and frameworks within the team.</w:t>
      </w:r>
    </w:p>
    <w:p w14:paraId="1C3A1A37" w14:textId="77777777" w:rsidR="00B51C84" w:rsidRPr="00B51C84" w:rsidRDefault="00B51C84" w:rsidP="00B51C84">
      <w:pPr>
        <w:keepNext/>
        <w:spacing w:before="240"/>
        <w:outlineLvl w:val="3"/>
        <w:rPr>
          <w:rFonts w:eastAsia="Times New Roman"/>
          <w:b/>
          <w:sz w:val="24"/>
          <w:szCs w:val="20"/>
          <w:lang w:eastAsia="en-GB"/>
        </w:rPr>
      </w:pPr>
      <w:r w:rsidRPr="00B51C84">
        <w:rPr>
          <w:rFonts w:eastAsia="Times New Roman"/>
          <w:b/>
          <w:sz w:val="24"/>
          <w:szCs w:val="20"/>
          <w:lang w:eastAsia="en-GB"/>
        </w:rPr>
        <w:t>Client Engagement and support</w:t>
      </w:r>
    </w:p>
    <w:p w14:paraId="7C0C74B0"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Engage directly with disabled individuals and their families through multiple channels (phone, email, and in-person meetings) to facilitate access to funded supports, particularly for those with a history of or interest in utilizing such services.</w:t>
      </w:r>
    </w:p>
    <w:p w14:paraId="04E5736F"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Ensure accessibility in all communication methods, including phone, email, and in-person meetings. </w:t>
      </w:r>
    </w:p>
    <w:p w14:paraId="718A2796" w14:textId="77777777" w:rsidR="00B51C84" w:rsidRPr="00B51C84" w:rsidRDefault="00B51C84" w:rsidP="00B51C84">
      <w:pPr>
        <w:keepNext/>
        <w:spacing w:before="240"/>
        <w:outlineLvl w:val="3"/>
        <w:rPr>
          <w:rFonts w:eastAsia="Times New Roman"/>
          <w:b/>
          <w:sz w:val="24"/>
          <w:szCs w:val="20"/>
          <w:lang w:eastAsia="en-GB"/>
        </w:rPr>
      </w:pPr>
      <w:r w:rsidRPr="00B51C84">
        <w:rPr>
          <w:rFonts w:eastAsia="Times New Roman"/>
          <w:b/>
          <w:sz w:val="24"/>
          <w:szCs w:val="20"/>
          <w:lang w:eastAsia="en-GB"/>
        </w:rPr>
        <w:t>Relationship Management</w:t>
      </w:r>
    </w:p>
    <w:p w14:paraId="5C1DA385"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Build and maintain collaborative and positive relationships across Disability Support Services. </w:t>
      </w:r>
    </w:p>
    <w:p w14:paraId="7817133C"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Establish and maintain sound working relationships with key contacts at relevant government departments and agencies, the disability community, non-government </w:t>
      </w:r>
      <w:proofErr w:type="spellStart"/>
      <w:r w:rsidRPr="00B51C84">
        <w:rPr>
          <w:rFonts w:eastAsia="Times New Roman"/>
          <w:kern w:val="28"/>
          <w:szCs w:val="20"/>
          <w:lang w:val="en-US"/>
        </w:rPr>
        <w:t>organisations</w:t>
      </w:r>
      <w:proofErr w:type="spellEnd"/>
      <w:r w:rsidRPr="00B51C84">
        <w:rPr>
          <w:rFonts w:eastAsia="Times New Roman"/>
          <w:kern w:val="28"/>
          <w:szCs w:val="20"/>
          <w:lang w:val="en-US"/>
        </w:rPr>
        <w:t>, interest groups and other key stakeholders.</w:t>
      </w:r>
    </w:p>
    <w:p w14:paraId="2849D08C"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Work proactively with partners in ways that are most likely to deliver tangible benefits for disabled people and tāngata </w:t>
      </w:r>
      <w:proofErr w:type="spellStart"/>
      <w:r w:rsidRPr="00B51C84">
        <w:rPr>
          <w:rFonts w:eastAsia="Times New Roman"/>
          <w:kern w:val="28"/>
          <w:szCs w:val="20"/>
          <w:lang w:val="en-US"/>
        </w:rPr>
        <w:t>whaikaha</w:t>
      </w:r>
      <w:proofErr w:type="spellEnd"/>
      <w:r w:rsidRPr="00B51C84">
        <w:rPr>
          <w:rFonts w:eastAsia="Times New Roman"/>
          <w:kern w:val="28"/>
          <w:szCs w:val="20"/>
          <w:lang w:val="en-US"/>
        </w:rPr>
        <w:t xml:space="preserve"> Māori. </w:t>
      </w:r>
    </w:p>
    <w:p w14:paraId="32D24621"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proofErr w:type="spellStart"/>
      <w:r w:rsidRPr="00B51C84">
        <w:rPr>
          <w:rFonts w:eastAsia="Times New Roman"/>
          <w:kern w:val="28"/>
          <w:szCs w:val="20"/>
          <w:lang w:val="en-US"/>
        </w:rPr>
        <w:t>Recognise</w:t>
      </w:r>
      <w:proofErr w:type="spellEnd"/>
      <w:r w:rsidRPr="00B51C84">
        <w:rPr>
          <w:rFonts w:eastAsia="Times New Roman"/>
          <w:kern w:val="28"/>
          <w:szCs w:val="20"/>
          <w:lang w:val="en-US"/>
        </w:rPr>
        <w:t xml:space="preserve"> and value the voice of the disability community. Work collaboratively with community groups, disabled people, tāngata </w:t>
      </w:r>
      <w:proofErr w:type="spellStart"/>
      <w:r w:rsidRPr="00B51C84">
        <w:rPr>
          <w:rFonts w:eastAsia="Times New Roman"/>
          <w:kern w:val="28"/>
          <w:szCs w:val="20"/>
          <w:lang w:val="en-US"/>
        </w:rPr>
        <w:t>whaikaha</w:t>
      </w:r>
      <w:proofErr w:type="spellEnd"/>
      <w:r w:rsidRPr="00B51C84">
        <w:rPr>
          <w:rFonts w:eastAsia="Times New Roman"/>
          <w:kern w:val="28"/>
          <w:szCs w:val="20"/>
          <w:lang w:val="en-US"/>
        </w:rPr>
        <w:t xml:space="preserve"> Māori, whānau and providers reflecting their concerns and aspirations.  </w:t>
      </w:r>
    </w:p>
    <w:p w14:paraId="47D92D77"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Partner with key stakeholders to ensure the work </w:t>
      </w:r>
      <w:proofErr w:type="spellStart"/>
      <w:r w:rsidRPr="00B51C84">
        <w:rPr>
          <w:rFonts w:eastAsia="Times New Roman"/>
          <w:kern w:val="28"/>
          <w:szCs w:val="20"/>
          <w:lang w:val="en-US"/>
        </w:rPr>
        <w:t>programme</w:t>
      </w:r>
      <w:proofErr w:type="spellEnd"/>
      <w:r w:rsidRPr="00B51C84">
        <w:rPr>
          <w:rFonts w:eastAsia="Times New Roman"/>
          <w:kern w:val="28"/>
          <w:szCs w:val="20"/>
          <w:lang w:val="en-US"/>
        </w:rPr>
        <w:t xml:space="preserve"> reflects the Crown’s relationship with Māori and improves outcomes and equity and reflects our Te </w:t>
      </w:r>
      <w:proofErr w:type="spellStart"/>
      <w:r w:rsidRPr="00B51C84">
        <w:rPr>
          <w:rFonts w:eastAsia="Times New Roman"/>
          <w:kern w:val="28"/>
          <w:szCs w:val="20"/>
          <w:lang w:val="en-US"/>
        </w:rPr>
        <w:t>Tiriti</w:t>
      </w:r>
      <w:proofErr w:type="spellEnd"/>
      <w:r w:rsidRPr="00B51C84">
        <w:rPr>
          <w:rFonts w:eastAsia="Times New Roman"/>
          <w:kern w:val="28"/>
          <w:szCs w:val="20"/>
          <w:lang w:val="en-US"/>
        </w:rPr>
        <w:t xml:space="preserve"> o Waitangi obligations.</w:t>
      </w:r>
    </w:p>
    <w:p w14:paraId="71B20106" w14:textId="77777777" w:rsidR="00B51C84" w:rsidRPr="00B51C84" w:rsidRDefault="00B51C84" w:rsidP="00B51C84">
      <w:pPr>
        <w:suppressAutoHyphens/>
        <w:autoSpaceDE w:val="0"/>
        <w:autoSpaceDN w:val="0"/>
        <w:adjustRightInd w:val="0"/>
        <w:textAlignment w:val="center"/>
        <w:rPr>
          <w:rFonts w:eastAsia="Times New Roman"/>
          <w:b/>
          <w:bCs/>
          <w:kern w:val="28"/>
          <w:szCs w:val="20"/>
          <w:lang w:val="en-US"/>
        </w:rPr>
      </w:pPr>
      <w:r w:rsidRPr="00B51C84">
        <w:rPr>
          <w:rFonts w:eastAsia="Times New Roman"/>
          <w:b/>
          <w:bCs/>
          <w:kern w:val="28"/>
          <w:szCs w:val="20"/>
          <w:lang w:val="en-US"/>
        </w:rPr>
        <w:t>Special Regional Responsibilities (Mid-Central Region only)</w:t>
      </w:r>
    </w:p>
    <w:p w14:paraId="54DE385E"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proofErr w:type="gramStart"/>
      <w:r w:rsidRPr="00B51C84">
        <w:rPr>
          <w:rFonts w:eastAsia="Times New Roman"/>
          <w:kern w:val="28"/>
          <w:szCs w:val="20"/>
          <w:lang w:val="en-US"/>
        </w:rPr>
        <w:t>Provide assistance</w:t>
      </w:r>
      <w:proofErr w:type="gramEnd"/>
      <w:r w:rsidRPr="00B51C84">
        <w:rPr>
          <w:rFonts w:eastAsia="Times New Roman"/>
          <w:kern w:val="28"/>
          <w:szCs w:val="20"/>
          <w:lang w:val="en-US"/>
        </w:rPr>
        <w:t xml:space="preserve"> and support to disabled people who elected to self-navigate the system, ensuring their effective access to available resources and services.</w:t>
      </w:r>
    </w:p>
    <w:p w14:paraId="6C254B48"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lastRenderedPageBreak/>
        <w:t>Collaborate closely with Budget Advisors and Connectors to ensure comprehensive support</w:t>
      </w:r>
      <w:r w:rsidRPr="00B51C84">
        <w:rPr>
          <w:rFonts w:eastAsia="Times New Roman" w:hint="eastAsia"/>
          <w:kern w:val="28"/>
          <w:szCs w:val="20"/>
          <w:lang w:val="en-US"/>
        </w:rPr>
        <w:t>,</w:t>
      </w:r>
      <w:r w:rsidRPr="00B51C84">
        <w:rPr>
          <w:rFonts w:eastAsia="Times New Roman"/>
          <w:kern w:val="28"/>
          <w:szCs w:val="20"/>
          <w:lang w:val="en-US"/>
        </w:rPr>
        <w:t xml:space="preserve"> guidance on funded options and compliance verification</w:t>
      </w:r>
      <w:r w:rsidRPr="00B51C84">
        <w:rPr>
          <w:rFonts w:eastAsia="Times New Roman" w:hint="eastAsia"/>
          <w:kern w:val="28"/>
          <w:szCs w:val="20"/>
          <w:lang w:val="en-US"/>
        </w:rPr>
        <w:t xml:space="preserve"> </w:t>
      </w:r>
      <w:r w:rsidRPr="00B51C84">
        <w:rPr>
          <w:rFonts w:eastAsia="Times New Roman"/>
          <w:kern w:val="28"/>
          <w:szCs w:val="20"/>
          <w:lang w:val="en-US"/>
        </w:rPr>
        <w:t>for individuals without assigned Connectors.</w:t>
      </w:r>
    </w:p>
    <w:p w14:paraId="6DC600E4"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Assist disabled people and whānau in creating, reviewing, and updating their EGL plan as necessary.</w:t>
      </w:r>
    </w:p>
    <w:p w14:paraId="601D0EDB"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Support disabled people and whānau in modifying funding proposals to accurately reflect current goals and aspirations.</w:t>
      </w:r>
    </w:p>
    <w:p w14:paraId="55CFD447"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Listen to the aspirations, conduct sensitive conversation, and work alongside of disabled people and whānau to understand the funding process, how it works and how to </w:t>
      </w:r>
      <w:proofErr w:type="spellStart"/>
      <w:r w:rsidRPr="00B51C84">
        <w:rPr>
          <w:rFonts w:eastAsia="Times New Roman"/>
          <w:kern w:val="28"/>
          <w:szCs w:val="20"/>
          <w:lang w:val="en-US"/>
        </w:rPr>
        <w:t>prioritise</w:t>
      </w:r>
      <w:proofErr w:type="spellEnd"/>
      <w:r w:rsidRPr="00B51C84">
        <w:rPr>
          <w:rFonts w:eastAsia="Times New Roman"/>
          <w:kern w:val="28"/>
          <w:szCs w:val="20"/>
          <w:lang w:val="en-US"/>
        </w:rPr>
        <w:t xml:space="preserve"> the use of available resource.</w:t>
      </w:r>
    </w:p>
    <w:p w14:paraId="210F9723"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Facilitate the transfer of funded supports between regions (Inter NASC transfer).</w:t>
      </w:r>
    </w:p>
    <w:p w14:paraId="6E25F068"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Yearly Funding Renewals/continuations.</w:t>
      </w:r>
    </w:p>
    <w:p w14:paraId="4084A5B1" w14:textId="77777777" w:rsidR="00B51C84" w:rsidRPr="00B51C84" w:rsidRDefault="00B51C84" w:rsidP="00B51C84">
      <w:pPr>
        <w:numPr>
          <w:ilvl w:val="0"/>
          <w:numId w:val="11"/>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Provide support to waitlisted individuals through yearly funding reviewal and update funding if required, ensuring proper financial safeguarding are followed.</w:t>
      </w:r>
    </w:p>
    <w:p w14:paraId="3BD53DF5" w14:textId="77777777" w:rsidR="00B51C84" w:rsidRPr="00B51C84" w:rsidRDefault="00B51C84" w:rsidP="00B51C84">
      <w:pPr>
        <w:suppressAutoHyphens/>
        <w:autoSpaceDE w:val="0"/>
        <w:autoSpaceDN w:val="0"/>
        <w:adjustRightInd w:val="0"/>
        <w:textAlignment w:val="center"/>
        <w:rPr>
          <w:rFonts w:eastAsia="Times New Roman"/>
          <w:b/>
          <w:bCs/>
          <w:kern w:val="28"/>
          <w:szCs w:val="20"/>
          <w:lang w:val="en-US"/>
        </w:rPr>
      </w:pPr>
      <w:r w:rsidRPr="00B51C84">
        <w:rPr>
          <w:rFonts w:eastAsia="Times New Roman"/>
          <w:b/>
          <w:bCs/>
          <w:kern w:val="28"/>
          <w:szCs w:val="20"/>
          <w:lang w:val="en-US"/>
        </w:rPr>
        <w:t>Special Regional Responsibilities (Christchurch EGL Region only)</w:t>
      </w:r>
    </w:p>
    <w:p w14:paraId="7EB6C4DB"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 xml:space="preserve">Assist in the </w:t>
      </w:r>
      <w:proofErr w:type="spellStart"/>
      <w:r w:rsidRPr="00B51C84">
        <w:rPr>
          <w:rFonts w:eastAsia="Times New Roman"/>
          <w:kern w:val="28"/>
          <w:szCs w:val="20"/>
          <w:lang w:val="en-US"/>
        </w:rPr>
        <w:t>organisation</w:t>
      </w:r>
      <w:proofErr w:type="spellEnd"/>
      <w:r w:rsidRPr="00B51C84">
        <w:rPr>
          <w:rFonts w:eastAsia="Times New Roman"/>
          <w:kern w:val="28"/>
          <w:szCs w:val="20"/>
          <w:lang w:val="en-US"/>
        </w:rPr>
        <w:t>, management and delivery of events, seminars, and conferences, including finding venues, catering, travel, and accommodation requirements.</w:t>
      </w:r>
    </w:p>
    <w:p w14:paraId="44AAF221"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Set up and maintain effective electronic and paper filing systems and procedures, and develop new systems as required to ensure quick access to information.</w:t>
      </w:r>
    </w:p>
    <w:p w14:paraId="6D17BD78"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Book venues for meetings, workshops and focus groups - arrange catering and necessary resources, coordinate events.</w:t>
      </w:r>
    </w:p>
    <w:p w14:paraId="42CC8A7F"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Ensure office supplies, equipment and stationery are purchased and available as required.</w:t>
      </w:r>
    </w:p>
    <w:p w14:paraId="3BEA052D"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Ensure that receipts for personal expenses are accurately collated, recorded and submitted to the appropriate sources for reimbursement.</w:t>
      </w:r>
    </w:p>
    <w:p w14:paraId="1BD55D6D"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Oversee the internship and provide day to day support for the Intern.</w:t>
      </w:r>
    </w:p>
    <w:p w14:paraId="636DDC69" w14:textId="77777777" w:rsidR="00B51C84" w:rsidRPr="00B51C84" w:rsidRDefault="00B51C84" w:rsidP="00B51C84">
      <w:pPr>
        <w:numPr>
          <w:ilvl w:val="0"/>
          <w:numId w:val="2"/>
        </w:numPr>
        <w:suppressAutoHyphens/>
        <w:autoSpaceDE w:val="0"/>
        <w:autoSpaceDN w:val="0"/>
        <w:adjustRightInd w:val="0"/>
        <w:spacing w:before="60" w:after="60"/>
        <w:textAlignment w:val="center"/>
      </w:pPr>
      <w:r w:rsidRPr="00B51C84">
        <w:t>Contribute to staff recruitment and logistics through interviewing, assessing, assist in organizing information sessions about roles, organizing schedule for interviewees, creating parts of interview, organizing EGLC team involvement, booking suitable rooms for interviews.</w:t>
      </w:r>
    </w:p>
    <w:p w14:paraId="33954EB3" w14:textId="77777777" w:rsidR="00B51C84" w:rsidRPr="006C54A9" w:rsidRDefault="00B51C84" w:rsidP="00B51C84">
      <w:pPr>
        <w:pStyle w:val="Heading3"/>
        <w:rPr>
          <w:bCs/>
          <w:iCs/>
          <w:color w:val="000000" w:themeColor="text1"/>
          <w:sz w:val="28"/>
          <w:szCs w:val="28"/>
        </w:rPr>
      </w:pPr>
      <w:r w:rsidRPr="006C54A9">
        <w:rPr>
          <w:bCs/>
          <w:iCs/>
          <w:color w:val="000000" w:themeColor="text1"/>
          <w:sz w:val="28"/>
          <w:szCs w:val="28"/>
        </w:rPr>
        <w:t xml:space="preserve">Embedding accessibility </w:t>
      </w:r>
    </w:p>
    <w:p w14:paraId="01F8F336" w14:textId="77777777" w:rsidR="00B51C84" w:rsidRDefault="00B51C84" w:rsidP="00B51C84">
      <w:pPr>
        <w:spacing w:before="60" w:after="60"/>
        <w:ind w:left="357" w:hanging="357"/>
      </w:pPr>
      <w:r w:rsidRPr="002260A2">
        <w:t>•</w:t>
      </w:r>
      <w:r w:rsidRPr="002260A2">
        <w:tab/>
        <w:t>Embed a culture of genuine accessibility within teams where people work actively to identify and remove barriers and recognise individual strengths and needs.</w:t>
      </w:r>
    </w:p>
    <w:p w14:paraId="68C809B0" w14:textId="0885FE90"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38A95334" w14:textId="77777777" w:rsidR="00B51C84" w:rsidRPr="00B51C84" w:rsidRDefault="00B51C84" w:rsidP="00B51C8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Embedding Te Ao Māori (</w:t>
      </w:r>
      <w:proofErr w:type="spellStart"/>
      <w:r w:rsidRPr="00B51C84">
        <w:rPr>
          <w:rFonts w:eastAsia="Times New Roman"/>
          <w:kern w:val="28"/>
          <w:szCs w:val="20"/>
          <w:lang w:val="en-US"/>
        </w:rPr>
        <w:t>te</w:t>
      </w:r>
      <w:proofErr w:type="spellEnd"/>
      <w:r w:rsidRPr="00B51C84">
        <w:rPr>
          <w:rFonts w:eastAsia="Times New Roman"/>
          <w:kern w:val="28"/>
          <w:szCs w:val="20"/>
          <w:lang w:val="en-US"/>
        </w:rPr>
        <w:t xml:space="preserve"> </w:t>
      </w:r>
      <w:proofErr w:type="spellStart"/>
      <w:r w:rsidRPr="00B51C84">
        <w:rPr>
          <w:rFonts w:eastAsia="Times New Roman"/>
          <w:kern w:val="28"/>
          <w:szCs w:val="20"/>
          <w:lang w:val="en-US"/>
        </w:rPr>
        <w:t>reo</w:t>
      </w:r>
      <w:proofErr w:type="spellEnd"/>
      <w:r w:rsidRPr="00B51C84">
        <w:rPr>
          <w:rFonts w:eastAsia="Times New Roman"/>
          <w:kern w:val="28"/>
          <w:szCs w:val="20"/>
          <w:lang w:val="en-US"/>
        </w:rPr>
        <w:t xml:space="preserve"> Māori, tikanga, kawa, Te </w:t>
      </w:r>
      <w:proofErr w:type="spellStart"/>
      <w:r w:rsidRPr="00B51C84">
        <w:rPr>
          <w:rFonts w:eastAsia="Times New Roman"/>
          <w:kern w:val="28"/>
          <w:szCs w:val="20"/>
          <w:lang w:val="en-US"/>
        </w:rPr>
        <w:t>Tiriti</w:t>
      </w:r>
      <w:proofErr w:type="spellEnd"/>
      <w:r w:rsidRPr="00B51C84">
        <w:rPr>
          <w:rFonts w:eastAsia="Times New Roman"/>
          <w:kern w:val="28"/>
          <w:szCs w:val="20"/>
          <w:lang w:val="en-US"/>
        </w:rPr>
        <w:t xml:space="preserve"> o Waitangi) into the way we do things at MSD. </w:t>
      </w:r>
    </w:p>
    <w:p w14:paraId="52E9D4B8" w14:textId="77777777" w:rsidR="00B51C84" w:rsidRPr="00B51C84" w:rsidRDefault="00B51C84" w:rsidP="00B51C84">
      <w:pPr>
        <w:numPr>
          <w:ilvl w:val="0"/>
          <w:numId w:val="2"/>
        </w:numPr>
        <w:suppressAutoHyphens/>
        <w:autoSpaceDE w:val="0"/>
        <w:autoSpaceDN w:val="0"/>
        <w:adjustRightInd w:val="0"/>
        <w:spacing w:after="0" w:line="240" w:lineRule="auto"/>
        <w:textAlignment w:val="center"/>
        <w:rPr>
          <w:rFonts w:eastAsia="Times New Roman"/>
          <w:kern w:val="28"/>
          <w:szCs w:val="20"/>
          <w:lang w:val="en-US"/>
        </w:rPr>
      </w:pPr>
      <w:r w:rsidRPr="00B51C84">
        <w:rPr>
          <w:rFonts w:eastAsia="Times New Roman"/>
          <w:kern w:val="28"/>
          <w:szCs w:val="20"/>
          <w:lang w:val="en-US"/>
        </w:rPr>
        <w:t>Building more experience, knowledge, skills, and capabilities to confidently engage with whānau, hapū and iwi.</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lastRenderedPageBreak/>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55364D92"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Experience in providing accurate and useful information that is responsive to disabled people and whānau, and how they want the information communicated.</w:t>
      </w:r>
    </w:p>
    <w:p w14:paraId="1F4AC02B"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color w:val="000000" w:themeColor="text1"/>
          <w:kern w:val="28"/>
          <w:szCs w:val="20"/>
          <w:lang w:val="en-US"/>
        </w:rPr>
        <w:t>Sound understanding of Enabling Good Lives vision and principles and how to apply these in practice.</w:t>
      </w:r>
    </w:p>
    <w:p w14:paraId="11BAFB34"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Experience with using and maintaining a client record management database in an accurate and timely way.</w:t>
      </w:r>
    </w:p>
    <w:p w14:paraId="4D43BB9A"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 xml:space="preserve">Experience in </w:t>
      </w:r>
      <w:proofErr w:type="spellStart"/>
      <w:r w:rsidRPr="00B51C84">
        <w:rPr>
          <w:rFonts w:eastAsia="Times New Roman"/>
          <w:kern w:val="28"/>
          <w:szCs w:val="20"/>
          <w:lang w:val="en-US"/>
        </w:rPr>
        <w:t>prioritising</w:t>
      </w:r>
      <w:proofErr w:type="spellEnd"/>
      <w:r w:rsidRPr="00B51C84">
        <w:rPr>
          <w:rFonts w:eastAsia="Times New Roman"/>
          <w:kern w:val="28"/>
          <w:szCs w:val="20"/>
          <w:lang w:val="en-US"/>
        </w:rPr>
        <w:t xml:space="preserve"> enquiries and identifying those that need an immediate resource. </w:t>
      </w:r>
    </w:p>
    <w:p w14:paraId="3A80E840"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Experience of working in an environment that requires a high level of discretion, sensitivity, and interpersonal interaction.</w:t>
      </w:r>
    </w:p>
    <w:p w14:paraId="7E5AA8E7"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 xml:space="preserve">Experience of tailoring complex messages to a range of audiences in a range of situations. </w:t>
      </w:r>
    </w:p>
    <w:p w14:paraId="770E94F5"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Knowledge of data entry.</w:t>
      </w:r>
    </w:p>
    <w:p w14:paraId="057582B4"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 xml:space="preserve">Knowledge and understanding of disability </w:t>
      </w:r>
      <w:proofErr w:type="gramStart"/>
      <w:r w:rsidRPr="00B51C84">
        <w:rPr>
          <w:rFonts w:eastAsia="Times New Roman"/>
          <w:kern w:val="28"/>
          <w:szCs w:val="20"/>
          <w:lang w:val="en-US"/>
        </w:rPr>
        <w:t>supports</w:t>
      </w:r>
      <w:proofErr w:type="gramEnd"/>
      <w:r w:rsidRPr="00B51C84">
        <w:rPr>
          <w:rFonts w:eastAsia="Times New Roman"/>
          <w:kern w:val="28"/>
          <w:szCs w:val="20"/>
          <w:lang w:val="en-US"/>
        </w:rPr>
        <w:t xml:space="preserve">. </w:t>
      </w:r>
    </w:p>
    <w:p w14:paraId="0823E512"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 xml:space="preserve">Proven </w:t>
      </w:r>
      <w:proofErr w:type="spellStart"/>
      <w:r w:rsidRPr="00B51C84">
        <w:rPr>
          <w:rFonts w:eastAsia="Times New Roman"/>
          <w:kern w:val="28"/>
          <w:szCs w:val="20"/>
          <w:lang w:val="en-US"/>
        </w:rPr>
        <w:t>organisational</w:t>
      </w:r>
      <w:proofErr w:type="spellEnd"/>
      <w:r w:rsidRPr="00B51C84">
        <w:rPr>
          <w:rFonts w:eastAsia="Times New Roman"/>
          <w:kern w:val="28"/>
          <w:szCs w:val="20"/>
          <w:lang w:val="en-US"/>
        </w:rPr>
        <w:t xml:space="preserve"> skills with the ability to think ahead, use initiative, establish priorities, and meet deadlines whilst preserving high levels of accuracy and confidentiality.</w:t>
      </w:r>
    </w:p>
    <w:p w14:paraId="6417A76C" w14:textId="77777777" w:rsidR="00B51C84" w:rsidRPr="00B51C84" w:rsidRDefault="00B51C84" w:rsidP="00B51C84">
      <w:pPr>
        <w:numPr>
          <w:ilvl w:val="0"/>
          <w:numId w:val="6"/>
        </w:numPr>
        <w:tabs>
          <w:tab w:val="left" w:pos="720"/>
        </w:tabs>
        <w:suppressAutoHyphens/>
        <w:autoSpaceDE w:val="0"/>
        <w:autoSpaceDN w:val="0"/>
        <w:adjustRightInd w:val="0"/>
        <w:ind w:left="567" w:hanging="567"/>
        <w:rPr>
          <w:rFonts w:eastAsia="Times New Roman"/>
          <w:kern w:val="28"/>
          <w:szCs w:val="20"/>
          <w:lang w:val="en-US"/>
        </w:rPr>
      </w:pPr>
      <w:r w:rsidRPr="00B51C84">
        <w:rPr>
          <w:rFonts w:eastAsia="Times New Roman"/>
          <w:kern w:val="28"/>
          <w:szCs w:val="20"/>
          <w:lang w:val="en-US"/>
        </w:rPr>
        <w:t>Knowledge of proactively managing documentation dealing with highly emotive and sensitive subject matters.</w:t>
      </w:r>
    </w:p>
    <w:p w14:paraId="7A7EC9CD" w14:textId="77777777" w:rsidR="00B51C84" w:rsidRPr="00B51C84" w:rsidRDefault="00B51C84" w:rsidP="00B51C84">
      <w:pPr>
        <w:numPr>
          <w:ilvl w:val="0"/>
          <w:numId w:val="6"/>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 xml:space="preserve">An understanding of equity issues and Te </w:t>
      </w:r>
      <w:proofErr w:type="spellStart"/>
      <w:r w:rsidRPr="00B51C84">
        <w:rPr>
          <w:rFonts w:eastAsia="Times New Roman"/>
          <w:kern w:val="28"/>
          <w:szCs w:val="20"/>
          <w:lang w:val="en-US"/>
        </w:rPr>
        <w:t>Tiriti</w:t>
      </w:r>
      <w:proofErr w:type="spellEnd"/>
      <w:r w:rsidRPr="00B51C84">
        <w:rPr>
          <w:rFonts w:eastAsia="Times New Roman"/>
          <w:kern w:val="28"/>
          <w:szCs w:val="20"/>
          <w:lang w:val="en-US"/>
        </w:rPr>
        <w:t xml:space="preserve"> o Waitangi and the implications of these for the work of Enabling Good Lives.</w:t>
      </w:r>
    </w:p>
    <w:p w14:paraId="6D10A911" w14:textId="77777777" w:rsidR="00B51C84" w:rsidRPr="00B51C84" w:rsidRDefault="00B51C84" w:rsidP="00B51C84">
      <w:pPr>
        <w:numPr>
          <w:ilvl w:val="0"/>
          <w:numId w:val="6"/>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Excellent communication and interpersonal skills.</w:t>
      </w:r>
    </w:p>
    <w:p w14:paraId="3332EB16" w14:textId="77777777" w:rsidR="00B51C84" w:rsidRPr="00B51C84" w:rsidRDefault="00B51C84" w:rsidP="00B51C84">
      <w:pPr>
        <w:numPr>
          <w:ilvl w:val="0"/>
          <w:numId w:val="6"/>
        </w:numPr>
        <w:suppressAutoHyphens/>
        <w:autoSpaceDE w:val="0"/>
        <w:autoSpaceDN w:val="0"/>
        <w:adjustRightInd w:val="0"/>
        <w:ind w:left="567" w:hanging="567"/>
        <w:textAlignment w:val="center"/>
        <w:rPr>
          <w:rFonts w:eastAsia="Times New Roman"/>
          <w:kern w:val="28"/>
          <w:szCs w:val="20"/>
          <w:lang w:val="en-US"/>
        </w:rPr>
      </w:pPr>
      <w:r w:rsidRPr="00B51C84">
        <w:rPr>
          <w:rFonts w:eastAsia="Times New Roman"/>
          <w:kern w:val="28"/>
          <w:szCs w:val="20"/>
          <w:lang w:val="en-US"/>
        </w:rPr>
        <w:t>Ability to negotiate and influence.</w:t>
      </w:r>
    </w:p>
    <w:p w14:paraId="134BA960" w14:textId="77777777" w:rsidR="0080061F" w:rsidRDefault="0080061F" w:rsidP="0055724C">
      <w:pPr>
        <w:pStyle w:val="Heading2"/>
        <w:spacing w:before="360"/>
      </w:pPr>
      <w:r w:rsidRPr="00B27E44">
        <w:t>Attributes</w:t>
      </w:r>
    </w:p>
    <w:p w14:paraId="1003A7B7" w14:textId="1CE4D6FD"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 xml:space="preserve">Highly </w:t>
      </w:r>
      <w:proofErr w:type="spellStart"/>
      <w:r w:rsidRPr="00B51C84">
        <w:rPr>
          <w:rFonts w:eastAsia="Times New Roman"/>
          <w:kern w:val="28"/>
          <w:szCs w:val="20"/>
          <w:lang w:val="en-US"/>
        </w:rPr>
        <w:t>organised</w:t>
      </w:r>
      <w:proofErr w:type="spellEnd"/>
      <w:r w:rsidRPr="00B51C84">
        <w:rPr>
          <w:rFonts w:eastAsia="Times New Roman"/>
          <w:kern w:val="28"/>
          <w:szCs w:val="20"/>
          <w:lang w:val="en-US"/>
        </w:rPr>
        <w:t xml:space="preserve"> – approaches tasks and situations pragmatically and efficiently</w:t>
      </w:r>
      <w:r w:rsidR="00EF367E">
        <w:rPr>
          <w:rFonts w:eastAsia="Times New Roman"/>
          <w:kern w:val="28"/>
          <w:szCs w:val="20"/>
          <w:lang w:val="en-US"/>
        </w:rPr>
        <w:t>.</w:t>
      </w:r>
    </w:p>
    <w:p w14:paraId="7745E39B" w14:textId="12186F05"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 xml:space="preserve">Time management – ability to </w:t>
      </w:r>
      <w:proofErr w:type="spellStart"/>
      <w:r w:rsidRPr="00B51C84">
        <w:rPr>
          <w:rFonts w:eastAsia="Times New Roman"/>
          <w:kern w:val="28"/>
          <w:szCs w:val="20"/>
          <w:lang w:val="en-US"/>
        </w:rPr>
        <w:t>prioritise</w:t>
      </w:r>
      <w:proofErr w:type="spellEnd"/>
      <w:r w:rsidRPr="00B51C84">
        <w:rPr>
          <w:rFonts w:eastAsia="Times New Roman"/>
          <w:kern w:val="28"/>
          <w:szCs w:val="20"/>
          <w:lang w:val="en-US"/>
        </w:rPr>
        <w:t xml:space="preserve"> work, often within tight timeframes and under pressure</w:t>
      </w:r>
      <w:r w:rsidR="00EF367E">
        <w:rPr>
          <w:rFonts w:eastAsia="Times New Roman"/>
          <w:kern w:val="28"/>
          <w:szCs w:val="20"/>
          <w:lang w:val="en-US"/>
        </w:rPr>
        <w:t>.</w:t>
      </w:r>
      <w:r w:rsidRPr="00B51C84">
        <w:rPr>
          <w:rFonts w:eastAsia="Times New Roman"/>
          <w:kern w:val="28"/>
          <w:szCs w:val="20"/>
          <w:lang w:val="en-US"/>
        </w:rPr>
        <w:t xml:space="preserve"> </w:t>
      </w:r>
    </w:p>
    <w:p w14:paraId="4F39A020" w14:textId="4E67D4C1"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Excellent attention to detail – ability to achieve thoroughness and accuracy when accomplishing tasks</w:t>
      </w:r>
      <w:r w:rsidR="00EF367E">
        <w:rPr>
          <w:rFonts w:eastAsia="Times New Roman"/>
          <w:kern w:val="28"/>
          <w:szCs w:val="20"/>
          <w:lang w:val="en-US"/>
        </w:rPr>
        <w:t>.</w:t>
      </w:r>
    </w:p>
    <w:p w14:paraId="70C0DE56" w14:textId="0059C3F6"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 xml:space="preserve">Flexible, </w:t>
      </w:r>
      <w:proofErr w:type="gramStart"/>
      <w:r w:rsidRPr="00B51C84">
        <w:rPr>
          <w:rFonts w:eastAsia="Times New Roman"/>
          <w:kern w:val="28"/>
          <w:szCs w:val="20"/>
          <w:lang w:val="en-US"/>
        </w:rPr>
        <w:t>adaptable</w:t>
      </w:r>
      <w:proofErr w:type="gramEnd"/>
      <w:r w:rsidRPr="00B51C84">
        <w:rPr>
          <w:rFonts w:eastAsia="Times New Roman"/>
          <w:kern w:val="28"/>
          <w:szCs w:val="20"/>
          <w:lang w:val="en-US"/>
        </w:rPr>
        <w:t xml:space="preserve"> and pragmatic – ability to adapt to a busy and changing environment and take the initiative</w:t>
      </w:r>
      <w:r w:rsidR="00EF367E">
        <w:rPr>
          <w:rFonts w:eastAsia="Times New Roman"/>
          <w:kern w:val="28"/>
          <w:szCs w:val="20"/>
          <w:lang w:val="en-US"/>
        </w:rPr>
        <w:t>.</w:t>
      </w:r>
    </w:p>
    <w:p w14:paraId="321E8CF8" w14:textId="0EBF71A9"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lastRenderedPageBreak/>
        <w:t xml:space="preserve">Resilient and able to stay calm under pressure and </w:t>
      </w:r>
      <w:proofErr w:type="spellStart"/>
      <w:r w:rsidRPr="00B51C84">
        <w:rPr>
          <w:rFonts w:eastAsia="Times New Roman"/>
          <w:kern w:val="28"/>
          <w:szCs w:val="20"/>
          <w:lang w:val="en-US"/>
        </w:rPr>
        <w:t>utilise</w:t>
      </w:r>
      <w:proofErr w:type="spellEnd"/>
      <w:r w:rsidRPr="00B51C84">
        <w:rPr>
          <w:rFonts w:eastAsia="Times New Roman"/>
          <w:kern w:val="28"/>
          <w:szCs w:val="20"/>
          <w:lang w:val="en-US"/>
        </w:rPr>
        <w:t xml:space="preserve"> effective problem-solving approaches</w:t>
      </w:r>
      <w:r w:rsidR="00EF367E">
        <w:rPr>
          <w:rFonts w:eastAsia="Times New Roman"/>
          <w:kern w:val="28"/>
          <w:szCs w:val="20"/>
          <w:lang w:val="en-US"/>
        </w:rPr>
        <w:t>.</w:t>
      </w:r>
    </w:p>
    <w:p w14:paraId="5912C628" w14:textId="61782A33"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Exercises sound judgement and discretion – able to assess individual situations to make quality judgements and decisions</w:t>
      </w:r>
      <w:r w:rsidR="00EF367E">
        <w:rPr>
          <w:rFonts w:eastAsia="Times New Roman"/>
          <w:kern w:val="28"/>
          <w:szCs w:val="20"/>
          <w:lang w:val="en-US"/>
        </w:rPr>
        <w:t>.</w:t>
      </w:r>
    </w:p>
    <w:p w14:paraId="4048D1FC" w14:textId="59F7CB83"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Relationship management skills – able to develop and maintain effective working relationships</w:t>
      </w:r>
      <w:r w:rsidR="00EF367E">
        <w:rPr>
          <w:rFonts w:eastAsia="Times New Roman"/>
          <w:kern w:val="28"/>
          <w:szCs w:val="20"/>
          <w:lang w:val="en-US"/>
        </w:rPr>
        <w:t>.</w:t>
      </w:r>
    </w:p>
    <w:p w14:paraId="44AC8823" w14:textId="12473C9B"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Interpersonal skills – ability to relate to people at all levels and demonstrate active listening skills</w:t>
      </w:r>
      <w:r w:rsidR="00EF367E">
        <w:rPr>
          <w:rFonts w:eastAsia="Times New Roman"/>
          <w:kern w:val="28"/>
          <w:szCs w:val="20"/>
          <w:lang w:val="en-US"/>
        </w:rPr>
        <w:t>.</w:t>
      </w:r>
    </w:p>
    <w:p w14:paraId="29EF8D85" w14:textId="51ECBBE2"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Excellent communication skills – able to communicate clearly and concisely across multiple channels</w:t>
      </w:r>
      <w:r w:rsidR="00EF367E">
        <w:rPr>
          <w:rFonts w:eastAsia="Times New Roman"/>
          <w:kern w:val="28"/>
          <w:szCs w:val="20"/>
          <w:lang w:val="en-US"/>
        </w:rPr>
        <w:t>.</w:t>
      </w:r>
    </w:p>
    <w:p w14:paraId="6614E2E2" w14:textId="01F0A213"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Willingly shares knowledge and actively contributes to a supportive environment based on co-operation and commitment to achieve goals</w:t>
      </w:r>
      <w:r w:rsidR="00EF367E">
        <w:rPr>
          <w:rFonts w:eastAsia="Times New Roman"/>
          <w:kern w:val="28"/>
          <w:szCs w:val="20"/>
          <w:lang w:val="en-US"/>
        </w:rPr>
        <w:t>.</w:t>
      </w:r>
    </w:p>
    <w:p w14:paraId="4A50E173" w14:textId="77777777" w:rsidR="00B51C84" w:rsidRPr="00B51C84" w:rsidRDefault="00B51C84" w:rsidP="00B51C84">
      <w:pPr>
        <w:numPr>
          <w:ilvl w:val="0"/>
          <w:numId w:val="12"/>
        </w:numPr>
        <w:suppressAutoHyphens/>
        <w:autoSpaceDE w:val="0"/>
        <w:autoSpaceDN w:val="0"/>
        <w:adjustRightInd w:val="0"/>
        <w:spacing w:before="60" w:after="60"/>
        <w:textAlignment w:val="center"/>
        <w:rPr>
          <w:rFonts w:eastAsia="Times New Roman"/>
          <w:kern w:val="28"/>
          <w:szCs w:val="20"/>
          <w:lang w:val="en-US"/>
        </w:rPr>
      </w:pPr>
      <w:r w:rsidRPr="00B51C84">
        <w:rPr>
          <w:rFonts w:eastAsia="Times New Roman"/>
          <w:kern w:val="28"/>
          <w:szCs w:val="20"/>
          <w:lang w:val="en-US"/>
        </w:rPr>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3B2E5F7" w14:textId="77777777" w:rsidR="00B51C84" w:rsidRDefault="00B51C84" w:rsidP="00B51C84">
      <w:pPr>
        <w:pStyle w:val="ListBullet"/>
      </w:pPr>
      <w:r>
        <w:t xml:space="preserve">Team manager and other team members </w:t>
      </w:r>
    </w:p>
    <w:p w14:paraId="312D311D" w14:textId="77777777" w:rsidR="00B51C84" w:rsidRDefault="00B51C84" w:rsidP="00B51C84">
      <w:pPr>
        <w:pStyle w:val="ListBullet"/>
      </w:pPr>
      <w:r>
        <w:t>Disability Support Services Business Group</w:t>
      </w:r>
    </w:p>
    <w:p w14:paraId="2DC2042C" w14:textId="77777777" w:rsidR="00B51C84" w:rsidRPr="00820879" w:rsidRDefault="00B51C84" w:rsidP="00B51C84">
      <w:pPr>
        <w:pStyle w:val="ListBullet"/>
        <w:rPr>
          <w:szCs w:val="24"/>
        </w:rPr>
      </w:pPr>
      <w:r>
        <w:t xml:space="preserve">Disability Support Services </w:t>
      </w:r>
      <w:proofErr w:type="spellStart"/>
      <w:r>
        <w:t>kaimahi</w:t>
      </w:r>
      <w:proofErr w:type="spellEnd"/>
      <w:r w:rsidRPr="00820879">
        <w:rPr>
          <w:rFonts w:eastAsia="Times New Roman"/>
          <w:kern w:val="28"/>
          <w:szCs w:val="20"/>
          <w:lang w:val="en-US"/>
        </w:rPr>
        <w:tab/>
      </w:r>
    </w:p>
    <w:p w14:paraId="48DBAD43" w14:textId="77777777" w:rsidR="0080061F" w:rsidRDefault="0080061F" w:rsidP="000469A5">
      <w:pPr>
        <w:pStyle w:val="Heading3"/>
      </w:pPr>
      <w:r w:rsidRPr="00E83550">
        <w:t xml:space="preserve">External </w:t>
      </w:r>
    </w:p>
    <w:p w14:paraId="61751977" w14:textId="77777777" w:rsidR="00B51C84" w:rsidRPr="009709E8" w:rsidRDefault="00B51C84" w:rsidP="00B51C84">
      <w:pPr>
        <w:pStyle w:val="ListBullet"/>
        <w:rPr>
          <w:rFonts w:eastAsia="Times New Roman"/>
          <w:kern w:val="28"/>
          <w:szCs w:val="20"/>
          <w:lang w:val="en-US"/>
        </w:rPr>
      </w:pPr>
      <w:r w:rsidRPr="009709E8">
        <w:rPr>
          <w:rFonts w:eastAsia="Times New Roman"/>
          <w:kern w:val="28"/>
          <w:szCs w:val="20"/>
          <w:lang w:val="en-US"/>
        </w:rPr>
        <w:t xml:space="preserve">Disabled </w:t>
      </w:r>
      <w:r>
        <w:rPr>
          <w:rFonts w:eastAsia="Times New Roman"/>
          <w:kern w:val="28"/>
          <w:szCs w:val="20"/>
          <w:lang w:val="en-US"/>
        </w:rPr>
        <w:t>people</w:t>
      </w:r>
      <w:r w:rsidRPr="009709E8">
        <w:rPr>
          <w:rFonts w:eastAsia="Times New Roman"/>
          <w:kern w:val="28"/>
          <w:szCs w:val="20"/>
          <w:lang w:val="en-US"/>
        </w:rPr>
        <w:t xml:space="preserve">, and tāngata </w:t>
      </w:r>
      <w:proofErr w:type="spellStart"/>
      <w:r w:rsidRPr="009709E8">
        <w:rPr>
          <w:rFonts w:eastAsia="Times New Roman"/>
          <w:kern w:val="28"/>
          <w:szCs w:val="20"/>
          <w:lang w:val="en-US"/>
        </w:rPr>
        <w:t>whaikaha</w:t>
      </w:r>
      <w:proofErr w:type="spellEnd"/>
      <w:r w:rsidRPr="009709E8">
        <w:rPr>
          <w:rFonts w:eastAsia="Times New Roman"/>
          <w:kern w:val="28"/>
          <w:szCs w:val="20"/>
          <w:lang w:val="en-US"/>
        </w:rPr>
        <w:t xml:space="preserve"> Māori</w:t>
      </w:r>
    </w:p>
    <w:p w14:paraId="645EC4AB" w14:textId="77777777" w:rsidR="00B51C84" w:rsidRPr="009709E8" w:rsidRDefault="00B51C84" w:rsidP="00B51C84">
      <w:pPr>
        <w:pStyle w:val="ListBullet"/>
        <w:rPr>
          <w:rFonts w:eastAsia="Times New Roman"/>
          <w:kern w:val="28"/>
          <w:szCs w:val="20"/>
          <w:lang w:val="en-US"/>
        </w:rPr>
      </w:pPr>
      <w:r w:rsidRPr="009709E8">
        <w:rPr>
          <w:rFonts w:eastAsia="Times New Roman"/>
          <w:kern w:val="28"/>
          <w:szCs w:val="20"/>
          <w:lang w:val="en-US"/>
        </w:rPr>
        <w:t>Families of disabled children, young adults</w:t>
      </w:r>
      <w:r>
        <w:rPr>
          <w:rFonts w:eastAsia="Times New Roman"/>
          <w:kern w:val="28"/>
          <w:szCs w:val="20"/>
          <w:lang w:val="en-US"/>
        </w:rPr>
        <w:t>,</w:t>
      </w:r>
      <w:r w:rsidRPr="009709E8">
        <w:rPr>
          <w:rFonts w:eastAsia="Times New Roman"/>
          <w:kern w:val="28"/>
          <w:szCs w:val="20"/>
          <w:lang w:val="en-US"/>
        </w:rPr>
        <w:t xml:space="preserve"> and adults</w:t>
      </w:r>
    </w:p>
    <w:p w14:paraId="22ABB72E" w14:textId="77777777" w:rsidR="00B51C84" w:rsidRPr="009709E8" w:rsidRDefault="00B51C84" w:rsidP="00B51C84">
      <w:pPr>
        <w:pStyle w:val="ListBullet"/>
        <w:rPr>
          <w:rFonts w:eastAsia="Times New Roman"/>
          <w:kern w:val="28"/>
          <w:szCs w:val="20"/>
          <w:lang w:val="en-US"/>
        </w:rPr>
      </w:pPr>
      <w:r w:rsidRPr="009709E8">
        <w:rPr>
          <w:rFonts w:eastAsia="Times New Roman"/>
          <w:kern w:val="28"/>
          <w:szCs w:val="20"/>
          <w:lang w:val="en-US"/>
        </w:rPr>
        <w:t xml:space="preserve">Disability sector partners including disabled people’s </w:t>
      </w:r>
      <w:proofErr w:type="spellStart"/>
      <w:r w:rsidRPr="009709E8">
        <w:rPr>
          <w:rFonts w:eastAsia="Times New Roman"/>
          <w:kern w:val="28"/>
          <w:szCs w:val="20"/>
          <w:lang w:val="en-US"/>
        </w:rPr>
        <w:t>organisations</w:t>
      </w:r>
      <w:proofErr w:type="spellEnd"/>
      <w:r w:rsidRPr="009709E8">
        <w:rPr>
          <w:rFonts w:eastAsia="Times New Roman"/>
          <w:kern w:val="28"/>
          <w:szCs w:val="20"/>
          <w:lang w:val="en-US"/>
        </w:rPr>
        <w:t xml:space="preserve">, informal networks and disability service </w:t>
      </w:r>
      <w:proofErr w:type="gramStart"/>
      <w:r w:rsidRPr="009709E8">
        <w:rPr>
          <w:rFonts w:eastAsia="Times New Roman"/>
          <w:kern w:val="28"/>
          <w:szCs w:val="20"/>
          <w:lang w:val="en-US"/>
        </w:rPr>
        <w:t>providers</w:t>
      </w:r>
      <w:proofErr w:type="gramEnd"/>
    </w:p>
    <w:p w14:paraId="309F1822" w14:textId="77777777" w:rsidR="00B51C84" w:rsidRPr="009709E8" w:rsidRDefault="00B51C84" w:rsidP="00B51C84">
      <w:pPr>
        <w:pStyle w:val="ListBullet"/>
        <w:rPr>
          <w:rFonts w:eastAsia="Times New Roman"/>
          <w:kern w:val="28"/>
          <w:szCs w:val="20"/>
          <w:lang w:val="en-US"/>
        </w:rPr>
      </w:pPr>
      <w:r w:rsidRPr="009709E8">
        <w:rPr>
          <w:rFonts w:eastAsia="Times New Roman"/>
          <w:kern w:val="28"/>
          <w:szCs w:val="20"/>
          <w:lang w:val="en-US"/>
        </w:rPr>
        <w:t>Colleagues in other participating agencies in the local community</w:t>
      </w:r>
    </w:p>
    <w:p w14:paraId="626DA192" w14:textId="77777777" w:rsidR="00B51C84" w:rsidRPr="009709E8" w:rsidRDefault="00B51C84" w:rsidP="00B51C84">
      <w:pPr>
        <w:pStyle w:val="ListBullet"/>
        <w:rPr>
          <w:rFonts w:eastAsia="Times New Roman"/>
          <w:kern w:val="28"/>
          <w:szCs w:val="20"/>
          <w:lang w:val="en-US"/>
        </w:rPr>
      </w:pPr>
      <w:r w:rsidRPr="009709E8">
        <w:rPr>
          <w:rFonts w:eastAsia="Times New Roman"/>
          <w:kern w:val="28"/>
          <w:szCs w:val="20"/>
          <w:lang w:val="en-US"/>
        </w:rPr>
        <w:t>Wider disability networks and community in the local area</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7BFA43E" w:rsidR="0080061F" w:rsidRPr="00B27E44" w:rsidRDefault="0080061F" w:rsidP="00086206">
      <w:pPr>
        <w:pStyle w:val="Bullet1"/>
        <w:numPr>
          <w:ilvl w:val="0"/>
          <w:numId w:val="2"/>
        </w:numPr>
        <w:tabs>
          <w:tab w:val="clear" w:pos="454"/>
        </w:tabs>
        <w:spacing w:before="60" w:after="60"/>
      </w:pPr>
      <w:r w:rsidRPr="00B27E44">
        <w:t xml:space="preserve">Financial – </w:t>
      </w:r>
      <w:r w:rsidR="00B51C84">
        <w:t>No</w:t>
      </w:r>
    </w:p>
    <w:p w14:paraId="1A13EE12" w14:textId="5D8DB888" w:rsidR="0080061F" w:rsidRDefault="0080061F" w:rsidP="00086206">
      <w:pPr>
        <w:pStyle w:val="Bullet1"/>
        <w:numPr>
          <w:ilvl w:val="0"/>
          <w:numId w:val="2"/>
        </w:numPr>
        <w:tabs>
          <w:tab w:val="clear" w:pos="454"/>
        </w:tabs>
        <w:spacing w:before="60" w:after="60"/>
      </w:pPr>
      <w:r w:rsidRPr="00B27E44">
        <w:t>Hum</w:t>
      </w:r>
      <w:r>
        <w:t xml:space="preserve">an Resources </w:t>
      </w:r>
      <w:r w:rsidR="00B51C84">
        <w:t>- No</w:t>
      </w:r>
    </w:p>
    <w:p w14:paraId="09A0D619" w14:textId="32FF1E4F" w:rsidR="0080061F" w:rsidRDefault="0080061F" w:rsidP="000469A5">
      <w:pPr>
        <w:pStyle w:val="Heading3"/>
      </w:pPr>
      <w:r w:rsidRPr="00096E86">
        <w:t>Direct reports</w:t>
      </w:r>
      <w:r>
        <w:t xml:space="preserve"> </w:t>
      </w:r>
      <w:r w:rsidR="00B51C84">
        <w:t>- No</w:t>
      </w:r>
    </w:p>
    <w:p w14:paraId="7A424157" w14:textId="6D0EB180" w:rsidR="0080061F" w:rsidRDefault="0080061F" w:rsidP="000469A5">
      <w:pPr>
        <w:pStyle w:val="Heading3"/>
      </w:pPr>
      <w:r>
        <w:t xml:space="preserve">Security clearance </w:t>
      </w:r>
      <w:r w:rsidR="00B51C84">
        <w:t>- No</w:t>
      </w:r>
    </w:p>
    <w:p w14:paraId="5AD192A7" w14:textId="15690F5B" w:rsidR="0080061F" w:rsidRPr="0076538D" w:rsidRDefault="0080061F" w:rsidP="000469A5">
      <w:pPr>
        <w:pStyle w:val="Heading3"/>
      </w:pPr>
      <w:r>
        <w:t xml:space="preserve">Children’s worker </w:t>
      </w:r>
      <w:r w:rsidR="00B51C84">
        <w:t>- No</w:t>
      </w:r>
    </w:p>
    <w:p w14:paraId="34F3E7D0" w14:textId="2D7AF33E" w:rsidR="0080061F" w:rsidRDefault="0080061F" w:rsidP="0080061F">
      <w:pPr>
        <w:spacing w:after="0" w:line="240" w:lineRule="auto"/>
      </w:pPr>
      <w:r>
        <w:t xml:space="preserve">Limited </w:t>
      </w:r>
      <w:r w:rsidR="00EF367E">
        <w:t>ad hoc</w:t>
      </w:r>
      <w:r>
        <w:t xml:space="preserve"> travel may be required</w:t>
      </w:r>
      <w:r w:rsidR="00EF367E">
        <w:t>.</w:t>
      </w:r>
    </w:p>
    <w:p w14:paraId="27FE445A" w14:textId="77777777" w:rsidR="00803002" w:rsidRDefault="00803002" w:rsidP="0080061F"/>
    <w:p w14:paraId="5F667520" w14:textId="77777777" w:rsidR="004230ED" w:rsidRDefault="004230ED" w:rsidP="0080061F"/>
    <w:p w14:paraId="78A82DBB" w14:textId="4C31BE4C"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EF367E">
        <w:t>1 Oct 2025</w:t>
      </w:r>
    </w:p>
    <w:sectPr w:rsidR="004230ED" w:rsidRPr="004230ED"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038D3E6A"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proofErr w:type="spellStart"/>
    <w:r w:rsidR="00B51C84" w:rsidRPr="00B51C84">
      <w:t>Kaitūhono</w:t>
    </w:r>
    <w:proofErr w:type="spellEnd"/>
    <w:r w:rsidR="00B51C84" w:rsidRPr="00B51C84">
      <w:t>/Connector Support</w:t>
    </w:r>
    <w:r w:rsidR="00B51C84">
      <w:t xml:space="preserve"> 1Oct2025</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FBD51C4" w:rsidR="00803002" w:rsidRPr="002E5827" w:rsidRDefault="00EF367E" w:rsidP="0080061F">
    <w:pPr>
      <w:pStyle w:val="Footer"/>
      <w:pBdr>
        <w:top w:val="single" w:sz="4" w:space="1" w:color="auto"/>
      </w:pBdr>
      <w:tabs>
        <w:tab w:val="clear" w:pos="9026"/>
        <w:tab w:val="right" w:pos="10206"/>
      </w:tabs>
      <w:rPr>
        <w:szCs w:val="18"/>
      </w:rPr>
    </w:pPr>
    <w:r w:rsidRPr="008B5C31">
      <w:t xml:space="preserve">Position Description – </w:t>
    </w:r>
    <w:proofErr w:type="spellStart"/>
    <w:r w:rsidRPr="00B51C84">
      <w:t>Kaitūhono</w:t>
    </w:r>
    <w:proofErr w:type="spellEnd"/>
    <w:r w:rsidRPr="00B51C84">
      <w:t>/Connector Support</w:t>
    </w:r>
    <w:r>
      <w:t xml:space="preserve"> 1Oct2025</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AB38F73">
            <v:shapetype id="_x0000_t202" coordsize="21600,21600" o:spt="202" path="m,l,21600r21600,l21600,xe" w14:anchorId="49B310B1">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DB63D9" w:rsidR="00DB63D9" w:rsidP="00DB63D9" w:rsidRDefault="00DB63D9" w14:paraId="3B8DDFBF" w14:textId="57E97D72">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66E5AE74" w:rsidR="00DB63D9" w:rsidRPr="005A6C3C"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66E5AE74" w:rsidR="00DB63D9" w:rsidRPr="005A6C3C"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332E158B" w:rsidR="00DB63D9" w:rsidRPr="005A6C3C"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332E158B" w:rsidR="00DB63D9" w:rsidRPr="005A6C3C"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ADA5DAF">
            <v:shapetype id="_x0000_t202" coordsize="21600,21600" o:spt="202" path="m,l,21600r21600,l21600,xe" w14:anchorId="64AD4240">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IN-CONFIDENC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DB63D9" w:rsidR="00DB63D9" w:rsidP="00DB63D9" w:rsidRDefault="00DB63D9" w14:paraId="1CE65592" w14:textId="5AAE9A92">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58D6C804" w:rsidR="00DB63D9" w:rsidRPr="005A6C3C"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58D6C804" w:rsidR="00DB63D9" w:rsidRPr="005A6C3C"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1CFBEE1">
            <v:shapetype id="_x0000_t202" coordsize="21600,21600" o:spt="202" path="m,l,21600r21600,l21600,xe" w14:anchorId="27B05A0A">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IN-CONFIDENCE"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v:textbox style="mso-fit-shape-to-text:t" inset="0,15pt,0,0">
                <w:txbxContent>
                  <w:p w:rsidRPr="00DB63D9" w:rsidR="00DB63D9" w:rsidP="00DB63D9" w:rsidRDefault="00DB63D9" w14:paraId="33D8A946" w14:textId="0D8064A3">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496620">
    <w:abstractNumId w:val="6"/>
  </w:num>
  <w:num w:numId="2" w16cid:durableId="2045134168">
    <w:abstractNumId w:val="1"/>
  </w:num>
  <w:num w:numId="3" w16cid:durableId="1983343402">
    <w:abstractNumId w:val="0"/>
  </w:num>
  <w:num w:numId="4" w16cid:durableId="103235133">
    <w:abstractNumId w:val="4"/>
  </w:num>
  <w:num w:numId="5" w16cid:durableId="1475877034">
    <w:abstractNumId w:val="5"/>
  </w:num>
  <w:num w:numId="6" w16cid:durableId="1783455097">
    <w:abstractNumId w:val="9"/>
  </w:num>
  <w:num w:numId="7" w16cid:durableId="207687743">
    <w:abstractNumId w:val="8"/>
  </w:num>
  <w:num w:numId="8" w16cid:durableId="1865825100">
    <w:abstractNumId w:val="3"/>
  </w:num>
  <w:num w:numId="9" w16cid:durableId="1647054543">
    <w:abstractNumId w:val="7"/>
  </w:num>
  <w:num w:numId="10" w16cid:durableId="1714765484">
    <w:abstractNumId w:val="10"/>
  </w:num>
  <w:num w:numId="11" w16cid:durableId="708989271">
    <w:abstractNumId w:val="11"/>
  </w:num>
  <w:num w:numId="12" w16cid:durableId="153997383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E3BB9"/>
    <w:rsid w:val="001026C0"/>
    <w:rsid w:val="00106AED"/>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39A3"/>
    <w:rsid w:val="004957D3"/>
    <w:rsid w:val="00495E9D"/>
    <w:rsid w:val="004D1E30"/>
    <w:rsid w:val="00533E65"/>
    <w:rsid w:val="0055724C"/>
    <w:rsid w:val="0056681E"/>
    <w:rsid w:val="00572AA9"/>
    <w:rsid w:val="00595906"/>
    <w:rsid w:val="005A6C3C"/>
    <w:rsid w:val="005B11F9"/>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78E1"/>
    <w:rsid w:val="00B41635"/>
    <w:rsid w:val="00B51C84"/>
    <w:rsid w:val="00B52748"/>
    <w:rsid w:val="00B5357A"/>
    <w:rsid w:val="00C503A7"/>
    <w:rsid w:val="00C5215F"/>
    <w:rsid w:val="00CB4A28"/>
    <w:rsid w:val="00D34EA0"/>
    <w:rsid w:val="00D637C3"/>
    <w:rsid w:val="00D64DAF"/>
    <w:rsid w:val="00DB63D9"/>
    <w:rsid w:val="00DD3676"/>
    <w:rsid w:val="00DD62A5"/>
    <w:rsid w:val="00DD6907"/>
    <w:rsid w:val="00DD7526"/>
    <w:rsid w:val="00DE3537"/>
    <w:rsid w:val="00E22E32"/>
    <w:rsid w:val="00E41044"/>
    <w:rsid w:val="00E43B69"/>
    <w:rsid w:val="00E4584F"/>
    <w:rsid w:val="00E671C3"/>
    <w:rsid w:val="00E90142"/>
    <w:rsid w:val="00E9269E"/>
    <w:rsid w:val="00EF3676"/>
    <w:rsid w:val="00EF367E"/>
    <w:rsid w:val="00F05841"/>
    <w:rsid w:val="00F06EE8"/>
    <w:rsid w:val="00F071B6"/>
    <w:rsid w:val="00F07349"/>
    <w:rsid w:val="00F113EF"/>
    <w:rsid w:val="00F12474"/>
    <w:rsid w:val="00F126F3"/>
    <w:rsid w:val="00F22AE5"/>
    <w:rsid w:val="00F829C0"/>
    <w:rsid w:val="00F829F6"/>
    <w:rsid w:val="00FA72F5"/>
    <w:rsid w:val="00FD13BE"/>
    <w:rsid w:val="019517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INFO-1382905582-10022</_dlc_DocId>
    <_dlc_DocIdUrl xmlns="f5655c14-143d-4812-9d48-85cb4e9489a4">
      <Url>https://msdgovtnz.sharepoint.com/sites/COP-People-Group-Change-Practice/_layouts/15/DocIdRedir.aspx?ID=INFO-1382905582-10022</Url>
      <Description>INFO-1382905582-10022</Description>
    </_dlc_DocIdUrl>
  </documentManagement>
</p:properties>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2.xml><?xml version="1.0" encoding="utf-8"?>
<ds:datastoreItem xmlns:ds="http://schemas.openxmlformats.org/officeDocument/2006/customXml" ds:itemID="{EAE77B74-0F61-4931-978A-A86202F64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20643-A417-4C60-9BB8-1FEDA09452AD}">
  <ds:schemaRefs>
    <ds:schemaRef ds:uri="http://schemas.microsoft.com/sharepoint/events"/>
  </ds:schemaRefs>
</ds:datastoreItem>
</file>

<file path=customXml/itemProps4.xml><?xml version="1.0" encoding="utf-8"?>
<ds:datastoreItem xmlns:ds="http://schemas.openxmlformats.org/officeDocument/2006/customXml" ds:itemID="{F80622C4-D443-40E0-AF6E-AE56F69EB308}">
  <ds:schemaRefs>
    <ds:schemaRef ds:uri="http://schemas.microsoft.com/sharepoint/v3/contenttype/forms"/>
  </ds:schemaRefs>
</ds:datastoreItem>
</file>

<file path=customXml/itemProps5.xml><?xml version="1.0" encoding="utf-8"?>
<ds:datastoreItem xmlns:ds="http://schemas.openxmlformats.org/officeDocument/2006/customXml" ds:itemID="{6E910AB6-26C0-4455-BEE4-EAF6A2888726}">
  <ds:schemaRefs>
    <ds:schemaRef ds:uri="http://schemas.openxmlformats.org/package/2006/metadata/core-properties"/>
    <ds:schemaRef ds:uri="http://schemas.microsoft.com/office/2006/documentManagement/types"/>
    <ds:schemaRef ds:uri="ea7f3347-cc1f-4827-9798-b3543c6f111f"/>
    <ds:schemaRef ds:uri="http://schemas.microsoft.com/office/infopath/2007/PartnerControls"/>
    <ds:schemaRef ds:uri="http://purl.org/dc/elements/1.1/"/>
    <ds:schemaRef ds:uri="http://schemas.microsoft.com/office/2006/metadata/properties"/>
    <ds:schemaRef ds:uri="f5655c14-143d-4812-9d48-85cb4e9489a4"/>
    <ds:schemaRef ds:uri="http://purl.org/dc/terms/"/>
    <ds:schemaRef ds:uri="24a4208d-6389-4ccf-93db-5bf6e7a6ca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5</cp:revision>
  <dcterms:created xsi:type="dcterms:W3CDTF">2025-08-05T00:01:00Z</dcterms:created>
  <dcterms:modified xsi:type="dcterms:W3CDTF">2025-10-18T01:52:00Z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cfc96428-7276-4e86-849a-cfd695a7b5b6</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ies>
</file>