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310" w:right="0" w:firstLine="0"/>
        <w:rPr>
          <w:rFonts w:ascii="Times New Roman"/>
          <w:sz w:val="2"/>
        </w:rPr>
      </w:pPr>
      <w:r>
        <w:rPr>
          <w:rFonts w:ascii="Times New Roman"/>
          <w:sz w:val="2"/>
        </w:rPr>
        <mc:AlternateContent>
          <mc:Choice Requires="wps">
            <w:drawing>
              <wp:inline distT="0" distB="0" distL="0" distR="0">
                <wp:extent cx="6009005" cy="6985"/>
                <wp:effectExtent l="0" t="0" r="0" b="0"/>
                <wp:docPr id="1" name="Group 1"/>
                <wp:cNvGraphicFramePr>
                  <a:graphicFrameLocks/>
                </wp:cNvGraphicFramePr>
                <a:graphic>
                  <a:graphicData uri="http://schemas.microsoft.com/office/word/2010/wordprocessingGroup">
                    <wpg:wgp>
                      <wpg:cNvPr id="1" name="Group 1"/>
                      <wpg:cNvGrpSpPr/>
                      <wpg:grpSpPr>
                        <a:xfrm>
                          <a:off x="0" y="0"/>
                          <a:ext cx="6009005" cy="6985"/>
                          <a:chExt cx="6009005" cy="6985"/>
                        </a:xfrm>
                      </wpg:grpSpPr>
                      <wps:wsp>
                        <wps:cNvPr id="2" name="Graphic 2"/>
                        <wps:cNvSpPr/>
                        <wps:spPr>
                          <a:xfrm>
                            <a:off x="0" y="0"/>
                            <a:ext cx="6009005" cy="6985"/>
                          </a:xfrm>
                          <a:custGeom>
                            <a:avLst/>
                            <a:gdLst/>
                            <a:ahLst/>
                            <a:cxnLst/>
                            <a:rect l="l" t="t" r="r" b="b"/>
                            <a:pathLst>
                              <a:path w="6009005" h="6985">
                                <a:moveTo>
                                  <a:pt x="6008878" y="0"/>
                                </a:moveTo>
                                <a:lnTo>
                                  <a:pt x="0" y="0"/>
                                </a:lnTo>
                                <a:lnTo>
                                  <a:pt x="0" y="6400"/>
                                </a:lnTo>
                                <a:lnTo>
                                  <a:pt x="6008878" y="6400"/>
                                </a:lnTo>
                                <a:lnTo>
                                  <a:pt x="60088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3.15pt;height:.550pt;mso-position-horizontal-relative:char;mso-position-vertical-relative:line" id="docshapegroup1" coordorigin="0,0" coordsize="9463,11">
                <v:rect style="position:absolute;left:0;top:0;width:9463;height:11" id="docshape2" filled="true" fillcolor="#000000" stroked="false">
                  <v:fill type="solid"/>
                </v:rect>
              </v:group>
            </w:pict>
          </mc:Fallback>
        </mc:AlternateContent>
      </w:r>
      <w:r>
        <w:rPr>
          <w:rFonts w:ascii="Times New Roman"/>
          <w:sz w:val="2"/>
        </w:rPr>
      </w:r>
    </w:p>
    <w:p>
      <w:pPr>
        <w:pStyle w:val="Heading1"/>
      </w:pPr>
      <w:r>
        <w:rPr>
          <w:spacing w:val="-14"/>
        </w:rPr>
        <w:t>Social</w:t>
      </w:r>
      <w:r>
        <w:rPr>
          <w:spacing w:val="-11"/>
        </w:rPr>
        <w:t> </w:t>
      </w:r>
      <w:r>
        <w:rPr>
          <w:spacing w:val="-14"/>
        </w:rPr>
        <w:t>Workers</w:t>
      </w:r>
      <w:r>
        <w:rPr>
          <w:spacing w:val="-10"/>
        </w:rPr>
        <w:t> </w:t>
      </w:r>
      <w:r>
        <w:rPr>
          <w:spacing w:val="-14"/>
        </w:rPr>
        <w:t>Disciplinary</w:t>
      </w:r>
      <w:r>
        <w:rPr>
          <w:spacing w:val="-10"/>
        </w:rPr>
        <w:t> </w:t>
      </w:r>
      <w:r>
        <w:rPr>
          <w:spacing w:val="-14"/>
        </w:rPr>
        <w:t>Tribunal</w:t>
      </w:r>
    </w:p>
    <w:p>
      <w:pPr>
        <w:pStyle w:val="Heading2"/>
      </w:pPr>
      <w:r>
        <w:rPr>
          <w:spacing w:val="-10"/>
        </w:rPr>
        <w:t>Member</w:t>
      </w:r>
      <w:r>
        <w:rPr>
          <w:spacing w:val="-17"/>
        </w:rPr>
        <w:t> </w:t>
      </w:r>
      <w:r>
        <w:rPr>
          <w:spacing w:val="-10"/>
        </w:rPr>
        <w:t>Position</w:t>
      </w:r>
      <w:r>
        <w:rPr>
          <w:spacing w:val="-16"/>
        </w:rPr>
        <w:t> </w:t>
      </w:r>
      <w:r>
        <w:rPr>
          <w:spacing w:val="-10"/>
        </w:rPr>
        <w:t>Description,</w:t>
      </w:r>
      <w:r>
        <w:rPr>
          <w:spacing w:val="-15"/>
        </w:rPr>
        <w:t> </w:t>
      </w:r>
      <w:r>
        <w:rPr>
          <w:spacing w:val="-10"/>
        </w:rPr>
        <w:t>2026</w:t>
      </w:r>
    </w:p>
    <w:p>
      <w:pPr>
        <w:pStyle w:val="BodyText"/>
        <w:spacing w:before="57"/>
        <w:ind w:left="0"/>
        <w:rPr>
          <w:b/>
        </w:rPr>
      </w:pPr>
      <w:r>
        <w:rPr>
          <w:b/>
        </w:rPr>
        <mc:AlternateContent>
          <mc:Choice Requires="wps">
            <w:drawing>
              <wp:anchor distT="0" distB="0" distL="0" distR="0" allowOverlap="1" layoutInCell="1" locked="0" behindDoc="1" simplePos="0" relativeHeight="487588352">
                <wp:simplePos x="0" y="0"/>
                <wp:positionH relativeFrom="page">
                  <wp:posOffset>882700</wp:posOffset>
                </wp:positionH>
                <wp:positionV relativeFrom="paragraph">
                  <wp:posOffset>206020</wp:posOffset>
                </wp:positionV>
                <wp:extent cx="600900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09005" cy="6350"/>
                        </a:xfrm>
                        <a:custGeom>
                          <a:avLst/>
                          <a:gdLst/>
                          <a:ahLst/>
                          <a:cxnLst/>
                          <a:rect l="l" t="t" r="r" b="b"/>
                          <a:pathLst>
                            <a:path w="6009005" h="6350">
                              <a:moveTo>
                                <a:pt x="6008878" y="0"/>
                              </a:moveTo>
                              <a:lnTo>
                                <a:pt x="0" y="0"/>
                              </a:lnTo>
                              <a:lnTo>
                                <a:pt x="0" y="6096"/>
                              </a:lnTo>
                              <a:lnTo>
                                <a:pt x="6008878" y="6096"/>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16.222048pt;width:473.1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23"/>
        <w:ind w:left="0"/>
        <w:rPr>
          <w:b/>
          <w:sz w:val="28"/>
        </w:rPr>
      </w:pPr>
    </w:p>
    <w:p>
      <w:pPr>
        <w:pStyle w:val="Heading3"/>
        <w:spacing w:before="1"/>
      </w:pPr>
      <w:r>
        <w:rPr>
          <w:spacing w:val="-8"/>
        </w:rPr>
        <w:t>The</w:t>
      </w:r>
      <w:r>
        <w:rPr>
          <w:spacing w:val="-13"/>
        </w:rPr>
        <w:t> </w:t>
      </w:r>
      <w:r>
        <w:rPr>
          <w:spacing w:val="-8"/>
        </w:rPr>
        <w:t>Tribunal’s</w:t>
      </w:r>
      <w:r>
        <w:rPr>
          <w:spacing w:val="-11"/>
        </w:rPr>
        <w:t> </w:t>
      </w:r>
      <w:r>
        <w:rPr>
          <w:spacing w:val="-8"/>
        </w:rPr>
        <w:t>role</w:t>
      </w:r>
    </w:p>
    <w:p>
      <w:pPr>
        <w:pStyle w:val="BodyText"/>
        <w:spacing w:line="264" w:lineRule="auto" w:before="152"/>
        <w:ind w:right="336"/>
        <w:jc w:val="both"/>
      </w:pPr>
      <w:r>
        <w:rPr/>
        <w:t>The Social Workers Disciplinary Tribunal (the Tribunal) was created by the Social Workers Registration Act 2003.</w:t>
      </w:r>
    </w:p>
    <w:p>
      <w:pPr>
        <w:pStyle w:val="BodyText"/>
        <w:spacing w:line="264" w:lineRule="auto" w:before="181"/>
        <w:ind w:right="335"/>
        <w:jc w:val="both"/>
      </w:pPr>
      <w:r>
        <w:rPr/>
        <w:t>The</w:t>
      </w:r>
      <w:r>
        <w:rPr>
          <w:spacing w:val="-11"/>
        </w:rPr>
        <w:t> </w:t>
      </w:r>
      <w:r>
        <w:rPr/>
        <w:t>Tribunal</w:t>
      </w:r>
      <w:r>
        <w:rPr>
          <w:spacing w:val="-9"/>
        </w:rPr>
        <w:t> </w:t>
      </w:r>
      <w:r>
        <w:rPr/>
        <w:t>hears</w:t>
      </w:r>
      <w:r>
        <w:rPr>
          <w:spacing w:val="-11"/>
        </w:rPr>
        <w:t> </w:t>
      </w:r>
      <w:r>
        <w:rPr/>
        <w:t>and</w:t>
      </w:r>
      <w:r>
        <w:rPr>
          <w:spacing w:val="-7"/>
        </w:rPr>
        <w:t> </w:t>
      </w:r>
      <w:r>
        <w:rPr/>
        <w:t>determines</w:t>
      </w:r>
      <w:r>
        <w:rPr>
          <w:spacing w:val="-11"/>
        </w:rPr>
        <w:t> </w:t>
      </w:r>
      <w:r>
        <w:rPr/>
        <w:t>the</w:t>
      </w:r>
      <w:r>
        <w:rPr>
          <w:spacing w:val="-9"/>
        </w:rPr>
        <w:t> </w:t>
      </w:r>
      <w:r>
        <w:rPr/>
        <w:t>outcome</w:t>
      </w:r>
      <w:r>
        <w:rPr>
          <w:spacing w:val="-9"/>
        </w:rPr>
        <w:t> </w:t>
      </w:r>
      <w:r>
        <w:rPr/>
        <w:t>of</w:t>
      </w:r>
      <w:r>
        <w:rPr>
          <w:spacing w:val="-10"/>
        </w:rPr>
        <w:t> </w:t>
      </w:r>
      <w:r>
        <w:rPr/>
        <w:t>disciplinary</w:t>
      </w:r>
      <w:r>
        <w:rPr>
          <w:spacing w:val="-8"/>
        </w:rPr>
        <w:t> </w:t>
      </w:r>
      <w:r>
        <w:rPr/>
        <w:t>charges</w:t>
      </w:r>
      <w:r>
        <w:rPr>
          <w:spacing w:val="-11"/>
        </w:rPr>
        <w:t> </w:t>
      </w:r>
      <w:r>
        <w:rPr/>
        <w:t>laid</w:t>
      </w:r>
      <w:r>
        <w:rPr>
          <w:spacing w:val="-9"/>
        </w:rPr>
        <w:t> </w:t>
      </w:r>
      <w:r>
        <w:rPr/>
        <w:t>against</w:t>
      </w:r>
      <w:r>
        <w:rPr>
          <w:spacing w:val="-9"/>
        </w:rPr>
        <w:t> </w:t>
      </w:r>
      <w:r>
        <w:rPr/>
        <w:t>registered social workers. The Tribunal’s purpose is to protect the safety of members of the public by ensuring social workers are competent and safe to practise and are accountable for the way in which they practise.</w:t>
      </w:r>
    </w:p>
    <w:p>
      <w:pPr>
        <w:pStyle w:val="BodyText"/>
        <w:spacing w:line="264" w:lineRule="auto" w:before="179"/>
        <w:ind w:right="335"/>
        <w:jc w:val="both"/>
      </w:pPr>
      <w:r>
        <w:rPr/>
        <w:t>The</w:t>
      </w:r>
      <w:r>
        <w:rPr>
          <w:spacing w:val="-2"/>
        </w:rPr>
        <w:t> </w:t>
      </w:r>
      <w:r>
        <w:rPr/>
        <w:t>Tribunal is</w:t>
      </w:r>
      <w:r>
        <w:rPr>
          <w:spacing w:val="-1"/>
        </w:rPr>
        <w:t> </w:t>
      </w:r>
      <w:r>
        <w:rPr/>
        <w:t>funded</w:t>
      </w:r>
      <w:r>
        <w:rPr>
          <w:spacing w:val="-1"/>
        </w:rPr>
        <w:t> </w:t>
      </w:r>
      <w:r>
        <w:rPr/>
        <w:t>on a</w:t>
      </w:r>
      <w:r>
        <w:rPr>
          <w:spacing w:val="-1"/>
        </w:rPr>
        <w:t> </w:t>
      </w:r>
      <w:r>
        <w:rPr/>
        <w:t>cost-recovery</w:t>
      </w:r>
      <w:r>
        <w:rPr>
          <w:spacing w:val="-1"/>
        </w:rPr>
        <w:t> </w:t>
      </w:r>
      <w:r>
        <w:rPr/>
        <w:t>basis through a</w:t>
      </w:r>
      <w:r>
        <w:rPr>
          <w:spacing w:val="-1"/>
        </w:rPr>
        <w:t> </w:t>
      </w:r>
      <w:r>
        <w:rPr/>
        <w:t>disciplinary</w:t>
      </w:r>
      <w:r>
        <w:rPr>
          <w:spacing w:val="-1"/>
        </w:rPr>
        <w:t> </w:t>
      </w:r>
      <w:r>
        <w:rPr/>
        <w:t>levy that forms</w:t>
      </w:r>
      <w:r>
        <w:rPr>
          <w:spacing w:val="-1"/>
        </w:rPr>
        <w:t> </w:t>
      </w:r>
      <w:r>
        <w:rPr/>
        <w:t>part</w:t>
      </w:r>
      <w:r>
        <w:rPr>
          <w:spacing w:val="-1"/>
        </w:rPr>
        <w:t> </w:t>
      </w:r>
      <w:r>
        <w:rPr/>
        <w:t>of the fee for a social worker’s annual practising certificate. The Social Workers Registration Board (SWRB) sets the levy and provides administrative support to the Tribunal.</w:t>
      </w:r>
    </w:p>
    <w:p>
      <w:pPr>
        <w:pStyle w:val="BodyText"/>
        <w:spacing w:before="0"/>
        <w:ind w:left="0"/>
      </w:pPr>
    </w:p>
    <w:p>
      <w:pPr>
        <w:pStyle w:val="Heading3"/>
      </w:pPr>
      <w:r>
        <w:rPr>
          <w:spacing w:val="-10"/>
        </w:rPr>
        <w:t>The</w:t>
      </w:r>
      <w:r>
        <w:rPr>
          <w:spacing w:val="-6"/>
        </w:rPr>
        <w:t> </w:t>
      </w:r>
      <w:r>
        <w:rPr>
          <w:spacing w:val="-10"/>
        </w:rPr>
        <w:t>Tribunal’s</w:t>
      </w:r>
      <w:r>
        <w:rPr>
          <w:spacing w:val="-7"/>
        </w:rPr>
        <w:t> </w:t>
      </w:r>
      <w:r>
        <w:rPr>
          <w:spacing w:val="-10"/>
        </w:rPr>
        <w:t>membership</w:t>
      </w:r>
      <w:r>
        <w:rPr>
          <w:spacing w:val="-6"/>
        </w:rPr>
        <w:t> </w:t>
      </w:r>
      <w:r>
        <w:rPr>
          <w:spacing w:val="-10"/>
        </w:rPr>
        <w:t>and</w:t>
      </w:r>
      <w:r>
        <w:rPr>
          <w:spacing w:val="-5"/>
        </w:rPr>
        <w:t> </w:t>
      </w:r>
      <w:r>
        <w:rPr>
          <w:spacing w:val="-10"/>
        </w:rPr>
        <w:t>appointment</w:t>
      </w:r>
    </w:p>
    <w:p>
      <w:pPr>
        <w:pStyle w:val="BodyText"/>
        <w:spacing w:before="153"/>
      </w:pPr>
      <w:r>
        <w:rPr/>
        <w:t>The</w:t>
      </w:r>
      <w:r>
        <w:rPr>
          <w:spacing w:val="-7"/>
        </w:rPr>
        <w:t> </w:t>
      </w:r>
      <w:r>
        <w:rPr/>
        <w:t>Tribunal</w:t>
      </w:r>
      <w:r>
        <w:rPr>
          <w:spacing w:val="-3"/>
        </w:rPr>
        <w:t> </w:t>
      </w:r>
      <w:r>
        <w:rPr/>
        <w:t>has</w:t>
      </w:r>
      <w:r>
        <w:rPr>
          <w:spacing w:val="-5"/>
        </w:rPr>
        <w:t> </w:t>
      </w:r>
      <w:r>
        <w:rPr/>
        <w:t>a</w:t>
      </w:r>
      <w:r>
        <w:rPr>
          <w:spacing w:val="-5"/>
        </w:rPr>
        <w:t> </w:t>
      </w:r>
      <w:r>
        <w:rPr/>
        <w:t>minimum</w:t>
      </w:r>
      <w:r>
        <w:rPr>
          <w:spacing w:val="-6"/>
        </w:rPr>
        <w:t> </w:t>
      </w:r>
      <w:r>
        <w:rPr/>
        <w:t>of</w:t>
      </w:r>
      <w:r>
        <w:rPr>
          <w:spacing w:val="-1"/>
        </w:rPr>
        <w:t> </w:t>
      </w:r>
      <w:r>
        <w:rPr/>
        <w:t>eight</w:t>
      </w:r>
      <w:r>
        <w:rPr>
          <w:spacing w:val="-4"/>
        </w:rPr>
        <w:t> </w:t>
      </w:r>
      <w:r>
        <w:rPr>
          <w:spacing w:val="-2"/>
        </w:rPr>
        <w:t>members:</w:t>
      </w:r>
    </w:p>
    <w:p>
      <w:pPr>
        <w:pStyle w:val="ListParagraph"/>
        <w:numPr>
          <w:ilvl w:val="0"/>
          <w:numId w:val="1"/>
        </w:numPr>
        <w:tabs>
          <w:tab w:pos="905" w:val="left" w:leader="none"/>
        </w:tabs>
        <w:spacing w:line="264" w:lineRule="auto" w:before="124" w:after="0"/>
        <w:ind w:left="905" w:right="347" w:hanging="339"/>
        <w:jc w:val="left"/>
        <w:rPr>
          <w:sz w:val="20"/>
        </w:rPr>
      </w:pPr>
      <w:r>
        <w:rPr>
          <w:sz w:val="20"/>
        </w:rPr>
        <w:t>a</w:t>
      </w:r>
      <w:r>
        <w:rPr>
          <w:spacing w:val="-5"/>
          <w:sz w:val="20"/>
        </w:rPr>
        <w:t> </w:t>
      </w:r>
      <w:r>
        <w:rPr>
          <w:sz w:val="20"/>
        </w:rPr>
        <w:t>Chair</w:t>
      </w:r>
      <w:r>
        <w:rPr>
          <w:spacing w:val="-4"/>
          <w:sz w:val="20"/>
        </w:rPr>
        <w:t> </w:t>
      </w:r>
      <w:r>
        <w:rPr>
          <w:sz w:val="20"/>
        </w:rPr>
        <w:t>and</w:t>
      </w:r>
      <w:r>
        <w:rPr>
          <w:spacing w:val="-3"/>
          <w:sz w:val="20"/>
        </w:rPr>
        <w:t> </w:t>
      </w:r>
      <w:r>
        <w:rPr>
          <w:sz w:val="20"/>
        </w:rPr>
        <w:t>one</w:t>
      </w:r>
      <w:r>
        <w:rPr>
          <w:spacing w:val="-3"/>
          <w:sz w:val="20"/>
        </w:rPr>
        <w:t> </w:t>
      </w:r>
      <w:r>
        <w:rPr>
          <w:sz w:val="20"/>
        </w:rPr>
        <w:t>or</w:t>
      </w:r>
      <w:r>
        <w:rPr>
          <w:spacing w:val="-4"/>
          <w:sz w:val="20"/>
        </w:rPr>
        <w:t> </w:t>
      </w:r>
      <w:r>
        <w:rPr>
          <w:sz w:val="20"/>
        </w:rPr>
        <w:t>more</w:t>
      </w:r>
      <w:r>
        <w:rPr>
          <w:spacing w:val="-4"/>
          <w:sz w:val="20"/>
        </w:rPr>
        <w:t> </w:t>
      </w:r>
      <w:r>
        <w:rPr>
          <w:sz w:val="20"/>
        </w:rPr>
        <w:t>Deputy</w:t>
      </w:r>
      <w:r>
        <w:rPr>
          <w:spacing w:val="-4"/>
          <w:sz w:val="20"/>
        </w:rPr>
        <w:t> </w:t>
      </w:r>
      <w:r>
        <w:rPr>
          <w:sz w:val="20"/>
        </w:rPr>
        <w:t>Chairs</w:t>
      </w:r>
      <w:r>
        <w:rPr>
          <w:spacing w:val="-6"/>
          <w:sz w:val="20"/>
        </w:rPr>
        <w:t> </w:t>
      </w:r>
      <w:r>
        <w:rPr>
          <w:sz w:val="20"/>
        </w:rPr>
        <w:t>(who</w:t>
      </w:r>
      <w:r>
        <w:rPr>
          <w:spacing w:val="-7"/>
          <w:sz w:val="20"/>
        </w:rPr>
        <w:t> </w:t>
      </w:r>
      <w:r>
        <w:rPr>
          <w:sz w:val="20"/>
        </w:rPr>
        <w:t>must</w:t>
      </w:r>
      <w:r>
        <w:rPr>
          <w:spacing w:val="-5"/>
          <w:sz w:val="20"/>
        </w:rPr>
        <w:t> </w:t>
      </w:r>
      <w:r>
        <w:rPr>
          <w:sz w:val="20"/>
        </w:rPr>
        <w:t>each</w:t>
      </w:r>
      <w:r>
        <w:rPr>
          <w:spacing w:val="-5"/>
          <w:sz w:val="20"/>
        </w:rPr>
        <w:t> </w:t>
      </w:r>
      <w:r>
        <w:rPr>
          <w:sz w:val="20"/>
        </w:rPr>
        <w:t>be</w:t>
      </w:r>
      <w:r>
        <w:rPr>
          <w:spacing w:val="-5"/>
          <w:sz w:val="20"/>
        </w:rPr>
        <w:t> </w:t>
      </w:r>
      <w:r>
        <w:rPr>
          <w:sz w:val="20"/>
        </w:rPr>
        <w:t>a</w:t>
      </w:r>
      <w:r>
        <w:rPr>
          <w:spacing w:val="-5"/>
          <w:sz w:val="20"/>
        </w:rPr>
        <w:t> </w:t>
      </w:r>
      <w:r>
        <w:rPr>
          <w:sz w:val="20"/>
        </w:rPr>
        <w:t>barrister</w:t>
      </w:r>
      <w:r>
        <w:rPr>
          <w:spacing w:val="-4"/>
          <w:sz w:val="20"/>
        </w:rPr>
        <w:t> </w:t>
      </w:r>
      <w:r>
        <w:rPr>
          <w:sz w:val="20"/>
        </w:rPr>
        <w:t>or</w:t>
      </w:r>
      <w:r>
        <w:rPr>
          <w:spacing w:val="-4"/>
          <w:sz w:val="20"/>
        </w:rPr>
        <w:t> </w:t>
      </w:r>
      <w:r>
        <w:rPr>
          <w:sz w:val="20"/>
        </w:rPr>
        <w:t>solicitor</w:t>
      </w:r>
      <w:r>
        <w:rPr>
          <w:spacing w:val="-4"/>
          <w:sz w:val="20"/>
        </w:rPr>
        <w:t> </w:t>
      </w:r>
      <w:r>
        <w:rPr>
          <w:sz w:val="20"/>
        </w:rPr>
        <w:t>of</w:t>
      </w:r>
      <w:r>
        <w:rPr>
          <w:spacing w:val="-4"/>
          <w:sz w:val="20"/>
        </w:rPr>
        <w:t> </w:t>
      </w:r>
      <w:r>
        <w:rPr>
          <w:sz w:val="20"/>
        </w:rPr>
        <w:t>the High Court of not less than seven years’ practice)</w:t>
      </w:r>
    </w:p>
    <w:p>
      <w:pPr>
        <w:pStyle w:val="ListParagraph"/>
        <w:numPr>
          <w:ilvl w:val="0"/>
          <w:numId w:val="1"/>
        </w:numPr>
        <w:tabs>
          <w:tab w:pos="905" w:val="left" w:leader="none"/>
        </w:tabs>
        <w:spacing w:line="266" w:lineRule="auto" w:before="99" w:after="0"/>
        <w:ind w:left="905" w:right="346" w:hanging="339"/>
        <w:jc w:val="left"/>
        <w:rPr>
          <w:sz w:val="20"/>
        </w:rPr>
      </w:pPr>
      <w:r>
        <w:rPr>
          <w:sz w:val="20"/>
        </w:rPr>
        <w:t>at</w:t>
      </w:r>
      <w:r>
        <w:rPr>
          <w:spacing w:val="-2"/>
          <w:sz w:val="20"/>
        </w:rPr>
        <w:t> </w:t>
      </w:r>
      <w:r>
        <w:rPr>
          <w:sz w:val="20"/>
        </w:rPr>
        <w:t>least</w:t>
      </w:r>
      <w:r>
        <w:rPr>
          <w:spacing w:val="-1"/>
          <w:sz w:val="20"/>
        </w:rPr>
        <w:t> </w:t>
      </w:r>
      <w:r>
        <w:rPr>
          <w:sz w:val="20"/>
        </w:rPr>
        <w:t>five registered social workers</w:t>
      </w:r>
      <w:r>
        <w:rPr>
          <w:spacing w:val="-1"/>
          <w:sz w:val="20"/>
        </w:rPr>
        <w:t> </w:t>
      </w:r>
      <w:r>
        <w:rPr>
          <w:sz w:val="20"/>
        </w:rPr>
        <w:t>(whose</w:t>
      </w:r>
      <w:r>
        <w:rPr>
          <w:spacing w:val="-2"/>
          <w:sz w:val="20"/>
        </w:rPr>
        <w:t> </w:t>
      </w:r>
      <w:r>
        <w:rPr>
          <w:sz w:val="20"/>
        </w:rPr>
        <w:t>registration or</w:t>
      </w:r>
      <w:r>
        <w:rPr>
          <w:spacing w:val="-4"/>
          <w:sz w:val="20"/>
        </w:rPr>
        <w:t> </w:t>
      </w:r>
      <w:r>
        <w:rPr>
          <w:sz w:val="20"/>
        </w:rPr>
        <w:t>practicing certificate</w:t>
      </w:r>
      <w:r>
        <w:rPr>
          <w:spacing w:val="-2"/>
          <w:sz w:val="20"/>
        </w:rPr>
        <w:t> </w:t>
      </w:r>
      <w:r>
        <w:rPr>
          <w:sz w:val="20"/>
        </w:rPr>
        <w:t>is</w:t>
      </w:r>
      <w:r>
        <w:rPr>
          <w:spacing w:val="-3"/>
          <w:sz w:val="20"/>
        </w:rPr>
        <w:t> </w:t>
      </w:r>
      <w:r>
        <w:rPr>
          <w:sz w:val="20"/>
        </w:rPr>
        <w:t>not </w:t>
      </w:r>
      <w:r>
        <w:rPr>
          <w:spacing w:val="-2"/>
          <w:sz w:val="20"/>
        </w:rPr>
        <w:t>suspended)</w:t>
      </w:r>
    </w:p>
    <w:p>
      <w:pPr>
        <w:pStyle w:val="ListParagraph"/>
        <w:numPr>
          <w:ilvl w:val="0"/>
          <w:numId w:val="1"/>
        </w:numPr>
        <w:tabs>
          <w:tab w:pos="905" w:val="left" w:leader="none"/>
        </w:tabs>
        <w:spacing w:line="240" w:lineRule="auto" w:before="97" w:after="0"/>
        <w:ind w:left="905" w:right="0" w:hanging="339"/>
        <w:jc w:val="left"/>
        <w:rPr>
          <w:sz w:val="20"/>
        </w:rPr>
      </w:pPr>
      <w:r>
        <w:rPr>
          <w:sz w:val="20"/>
        </w:rPr>
        <w:t>at</w:t>
      </w:r>
      <w:r>
        <w:rPr>
          <w:spacing w:val="-5"/>
          <w:sz w:val="20"/>
        </w:rPr>
        <w:t> </w:t>
      </w:r>
      <w:r>
        <w:rPr>
          <w:sz w:val="20"/>
        </w:rPr>
        <w:t>least</w:t>
      </w:r>
      <w:r>
        <w:rPr>
          <w:spacing w:val="-3"/>
          <w:sz w:val="20"/>
        </w:rPr>
        <w:t> </w:t>
      </w:r>
      <w:r>
        <w:rPr>
          <w:sz w:val="20"/>
        </w:rPr>
        <w:t>one</w:t>
      </w:r>
      <w:r>
        <w:rPr>
          <w:spacing w:val="-4"/>
          <w:sz w:val="20"/>
        </w:rPr>
        <w:t> </w:t>
      </w:r>
      <w:r>
        <w:rPr>
          <w:sz w:val="20"/>
        </w:rPr>
        <w:t>layperson</w:t>
      </w:r>
      <w:r>
        <w:rPr>
          <w:spacing w:val="-3"/>
          <w:sz w:val="20"/>
        </w:rPr>
        <w:t> </w:t>
      </w:r>
      <w:r>
        <w:rPr>
          <w:sz w:val="20"/>
        </w:rPr>
        <w:t>(not</w:t>
      </w:r>
      <w:r>
        <w:rPr>
          <w:spacing w:val="-4"/>
          <w:sz w:val="20"/>
        </w:rPr>
        <w:t> </w:t>
      </w:r>
      <w:r>
        <w:rPr>
          <w:sz w:val="20"/>
        </w:rPr>
        <w:t>a</w:t>
      </w:r>
      <w:r>
        <w:rPr>
          <w:spacing w:val="-5"/>
          <w:sz w:val="20"/>
        </w:rPr>
        <w:t> </w:t>
      </w:r>
      <w:r>
        <w:rPr>
          <w:sz w:val="20"/>
        </w:rPr>
        <w:t>social</w:t>
      </w:r>
      <w:r>
        <w:rPr>
          <w:spacing w:val="-4"/>
          <w:sz w:val="20"/>
        </w:rPr>
        <w:t> </w:t>
      </w:r>
      <w:r>
        <w:rPr>
          <w:spacing w:val="-2"/>
          <w:sz w:val="20"/>
        </w:rPr>
        <w:t>worker).</w:t>
      </w:r>
    </w:p>
    <w:p>
      <w:pPr>
        <w:pStyle w:val="BodyText"/>
        <w:spacing w:before="205"/>
      </w:pPr>
      <w:r>
        <w:rPr/>
        <w:t>An</w:t>
      </w:r>
      <w:r>
        <w:rPr>
          <w:spacing w:val="-6"/>
        </w:rPr>
        <w:t> </w:t>
      </w:r>
      <w:r>
        <w:rPr/>
        <w:t>individual</w:t>
      </w:r>
      <w:r>
        <w:rPr>
          <w:spacing w:val="-5"/>
        </w:rPr>
        <w:t> </w:t>
      </w:r>
      <w:r>
        <w:rPr/>
        <w:t>cannot</w:t>
      </w:r>
      <w:r>
        <w:rPr>
          <w:spacing w:val="-6"/>
        </w:rPr>
        <w:t> </w:t>
      </w:r>
      <w:r>
        <w:rPr/>
        <w:t>simultaneously</w:t>
      </w:r>
      <w:r>
        <w:rPr>
          <w:spacing w:val="-6"/>
        </w:rPr>
        <w:t> </w:t>
      </w:r>
      <w:r>
        <w:rPr/>
        <w:t>be</w:t>
      </w:r>
      <w:r>
        <w:rPr>
          <w:spacing w:val="-8"/>
        </w:rPr>
        <w:t> </w:t>
      </w:r>
      <w:r>
        <w:rPr/>
        <w:t>a</w:t>
      </w:r>
      <w:r>
        <w:rPr>
          <w:spacing w:val="-7"/>
        </w:rPr>
        <w:t> </w:t>
      </w:r>
      <w:r>
        <w:rPr/>
        <w:t>member</w:t>
      </w:r>
      <w:r>
        <w:rPr>
          <w:spacing w:val="-5"/>
        </w:rPr>
        <w:t> </w:t>
      </w:r>
      <w:r>
        <w:rPr/>
        <w:t>of</w:t>
      </w:r>
      <w:r>
        <w:rPr>
          <w:spacing w:val="-5"/>
        </w:rPr>
        <w:t> </w:t>
      </w:r>
      <w:r>
        <w:rPr/>
        <w:t>the</w:t>
      </w:r>
      <w:r>
        <w:rPr>
          <w:spacing w:val="-4"/>
        </w:rPr>
        <w:t> </w:t>
      </w:r>
      <w:r>
        <w:rPr/>
        <w:t>Tribunal</w:t>
      </w:r>
      <w:r>
        <w:rPr>
          <w:spacing w:val="-6"/>
        </w:rPr>
        <w:t> </w:t>
      </w:r>
      <w:r>
        <w:rPr/>
        <w:t>and</w:t>
      </w:r>
      <w:r>
        <w:rPr>
          <w:spacing w:val="-5"/>
        </w:rPr>
        <w:t> </w:t>
      </w:r>
      <w:r>
        <w:rPr>
          <w:spacing w:val="-2"/>
        </w:rPr>
        <w:t>SWRB.</w:t>
      </w:r>
    </w:p>
    <w:p>
      <w:pPr>
        <w:pStyle w:val="BodyText"/>
        <w:spacing w:line="288" w:lineRule="auto" w:before="204"/>
        <w:ind w:right="461"/>
      </w:pPr>
      <w:r>
        <w:rPr/>
        <w:t>The Tribunal’s membership is appointed by the Minister for Social Development and Employment</w:t>
      </w:r>
      <w:r>
        <w:rPr>
          <w:spacing w:val="-5"/>
        </w:rPr>
        <w:t> </w:t>
      </w:r>
      <w:r>
        <w:rPr/>
        <w:t>under</w:t>
      </w:r>
      <w:r>
        <w:rPr>
          <w:spacing w:val="-7"/>
        </w:rPr>
        <w:t> </w:t>
      </w:r>
      <w:r>
        <w:rPr/>
        <w:t>the</w:t>
      </w:r>
      <w:r>
        <w:rPr>
          <w:spacing w:val="-5"/>
        </w:rPr>
        <w:t> </w:t>
      </w:r>
      <w:r>
        <w:rPr/>
        <w:t>Social</w:t>
      </w:r>
      <w:r>
        <w:rPr>
          <w:spacing w:val="-5"/>
        </w:rPr>
        <w:t> </w:t>
      </w:r>
      <w:r>
        <w:rPr/>
        <w:t>Workers</w:t>
      </w:r>
      <w:r>
        <w:rPr>
          <w:spacing w:val="-7"/>
        </w:rPr>
        <w:t> </w:t>
      </w:r>
      <w:r>
        <w:rPr/>
        <w:t>Registration</w:t>
      </w:r>
      <w:r>
        <w:rPr>
          <w:spacing w:val="-5"/>
        </w:rPr>
        <w:t> </w:t>
      </w:r>
      <w:r>
        <w:rPr/>
        <w:t>Act 2003.</w:t>
      </w:r>
      <w:r>
        <w:rPr>
          <w:spacing w:val="-4"/>
        </w:rPr>
        <w:t> </w:t>
      </w:r>
      <w:r>
        <w:rPr/>
        <w:t>Layperson</w:t>
      </w:r>
      <w:r>
        <w:rPr>
          <w:spacing w:val="-5"/>
        </w:rPr>
        <w:t> </w:t>
      </w:r>
      <w:r>
        <w:rPr/>
        <w:t>and</w:t>
      </w:r>
      <w:r>
        <w:rPr>
          <w:spacing w:val="-5"/>
        </w:rPr>
        <w:t> </w:t>
      </w:r>
      <w:r>
        <w:rPr/>
        <w:t>registered social worker members may be appointed for terms of up to five years and may be </w:t>
      </w:r>
      <w:r>
        <w:rPr>
          <w:spacing w:val="-2"/>
        </w:rPr>
        <w:t>reappointed.</w:t>
      </w:r>
    </w:p>
    <w:p>
      <w:pPr>
        <w:pStyle w:val="Heading3"/>
        <w:spacing w:before="241"/>
      </w:pPr>
      <w:r>
        <w:rPr>
          <w:spacing w:val="-10"/>
        </w:rPr>
        <w:t>Membership</w:t>
      </w:r>
      <w:r>
        <w:rPr>
          <w:spacing w:val="-6"/>
        </w:rPr>
        <w:t> </w:t>
      </w:r>
      <w:r>
        <w:rPr>
          <w:spacing w:val="-10"/>
        </w:rPr>
        <w:t>of</w:t>
      </w:r>
      <w:r>
        <w:rPr>
          <w:spacing w:val="-7"/>
        </w:rPr>
        <w:t> </w:t>
      </w:r>
      <w:r>
        <w:rPr>
          <w:spacing w:val="-10"/>
        </w:rPr>
        <w:t>Tribunal</w:t>
      </w:r>
      <w:r>
        <w:rPr>
          <w:spacing w:val="-6"/>
        </w:rPr>
        <w:t> </w:t>
      </w:r>
      <w:r>
        <w:rPr>
          <w:spacing w:val="-10"/>
        </w:rPr>
        <w:t>Hearings</w:t>
      </w:r>
    </w:p>
    <w:p>
      <w:pPr>
        <w:pStyle w:val="BodyText"/>
        <w:spacing w:line="264" w:lineRule="auto" w:before="153"/>
        <w:ind w:right="344"/>
        <w:jc w:val="both"/>
      </w:pPr>
      <w:r>
        <w:rPr/>
        <w:t>The membership for each hearing is selected by the Tribunal Chair. For each hearing, the Tribunal must include the Chair or a Deputy Chair, three registered social workers, and one layperson. Information about Tribunal decisions and appeals is available at </w:t>
      </w:r>
      <w:hyperlink r:id="rId5">
        <w:r>
          <w:rPr>
            <w:color w:val="0000FF"/>
            <w:spacing w:val="-2"/>
            <w:u w:val="single" w:color="0000FF"/>
          </w:rPr>
          <w:t>https://swrb.govt.nz/tribunal-decisions/</w:t>
        </w:r>
      </w:hyperlink>
      <w:r>
        <w:rPr>
          <w:spacing w:val="-2"/>
          <w:u w:val="none"/>
        </w:rPr>
        <w:t>.</w:t>
      </w:r>
    </w:p>
    <w:p>
      <w:pPr>
        <w:pStyle w:val="Heading3"/>
        <w:spacing w:before="180"/>
      </w:pPr>
      <w:r>
        <w:rPr>
          <w:spacing w:val="-8"/>
        </w:rPr>
        <w:t>Location</w:t>
      </w:r>
      <w:r>
        <w:rPr>
          <w:spacing w:val="-10"/>
        </w:rPr>
        <w:t> </w:t>
      </w:r>
      <w:r>
        <w:rPr>
          <w:spacing w:val="-8"/>
        </w:rPr>
        <w:t>of</w:t>
      </w:r>
      <w:r>
        <w:rPr>
          <w:spacing w:val="-12"/>
        </w:rPr>
        <w:t> </w:t>
      </w:r>
      <w:r>
        <w:rPr>
          <w:spacing w:val="-8"/>
        </w:rPr>
        <w:t>Hearings</w:t>
      </w:r>
    </w:p>
    <w:p>
      <w:pPr>
        <w:pStyle w:val="BodyText"/>
        <w:spacing w:before="120"/>
        <w:ind w:right="461"/>
      </w:pPr>
      <w:r>
        <w:rPr/>
        <w:t>Hearings</w:t>
      </w:r>
      <w:r>
        <w:rPr>
          <w:spacing w:val="-6"/>
        </w:rPr>
        <w:t> </w:t>
      </w:r>
      <w:r>
        <w:rPr/>
        <w:t>are</w:t>
      </w:r>
      <w:r>
        <w:rPr>
          <w:spacing w:val="-4"/>
        </w:rPr>
        <w:t> </w:t>
      </w:r>
      <w:r>
        <w:rPr/>
        <w:t>held</w:t>
      </w:r>
      <w:r>
        <w:rPr>
          <w:spacing w:val="-1"/>
        </w:rPr>
        <w:t> </w:t>
      </w:r>
      <w:r>
        <w:rPr/>
        <w:t>online</w:t>
      </w:r>
      <w:r>
        <w:rPr>
          <w:spacing w:val="-4"/>
        </w:rPr>
        <w:t> </w:t>
      </w:r>
      <w:r>
        <w:rPr/>
        <w:t>or</w:t>
      </w:r>
      <w:r>
        <w:rPr>
          <w:spacing w:val="-3"/>
        </w:rPr>
        <w:t> </w:t>
      </w:r>
      <w:r>
        <w:rPr/>
        <w:t>in-person</w:t>
      </w:r>
      <w:r>
        <w:rPr>
          <w:spacing w:val="-4"/>
        </w:rPr>
        <w:t> </w:t>
      </w:r>
      <w:r>
        <w:rPr/>
        <w:t>across</w:t>
      </w:r>
      <w:r>
        <w:rPr>
          <w:spacing w:val="-6"/>
        </w:rPr>
        <w:t> </w:t>
      </w:r>
      <w:r>
        <w:rPr/>
        <w:t>New</w:t>
      </w:r>
      <w:r>
        <w:rPr>
          <w:spacing w:val="-5"/>
        </w:rPr>
        <w:t> </w:t>
      </w:r>
      <w:r>
        <w:rPr/>
        <w:t>Zealand. The</w:t>
      </w:r>
      <w:r>
        <w:rPr>
          <w:spacing w:val="-4"/>
        </w:rPr>
        <w:t> </w:t>
      </w:r>
      <w:r>
        <w:rPr/>
        <w:t>location</w:t>
      </w:r>
      <w:r>
        <w:rPr>
          <w:spacing w:val="-4"/>
        </w:rPr>
        <w:t> </w:t>
      </w:r>
      <w:r>
        <w:rPr/>
        <w:t>of</w:t>
      </w:r>
      <w:r>
        <w:rPr>
          <w:spacing w:val="-6"/>
        </w:rPr>
        <w:t> </w:t>
      </w:r>
      <w:r>
        <w:rPr/>
        <w:t>in-person hearings depends on where the registered social worker facing charges lives.</w:t>
      </w:r>
    </w:p>
    <w:p>
      <w:pPr>
        <w:pStyle w:val="BodyText"/>
        <w:spacing w:before="102"/>
        <w:ind w:left="0"/>
      </w:pPr>
      <w:r>
        <w:rPr/>
        <mc:AlternateContent>
          <mc:Choice Requires="wps">
            <w:drawing>
              <wp:anchor distT="0" distB="0" distL="0" distR="0" allowOverlap="1" layoutInCell="1" locked="0" behindDoc="1" simplePos="0" relativeHeight="487588864">
                <wp:simplePos x="0" y="0"/>
                <wp:positionH relativeFrom="page">
                  <wp:posOffset>882700</wp:posOffset>
                </wp:positionH>
                <wp:positionV relativeFrom="paragraph">
                  <wp:posOffset>234959</wp:posOffset>
                </wp:positionV>
                <wp:extent cx="600900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09005" cy="6350"/>
                        </a:xfrm>
                        <a:custGeom>
                          <a:avLst/>
                          <a:gdLst/>
                          <a:ahLst/>
                          <a:cxnLst/>
                          <a:rect l="l" t="t" r="r" b="b"/>
                          <a:pathLst>
                            <a:path w="6009005" h="6350">
                              <a:moveTo>
                                <a:pt x="6008878" y="0"/>
                              </a:moveTo>
                              <a:lnTo>
                                <a:pt x="0" y="0"/>
                              </a:lnTo>
                              <a:lnTo>
                                <a:pt x="0" y="6095"/>
                              </a:lnTo>
                              <a:lnTo>
                                <a:pt x="6008878" y="6095"/>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18.500763pt;width:473.14pt;height:.47998pt;mso-position-horizontal-relative:page;mso-position-vertical-relative:paragraph;z-index:-15727616;mso-wrap-distance-left:0;mso-wrap-distance-right:0" id="docshape4" filled="true" fillcolor="#000000" stroked="false">
                <v:fill type="solid"/>
                <w10:wrap type="topAndBottom"/>
              </v:rect>
            </w:pict>
          </mc:Fallback>
        </mc:AlternateContent>
      </w:r>
      <w:r>
        <w:rPr/>
        <w:drawing>
          <wp:anchor distT="0" distB="0" distL="0" distR="0" allowOverlap="1" layoutInCell="1" locked="0" behindDoc="1" simplePos="0" relativeHeight="487589376">
            <wp:simplePos x="0" y="0"/>
            <wp:positionH relativeFrom="page">
              <wp:posOffset>5151897</wp:posOffset>
            </wp:positionH>
            <wp:positionV relativeFrom="paragraph">
              <wp:posOffset>347536</wp:posOffset>
            </wp:positionV>
            <wp:extent cx="1667006" cy="25603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667006" cy="256031"/>
                    </a:xfrm>
                    <a:prstGeom prst="rect">
                      <a:avLst/>
                    </a:prstGeom>
                  </pic:spPr>
                </pic:pic>
              </a:graphicData>
            </a:graphic>
          </wp:anchor>
        </w:drawing>
      </w:r>
    </w:p>
    <w:p>
      <w:pPr>
        <w:pStyle w:val="BodyText"/>
        <w:spacing w:before="10"/>
        <w:ind w:left="0"/>
        <w:rPr>
          <w:sz w:val="11"/>
        </w:rPr>
      </w:pPr>
    </w:p>
    <w:p>
      <w:pPr>
        <w:pStyle w:val="BodyText"/>
        <w:spacing w:after="0"/>
        <w:rPr>
          <w:sz w:val="11"/>
        </w:rPr>
        <w:sectPr>
          <w:type w:val="continuous"/>
          <w:pgSz w:w="12240" w:h="15840"/>
          <w:pgMar w:top="1420" w:bottom="280" w:left="1080" w:right="1080"/>
        </w:sectPr>
      </w:pPr>
    </w:p>
    <w:p>
      <w:pPr>
        <w:pStyle w:val="Heading3"/>
        <w:spacing w:before="80"/>
      </w:pPr>
      <w:r>
        <w:rPr>
          <w:spacing w:val="-10"/>
        </w:rPr>
        <w:t>Tribunal member</w:t>
      </w:r>
      <w:r>
        <w:rPr>
          <w:spacing w:val="-6"/>
        </w:rPr>
        <w:t> </w:t>
      </w:r>
      <w:r>
        <w:rPr>
          <w:spacing w:val="-10"/>
        </w:rPr>
        <w:t>expertise</w:t>
      </w:r>
      <w:r>
        <w:rPr>
          <w:spacing w:val="-8"/>
        </w:rPr>
        <w:t> </w:t>
      </w:r>
      <w:r>
        <w:rPr>
          <w:spacing w:val="-10"/>
        </w:rPr>
        <w:t>and</w:t>
      </w:r>
      <w:r>
        <w:rPr>
          <w:spacing w:val="-7"/>
        </w:rPr>
        <w:t> </w:t>
      </w:r>
      <w:r>
        <w:rPr>
          <w:spacing w:val="-10"/>
        </w:rPr>
        <w:t>experience</w:t>
      </w:r>
    </w:p>
    <w:p>
      <w:pPr>
        <w:pStyle w:val="BodyText"/>
        <w:spacing w:before="153"/>
        <w:jc w:val="both"/>
      </w:pPr>
      <w:r>
        <w:rPr/>
        <w:t>The</w:t>
      </w:r>
      <w:r>
        <w:rPr>
          <w:spacing w:val="-9"/>
        </w:rPr>
        <w:t> </w:t>
      </w:r>
      <w:r>
        <w:rPr/>
        <w:t>Tribunal’s</w:t>
      </w:r>
      <w:r>
        <w:rPr>
          <w:spacing w:val="-9"/>
        </w:rPr>
        <w:t> </w:t>
      </w:r>
      <w:r>
        <w:rPr/>
        <w:t>membership</w:t>
      </w:r>
      <w:r>
        <w:rPr>
          <w:spacing w:val="-7"/>
        </w:rPr>
        <w:t> </w:t>
      </w:r>
      <w:r>
        <w:rPr/>
        <w:t>should</w:t>
      </w:r>
      <w:r>
        <w:rPr>
          <w:spacing w:val="-8"/>
        </w:rPr>
        <w:t> </w:t>
      </w:r>
      <w:r>
        <w:rPr/>
        <w:t>collectively</w:t>
      </w:r>
      <w:r>
        <w:rPr>
          <w:spacing w:val="-3"/>
        </w:rPr>
        <w:t> </w:t>
      </w:r>
      <w:r>
        <w:rPr/>
        <w:t>have</w:t>
      </w:r>
      <w:r>
        <w:rPr>
          <w:spacing w:val="-9"/>
        </w:rPr>
        <w:t> </w:t>
      </w:r>
      <w:r>
        <w:rPr/>
        <w:t>the</w:t>
      </w:r>
      <w:r>
        <w:rPr>
          <w:spacing w:val="-9"/>
        </w:rPr>
        <w:t> </w:t>
      </w:r>
      <w:r>
        <w:rPr/>
        <w:t>following</w:t>
      </w:r>
      <w:r>
        <w:rPr>
          <w:spacing w:val="-6"/>
        </w:rPr>
        <w:t> </w:t>
      </w:r>
      <w:r>
        <w:rPr/>
        <w:t>expertise</w:t>
      </w:r>
      <w:r>
        <w:rPr>
          <w:spacing w:val="-9"/>
        </w:rPr>
        <w:t> </w:t>
      </w:r>
      <w:r>
        <w:rPr/>
        <w:t>and</w:t>
      </w:r>
      <w:r>
        <w:rPr>
          <w:spacing w:val="-2"/>
        </w:rPr>
        <w:t> experience:</w:t>
      </w:r>
    </w:p>
    <w:p>
      <w:pPr>
        <w:pStyle w:val="ListParagraph"/>
        <w:numPr>
          <w:ilvl w:val="0"/>
          <w:numId w:val="1"/>
        </w:numPr>
        <w:tabs>
          <w:tab w:pos="905" w:val="left" w:leader="none"/>
        </w:tabs>
        <w:spacing w:line="240" w:lineRule="auto" w:before="124" w:after="0"/>
        <w:ind w:left="905" w:right="0" w:hanging="339"/>
        <w:jc w:val="left"/>
        <w:rPr>
          <w:sz w:val="20"/>
        </w:rPr>
      </w:pPr>
      <w:r>
        <w:rPr>
          <w:sz w:val="20"/>
        </w:rPr>
        <w:t>an</w:t>
      </w:r>
      <w:r>
        <w:rPr>
          <w:spacing w:val="-6"/>
          <w:sz w:val="20"/>
        </w:rPr>
        <w:t> </w:t>
      </w:r>
      <w:r>
        <w:rPr>
          <w:sz w:val="20"/>
        </w:rPr>
        <w:t>understanding</w:t>
      </w:r>
      <w:r>
        <w:rPr>
          <w:spacing w:val="-7"/>
          <w:sz w:val="20"/>
        </w:rPr>
        <w:t> </w:t>
      </w:r>
      <w:r>
        <w:rPr>
          <w:sz w:val="20"/>
        </w:rPr>
        <w:t>of</w:t>
      </w:r>
      <w:r>
        <w:rPr>
          <w:spacing w:val="-6"/>
          <w:sz w:val="20"/>
        </w:rPr>
        <w:t> </w:t>
      </w:r>
      <w:r>
        <w:rPr>
          <w:sz w:val="20"/>
        </w:rPr>
        <w:t>the</w:t>
      </w:r>
      <w:r>
        <w:rPr>
          <w:spacing w:val="-7"/>
          <w:sz w:val="20"/>
        </w:rPr>
        <w:t> </w:t>
      </w:r>
      <w:r>
        <w:rPr>
          <w:sz w:val="20"/>
        </w:rPr>
        <w:t>Tribunal’s</w:t>
      </w:r>
      <w:r>
        <w:rPr>
          <w:spacing w:val="-6"/>
          <w:sz w:val="20"/>
        </w:rPr>
        <w:t> </w:t>
      </w:r>
      <w:r>
        <w:rPr>
          <w:spacing w:val="-4"/>
          <w:sz w:val="20"/>
        </w:rPr>
        <w:t>role</w:t>
      </w:r>
    </w:p>
    <w:p>
      <w:pPr>
        <w:pStyle w:val="ListParagraph"/>
        <w:numPr>
          <w:ilvl w:val="0"/>
          <w:numId w:val="1"/>
        </w:numPr>
        <w:tabs>
          <w:tab w:pos="905" w:val="left" w:leader="none"/>
        </w:tabs>
        <w:spacing w:line="240" w:lineRule="auto" w:before="124" w:after="0"/>
        <w:ind w:left="905" w:right="0" w:hanging="339"/>
        <w:jc w:val="left"/>
        <w:rPr>
          <w:sz w:val="20"/>
        </w:rPr>
      </w:pPr>
      <w:r>
        <w:rPr>
          <w:sz w:val="20"/>
        </w:rPr>
        <w:t>knowledge</w:t>
      </w:r>
      <w:r>
        <w:rPr>
          <w:spacing w:val="-8"/>
          <w:sz w:val="20"/>
        </w:rPr>
        <w:t> </w:t>
      </w:r>
      <w:r>
        <w:rPr>
          <w:sz w:val="20"/>
        </w:rPr>
        <w:t>and</w:t>
      </w:r>
      <w:r>
        <w:rPr>
          <w:spacing w:val="-5"/>
          <w:sz w:val="20"/>
        </w:rPr>
        <w:t> </w:t>
      </w:r>
      <w:r>
        <w:rPr>
          <w:sz w:val="20"/>
        </w:rPr>
        <w:t>experience</w:t>
      </w:r>
      <w:r>
        <w:rPr>
          <w:spacing w:val="-7"/>
          <w:sz w:val="20"/>
        </w:rPr>
        <w:t> </w:t>
      </w:r>
      <w:r>
        <w:rPr>
          <w:sz w:val="20"/>
        </w:rPr>
        <w:t>of</w:t>
      </w:r>
      <w:r>
        <w:rPr>
          <w:spacing w:val="-5"/>
          <w:sz w:val="20"/>
        </w:rPr>
        <w:t> </w:t>
      </w:r>
      <w:r>
        <w:rPr>
          <w:sz w:val="20"/>
        </w:rPr>
        <w:t>matters</w:t>
      </w:r>
      <w:r>
        <w:rPr>
          <w:spacing w:val="-8"/>
          <w:sz w:val="20"/>
        </w:rPr>
        <w:t> </w:t>
      </w:r>
      <w:r>
        <w:rPr>
          <w:sz w:val="20"/>
        </w:rPr>
        <w:t>likely</w:t>
      </w:r>
      <w:r>
        <w:rPr>
          <w:spacing w:val="-6"/>
          <w:sz w:val="20"/>
        </w:rPr>
        <w:t> </w:t>
      </w:r>
      <w:r>
        <w:rPr>
          <w:sz w:val="20"/>
        </w:rPr>
        <w:t>to</w:t>
      </w:r>
      <w:r>
        <w:rPr>
          <w:spacing w:val="-6"/>
          <w:sz w:val="20"/>
        </w:rPr>
        <w:t> </w:t>
      </w:r>
      <w:r>
        <w:rPr>
          <w:sz w:val="20"/>
        </w:rPr>
        <w:t>come</w:t>
      </w:r>
      <w:r>
        <w:rPr>
          <w:spacing w:val="-5"/>
          <w:sz w:val="20"/>
        </w:rPr>
        <w:t> </w:t>
      </w:r>
      <w:r>
        <w:rPr>
          <w:sz w:val="20"/>
        </w:rPr>
        <w:t>before</w:t>
      </w:r>
      <w:r>
        <w:rPr>
          <w:spacing w:val="-6"/>
          <w:sz w:val="20"/>
        </w:rPr>
        <w:t> </w:t>
      </w:r>
      <w:r>
        <w:rPr>
          <w:sz w:val="20"/>
        </w:rPr>
        <w:t>the</w:t>
      </w:r>
      <w:r>
        <w:rPr>
          <w:spacing w:val="-8"/>
          <w:sz w:val="20"/>
        </w:rPr>
        <w:t> </w:t>
      </w:r>
      <w:r>
        <w:rPr>
          <w:spacing w:val="-2"/>
          <w:sz w:val="20"/>
        </w:rPr>
        <w:t>Tribunal</w:t>
      </w:r>
    </w:p>
    <w:p>
      <w:pPr>
        <w:pStyle w:val="ListParagraph"/>
        <w:numPr>
          <w:ilvl w:val="0"/>
          <w:numId w:val="1"/>
        </w:numPr>
        <w:tabs>
          <w:tab w:pos="905" w:val="left" w:leader="none"/>
        </w:tabs>
        <w:spacing w:line="264" w:lineRule="auto" w:before="125" w:after="0"/>
        <w:ind w:left="905" w:right="352" w:hanging="339"/>
        <w:jc w:val="left"/>
        <w:rPr>
          <w:sz w:val="20"/>
        </w:rPr>
      </w:pPr>
      <w:r>
        <w:rPr>
          <w:sz w:val="20"/>
        </w:rPr>
        <w:t>critical</w:t>
      </w:r>
      <w:r>
        <w:rPr>
          <w:spacing w:val="40"/>
          <w:sz w:val="20"/>
        </w:rPr>
        <w:t> </w:t>
      </w:r>
      <w:r>
        <w:rPr>
          <w:sz w:val="20"/>
        </w:rPr>
        <w:t>thinking,</w:t>
      </w:r>
      <w:r>
        <w:rPr>
          <w:spacing w:val="40"/>
          <w:sz w:val="20"/>
        </w:rPr>
        <w:t> </w:t>
      </w:r>
      <w:r>
        <w:rPr>
          <w:sz w:val="20"/>
        </w:rPr>
        <w:t>sound</w:t>
      </w:r>
      <w:r>
        <w:rPr>
          <w:spacing w:val="40"/>
          <w:sz w:val="20"/>
        </w:rPr>
        <w:t> </w:t>
      </w:r>
      <w:r>
        <w:rPr>
          <w:sz w:val="20"/>
        </w:rPr>
        <w:t>judgement</w:t>
      </w:r>
      <w:r>
        <w:rPr>
          <w:spacing w:val="40"/>
          <w:sz w:val="20"/>
        </w:rPr>
        <w:t> </w:t>
      </w:r>
      <w:r>
        <w:rPr>
          <w:sz w:val="20"/>
        </w:rPr>
        <w:t>and</w:t>
      </w:r>
      <w:r>
        <w:rPr>
          <w:spacing w:val="40"/>
          <w:sz w:val="20"/>
        </w:rPr>
        <w:t> </w:t>
      </w:r>
      <w:r>
        <w:rPr>
          <w:sz w:val="20"/>
        </w:rPr>
        <w:t>analytical</w:t>
      </w:r>
      <w:r>
        <w:rPr>
          <w:spacing w:val="40"/>
          <w:sz w:val="20"/>
        </w:rPr>
        <w:t> </w:t>
      </w:r>
      <w:r>
        <w:rPr>
          <w:sz w:val="20"/>
        </w:rPr>
        <w:t>skills</w:t>
      </w:r>
      <w:r>
        <w:rPr>
          <w:spacing w:val="40"/>
          <w:sz w:val="20"/>
        </w:rPr>
        <w:t> </w:t>
      </w:r>
      <w:r>
        <w:rPr>
          <w:sz w:val="20"/>
        </w:rPr>
        <w:t>which</w:t>
      </w:r>
      <w:r>
        <w:rPr>
          <w:spacing w:val="40"/>
          <w:sz w:val="20"/>
        </w:rPr>
        <w:t> </w:t>
      </w:r>
      <w:r>
        <w:rPr>
          <w:sz w:val="20"/>
        </w:rPr>
        <w:t>can</w:t>
      </w:r>
      <w:r>
        <w:rPr>
          <w:spacing w:val="40"/>
          <w:sz w:val="20"/>
        </w:rPr>
        <w:t> </w:t>
      </w:r>
      <w:r>
        <w:rPr>
          <w:sz w:val="20"/>
        </w:rPr>
        <w:t>be</w:t>
      </w:r>
      <w:r>
        <w:rPr>
          <w:spacing w:val="40"/>
          <w:sz w:val="20"/>
        </w:rPr>
        <w:t> </w:t>
      </w:r>
      <w:r>
        <w:rPr>
          <w:sz w:val="20"/>
        </w:rPr>
        <w:t>constructively applied to a wide range of topics and human behaviour generally</w:t>
      </w:r>
    </w:p>
    <w:p>
      <w:pPr>
        <w:pStyle w:val="ListParagraph"/>
        <w:numPr>
          <w:ilvl w:val="0"/>
          <w:numId w:val="1"/>
        </w:numPr>
        <w:tabs>
          <w:tab w:pos="905" w:val="left" w:leader="none"/>
        </w:tabs>
        <w:spacing w:line="240" w:lineRule="auto" w:before="98" w:after="0"/>
        <w:ind w:left="905" w:right="0" w:hanging="339"/>
        <w:jc w:val="left"/>
        <w:rPr>
          <w:sz w:val="20"/>
        </w:rPr>
      </w:pPr>
      <w:r>
        <w:rPr>
          <w:sz w:val="20"/>
        </w:rPr>
        <w:t>a</w:t>
      </w:r>
      <w:r>
        <w:rPr>
          <w:spacing w:val="-8"/>
          <w:sz w:val="20"/>
        </w:rPr>
        <w:t> </w:t>
      </w:r>
      <w:r>
        <w:rPr>
          <w:sz w:val="20"/>
        </w:rPr>
        <w:t>commitment</w:t>
      </w:r>
      <w:r>
        <w:rPr>
          <w:spacing w:val="-6"/>
          <w:sz w:val="20"/>
        </w:rPr>
        <w:t> </w:t>
      </w:r>
      <w:r>
        <w:rPr>
          <w:sz w:val="20"/>
        </w:rPr>
        <w:t>to</w:t>
      </w:r>
      <w:r>
        <w:rPr>
          <w:spacing w:val="-7"/>
          <w:sz w:val="20"/>
        </w:rPr>
        <w:t> </w:t>
      </w:r>
      <w:r>
        <w:rPr>
          <w:sz w:val="20"/>
        </w:rPr>
        <w:t>fair</w:t>
      </w:r>
      <w:r>
        <w:rPr>
          <w:spacing w:val="-6"/>
          <w:sz w:val="20"/>
        </w:rPr>
        <w:t> </w:t>
      </w:r>
      <w:r>
        <w:rPr>
          <w:sz w:val="20"/>
        </w:rPr>
        <w:t>process</w:t>
      </w:r>
      <w:r>
        <w:rPr>
          <w:spacing w:val="-6"/>
          <w:sz w:val="20"/>
        </w:rPr>
        <w:t> </w:t>
      </w:r>
      <w:r>
        <w:rPr>
          <w:sz w:val="20"/>
        </w:rPr>
        <w:t>and</w:t>
      </w:r>
      <w:r>
        <w:rPr>
          <w:spacing w:val="-7"/>
          <w:sz w:val="20"/>
        </w:rPr>
        <w:t> </w:t>
      </w:r>
      <w:r>
        <w:rPr>
          <w:sz w:val="20"/>
        </w:rPr>
        <w:t>unbiased</w:t>
      </w:r>
      <w:r>
        <w:rPr>
          <w:spacing w:val="-6"/>
          <w:sz w:val="20"/>
        </w:rPr>
        <w:t> </w:t>
      </w:r>
      <w:r>
        <w:rPr>
          <w:sz w:val="20"/>
        </w:rPr>
        <w:t>decision-</w:t>
      </w:r>
      <w:r>
        <w:rPr>
          <w:spacing w:val="-2"/>
          <w:sz w:val="20"/>
        </w:rPr>
        <w:t>making</w:t>
      </w:r>
    </w:p>
    <w:p>
      <w:pPr>
        <w:pStyle w:val="ListParagraph"/>
        <w:numPr>
          <w:ilvl w:val="0"/>
          <w:numId w:val="1"/>
        </w:numPr>
        <w:tabs>
          <w:tab w:pos="905" w:val="left" w:leader="none"/>
        </w:tabs>
        <w:spacing w:line="240" w:lineRule="auto" w:before="127" w:after="0"/>
        <w:ind w:left="905" w:right="0" w:hanging="339"/>
        <w:jc w:val="left"/>
        <w:rPr>
          <w:sz w:val="20"/>
        </w:rPr>
      </w:pPr>
      <w:r>
        <w:rPr>
          <w:sz w:val="20"/>
        </w:rPr>
        <w:t>the</w:t>
      </w:r>
      <w:r>
        <w:rPr>
          <w:spacing w:val="-9"/>
          <w:sz w:val="20"/>
        </w:rPr>
        <w:t> </w:t>
      </w:r>
      <w:r>
        <w:rPr>
          <w:sz w:val="20"/>
        </w:rPr>
        <w:t>ability</w:t>
      </w:r>
      <w:r>
        <w:rPr>
          <w:spacing w:val="-7"/>
          <w:sz w:val="20"/>
        </w:rPr>
        <w:t> </w:t>
      </w:r>
      <w:r>
        <w:rPr>
          <w:sz w:val="20"/>
        </w:rPr>
        <w:t>to</w:t>
      </w:r>
      <w:r>
        <w:rPr>
          <w:spacing w:val="-7"/>
          <w:sz w:val="20"/>
        </w:rPr>
        <w:t> </w:t>
      </w:r>
      <w:r>
        <w:rPr>
          <w:sz w:val="20"/>
        </w:rPr>
        <w:t>communicate</w:t>
      </w:r>
      <w:r>
        <w:rPr>
          <w:spacing w:val="-8"/>
          <w:sz w:val="20"/>
        </w:rPr>
        <w:t> </w:t>
      </w:r>
      <w:r>
        <w:rPr>
          <w:sz w:val="20"/>
        </w:rPr>
        <w:t>effectively</w:t>
      </w:r>
      <w:r>
        <w:rPr>
          <w:spacing w:val="-8"/>
          <w:sz w:val="20"/>
        </w:rPr>
        <w:t> </w:t>
      </w:r>
      <w:r>
        <w:rPr>
          <w:sz w:val="20"/>
        </w:rPr>
        <w:t>and</w:t>
      </w:r>
      <w:r>
        <w:rPr>
          <w:spacing w:val="-6"/>
          <w:sz w:val="20"/>
        </w:rPr>
        <w:t> </w:t>
      </w:r>
      <w:r>
        <w:rPr>
          <w:spacing w:val="-2"/>
          <w:sz w:val="20"/>
        </w:rPr>
        <w:t>accurately</w:t>
      </w:r>
    </w:p>
    <w:p>
      <w:pPr>
        <w:pStyle w:val="ListParagraph"/>
        <w:numPr>
          <w:ilvl w:val="0"/>
          <w:numId w:val="1"/>
        </w:numPr>
        <w:tabs>
          <w:tab w:pos="905" w:val="left" w:leader="none"/>
        </w:tabs>
        <w:spacing w:line="240" w:lineRule="auto" w:before="125" w:after="0"/>
        <w:ind w:left="905" w:right="0" w:hanging="339"/>
        <w:jc w:val="left"/>
        <w:rPr>
          <w:sz w:val="20"/>
        </w:rPr>
      </w:pPr>
      <w:r>
        <w:rPr>
          <w:sz w:val="20"/>
        </w:rPr>
        <w:t>an</w:t>
      </w:r>
      <w:r>
        <w:rPr>
          <w:spacing w:val="-6"/>
          <w:sz w:val="20"/>
        </w:rPr>
        <w:t> </w:t>
      </w:r>
      <w:r>
        <w:rPr>
          <w:sz w:val="20"/>
        </w:rPr>
        <w:t>inclusive</w:t>
      </w:r>
      <w:r>
        <w:rPr>
          <w:spacing w:val="-7"/>
          <w:sz w:val="20"/>
        </w:rPr>
        <w:t> </w:t>
      </w:r>
      <w:r>
        <w:rPr>
          <w:sz w:val="20"/>
        </w:rPr>
        <w:t>approach</w:t>
      </w:r>
      <w:r>
        <w:rPr>
          <w:spacing w:val="-7"/>
          <w:sz w:val="20"/>
        </w:rPr>
        <w:t> </w:t>
      </w:r>
      <w:r>
        <w:rPr>
          <w:sz w:val="20"/>
        </w:rPr>
        <w:t>to</w:t>
      </w:r>
      <w:r>
        <w:rPr>
          <w:spacing w:val="-5"/>
          <w:sz w:val="20"/>
        </w:rPr>
        <w:t> </w:t>
      </w:r>
      <w:r>
        <w:rPr>
          <w:sz w:val="20"/>
        </w:rPr>
        <w:t>group</w:t>
      </w:r>
      <w:r>
        <w:rPr>
          <w:spacing w:val="-6"/>
          <w:sz w:val="20"/>
        </w:rPr>
        <w:t> </w:t>
      </w:r>
      <w:r>
        <w:rPr>
          <w:sz w:val="20"/>
        </w:rPr>
        <w:t>discussions</w:t>
      </w:r>
      <w:r>
        <w:rPr>
          <w:spacing w:val="-6"/>
          <w:sz w:val="20"/>
        </w:rPr>
        <w:t> </w:t>
      </w:r>
      <w:r>
        <w:rPr>
          <w:sz w:val="20"/>
        </w:rPr>
        <w:t>and</w:t>
      </w:r>
      <w:r>
        <w:rPr>
          <w:spacing w:val="-6"/>
          <w:sz w:val="20"/>
        </w:rPr>
        <w:t> </w:t>
      </w:r>
      <w:r>
        <w:rPr>
          <w:sz w:val="20"/>
        </w:rPr>
        <w:t>decision</w:t>
      </w:r>
      <w:r>
        <w:rPr>
          <w:spacing w:val="-3"/>
          <w:sz w:val="20"/>
        </w:rPr>
        <w:t> </w:t>
      </w:r>
      <w:r>
        <w:rPr>
          <w:spacing w:val="-2"/>
          <w:sz w:val="20"/>
        </w:rPr>
        <w:t>making</w:t>
      </w:r>
    </w:p>
    <w:p>
      <w:pPr>
        <w:pStyle w:val="ListParagraph"/>
        <w:numPr>
          <w:ilvl w:val="0"/>
          <w:numId w:val="1"/>
        </w:numPr>
        <w:tabs>
          <w:tab w:pos="905" w:val="left" w:leader="none"/>
        </w:tabs>
        <w:spacing w:line="240" w:lineRule="auto" w:before="124" w:after="0"/>
        <w:ind w:left="905" w:right="0" w:hanging="339"/>
        <w:jc w:val="left"/>
        <w:rPr>
          <w:sz w:val="20"/>
        </w:rPr>
      </w:pPr>
      <w:r>
        <w:rPr>
          <w:sz w:val="20"/>
        </w:rPr>
        <w:t>an</w:t>
      </w:r>
      <w:r>
        <w:rPr>
          <w:spacing w:val="20"/>
          <w:sz w:val="20"/>
        </w:rPr>
        <w:t> </w:t>
      </w:r>
      <w:r>
        <w:rPr>
          <w:sz w:val="20"/>
        </w:rPr>
        <w:t>understanding</w:t>
      </w:r>
      <w:r>
        <w:rPr>
          <w:spacing w:val="22"/>
          <w:sz w:val="20"/>
        </w:rPr>
        <w:t> </w:t>
      </w:r>
      <w:r>
        <w:rPr>
          <w:sz w:val="20"/>
        </w:rPr>
        <w:t>of</w:t>
      </w:r>
      <w:r>
        <w:rPr>
          <w:spacing w:val="20"/>
          <w:sz w:val="20"/>
        </w:rPr>
        <w:t> </w:t>
      </w:r>
      <w:r>
        <w:rPr>
          <w:sz w:val="20"/>
        </w:rPr>
        <w:t>Te</w:t>
      </w:r>
      <w:r>
        <w:rPr>
          <w:spacing w:val="20"/>
          <w:sz w:val="20"/>
        </w:rPr>
        <w:t> </w:t>
      </w:r>
      <w:r>
        <w:rPr>
          <w:sz w:val="20"/>
        </w:rPr>
        <w:t>Tiriti</w:t>
      </w:r>
      <w:r>
        <w:rPr>
          <w:spacing w:val="26"/>
          <w:sz w:val="20"/>
        </w:rPr>
        <w:t> </w:t>
      </w:r>
      <w:r>
        <w:rPr>
          <w:sz w:val="20"/>
        </w:rPr>
        <w:t>o</w:t>
      </w:r>
      <w:r>
        <w:rPr>
          <w:spacing w:val="20"/>
          <w:sz w:val="20"/>
        </w:rPr>
        <w:t> </w:t>
      </w:r>
      <w:r>
        <w:rPr>
          <w:sz w:val="20"/>
        </w:rPr>
        <w:t>Waitangi,</w:t>
      </w:r>
      <w:r>
        <w:rPr>
          <w:spacing w:val="18"/>
          <w:sz w:val="20"/>
        </w:rPr>
        <w:t> </w:t>
      </w:r>
      <w:r>
        <w:rPr>
          <w:sz w:val="20"/>
        </w:rPr>
        <w:t>tikanga</w:t>
      </w:r>
      <w:r>
        <w:rPr>
          <w:spacing w:val="19"/>
          <w:sz w:val="20"/>
        </w:rPr>
        <w:t> </w:t>
      </w:r>
      <w:r>
        <w:rPr>
          <w:sz w:val="20"/>
        </w:rPr>
        <w:t>and</w:t>
      </w:r>
      <w:r>
        <w:rPr>
          <w:spacing w:val="19"/>
          <w:sz w:val="20"/>
        </w:rPr>
        <w:t> </w:t>
      </w:r>
      <w:r>
        <w:rPr>
          <w:sz w:val="20"/>
        </w:rPr>
        <w:t>te</w:t>
      </w:r>
      <w:r>
        <w:rPr>
          <w:spacing w:val="21"/>
          <w:sz w:val="20"/>
        </w:rPr>
        <w:t> </w:t>
      </w:r>
      <w:r>
        <w:rPr>
          <w:sz w:val="20"/>
        </w:rPr>
        <w:t>ao</w:t>
      </w:r>
      <w:r>
        <w:rPr>
          <w:spacing w:val="18"/>
          <w:sz w:val="20"/>
        </w:rPr>
        <w:t> </w:t>
      </w:r>
      <w:r>
        <w:rPr>
          <w:sz w:val="20"/>
        </w:rPr>
        <w:t>Māori</w:t>
      </w:r>
      <w:r>
        <w:rPr>
          <w:spacing w:val="19"/>
          <w:sz w:val="20"/>
        </w:rPr>
        <w:t> </w:t>
      </w:r>
      <w:r>
        <w:rPr>
          <w:sz w:val="20"/>
        </w:rPr>
        <w:t>as</w:t>
      </w:r>
      <w:r>
        <w:rPr>
          <w:spacing w:val="18"/>
          <w:sz w:val="20"/>
        </w:rPr>
        <w:t> </w:t>
      </w:r>
      <w:r>
        <w:rPr>
          <w:sz w:val="20"/>
        </w:rPr>
        <w:t>it</w:t>
      </w:r>
      <w:r>
        <w:rPr>
          <w:spacing w:val="19"/>
          <w:sz w:val="20"/>
        </w:rPr>
        <w:t> </w:t>
      </w:r>
      <w:r>
        <w:rPr>
          <w:sz w:val="20"/>
        </w:rPr>
        <w:t>relates</w:t>
      </w:r>
      <w:r>
        <w:rPr>
          <w:spacing w:val="20"/>
          <w:sz w:val="20"/>
        </w:rPr>
        <w:t> </w:t>
      </w:r>
      <w:r>
        <w:rPr>
          <w:sz w:val="20"/>
        </w:rPr>
        <w:t>to</w:t>
      </w:r>
      <w:r>
        <w:rPr>
          <w:spacing w:val="19"/>
          <w:sz w:val="20"/>
        </w:rPr>
        <w:t> </w:t>
      </w:r>
      <w:r>
        <w:rPr>
          <w:spacing w:val="-5"/>
          <w:sz w:val="20"/>
        </w:rPr>
        <w:t>the</w:t>
      </w:r>
    </w:p>
    <w:p>
      <w:pPr>
        <w:pStyle w:val="BodyText"/>
        <w:spacing w:before="23"/>
        <w:ind w:left="905"/>
      </w:pPr>
      <w:r>
        <w:rPr/>
        <w:t>social</w:t>
      </w:r>
      <w:r>
        <w:rPr>
          <w:spacing w:val="-5"/>
        </w:rPr>
        <w:t> </w:t>
      </w:r>
      <w:r>
        <w:rPr/>
        <w:t>work</w:t>
      </w:r>
      <w:r>
        <w:rPr>
          <w:spacing w:val="-5"/>
        </w:rPr>
        <w:t> </w:t>
      </w:r>
      <w:r>
        <w:rPr>
          <w:spacing w:val="-2"/>
        </w:rPr>
        <w:t>sector</w:t>
      </w:r>
    </w:p>
    <w:p>
      <w:pPr>
        <w:pStyle w:val="ListParagraph"/>
        <w:numPr>
          <w:ilvl w:val="0"/>
          <w:numId w:val="1"/>
        </w:numPr>
        <w:tabs>
          <w:tab w:pos="905" w:val="left" w:leader="none"/>
        </w:tabs>
        <w:spacing w:line="240" w:lineRule="auto" w:before="124" w:after="0"/>
        <w:ind w:left="905" w:right="0" w:hanging="339"/>
        <w:jc w:val="left"/>
        <w:rPr>
          <w:sz w:val="20"/>
        </w:rPr>
      </w:pPr>
      <w:r>
        <w:rPr>
          <w:sz w:val="20"/>
        </w:rPr>
        <w:t>the</w:t>
      </w:r>
      <w:r>
        <w:rPr>
          <w:spacing w:val="-8"/>
          <w:sz w:val="20"/>
        </w:rPr>
        <w:t> </w:t>
      </w:r>
      <w:r>
        <w:rPr>
          <w:sz w:val="20"/>
        </w:rPr>
        <w:t>ability</w:t>
      </w:r>
      <w:r>
        <w:rPr>
          <w:spacing w:val="-7"/>
          <w:sz w:val="20"/>
        </w:rPr>
        <w:t> </w:t>
      </w:r>
      <w:r>
        <w:rPr>
          <w:sz w:val="20"/>
        </w:rPr>
        <w:t>to</w:t>
      </w:r>
      <w:r>
        <w:rPr>
          <w:spacing w:val="-6"/>
          <w:sz w:val="20"/>
        </w:rPr>
        <w:t> </w:t>
      </w:r>
      <w:r>
        <w:rPr>
          <w:sz w:val="20"/>
        </w:rPr>
        <w:t>engage</w:t>
      </w:r>
      <w:r>
        <w:rPr>
          <w:spacing w:val="-6"/>
          <w:sz w:val="20"/>
        </w:rPr>
        <w:t> </w:t>
      </w:r>
      <w:r>
        <w:rPr>
          <w:sz w:val="20"/>
        </w:rPr>
        <w:t>effectively</w:t>
      </w:r>
      <w:r>
        <w:rPr>
          <w:spacing w:val="-7"/>
          <w:sz w:val="20"/>
        </w:rPr>
        <w:t> </w:t>
      </w:r>
      <w:r>
        <w:rPr>
          <w:sz w:val="20"/>
        </w:rPr>
        <w:t>with</w:t>
      </w:r>
      <w:r>
        <w:rPr>
          <w:spacing w:val="-6"/>
          <w:sz w:val="20"/>
        </w:rPr>
        <w:t> </w:t>
      </w:r>
      <w:r>
        <w:rPr>
          <w:sz w:val="20"/>
        </w:rPr>
        <w:t>various</w:t>
      </w:r>
      <w:r>
        <w:rPr>
          <w:spacing w:val="-5"/>
          <w:sz w:val="20"/>
        </w:rPr>
        <w:t> </w:t>
      </w:r>
      <w:r>
        <w:rPr>
          <w:sz w:val="20"/>
        </w:rPr>
        <w:t>ethnic</w:t>
      </w:r>
      <w:r>
        <w:rPr>
          <w:spacing w:val="-8"/>
          <w:sz w:val="20"/>
        </w:rPr>
        <w:t> </w:t>
      </w:r>
      <w:r>
        <w:rPr>
          <w:sz w:val="20"/>
        </w:rPr>
        <w:t>and</w:t>
      </w:r>
      <w:r>
        <w:rPr>
          <w:spacing w:val="-6"/>
          <w:sz w:val="20"/>
        </w:rPr>
        <w:t> </w:t>
      </w:r>
      <w:r>
        <w:rPr>
          <w:sz w:val="20"/>
        </w:rPr>
        <w:t>cultural</w:t>
      </w:r>
      <w:r>
        <w:rPr>
          <w:spacing w:val="-6"/>
          <w:sz w:val="20"/>
        </w:rPr>
        <w:t> </w:t>
      </w:r>
      <w:r>
        <w:rPr>
          <w:sz w:val="20"/>
        </w:rPr>
        <w:t>groups</w:t>
      </w:r>
      <w:r>
        <w:rPr>
          <w:spacing w:val="-5"/>
          <w:sz w:val="20"/>
        </w:rPr>
        <w:t> </w:t>
      </w:r>
      <w:r>
        <w:rPr>
          <w:sz w:val="20"/>
        </w:rPr>
        <w:t>in</w:t>
      </w:r>
      <w:r>
        <w:rPr>
          <w:spacing w:val="-5"/>
          <w:sz w:val="20"/>
        </w:rPr>
        <w:t> </w:t>
      </w:r>
      <w:r>
        <w:rPr>
          <w:sz w:val="20"/>
        </w:rPr>
        <w:t>New</w:t>
      </w:r>
      <w:r>
        <w:rPr>
          <w:spacing w:val="-4"/>
          <w:sz w:val="20"/>
        </w:rPr>
        <w:t> </w:t>
      </w:r>
      <w:r>
        <w:rPr>
          <w:spacing w:val="-2"/>
          <w:sz w:val="20"/>
        </w:rPr>
        <w:t>Zealand</w:t>
      </w:r>
    </w:p>
    <w:p>
      <w:pPr>
        <w:pStyle w:val="ListParagraph"/>
        <w:numPr>
          <w:ilvl w:val="0"/>
          <w:numId w:val="1"/>
        </w:numPr>
        <w:tabs>
          <w:tab w:pos="905" w:val="left" w:leader="none"/>
        </w:tabs>
        <w:spacing w:line="266" w:lineRule="auto" w:before="124" w:after="0"/>
        <w:ind w:left="905" w:right="351" w:hanging="339"/>
        <w:jc w:val="left"/>
        <w:rPr>
          <w:sz w:val="20"/>
        </w:rPr>
      </w:pPr>
      <w:r>
        <w:rPr>
          <w:sz w:val="20"/>
        </w:rPr>
        <w:t>the ability to manage and maintain excellent professional relationships with a range of </w:t>
      </w:r>
      <w:r>
        <w:rPr>
          <w:spacing w:val="-2"/>
          <w:sz w:val="20"/>
        </w:rPr>
        <w:t>people</w:t>
      </w:r>
    </w:p>
    <w:p>
      <w:pPr>
        <w:pStyle w:val="ListParagraph"/>
        <w:numPr>
          <w:ilvl w:val="0"/>
          <w:numId w:val="1"/>
        </w:numPr>
        <w:tabs>
          <w:tab w:pos="905" w:val="left" w:leader="none"/>
        </w:tabs>
        <w:spacing w:line="362" w:lineRule="auto" w:before="97" w:after="0"/>
        <w:ind w:left="338" w:right="782" w:firstLine="228"/>
        <w:jc w:val="left"/>
        <w:rPr>
          <w:sz w:val="20"/>
        </w:rPr>
      </w:pPr>
      <w:r>
        <w:rPr>
          <w:sz w:val="20"/>
        </w:rPr>
        <w:t>effective</w:t>
      </w:r>
      <w:r>
        <w:rPr>
          <w:spacing w:val="-6"/>
          <w:sz w:val="20"/>
        </w:rPr>
        <w:t> </w:t>
      </w:r>
      <w:r>
        <w:rPr>
          <w:sz w:val="20"/>
        </w:rPr>
        <w:t>time</w:t>
      </w:r>
      <w:r>
        <w:rPr>
          <w:spacing w:val="-6"/>
          <w:sz w:val="20"/>
        </w:rPr>
        <w:t> </w:t>
      </w:r>
      <w:r>
        <w:rPr>
          <w:sz w:val="20"/>
        </w:rPr>
        <w:t>management</w:t>
      </w:r>
      <w:r>
        <w:rPr>
          <w:spacing w:val="-4"/>
          <w:sz w:val="20"/>
        </w:rPr>
        <w:t> </w:t>
      </w:r>
      <w:r>
        <w:rPr>
          <w:sz w:val="20"/>
        </w:rPr>
        <w:t>and</w:t>
      </w:r>
      <w:r>
        <w:rPr>
          <w:spacing w:val="-4"/>
          <w:sz w:val="20"/>
        </w:rPr>
        <w:t> </w:t>
      </w:r>
      <w:r>
        <w:rPr>
          <w:sz w:val="20"/>
        </w:rPr>
        <w:t>sufficient</w:t>
      </w:r>
      <w:r>
        <w:rPr>
          <w:spacing w:val="-4"/>
          <w:sz w:val="20"/>
        </w:rPr>
        <w:t> </w:t>
      </w:r>
      <w:r>
        <w:rPr>
          <w:sz w:val="20"/>
        </w:rPr>
        <w:t>time</w:t>
      </w:r>
      <w:r>
        <w:rPr>
          <w:spacing w:val="-3"/>
          <w:sz w:val="20"/>
        </w:rPr>
        <w:t> </w:t>
      </w:r>
      <w:r>
        <w:rPr>
          <w:sz w:val="20"/>
        </w:rPr>
        <w:t>and</w:t>
      </w:r>
      <w:r>
        <w:rPr>
          <w:spacing w:val="-4"/>
          <w:sz w:val="20"/>
        </w:rPr>
        <w:t> </w:t>
      </w:r>
      <w:r>
        <w:rPr>
          <w:sz w:val="20"/>
        </w:rPr>
        <w:t>flexibility</w:t>
      </w:r>
      <w:r>
        <w:rPr>
          <w:spacing w:val="-5"/>
          <w:sz w:val="20"/>
        </w:rPr>
        <w:t> </w:t>
      </w:r>
      <w:r>
        <w:rPr>
          <w:sz w:val="20"/>
        </w:rPr>
        <w:t>to</w:t>
      </w:r>
      <w:r>
        <w:rPr>
          <w:spacing w:val="-3"/>
          <w:sz w:val="20"/>
        </w:rPr>
        <w:t> </w:t>
      </w:r>
      <w:r>
        <w:rPr>
          <w:sz w:val="20"/>
        </w:rPr>
        <w:t>commit</w:t>
      </w:r>
      <w:r>
        <w:rPr>
          <w:spacing w:val="-3"/>
          <w:sz w:val="20"/>
        </w:rPr>
        <w:t> </w:t>
      </w:r>
      <w:r>
        <w:rPr>
          <w:sz w:val="20"/>
        </w:rPr>
        <w:t>to</w:t>
      </w:r>
      <w:r>
        <w:rPr>
          <w:spacing w:val="-6"/>
          <w:sz w:val="20"/>
        </w:rPr>
        <w:t> </w:t>
      </w:r>
      <w:r>
        <w:rPr>
          <w:sz w:val="20"/>
        </w:rPr>
        <w:t>the</w:t>
      </w:r>
      <w:r>
        <w:rPr>
          <w:spacing w:val="-4"/>
          <w:sz w:val="20"/>
        </w:rPr>
        <w:t> </w:t>
      </w:r>
      <w:r>
        <w:rPr>
          <w:sz w:val="20"/>
        </w:rPr>
        <w:t>role. For the registered social worker positions substantial, in-depth experience is required.</w:t>
      </w:r>
    </w:p>
    <w:p>
      <w:pPr>
        <w:pStyle w:val="Heading3"/>
        <w:spacing w:before="141"/>
      </w:pPr>
      <w:r>
        <w:rPr>
          <w:spacing w:val="-10"/>
        </w:rPr>
        <w:t>Workload</w:t>
      </w:r>
      <w:r>
        <w:rPr>
          <w:spacing w:val="-14"/>
        </w:rPr>
        <w:t> </w:t>
      </w:r>
      <w:r>
        <w:rPr>
          <w:spacing w:val="-10"/>
        </w:rPr>
        <w:t>and</w:t>
      </w:r>
      <w:r>
        <w:rPr>
          <w:spacing w:val="-14"/>
        </w:rPr>
        <w:t> </w:t>
      </w:r>
      <w:r>
        <w:rPr>
          <w:spacing w:val="-10"/>
        </w:rPr>
        <w:t>remuneration</w:t>
      </w:r>
    </w:p>
    <w:p>
      <w:pPr>
        <w:pStyle w:val="BodyText"/>
        <w:spacing w:line="264" w:lineRule="auto" w:before="153"/>
        <w:ind w:right="337"/>
        <w:jc w:val="both"/>
      </w:pPr>
      <w:r>
        <w:rPr/>
        <w:t>Members</w:t>
      </w:r>
      <w:r>
        <w:rPr>
          <w:spacing w:val="-15"/>
        </w:rPr>
        <w:t> </w:t>
      </w:r>
      <w:r>
        <w:rPr/>
        <w:t>are</w:t>
      </w:r>
      <w:r>
        <w:rPr>
          <w:spacing w:val="-16"/>
        </w:rPr>
        <w:t> </w:t>
      </w:r>
      <w:r>
        <w:rPr/>
        <w:t>expected</w:t>
      </w:r>
      <w:r>
        <w:rPr>
          <w:spacing w:val="-14"/>
        </w:rPr>
        <w:t> </w:t>
      </w:r>
      <w:r>
        <w:rPr/>
        <w:t>to</w:t>
      </w:r>
      <w:r>
        <w:rPr>
          <w:spacing w:val="-18"/>
        </w:rPr>
        <w:t> </w:t>
      </w:r>
      <w:r>
        <w:rPr/>
        <w:t>prioritise</w:t>
      </w:r>
      <w:r>
        <w:rPr>
          <w:spacing w:val="-17"/>
        </w:rPr>
        <w:t> </w:t>
      </w:r>
      <w:r>
        <w:rPr/>
        <w:t>their</w:t>
      </w:r>
      <w:r>
        <w:rPr>
          <w:spacing w:val="-15"/>
        </w:rPr>
        <w:t> </w:t>
      </w:r>
      <w:r>
        <w:rPr/>
        <w:t>commitment</w:t>
      </w:r>
      <w:r>
        <w:rPr>
          <w:spacing w:val="-16"/>
        </w:rPr>
        <w:t> </w:t>
      </w:r>
      <w:r>
        <w:rPr/>
        <w:t>to</w:t>
      </w:r>
      <w:r>
        <w:rPr>
          <w:spacing w:val="-18"/>
        </w:rPr>
        <w:t> </w:t>
      </w:r>
      <w:r>
        <w:rPr/>
        <w:t>the</w:t>
      </w:r>
      <w:r>
        <w:rPr>
          <w:spacing w:val="-15"/>
        </w:rPr>
        <w:t> </w:t>
      </w:r>
      <w:r>
        <w:rPr/>
        <w:t>Tribunal</w:t>
      </w:r>
      <w:r>
        <w:rPr>
          <w:spacing w:val="-12"/>
        </w:rPr>
        <w:t> </w:t>
      </w:r>
      <w:r>
        <w:rPr/>
        <w:t>and</w:t>
      </w:r>
      <w:r>
        <w:rPr>
          <w:spacing w:val="-17"/>
        </w:rPr>
        <w:t> </w:t>
      </w:r>
      <w:r>
        <w:rPr/>
        <w:t>are</w:t>
      </w:r>
      <w:r>
        <w:rPr>
          <w:spacing w:val="-16"/>
        </w:rPr>
        <w:t> </w:t>
      </w:r>
      <w:r>
        <w:rPr/>
        <w:t>required</w:t>
      </w:r>
      <w:r>
        <w:rPr>
          <w:spacing w:val="-14"/>
        </w:rPr>
        <w:t> </w:t>
      </w:r>
      <w:r>
        <w:rPr/>
        <w:t>to</w:t>
      </w:r>
      <w:r>
        <w:rPr>
          <w:spacing w:val="-18"/>
        </w:rPr>
        <w:t> </w:t>
      </w:r>
      <w:r>
        <w:rPr/>
        <w:t>make themselves available to hear and consider at least half of the hearings they are asked to participate</w:t>
      </w:r>
      <w:r>
        <w:rPr>
          <w:spacing w:val="-18"/>
        </w:rPr>
        <w:t> </w:t>
      </w:r>
      <w:r>
        <w:rPr/>
        <w:t>in.</w:t>
      </w:r>
      <w:r>
        <w:rPr>
          <w:spacing w:val="-18"/>
        </w:rPr>
        <w:t> </w:t>
      </w:r>
      <w:r>
        <w:rPr/>
        <w:t>The</w:t>
      </w:r>
      <w:r>
        <w:rPr>
          <w:spacing w:val="-16"/>
        </w:rPr>
        <w:t> </w:t>
      </w:r>
      <w:r>
        <w:rPr/>
        <w:t>Tribunal’s</w:t>
      </w:r>
      <w:r>
        <w:rPr>
          <w:spacing w:val="-18"/>
        </w:rPr>
        <w:t> </w:t>
      </w:r>
      <w:r>
        <w:rPr/>
        <w:t>caseload</w:t>
      </w:r>
      <w:r>
        <w:rPr>
          <w:spacing w:val="-14"/>
        </w:rPr>
        <w:t> </w:t>
      </w:r>
      <w:r>
        <w:rPr/>
        <w:t>can</w:t>
      </w:r>
      <w:r>
        <w:rPr>
          <w:spacing w:val="-17"/>
        </w:rPr>
        <w:t> </w:t>
      </w:r>
      <w:r>
        <w:rPr/>
        <w:t>be</w:t>
      </w:r>
      <w:r>
        <w:rPr>
          <w:spacing w:val="-17"/>
        </w:rPr>
        <w:t> </w:t>
      </w:r>
      <w:r>
        <w:rPr/>
        <w:t>highly</w:t>
      </w:r>
      <w:r>
        <w:rPr>
          <w:spacing w:val="-18"/>
        </w:rPr>
        <w:t> </w:t>
      </w:r>
      <w:r>
        <w:rPr/>
        <w:t>variable,</w:t>
      </w:r>
      <w:r>
        <w:rPr>
          <w:spacing w:val="-16"/>
        </w:rPr>
        <w:t> </w:t>
      </w:r>
      <w:r>
        <w:rPr/>
        <w:t>on</w:t>
      </w:r>
      <w:r>
        <w:rPr>
          <w:spacing w:val="-14"/>
        </w:rPr>
        <w:t> </w:t>
      </w:r>
      <w:r>
        <w:rPr/>
        <w:t>average</w:t>
      </w:r>
      <w:r>
        <w:rPr>
          <w:spacing w:val="-16"/>
        </w:rPr>
        <w:t> </w:t>
      </w:r>
      <w:r>
        <w:rPr/>
        <w:t>two</w:t>
      </w:r>
      <w:r>
        <w:rPr>
          <w:spacing w:val="-18"/>
        </w:rPr>
        <w:t> </w:t>
      </w:r>
      <w:r>
        <w:rPr/>
        <w:t>to</w:t>
      </w:r>
      <w:r>
        <w:rPr>
          <w:spacing w:val="-18"/>
        </w:rPr>
        <w:t> </w:t>
      </w:r>
      <w:r>
        <w:rPr/>
        <w:t>three</w:t>
      </w:r>
      <w:r>
        <w:rPr>
          <w:spacing w:val="-17"/>
        </w:rPr>
        <w:t> </w:t>
      </w:r>
      <w:r>
        <w:rPr/>
        <w:t>hearings are currently held each year.</w:t>
      </w:r>
    </w:p>
    <w:p>
      <w:pPr>
        <w:pStyle w:val="BodyText"/>
        <w:spacing w:line="264" w:lineRule="auto" w:before="181"/>
        <w:ind w:right="334"/>
        <w:jc w:val="both"/>
      </w:pPr>
      <w:r>
        <w:rPr/>
        <w:t>Members</w:t>
      </w:r>
      <w:r>
        <w:rPr>
          <w:spacing w:val="-10"/>
        </w:rPr>
        <w:t> </w:t>
      </w:r>
      <w:r>
        <w:rPr/>
        <w:t>are</w:t>
      </w:r>
      <w:r>
        <w:rPr>
          <w:spacing w:val="-10"/>
        </w:rPr>
        <w:t> </w:t>
      </w:r>
      <w:r>
        <w:rPr/>
        <w:t>required</w:t>
      </w:r>
      <w:r>
        <w:rPr>
          <w:spacing w:val="-8"/>
        </w:rPr>
        <w:t> </w:t>
      </w:r>
      <w:r>
        <w:rPr/>
        <w:t>to</w:t>
      </w:r>
      <w:r>
        <w:rPr>
          <w:spacing w:val="-10"/>
        </w:rPr>
        <w:t> </w:t>
      </w:r>
      <w:r>
        <w:rPr/>
        <w:t>review</w:t>
      </w:r>
      <w:r>
        <w:rPr>
          <w:spacing w:val="-9"/>
        </w:rPr>
        <w:t> </w:t>
      </w:r>
      <w:r>
        <w:rPr/>
        <w:t>all</w:t>
      </w:r>
      <w:r>
        <w:rPr>
          <w:spacing w:val="-9"/>
        </w:rPr>
        <w:t> </w:t>
      </w:r>
      <w:r>
        <w:rPr/>
        <w:t>material</w:t>
      </w:r>
      <w:r>
        <w:rPr>
          <w:spacing w:val="-8"/>
        </w:rPr>
        <w:t> </w:t>
      </w:r>
      <w:r>
        <w:rPr/>
        <w:t>provided</w:t>
      </w:r>
      <w:r>
        <w:rPr>
          <w:spacing w:val="-8"/>
        </w:rPr>
        <w:t> </w:t>
      </w:r>
      <w:r>
        <w:rPr/>
        <w:t>to</w:t>
      </w:r>
      <w:r>
        <w:rPr>
          <w:spacing w:val="-10"/>
        </w:rPr>
        <w:t> </w:t>
      </w:r>
      <w:r>
        <w:rPr/>
        <w:t>them</w:t>
      </w:r>
      <w:r>
        <w:rPr>
          <w:spacing w:val="-8"/>
        </w:rPr>
        <w:t> </w:t>
      </w:r>
      <w:r>
        <w:rPr/>
        <w:t>before</w:t>
      </w:r>
      <w:r>
        <w:rPr>
          <w:spacing w:val="-10"/>
        </w:rPr>
        <w:t> </w:t>
      </w:r>
      <w:r>
        <w:rPr/>
        <w:t>each</w:t>
      </w:r>
      <w:r>
        <w:rPr>
          <w:spacing w:val="-8"/>
        </w:rPr>
        <w:t> </w:t>
      </w:r>
      <w:r>
        <w:rPr/>
        <w:t>hearing,</w:t>
      </w:r>
      <w:r>
        <w:rPr>
          <w:spacing w:val="-9"/>
        </w:rPr>
        <w:t> </w:t>
      </w:r>
      <w:r>
        <w:rPr/>
        <w:t>attend</w:t>
      </w:r>
      <w:r>
        <w:rPr>
          <w:spacing w:val="-8"/>
        </w:rPr>
        <w:t> </w:t>
      </w:r>
      <w:r>
        <w:rPr/>
        <w:t>the hearing and review draft decisions.</w:t>
      </w:r>
    </w:p>
    <w:p>
      <w:pPr>
        <w:pStyle w:val="BodyText"/>
        <w:spacing w:line="264" w:lineRule="auto" w:before="180"/>
        <w:ind w:right="334"/>
        <w:jc w:val="both"/>
      </w:pPr>
      <w:r>
        <w:rPr/>
        <w:t>Members are only paid for the hearings they take part in. The fee is set under the Cabinet Fees</w:t>
      </w:r>
      <w:r>
        <w:rPr>
          <w:spacing w:val="-2"/>
        </w:rPr>
        <w:t> </w:t>
      </w:r>
      <w:r>
        <w:rPr/>
        <w:t>Framework.</w:t>
      </w:r>
      <w:r>
        <w:rPr>
          <w:spacing w:val="-1"/>
        </w:rPr>
        <w:t> </w:t>
      </w:r>
      <w:r>
        <w:rPr/>
        <w:t>The</w:t>
      </w:r>
      <w:r>
        <w:rPr>
          <w:spacing w:val="-1"/>
        </w:rPr>
        <w:t> </w:t>
      </w:r>
      <w:r>
        <w:rPr/>
        <w:t>current</w:t>
      </w:r>
      <w:r>
        <w:rPr>
          <w:spacing w:val="-2"/>
        </w:rPr>
        <w:t> </w:t>
      </w:r>
      <w:r>
        <w:rPr/>
        <w:t>fee</w:t>
      </w:r>
      <w:r>
        <w:rPr>
          <w:spacing w:val="-1"/>
        </w:rPr>
        <w:t> </w:t>
      </w:r>
      <w:r>
        <w:rPr/>
        <w:t>for</w:t>
      </w:r>
      <w:r>
        <w:rPr>
          <w:spacing w:val="-3"/>
        </w:rPr>
        <w:t> </w:t>
      </w:r>
      <w:r>
        <w:rPr/>
        <w:t>work</w:t>
      </w:r>
      <w:r>
        <w:rPr>
          <w:spacing w:val="-2"/>
        </w:rPr>
        <w:t> </w:t>
      </w:r>
      <w:r>
        <w:rPr/>
        <w:t>undertaken</w:t>
      </w:r>
      <w:r>
        <w:rPr>
          <w:spacing w:val="-1"/>
        </w:rPr>
        <w:t> </w:t>
      </w:r>
      <w:r>
        <w:rPr/>
        <w:t>by members</w:t>
      </w:r>
      <w:r>
        <w:rPr>
          <w:spacing w:val="-2"/>
        </w:rPr>
        <w:t> </w:t>
      </w:r>
      <w:r>
        <w:rPr/>
        <w:t>is $450 per</w:t>
      </w:r>
      <w:r>
        <w:rPr>
          <w:spacing w:val="-1"/>
        </w:rPr>
        <w:t> </w:t>
      </w:r>
      <w:r>
        <w:rPr/>
        <w:t>day. A</w:t>
      </w:r>
      <w:r>
        <w:rPr>
          <w:spacing w:val="-1"/>
        </w:rPr>
        <w:t> </w:t>
      </w:r>
      <w:r>
        <w:rPr/>
        <w:t>public sector employee</w:t>
      </w:r>
      <w:r>
        <w:rPr>
          <w:spacing w:val="-2"/>
        </w:rPr>
        <w:t> </w:t>
      </w:r>
      <w:r>
        <w:rPr/>
        <w:t>who</w:t>
      </w:r>
      <w:r>
        <w:rPr>
          <w:spacing w:val="-2"/>
        </w:rPr>
        <w:t> </w:t>
      </w:r>
      <w:r>
        <w:rPr/>
        <w:t>is appointed</w:t>
      </w:r>
      <w:r>
        <w:rPr>
          <w:spacing w:val="-1"/>
        </w:rPr>
        <w:t> </w:t>
      </w:r>
      <w:r>
        <w:rPr/>
        <w:t>to the Tribunal will</w:t>
      </w:r>
      <w:r>
        <w:rPr>
          <w:spacing w:val="-1"/>
        </w:rPr>
        <w:t> </w:t>
      </w:r>
      <w:r>
        <w:rPr/>
        <w:t>not</w:t>
      </w:r>
      <w:r>
        <w:rPr>
          <w:spacing w:val="-1"/>
        </w:rPr>
        <w:t> </w:t>
      </w:r>
      <w:r>
        <w:rPr/>
        <w:t>be double paid</w:t>
      </w:r>
      <w:r>
        <w:rPr>
          <w:spacing w:val="-1"/>
        </w:rPr>
        <w:t> </w:t>
      </w:r>
      <w:r>
        <w:rPr/>
        <w:t>for</w:t>
      </w:r>
      <w:r>
        <w:rPr>
          <w:spacing w:val="-2"/>
        </w:rPr>
        <w:t> </w:t>
      </w:r>
      <w:r>
        <w:rPr/>
        <w:t>their job — as</w:t>
      </w:r>
      <w:r>
        <w:rPr>
          <w:spacing w:val="-1"/>
        </w:rPr>
        <w:t> </w:t>
      </w:r>
      <w:r>
        <w:rPr/>
        <w:t>a Tribunal member and as a public sector employee.</w:t>
      </w:r>
    </w:p>
    <w:p>
      <w:pPr>
        <w:pStyle w:val="BodyText"/>
        <w:spacing w:line="266" w:lineRule="auto" w:before="179"/>
        <w:ind w:right="344"/>
        <w:jc w:val="both"/>
      </w:pPr>
      <w:r>
        <w:rPr/>
        <w:t>Remuneration</w:t>
      </w:r>
      <w:r>
        <w:rPr>
          <w:spacing w:val="-18"/>
        </w:rPr>
        <w:t> </w:t>
      </w:r>
      <w:r>
        <w:rPr/>
        <w:t>is</w:t>
      </w:r>
      <w:r>
        <w:rPr>
          <w:spacing w:val="-18"/>
        </w:rPr>
        <w:t> </w:t>
      </w:r>
      <w:r>
        <w:rPr/>
        <w:t>being</w:t>
      </w:r>
      <w:r>
        <w:rPr>
          <w:spacing w:val="-17"/>
        </w:rPr>
        <w:t> </w:t>
      </w:r>
      <w:r>
        <w:rPr/>
        <w:t>reviewed</w:t>
      </w:r>
      <w:r>
        <w:rPr>
          <w:spacing w:val="-18"/>
        </w:rPr>
        <w:t> </w:t>
      </w:r>
      <w:r>
        <w:rPr/>
        <w:t>in</w:t>
      </w:r>
      <w:r>
        <w:rPr>
          <w:spacing w:val="-17"/>
        </w:rPr>
        <w:t> </w:t>
      </w:r>
      <w:r>
        <w:rPr/>
        <w:t>2026</w:t>
      </w:r>
      <w:r>
        <w:rPr>
          <w:spacing w:val="-18"/>
        </w:rPr>
        <w:t> </w:t>
      </w:r>
      <w:r>
        <w:rPr/>
        <w:t>in</w:t>
      </w:r>
      <w:r>
        <w:rPr>
          <w:spacing w:val="-18"/>
        </w:rPr>
        <w:t> </w:t>
      </w:r>
      <w:r>
        <w:rPr/>
        <w:t>line</w:t>
      </w:r>
      <w:r>
        <w:rPr>
          <w:spacing w:val="-17"/>
        </w:rPr>
        <w:t> </w:t>
      </w:r>
      <w:r>
        <w:rPr/>
        <w:t>with</w:t>
      </w:r>
      <w:r>
        <w:rPr>
          <w:spacing w:val="-18"/>
        </w:rPr>
        <w:t> </w:t>
      </w:r>
      <w:r>
        <w:rPr/>
        <w:t>changes</w:t>
      </w:r>
      <w:r>
        <w:rPr>
          <w:spacing w:val="-17"/>
        </w:rPr>
        <w:t> </w:t>
      </w:r>
      <w:r>
        <w:rPr/>
        <w:t>made</w:t>
      </w:r>
      <w:r>
        <w:rPr>
          <w:spacing w:val="-18"/>
        </w:rPr>
        <w:t> </w:t>
      </w:r>
      <w:r>
        <w:rPr/>
        <w:t>last</w:t>
      </w:r>
      <w:r>
        <w:rPr>
          <w:spacing w:val="-17"/>
        </w:rPr>
        <w:t> </w:t>
      </w:r>
      <w:r>
        <w:rPr/>
        <w:t>year</w:t>
      </w:r>
      <w:r>
        <w:rPr>
          <w:spacing w:val="-18"/>
        </w:rPr>
        <w:t> </w:t>
      </w:r>
      <w:r>
        <w:rPr/>
        <w:t>to</w:t>
      </w:r>
      <w:r>
        <w:rPr>
          <w:spacing w:val="-18"/>
        </w:rPr>
        <w:t> </w:t>
      </w:r>
      <w:r>
        <w:rPr/>
        <w:t>the</w:t>
      </w:r>
      <w:r>
        <w:rPr>
          <w:spacing w:val="-17"/>
        </w:rPr>
        <w:t> </w:t>
      </w:r>
      <w:r>
        <w:rPr/>
        <w:t>Framework, however, any adjustment to fees is not automatic.</w:t>
      </w:r>
    </w:p>
    <w:p>
      <w:pPr>
        <w:pStyle w:val="BodyText"/>
        <w:spacing w:before="176"/>
        <w:jc w:val="both"/>
      </w:pPr>
      <w:r>
        <w:rPr/>
        <w:t>Actual</w:t>
      </w:r>
      <w:r>
        <w:rPr>
          <w:spacing w:val="-9"/>
        </w:rPr>
        <w:t> </w:t>
      </w:r>
      <w:r>
        <w:rPr/>
        <w:t>and</w:t>
      </w:r>
      <w:r>
        <w:rPr>
          <w:spacing w:val="-9"/>
        </w:rPr>
        <w:t> </w:t>
      </w:r>
      <w:r>
        <w:rPr/>
        <w:t>reasonable</w:t>
      </w:r>
      <w:r>
        <w:rPr>
          <w:spacing w:val="-8"/>
        </w:rPr>
        <w:t> </w:t>
      </w:r>
      <w:r>
        <w:rPr/>
        <w:t>expenses</w:t>
      </w:r>
      <w:r>
        <w:rPr>
          <w:spacing w:val="-6"/>
        </w:rPr>
        <w:t> </w:t>
      </w:r>
      <w:r>
        <w:rPr/>
        <w:t>may</w:t>
      </w:r>
      <w:r>
        <w:rPr>
          <w:spacing w:val="-10"/>
        </w:rPr>
        <w:t> </w:t>
      </w:r>
      <w:r>
        <w:rPr/>
        <w:t>be</w:t>
      </w:r>
      <w:r>
        <w:rPr>
          <w:spacing w:val="-8"/>
        </w:rPr>
        <w:t> </w:t>
      </w:r>
      <w:r>
        <w:rPr/>
        <w:t>claimed</w:t>
      </w:r>
      <w:r>
        <w:rPr>
          <w:spacing w:val="-9"/>
        </w:rPr>
        <w:t> </w:t>
      </w:r>
      <w:r>
        <w:rPr/>
        <w:t>for</w:t>
      </w:r>
      <w:r>
        <w:rPr>
          <w:spacing w:val="-10"/>
        </w:rPr>
        <w:t> </w:t>
      </w:r>
      <w:r>
        <w:rPr/>
        <w:t>costs</w:t>
      </w:r>
      <w:r>
        <w:rPr>
          <w:spacing w:val="-8"/>
        </w:rPr>
        <w:t> </w:t>
      </w:r>
      <w:r>
        <w:rPr/>
        <w:t>associated</w:t>
      </w:r>
      <w:r>
        <w:rPr>
          <w:spacing w:val="-9"/>
        </w:rPr>
        <w:t> </w:t>
      </w:r>
      <w:r>
        <w:rPr/>
        <w:t>with</w:t>
      </w:r>
      <w:r>
        <w:rPr>
          <w:spacing w:val="-8"/>
        </w:rPr>
        <w:t> </w:t>
      </w:r>
      <w:r>
        <w:rPr/>
        <w:t>travel</w:t>
      </w:r>
      <w:r>
        <w:rPr>
          <w:spacing w:val="-6"/>
        </w:rPr>
        <w:t> </w:t>
      </w:r>
      <w:r>
        <w:rPr/>
        <w:t>for</w:t>
      </w:r>
      <w:r>
        <w:rPr>
          <w:spacing w:val="-10"/>
        </w:rPr>
        <w:t> </w:t>
      </w:r>
      <w:r>
        <w:rPr>
          <w:spacing w:val="-2"/>
        </w:rPr>
        <w:t>hearings.</w:t>
      </w:r>
    </w:p>
    <w:p>
      <w:pPr>
        <w:pStyle w:val="BodyText"/>
        <w:spacing w:before="21"/>
        <w:ind w:left="0"/>
      </w:pPr>
    </w:p>
    <w:p>
      <w:pPr>
        <w:pStyle w:val="Heading3"/>
      </w:pPr>
      <w:r>
        <w:rPr>
          <w:spacing w:val="-6"/>
        </w:rPr>
        <w:t>Conflict</w:t>
      </w:r>
      <w:r>
        <w:rPr>
          <w:spacing w:val="-15"/>
        </w:rPr>
        <w:t> </w:t>
      </w:r>
      <w:r>
        <w:rPr>
          <w:spacing w:val="-6"/>
        </w:rPr>
        <w:t>of</w:t>
      </w:r>
      <w:r>
        <w:rPr>
          <w:spacing w:val="-15"/>
        </w:rPr>
        <w:t> </w:t>
      </w:r>
      <w:r>
        <w:rPr>
          <w:spacing w:val="-6"/>
        </w:rPr>
        <w:t>interests</w:t>
      </w:r>
    </w:p>
    <w:p>
      <w:pPr>
        <w:pStyle w:val="BodyText"/>
        <w:spacing w:line="264" w:lineRule="auto" w:before="214"/>
        <w:ind w:right="343"/>
        <w:jc w:val="both"/>
      </w:pPr>
      <w:r>
        <w:rPr/>
        <w:t>The</w:t>
      </w:r>
      <w:r>
        <w:rPr>
          <w:spacing w:val="-15"/>
        </w:rPr>
        <w:t> </w:t>
      </w:r>
      <w:r>
        <w:rPr/>
        <w:t>Tribunal</w:t>
      </w:r>
      <w:r>
        <w:rPr>
          <w:spacing w:val="-12"/>
        </w:rPr>
        <w:t> </w:t>
      </w:r>
      <w:r>
        <w:rPr/>
        <w:t>has</w:t>
      </w:r>
      <w:r>
        <w:rPr>
          <w:spacing w:val="-14"/>
        </w:rPr>
        <w:t> </w:t>
      </w:r>
      <w:r>
        <w:rPr/>
        <w:t>processes</w:t>
      </w:r>
      <w:r>
        <w:rPr>
          <w:spacing w:val="-12"/>
        </w:rPr>
        <w:t> </w:t>
      </w:r>
      <w:r>
        <w:rPr/>
        <w:t>in</w:t>
      </w:r>
      <w:r>
        <w:rPr>
          <w:spacing w:val="-13"/>
        </w:rPr>
        <w:t> </w:t>
      </w:r>
      <w:r>
        <w:rPr/>
        <w:t>place</w:t>
      </w:r>
      <w:r>
        <w:rPr>
          <w:spacing w:val="-15"/>
        </w:rPr>
        <w:t> </w:t>
      </w:r>
      <w:r>
        <w:rPr/>
        <w:t>to</w:t>
      </w:r>
      <w:r>
        <w:rPr>
          <w:spacing w:val="-13"/>
        </w:rPr>
        <w:t> </w:t>
      </w:r>
      <w:r>
        <w:rPr/>
        <w:t>ensure</w:t>
      </w:r>
      <w:r>
        <w:rPr>
          <w:spacing w:val="-15"/>
        </w:rPr>
        <w:t> </w:t>
      </w:r>
      <w:r>
        <w:rPr/>
        <w:t>that</w:t>
      </w:r>
      <w:r>
        <w:rPr>
          <w:spacing w:val="-13"/>
        </w:rPr>
        <w:t> </w:t>
      </w:r>
      <w:r>
        <w:rPr/>
        <w:t>any</w:t>
      </w:r>
      <w:r>
        <w:rPr>
          <w:spacing w:val="-14"/>
        </w:rPr>
        <w:t> </w:t>
      </w:r>
      <w:r>
        <w:rPr/>
        <w:t>potential</w:t>
      </w:r>
      <w:r>
        <w:rPr>
          <w:spacing w:val="-13"/>
        </w:rPr>
        <w:t> </w:t>
      </w:r>
      <w:r>
        <w:rPr/>
        <w:t>conflicts</w:t>
      </w:r>
      <w:r>
        <w:rPr>
          <w:spacing w:val="-12"/>
        </w:rPr>
        <w:t> </w:t>
      </w:r>
      <w:r>
        <w:rPr/>
        <w:t>of</w:t>
      </w:r>
      <w:r>
        <w:rPr>
          <w:spacing w:val="-12"/>
        </w:rPr>
        <w:t> </w:t>
      </w:r>
      <w:r>
        <w:rPr/>
        <w:t>interest</w:t>
      </w:r>
      <w:r>
        <w:rPr>
          <w:spacing w:val="-11"/>
        </w:rPr>
        <w:t> </w:t>
      </w:r>
      <w:r>
        <w:rPr/>
        <w:t>a</w:t>
      </w:r>
      <w:r>
        <w:rPr>
          <w:spacing w:val="-13"/>
        </w:rPr>
        <w:t> </w:t>
      </w:r>
      <w:r>
        <w:rPr/>
        <w:t>member has are acknowledged when they are appointed and appropriately managed throughout the member’s term.</w:t>
      </w:r>
    </w:p>
    <w:p>
      <w:pPr>
        <w:pStyle w:val="BodyText"/>
        <w:spacing w:after="0" w:line="264" w:lineRule="auto"/>
        <w:jc w:val="both"/>
        <w:sectPr>
          <w:footerReference w:type="default" r:id="rId7"/>
          <w:pgSz w:w="12240" w:h="15840"/>
          <w:pgMar w:header="0" w:footer="644" w:top="1340" w:bottom="840" w:left="1080" w:right="1080"/>
          <w:pgNumType w:start="2"/>
        </w:sectPr>
      </w:pPr>
    </w:p>
    <w:p>
      <w:pPr>
        <w:pStyle w:val="Heading3"/>
        <w:spacing w:before="80"/>
        <w:jc w:val="both"/>
      </w:pPr>
      <w:r>
        <w:rPr>
          <w:spacing w:val="-10"/>
        </w:rPr>
        <w:t>Information</w:t>
      </w:r>
      <w:r>
        <w:rPr>
          <w:spacing w:val="-6"/>
        </w:rPr>
        <w:t> </w:t>
      </w:r>
      <w:r>
        <w:rPr>
          <w:spacing w:val="-10"/>
        </w:rPr>
        <w:t>collected</w:t>
      </w:r>
      <w:r>
        <w:rPr>
          <w:spacing w:val="-5"/>
        </w:rPr>
        <w:t> </w:t>
      </w:r>
      <w:r>
        <w:rPr>
          <w:spacing w:val="-10"/>
        </w:rPr>
        <w:t>on</w:t>
      </w:r>
      <w:r>
        <w:rPr>
          <w:spacing w:val="-3"/>
        </w:rPr>
        <w:t> </w:t>
      </w:r>
      <w:r>
        <w:rPr>
          <w:spacing w:val="-10"/>
        </w:rPr>
        <w:t>Tribunal</w:t>
      </w:r>
      <w:r>
        <w:rPr>
          <w:spacing w:val="-6"/>
        </w:rPr>
        <w:t> </w:t>
      </w:r>
      <w:r>
        <w:rPr>
          <w:spacing w:val="-10"/>
        </w:rPr>
        <w:t>members</w:t>
      </w:r>
    </w:p>
    <w:p>
      <w:pPr>
        <w:pStyle w:val="BodyText"/>
        <w:spacing w:line="264" w:lineRule="auto" w:before="213"/>
        <w:ind w:right="334"/>
        <w:jc w:val="both"/>
      </w:pPr>
      <w:r>
        <w:rPr/>
        <w:t>Information on those appointed to the Tribunal is collected and securely held by the Public Service Commission in a specialist system, ‘AppointNet’. For more details, please see the AppointNet privacy statement at </w:t>
      </w:r>
      <w:hyperlink r:id="rId8">
        <w:r>
          <w:rPr>
            <w:color w:val="0000FF"/>
            <w:u w:val="single" w:color="0000FF"/>
          </w:rPr>
          <w:t>http://www.publicservice.govt.nz/system/crown-</w:t>
        </w:r>
      </w:hyperlink>
      <w:hyperlink r:id="rId8">
        <w:r>
          <w:rPr>
            <w:color w:val="0000FF"/>
            <w:spacing w:val="-2"/>
            <w:u w:val="single" w:color="0000FF"/>
          </w:rPr>
          <w:t>entities/crown-entity-resource-centre/appointnet-privacy-protocol</w:t>
        </w:r>
      </w:hyperlink>
    </w:p>
    <w:sectPr>
      <w:pgSz w:w="12240" w:h="15840"/>
      <w:pgMar w:header="0" w:footer="644" w:top="1340" w:bottom="8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pPr>
    <w:r>
      <w:rPr/>
      <mc:AlternateContent>
        <mc:Choice Requires="wps">
          <w:drawing>
            <wp:anchor distT="0" distB="0" distL="0" distR="0" allowOverlap="1" layoutInCell="1" locked="0" behindDoc="1" simplePos="0" relativeHeight="487536128">
              <wp:simplePos x="0" y="0"/>
              <wp:positionH relativeFrom="page">
                <wp:posOffset>882700</wp:posOffset>
              </wp:positionH>
              <wp:positionV relativeFrom="page">
                <wp:posOffset>9471659</wp:posOffset>
              </wp:positionV>
              <wp:extent cx="600900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009005" cy="6350"/>
                      </a:xfrm>
                      <a:custGeom>
                        <a:avLst/>
                        <a:gdLst/>
                        <a:ahLst/>
                        <a:cxnLst/>
                        <a:rect l="l" t="t" r="r" b="b"/>
                        <a:pathLst>
                          <a:path w="6009005" h="6350">
                            <a:moveTo>
                              <a:pt x="6008878" y="0"/>
                            </a:moveTo>
                            <a:lnTo>
                              <a:pt x="0" y="0"/>
                            </a:lnTo>
                            <a:lnTo>
                              <a:pt x="0" y="6096"/>
                            </a:lnTo>
                            <a:lnTo>
                              <a:pt x="6008878" y="6096"/>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745.799988pt;width:473.14pt;height:.48004pt;mso-position-horizontal-relative:page;mso-position-vertical-relative:page;z-index:-15780352"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36640">
              <wp:simplePos x="0" y="0"/>
              <wp:positionH relativeFrom="page">
                <wp:posOffset>6277102</wp:posOffset>
              </wp:positionH>
              <wp:positionV relativeFrom="page">
                <wp:posOffset>9476633</wp:posOffset>
              </wp:positionV>
              <wp:extent cx="16192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1925" cy="164465"/>
                      </a:xfrm>
                      <a:prstGeom prst="rect">
                        <a:avLst/>
                      </a:prstGeom>
                    </wps:spPr>
                    <wps:txbx>
                      <w:txbxContent>
                        <w:p>
                          <w:pPr>
                            <w:spacing w:before="2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26001pt;margin-top:746.19165pt;width:12.75pt;height:12.95pt;mso-position-horizontal-relative:page;mso-position-vertical-relative:page;z-index:-15779840" type="#_x0000_t202" id="docshape6" filled="false" stroked="false">
              <v:textbox inset="0,0,0,0">
                <w:txbxContent>
                  <w:p>
                    <w:pPr>
                      <w:spacing w:before="2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37152">
              <wp:simplePos x="0" y="0"/>
              <wp:positionH relativeFrom="page">
                <wp:posOffset>888288</wp:posOffset>
              </wp:positionH>
              <wp:positionV relativeFrom="page">
                <wp:posOffset>9488891</wp:posOffset>
              </wp:positionV>
              <wp:extent cx="3762375" cy="1498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762375" cy="149860"/>
                      </a:xfrm>
                      <a:prstGeom prst="rect">
                        <a:avLst/>
                      </a:prstGeom>
                    </wps:spPr>
                    <wps:txbx>
                      <w:txbxContent>
                        <w:p>
                          <w:pPr>
                            <w:spacing w:before="21"/>
                            <w:ind w:left="20" w:right="0" w:firstLine="0"/>
                            <w:jc w:val="left"/>
                            <w:rPr>
                              <w:sz w:val="16"/>
                            </w:rPr>
                          </w:pPr>
                          <w:r>
                            <w:rPr>
                              <w:sz w:val="16"/>
                            </w:rPr>
                            <w:t>Social</w:t>
                          </w:r>
                          <w:r>
                            <w:rPr>
                              <w:spacing w:val="-7"/>
                              <w:sz w:val="16"/>
                            </w:rPr>
                            <w:t> </w:t>
                          </w:r>
                          <w:r>
                            <w:rPr>
                              <w:sz w:val="16"/>
                            </w:rPr>
                            <w:t>Workers</w:t>
                          </w:r>
                          <w:r>
                            <w:rPr>
                              <w:spacing w:val="-7"/>
                              <w:sz w:val="16"/>
                            </w:rPr>
                            <w:t> </w:t>
                          </w:r>
                          <w:r>
                            <w:rPr>
                              <w:sz w:val="16"/>
                            </w:rPr>
                            <w:t>Disciplinary</w:t>
                          </w:r>
                          <w:r>
                            <w:rPr>
                              <w:spacing w:val="-5"/>
                              <w:sz w:val="16"/>
                            </w:rPr>
                            <w:t> </w:t>
                          </w:r>
                          <w:r>
                            <w:rPr>
                              <w:sz w:val="16"/>
                            </w:rPr>
                            <w:t>Tribunal</w:t>
                          </w:r>
                          <w:r>
                            <w:rPr>
                              <w:spacing w:val="-5"/>
                              <w:sz w:val="16"/>
                            </w:rPr>
                            <w:t> </w:t>
                          </w:r>
                          <w:r>
                            <w:rPr>
                              <w:sz w:val="16"/>
                            </w:rPr>
                            <w:t>|</w:t>
                          </w:r>
                          <w:r>
                            <w:rPr>
                              <w:spacing w:val="-6"/>
                              <w:sz w:val="16"/>
                            </w:rPr>
                            <w:t> </w:t>
                          </w:r>
                          <w:r>
                            <w:rPr>
                              <w:sz w:val="16"/>
                            </w:rPr>
                            <w:t>Member</w:t>
                          </w:r>
                          <w:r>
                            <w:rPr>
                              <w:spacing w:val="-6"/>
                              <w:sz w:val="16"/>
                            </w:rPr>
                            <w:t> </w:t>
                          </w:r>
                          <w:r>
                            <w:rPr>
                              <w:sz w:val="16"/>
                            </w:rPr>
                            <w:t>Position</w:t>
                          </w:r>
                          <w:r>
                            <w:rPr>
                              <w:spacing w:val="-8"/>
                              <w:sz w:val="16"/>
                            </w:rPr>
                            <w:t> </w:t>
                          </w:r>
                          <w:r>
                            <w:rPr>
                              <w:sz w:val="16"/>
                            </w:rPr>
                            <w:t>Description,</w:t>
                          </w:r>
                          <w:r>
                            <w:rPr>
                              <w:spacing w:val="-6"/>
                              <w:sz w:val="16"/>
                            </w:rPr>
                            <w:t> </w:t>
                          </w:r>
                          <w:r>
                            <w:rPr>
                              <w:spacing w:val="-4"/>
                              <w:sz w:val="16"/>
                            </w:rPr>
                            <w:t>2026</w:t>
                          </w:r>
                        </w:p>
                      </w:txbxContent>
                    </wps:txbx>
                    <wps:bodyPr wrap="square" lIns="0" tIns="0" rIns="0" bIns="0" rtlCol="0">
                      <a:noAutofit/>
                    </wps:bodyPr>
                  </wps:wsp>
                </a:graphicData>
              </a:graphic>
            </wp:anchor>
          </w:drawing>
        </mc:Choice>
        <mc:Fallback>
          <w:pict>
            <v:shape style="position:absolute;margin-left:69.944pt;margin-top:747.156799pt;width:296.25pt;height:11.8pt;mso-position-horizontal-relative:page;mso-position-vertical-relative:page;z-index:-15779328" type="#_x0000_t202" id="docshape7" filled="false" stroked="false">
              <v:textbox inset="0,0,0,0">
                <w:txbxContent>
                  <w:p>
                    <w:pPr>
                      <w:spacing w:before="21"/>
                      <w:ind w:left="20" w:right="0" w:firstLine="0"/>
                      <w:jc w:val="left"/>
                      <w:rPr>
                        <w:sz w:val="16"/>
                      </w:rPr>
                    </w:pPr>
                    <w:r>
                      <w:rPr>
                        <w:sz w:val="16"/>
                      </w:rPr>
                      <w:t>Social</w:t>
                    </w:r>
                    <w:r>
                      <w:rPr>
                        <w:spacing w:val="-7"/>
                        <w:sz w:val="16"/>
                      </w:rPr>
                      <w:t> </w:t>
                    </w:r>
                    <w:r>
                      <w:rPr>
                        <w:sz w:val="16"/>
                      </w:rPr>
                      <w:t>Workers</w:t>
                    </w:r>
                    <w:r>
                      <w:rPr>
                        <w:spacing w:val="-7"/>
                        <w:sz w:val="16"/>
                      </w:rPr>
                      <w:t> </w:t>
                    </w:r>
                    <w:r>
                      <w:rPr>
                        <w:sz w:val="16"/>
                      </w:rPr>
                      <w:t>Disciplinary</w:t>
                    </w:r>
                    <w:r>
                      <w:rPr>
                        <w:spacing w:val="-5"/>
                        <w:sz w:val="16"/>
                      </w:rPr>
                      <w:t> </w:t>
                    </w:r>
                    <w:r>
                      <w:rPr>
                        <w:sz w:val="16"/>
                      </w:rPr>
                      <w:t>Tribunal</w:t>
                    </w:r>
                    <w:r>
                      <w:rPr>
                        <w:spacing w:val="-5"/>
                        <w:sz w:val="16"/>
                      </w:rPr>
                      <w:t> </w:t>
                    </w:r>
                    <w:r>
                      <w:rPr>
                        <w:sz w:val="16"/>
                      </w:rPr>
                      <w:t>|</w:t>
                    </w:r>
                    <w:r>
                      <w:rPr>
                        <w:spacing w:val="-6"/>
                        <w:sz w:val="16"/>
                      </w:rPr>
                      <w:t> </w:t>
                    </w:r>
                    <w:r>
                      <w:rPr>
                        <w:sz w:val="16"/>
                      </w:rPr>
                      <w:t>Member</w:t>
                    </w:r>
                    <w:r>
                      <w:rPr>
                        <w:spacing w:val="-6"/>
                        <w:sz w:val="16"/>
                      </w:rPr>
                      <w:t> </w:t>
                    </w:r>
                    <w:r>
                      <w:rPr>
                        <w:sz w:val="16"/>
                      </w:rPr>
                      <w:t>Position</w:t>
                    </w:r>
                    <w:r>
                      <w:rPr>
                        <w:spacing w:val="-8"/>
                        <w:sz w:val="16"/>
                      </w:rPr>
                      <w:t> </w:t>
                    </w:r>
                    <w:r>
                      <w:rPr>
                        <w:sz w:val="16"/>
                      </w:rPr>
                      <w:t>Description,</w:t>
                    </w:r>
                    <w:r>
                      <w:rPr>
                        <w:spacing w:val="-6"/>
                        <w:sz w:val="16"/>
                      </w:rPr>
                      <w:t> </w:t>
                    </w:r>
                    <w:r>
                      <w:rPr>
                        <w:spacing w:val="-4"/>
                        <w:sz w:val="16"/>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05" w:hanging="339"/>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818" w:hanging="339"/>
      </w:pPr>
      <w:rPr>
        <w:rFonts w:hint="default"/>
        <w:lang w:val="en-US" w:eastAsia="en-US" w:bidi="ar-SA"/>
      </w:rPr>
    </w:lvl>
    <w:lvl w:ilvl="2">
      <w:start w:val="0"/>
      <w:numFmt w:val="bullet"/>
      <w:lvlText w:val="•"/>
      <w:lvlJc w:val="left"/>
      <w:pPr>
        <w:ind w:left="2736" w:hanging="339"/>
      </w:pPr>
      <w:rPr>
        <w:rFonts w:hint="default"/>
        <w:lang w:val="en-US" w:eastAsia="en-US" w:bidi="ar-SA"/>
      </w:rPr>
    </w:lvl>
    <w:lvl w:ilvl="3">
      <w:start w:val="0"/>
      <w:numFmt w:val="bullet"/>
      <w:lvlText w:val="•"/>
      <w:lvlJc w:val="left"/>
      <w:pPr>
        <w:ind w:left="3654" w:hanging="339"/>
      </w:pPr>
      <w:rPr>
        <w:rFonts w:hint="default"/>
        <w:lang w:val="en-US" w:eastAsia="en-US" w:bidi="ar-SA"/>
      </w:rPr>
    </w:lvl>
    <w:lvl w:ilvl="4">
      <w:start w:val="0"/>
      <w:numFmt w:val="bullet"/>
      <w:lvlText w:val="•"/>
      <w:lvlJc w:val="left"/>
      <w:pPr>
        <w:ind w:left="4572" w:hanging="339"/>
      </w:pPr>
      <w:rPr>
        <w:rFonts w:hint="default"/>
        <w:lang w:val="en-US" w:eastAsia="en-US" w:bidi="ar-SA"/>
      </w:rPr>
    </w:lvl>
    <w:lvl w:ilvl="5">
      <w:start w:val="0"/>
      <w:numFmt w:val="bullet"/>
      <w:lvlText w:val="•"/>
      <w:lvlJc w:val="left"/>
      <w:pPr>
        <w:ind w:left="5490" w:hanging="339"/>
      </w:pPr>
      <w:rPr>
        <w:rFonts w:hint="default"/>
        <w:lang w:val="en-US" w:eastAsia="en-US" w:bidi="ar-SA"/>
      </w:rPr>
    </w:lvl>
    <w:lvl w:ilvl="6">
      <w:start w:val="0"/>
      <w:numFmt w:val="bullet"/>
      <w:lvlText w:val="•"/>
      <w:lvlJc w:val="left"/>
      <w:pPr>
        <w:ind w:left="6408" w:hanging="339"/>
      </w:pPr>
      <w:rPr>
        <w:rFonts w:hint="default"/>
        <w:lang w:val="en-US" w:eastAsia="en-US" w:bidi="ar-SA"/>
      </w:rPr>
    </w:lvl>
    <w:lvl w:ilvl="7">
      <w:start w:val="0"/>
      <w:numFmt w:val="bullet"/>
      <w:lvlText w:val="•"/>
      <w:lvlJc w:val="left"/>
      <w:pPr>
        <w:ind w:left="7326" w:hanging="339"/>
      </w:pPr>
      <w:rPr>
        <w:rFonts w:hint="default"/>
        <w:lang w:val="en-US" w:eastAsia="en-US" w:bidi="ar-SA"/>
      </w:rPr>
    </w:lvl>
    <w:lvl w:ilvl="8">
      <w:start w:val="0"/>
      <w:numFmt w:val="bullet"/>
      <w:lvlText w:val="•"/>
      <w:lvlJc w:val="left"/>
      <w:pPr>
        <w:ind w:left="8244" w:hanging="3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24"/>
      <w:ind w:left="338"/>
    </w:pPr>
    <w:rPr>
      <w:rFonts w:ascii="Verdana" w:hAnsi="Verdana" w:eastAsia="Verdana" w:cs="Verdana"/>
      <w:sz w:val="20"/>
      <w:szCs w:val="20"/>
      <w:lang w:val="en-US" w:eastAsia="en-US" w:bidi="ar-SA"/>
    </w:rPr>
  </w:style>
  <w:style w:styleId="Heading1" w:type="paragraph">
    <w:name w:val="Heading 1"/>
    <w:basedOn w:val="Normal"/>
    <w:uiPriority w:val="1"/>
    <w:qFormat/>
    <w:pPr>
      <w:spacing w:before="329"/>
      <w:ind w:left="338"/>
      <w:outlineLvl w:val="1"/>
    </w:pPr>
    <w:rPr>
      <w:rFonts w:ascii="Verdana" w:hAnsi="Verdana" w:eastAsia="Verdana" w:cs="Verdana"/>
      <w:b/>
      <w:bCs/>
      <w:sz w:val="40"/>
      <w:szCs w:val="40"/>
      <w:lang w:val="en-US" w:eastAsia="en-US" w:bidi="ar-SA"/>
    </w:rPr>
  </w:style>
  <w:style w:styleId="Heading2" w:type="paragraph">
    <w:name w:val="Heading 2"/>
    <w:basedOn w:val="Normal"/>
    <w:uiPriority w:val="1"/>
    <w:qFormat/>
    <w:pPr>
      <w:spacing w:before="108"/>
      <w:ind w:left="338"/>
      <w:outlineLvl w:val="2"/>
    </w:pPr>
    <w:rPr>
      <w:rFonts w:ascii="Verdana" w:hAnsi="Verdana" w:eastAsia="Verdana" w:cs="Verdana"/>
      <w:b/>
      <w:bCs/>
      <w:sz w:val="32"/>
      <w:szCs w:val="32"/>
      <w:lang w:val="en-US" w:eastAsia="en-US" w:bidi="ar-SA"/>
    </w:rPr>
  </w:style>
  <w:style w:styleId="Heading3" w:type="paragraph">
    <w:name w:val="Heading 3"/>
    <w:basedOn w:val="Normal"/>
    <w:uiPriority w:val="1"/>
    <w:qFormat/>
    <w:pPr>
      <w:ind w:left="338"/>
      <w:outlineLvl w:val="3"/>
    </w:pPr>
    <w:rPr>
      <w:rFonts w:ascii="Verdana" w:hAnsi="Verdana" w:eastAsia="Verdana" w:cs="Verdana"/>
      <w:b/>
      <w:bCs/>
      <w:sz w:val="28"/>
      <w:szCs w:val="28"/>
      <w:lang w:val="en-US" w:eastAsia="en-US" w:bidi="ar-SA"/>
    </w:rPr>
  </w:style>
  <w:style w:styleId="ListParagraph" w:type="paragraph">
    <w:name w:val="List Paragraph"/>
    <w:basedOn w:val="Normal"/>
    <w:uiPriority w:val="1"/>
    <w:qFormat/>
    <w:pPr>
      <w:spacing w:before="124"/>
      <w:ind w:left="905" w:hanging="339"/>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wrb.govt.nz/tribunal-decisions/" TargetMode="Externa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hyperlink" Target="http://www.publicservice.govt.nz/system/crown-entities/crown-entity-resource-centre/appointnet-privacy-protoco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emcdo002</dc:creator>
  <dc:title>POSITION:</dc:title>
  <dcterms:created xsi:type="dcterms:W3CDTF">2026-03-02T18:43:03Z</dcterms:created>
  <dcterms:modified xsi:type="dcterms:W3CDTF">2026-03-02T18:43:03Z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for Microsoft 365</vt:lpwstr>
  </property>
  <property fmtid="{D5CDD505-2E9C-101B-9397-08002B2CF9AE}" pid="4" name="LastSaved">
    <vt:filetime>2026-03-02T00:00:00Z</vt:filetime>
  </property>
  <property fmtid="{D5CDD505-2E9C-101B-9397-08002B2CF9AE}" pid="5" name="MSIP_Label_f43e46a9-9901-46e9-bfae-bb6189d4cb66_ActionId">
    <vt:lpwstr>81d423c2-1336-4bdd-b135-b9c500896eaf</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2025-11-12T22:29:16Z</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Tag">
    <vt:lpwstr>10, 3, 0, 1</vt:lpwstr>
  </property>
  <property fmtid="{D5CDD505-2E9C-101B-9397-08002B2CF9AE}" pid="13" name="Producer">
    <vt:lpwstr>Microsoft® Word for Microsoft 365</vt:lpwstr>
  </property>
</Properties>
</file>