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CB7E2" w14:textId="6BAD822E" w:rsidR="008B449D" w:rsidRPr="00356C56" w:rsidRDefault="008B449D" w:rsidP="00F21F65">
      <w:pPr>
        <w:pStyle w:val="Heading3"/>
        <w:spacing w:beforeLines="40" w:before="96" w:afterLines="40" w:after="96"/>
        <w:jc w:val="both"/>
      </w:pPr>
      <w:bookmarkStart w:id="0" w:name="_Hlk20753523"/>
      <w:r w:rsidRPr="0008500C">
        <w:t xml:space="preserve">The </w:t>
      </w:r>
      <w:r w:rsidR="005C5D68" w:rsidRPr="00356C56">
        <w:t xml:space="preserve">Tribunal’s </w:t>
      </w:r>
      <w:r w:rsidR="000E387E" w:rsidRPr="00356C56">
        <w:t>function</w:t>
      </w:r>
      <w:r w:rsidR="00E22F7F">
        <w:t>s</w:t>
      </w:r>
    </w:p>
    <w:p w14:paraId="652C58E5" w14:textId="090D9F1D" w:rsidR="005C5D68" w:rsidRPr="00F21F65" w:rsidRDefault="005C5D68" w:rsidP="00F21F65">
      <w:pPr>
        <w:spacing w:beforeLines="40" w:before="96" w:afterLines="40" w:after="96"/>
        <w:jc w:val="both"/>
        <w:rPr>
          <w:szCs w:val="20"/>
        </w:rPr>
      </w:pPr>
      <w:r w:rsidRPr="00F21F65">
        <w:rPr>
          <w:szCs w:val="20"/>
        </w:rPr>
        <w:t xml:space="preserve">The </w:t>
      </w:r>
      <w:r w:rsidR="00F45962">
        <w:rPr>
          <w:szCs w:val="20"/>
        </w:rPr>
        <w:t xml:space="preserve">Social Workers Disciplinary </w:t>
      </w:r>
      <w:r w:rsidRPr="00F21F65">
        <w:rPr>
          <w:szCs w:val="20"/>
        </w:rPr>
        <w:t>Tribunal</w:t>
      </w:r>
      <w:r w:rsidR="00F45962">
        <w:rPr>
          <w:szCs w:val="20"/>
        </w:rPr>
        <w:t xml:space="preserve"> (the Tribunal)</w:t>
      </w:r>
      <w:r w:rsidRPr="00F21F65">
        <w:rPr>
          <w:szCs w:val="20"/>
        </w:rPr>
        <w:t xml:space="preserve"> is established under section 114 of the Social Workers Registration Act 2003 (the Act). </w:t>
      </w:r>
    </w:p>
    <w:p w14:paraId="23EB0EDB" w14:textId="7A75B807" w:rsidR="00074C3C" w:rsidRDefault="005C5D68" w:rsidP="007F1E84">
      <w:pPr>
        <w:spacing w:beforeLines="40" w:before="96" w:afterLines="40" w:after="96"/>
        <w:jc w:val="both"/>
        <w:rPr>
          <w:szCs w:val="20"/>
        </w:rPr>
      </w:pPr>
      <w:r w:rsidRPr="00F21F65">
        <w:rPr>
          <w:szCs w:val="20"/>
        </w:rPr>
        <w:t xml:space="preserve">The Tribunal’s functions are </w:t>
      </w:r>
      <w:r w:rsidR="00546D6B">
        <w:rPr>
          <w:szCs w:val="20"/>
        </w:rPr>
        <w:t>t</w:t>
      </w:r>
      <w:r w:rsidRPr="00F21F65">
        <w:rPr>
          <w:szCs w:val="20"/>
        </w:rPr>
        <w:t xml:space="preserve">o exercise the disciplinary powers over </w:t>
      </w:r>
      <w:r w:rsidR="00DB6B8F">
        <w:rPr>
          <w:szCs w:val="20"/>
        </w:rPr>
        <w:t xml:space="preserve">registered </w:t>
      </w:r>
      <w:r w:rsidRPr="00F21F65">
        <w:rPr>
          <w:szCs w:val="20"/>
        </w:rPr>
        <w:t>social workers conferred by the Act and</w:t>
      </w:r>
      <w:r w:rsidR="007F1E84">
        <w:rPr>
          <w:szCs w:val="20"/>
        </w:rPr>
        <w:t xml:space="preserve"> </w:t>
      </w:r>
      <w:r w:rsidR="00546D6B" w:rsidRPr="007F1E84">
        <w:rPr>
          <w:szCs w:val="20"/>
        </w:rPr>
        <w:t>a</w:t>
      </w:r>
      <w:r w:rsidRPr="00F21F65">
        <w:rPr>
          <w:szCs w:val="20"/>
        </w:rPr>
        <w:t>ny other functions conferred or imposed on it by or under the Act or any other enactment.</w:t>
      </w:r>
    </w:p>
    <w:p w14:paraId="156D357A" w14:textId="7B17CC17" w:rsidR="000E387E" w:rsidRPr="00437058" w:rsidRDefault="00C07F85" w:rsidP="00F21F65">
      <w:pPr>
        <w:pStyle w:val="ReportBody"/>
        <w:spacing w:beforeLines="40" w:before="96" w:afterLines="40" w:after="9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Appointments</w:t>
      </w:r>
    </w:p>
    <w:p w14:paraId="3497ED82" w14:textId="77777777" w:rsidR="0050276B" w:rsidRDefault="0050276B" w:rsidP="0050276B">
      <w:pPr>
        <w:pStyle w:val="ReportBody"/>
        <w:spacing w:beforeLines="40" w:before="96" w:afterLines="40" w:after="96"/>
        <w:jc w:val="both"/>
        <w:rPr>
          <w:rFonts w:eastAsia="Calibri"/>
          <w:color w:val="auto"/>
          <w:kern w:val="0"/>
          <w:lang w:eastAsia="en-US"/>
        </w:rPr>
      </w:pPr>
      <w:r>
        <w:rPr>
          <w:rFonts w:eastAsia="Calibri"/>
          <w:color w:val="auto"/>
          <w:kern w:val="0"/>
          <w:lang w:eastAsia="en-US"/>
        </w:rPr>
        <w:t xml:space="preserve">Tribunal members are appointed by </w:t>
      </w:r>
      <w:r w:rsidRPr="00F21F65">
        <w:rPr>
          <w:rFonts w:eastAsia="Calibri"/>
          <w:color w:val="auto"/>
          <w:kern w:val="0"/>
          <w:lang w:eastAsia="en-US"/>
        </w:rPr>
        <w:t>the Minister for Social Development and Employment.</w:t>
      </w:r>
    </w:p>
    <w:p w14:paraId="4DC2AED6" w14:textId="58360FCF" w:rsidR="00F67D1A" w:rsidRPr="00F21F65" w:rsidRDefault="007F1E84" w:rsidP="00943E28">
      <w:pPr>
        <w:pStyle w:val="ReportBody"/>
        <w:spacing w:beforeLines="40" w:before="96" w:afterLines="40" w:after="96"/>
        <w:rPr>
          <w:rFonts w:eastAsia="Calibri"/>
          <w:color w:val="auto"/>
          <w:kern w:val="0"/>
          <w:lang w:eastAsia="en-US"/>
        </w:rPr>
      </w:pPr>
      <w:r w:rsidRPr="00F21F65">
        <w:rPr>
          <w:rFonts w:eastAsia="Calibri"/>
          <w:color w:val="auto"/>
          <w:kern w:val="0"/>
          <w:lang w:eastAsia="en-US"/>
        </w:rPr>
        <w:t xml:space="preserve">The </w:t>
      </w:r>
      <w:r w:rsidR="005C5D68" w:rsidRPr="00F21F65">
        <w:rPr>
          <w:rFonts w:eastAsia="Calibri"/>
          <w:color w:val="auto"/>
          <w:kern w:val="0"/>
          <w:lang w:eastAsia="en-US"/>
        </w:rPr>
        <w:t xml:space="preserve">Tribunal </w:t>
      </w:r>
      <w:r w:rsidR="00F67D1A" w:rsidRPr="00F21F65">
        <w:rPr>
          <w:rFonts w:eastAsia="Calibri"/>
          <w:color w:val="auto"/>
          <w:kern w:val="0"/>
          <w:lang w:eastAsia="en-US"/>
        </w:rPr>
        <w:t>comprises the following members</w:t>
      </w:r>
      <w:r w:rsidR="002E78C1">
        <w:rPr>
          <w:rFonts w:eastAsia="Calibri"/>
          <w:color w:val="auto"/>
          <w:kern w:val="0"/>
          <w:lang w:eastAsia="en-US"/>
        </w:rPr>
        <w:t>:</w:t>
      </w:r>
    </w:p>
    <w:p w14:paraId="6D2D154B" w14:textId="66312699" w:rsidR="00876BCB" w:rsidRPr="00383EE3" w:rsidRDefault="00546D6B" w:rsidP="00383EE3">
      <w:pPr>
        <w:pStyle w:val="ListParagraph"/>
        <w:numPr>
          <w:ilvl w:val="0"/>
          <w:numId w:val="37"/>
        </w:numPr>
        <w:spacing w:beforeLines="40" w:before="96" w:afterLines="40" w:after="96" w:line="288" w:lineRule="auto"/>
        <w:ind w:left="284" w:hanging="284"/>
        <w:jc w:val="both"/>
        <w:rPr>
          <w:szCs w:val="20"/>
        </w:rPr>
      </w:pPr>
      <w:r w:rsidRPr="00383EE3">
        <w:rPr>
          <w:szCs w:val="20"/>
        </w:rPr>
        <w:t>a</w:t>
      </w:r>
      <w:r w:rsidR="00876BCB" w:rsidRPr="00383EE3">
        <w:rPr>
          <w:szCs w:val="20"/>
        </w:rPr>
        <w:t xml:space="preserve"> Chair and one or more Deputy Chair</w:t>
      </w:r>
      <w:r w:rsidR="00BB180C" w:rsidRPr="00383EE3">
        <w:rPr>
          <w:szCs w:val="20"/>
        </w:rPr>
        <w:t>(s)</w:t>
      </w:r>
      <w:r w:rsidR="00A42A05" w:rsidRPr="00383EE3">
        <w:rPr>
          <w:szCs w:val="20"/>
        </w:rPr>
        <w:t xml:space="preserve"> </w:t>
      </w:r>
      <w:r w:rsidR="00977A56">
        <w:rPr>
          <w:szCs w:val="20"/>
        </w:rPr>
        <w:t xml:space="preserve">who must </w:t>
      </w:r>
      <w:r w:rsidR="00383EE3" w:rsidRPr="00383EE3">
        <w:rPr>
          <w:szCs w:val="20"/>
        </w:rPr>
        <w:t xml:space="preserve">have a minimum of seven years practice as a barrister or solicitor of the High Court </w:t>
      </w:r>
    </w:p>
    <w:p w14:paraId="3C22DC6E" w14:textId="69F7C115" w:rsidR="00876BCB" w:rsidRPr="00383EE3" w:rsidRDefault="00546D6B" w:rsidP="00383EE3">
      <w:pPr>
        <w:pStyle w:val="ListParagraph"/>
        <w:numPr>
          <w:ilvl w:val="0"/>
          <w:numId w:val="37"/>
        </w:numPr>
        <w:spacing w:beforeLines="40" w:before="96" w:afterLines="40" w:after="96" w:line="288" w:lineRule="auto"/>
        <w:ind w:left="284" w:hanging="284"/>
        <w:jc w:val="both"/>
        <w:rPr>
          <w:szCs w:val="20"/>
        </w:rPr>
      </w:pPr>
      <w:r w:rsidRPr="00383EE3">
        <w:rPr>
          <w:szCs w:val="20"/>
        </w:rPr>
        <w:t>a</w:t>
      </w:r>
      <w:r w:rsidR="00876BCB" w:rsidRPr="00383EE3">
        <w:rPr>
          <w:szCs w:val="20"/>
        </w:rPr>
        <w:t xml:space="preserve">t least five </w:t>
      </w:r>
      <w:r w:rsidR="00080C7E" w:rsidRPr="00383EE3">
        <w:rPr>
          <w:szCs w:val="20"/>
        </w:rPr>
        <w:t xml:space="preserve">registered </w:t>
      </w:r>
      <w:r w:rsidR="00876BCB" w:rsidRPr="00383EE3">
        <w:rPr>
          <w:szCs w:val="20"/>
        </w:rPr>
        <w:t>social workers</w:t>
      </w:r>
      <w:r w:rsidR="001B53EA" w:rsidRPr="00383EE3">
        <w:rPr>
          <w:szCs w:val="20"/>
        </w:rPr>
        <w:t xml:space="preserve"> </w:t>
      </w:r>
      <w:r w:rsidR="00FB2E17" w:rsidRPr="00383EE3">
        <w:rPr>
          <w:szCs w:val="20"/>
        </w:rPr>
        <w:t>whose registration or practising certificate is not suspended</w:t>
      </w:r>
    </w:p>
    <w:p w14:paraId="2BB91AC4" w14:textId="34719BA1" w:rsidR="00876BCB" w:rsidRPr="00383EE3" w:rsidRDefault="00546D6B" w:rsidP="00383EE3">
      <w:pPr>
        <w:pStyle w:val="ListParagraph"/>
        <w:numPr>
          <w:ilvl w:val="0"/>
          <w:numId w:val="37"/>
        </w:numPr>
        <w:spacing w:beforeLines="40" w:before="96" w:afterLines="40" w:after="96" w:line="288" w:lineRule="auto"/>
        <w:ind w:left="284" w:hanging="284"/>
        <w:jc w:val="both"/>
        <w:rPr>
          <w:szCs w:val="20"/>
        </w:rPr>
      </w:pPr>
      <w:r w:rsidRPr="00383EE3">
        <w:rPr>
          <w:szCs w:val="20"/>
        </w:rPr>
        <w:t>a</w:t>
      </w:r>
      <w:r w:rsidR="00876BCB" w:rsidRPr="00383EE3">
        <w:rPr>
          <w:szCs w:val="20"/>
        </w:rPr>
        <w:t>t least one layperson</w:t>
      </w:r>
      <w:r w:rsidR="00356C56" w:rsidRPr="00383EE3">
        <w:rPr>
          <w:szCs w:val="20"/>
        </w:rPr>
        <w:t>.</w:t>
      </w:r>
    </w:p>
    <w:p w14:paraId="21DE8BF8" w14:textId="1DC8F567" w:rsidR="00BB0317" w:rsidRDefault="00060CB6" w:rsidP="00365D68">
      <w:pPr>
        <w:pStyle w:val="ReportBody"/>
        <w:spacing w:beforeLines="40" w:before="96" w:afterLines="40" w:after="96"/>
        <w:rPr>
          <w:bCs/>
        </w:rPr>
      </w:pPr>
      <w:r w:rsidRPr="00534A91">
        <w:t xml:space="preserve">To be eligible for appointment </w:t>
      </w:r>
      <w:r w:rsidR="004671A3">
        <w:t>members</w:t>
      </w:r>
      <w:r w:rsidRPr="00534A91">
        <w:t xml:space="preserve"> must</w:t>
      </w:r>
      <w:r w:rsidR="00FB2E17">
        <w:t xml:space="preserve"> </w:t>
      </w:r>
      <w:r w:rsidR="00BB0317">
        <w:t xml:space="preserve">also </w:t>
      </w:r>
      <w:r w:rsidR="00255C20" w:rsidRPr="00FB2E17">
        <w:rPr>
          <w:bCs/>
        </w:rPr>
        <w:t xml:space="preserve">be </w:t>
      </w:r>
      <w:r w:rsidR="00DB0604" w:rsidRPr="00FB2E17">
        <w:rPr>
          <w:bCs/>
        </w:rPr>
        <w:t xml:space="preserve">a </w:t>
      </w:r>
      <w:r w:rsidRPr="00FB2E17">
        <w:rPr>
          <w:bCs/>
        </w:rPr>
        <w:t>New Zealand residen</w:t>
      </w:r>
      <w:r w:rsidR="00255C20" w:rsidRPr="00FB2E17">
        <w:rPr>
          <w:bCs/>
        </w:rPr>
        <w:t>t</w:t>
      </w:r>
      <w:r w:rsidRPr="00FB2E17">
        <w:rPr>
          <w:bCs/>
        </w:rPr>
        <w:t xml:space="preserve"> and reside in New Zealand.</w:t>
      </w:r>
    </w:p>
    <w:p w14:paraId="2341ECD4" w14:textId="71AC7DFC" w:rsidR="00383556" w:rsidRPr="00365D68" w:rsidRDefault="00365D68" w:rsidP="00365D68">
      <w:pPr>
        <w:pStyle w:val="ReportBody"/>
        <w:spacing w:beforeLines="40" w:before="96" w:afterLines="40" w:after="96"/>
        <w:rPr>
          <w:rFonts w:eastAsia="Calibri"/>
          <w:color w:val="auto"/>
          <w:kern w:val="0"/>
          <w:lang w:eastAsia="en-US"/>
        </w:rPr>
      </w:pPr>
      <w:r>
        <w:t xml:space="preserve">There can be a </w:t>
      </w:r>
      <w:r w:rsidRPr="002569C2">
        <w:t>conflict of interest between the role of a public servant and the role of a member of a statutory body</w:t>
      </w:r>
      <w:r>
        <w:t>.</w:t>
      </w:r>
      <w:r w:rsidRPr="002569C2">
        <w:t xml:space="preserve"> Ministers </w:t>
      </w:r>
      <w:r>
        <w:t xml:space="preserve">will only </w:t>
      </w:r>
      <w:r w:rsidRPr="002569C2">
        <w:t xml:space="preserve">appoint public servants to statutory bodies </w:t>
      </w:r>
      <w:r>
        <w:t>where there are special circumstances and the employer consents to the appointment.</w:t>
      </w:r>
    </w:p>
    <w:p w14:paraId="12C189FA" w14:textId="5CCFA152" w:rsidR="00BB0317" w:rsidRPr="00BB0317" w:rsidRDefault="00BF56EA" w:rsidP="00BB0317">
      <w:pPr>
        <w:pStyle w:val="ReportBody"/>
        <w:spacing w:beforeLines="40" w:before="96" w:afterLines="40" w:after="96"/>
        <w:jc w:val="both"/>
        <w:rPr>
          <w:rFonts w:eastAsia="Calibri"/>
          <w:color w:val="auto"/>
          <w:kern w:val="0"/>
          <w:lang w:eastAsia="en-US"/>
        </w:rPr>
      </w:pPr>
      <w:r>
        <w:rPr>
          <w:rFonts w:eastAsia="Calibri"/>
          <w:color w:val="auto"/>
          <w:kern w:val="0"/>
          <w:lang w:eastAsia="en-US"/>
        </w:rPr>
        <w:t>Registered</w:t>
      </w:r>
      <w:r w:rsidR="00730D6D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Social</w:t>
      </w:r>
      <w:r w:rsidR="00730D6D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 xml:space="preserve">Workers </w:t>
      </w:r>
      <w:r w:rsidR="00C8538D">
        <w:rPr>
          <w:rFonts w:eastAsia="Calibri"/>
          <w:color w:val="auto"/>
          <w:kern w:val="0"/>
          <w:lang w:eastAsia="en-US"/>
        </w:rPr>
        <w:t xml:space="preserve">may be appointed for terms of </w:t>
      </w:r>
      <w:r w:rsidR="00C8538D" w:rsidRPr="00F21F65">
        <w:rPr>
          <w:rFonts w:eastAsia="Calibri"/>
          <w:color w:val="auto"/>
          <w:kern w:val="0"/>
          <w:lang w:eastAsia="en-US"/>
        </w:rPr>
        <w:t xml:space="preserve">up to </w:t>
      </w:r>
      <w:r w:rsidR="00C8538D">
        <w:rPr>
          <w:rFonts w:eastAsia="Calibri"/>
          <w:color w:val="auto"/>
          <w:kern w:val="0"/>
          <w:lang w:eastAsia="en-US"/>
        </w:rPr>
        <w:t xml:space="preserve">five years and may be </w:t>
      </w:r>
      <w:r w:rsidR="00C8538D" w:rsidRPr="00E54325">
        <w:rPr>
          <w:rFonts w:eastAsia="Calibri"/>
          <w:color w:val="auto"/>
          <w:kern w:val="0"/>
          <w:lang w:eastAsia="en-US"/>
        </w:rPr>
        <w:t>reappoint</w:t>
      </w:r>
      <w:r w:rsidR="00C8538D">
        <w:rPr>
          <w:rFonts w:eastAsia="Calibri"/>
          <w:color w:val="auto"/>
          <w:kern w:val="0"/>
          <w:lang w:eastAsia="en-US"/>
        </w:rPr>
        <w:t>ed.</w:t>
      </w:r>
    </w:p>
    <w:p w14:paraId="06931362" w14:textId="3F509DC6" w:rsidR="00CA557A" w:rsidRPr="00CA557A" w:rsidRDefault="00CA557A" w:rsidP="00FB2E17">
      <w:pPr>
        <w:pStyle w:val="ReportBody"/>
        <w:spacing w:beforeLines="40" w:before="96" w:afterLines="40" w:after="96"/>
        <w:jc w:val="both"/>
        <w:rPr>
          <w:b/>
          <w:bCs/>
          <w:sz w:val="24"/>
          <w:szCs w:val="24"/>
        </w:rPr>
      </w:pPr>
      <w:r w:rsidRPr="00CA557A">
        <w:rPr>
          <w:b/>
          <w:bCs/>
          <w:sz w:val="24"/>
          <w:szCs w:val="24"/>
        </w:rPr>
        <w:t xml:space="preserve">Tribunal </w:t>
      </w:r>
      <w:r w:rsidR="00AB7770">
        <w:rPr>
          <w:b/>
          <w:bCs/>
          <w:sz w:val="24"/>
          <w:szCs w:val="24"/>
        </w:rPr>
        <w:t>H</w:t>
      </w:r>
      <w:r w:rsidRPr="00CA557A">
        <w:rPr>
          <w:b/>
          <w:bCs/>
          <w:sz w:val="24"/>
          <w:szCs w:val="24"/>
        </w:rPr>
        <w:t>earings</w:t>
      </w:r>
    </w:p>
    <w:p w14:paraId="5CF168B3" w14:textId="6C56BC59" w:rsidR="004C05AB" w:rsidRDefault="004F721A" w:rsidP="00610C36">
      <w:pPr>
        <w:pStyle w:val="ReportBody"/>
        <w:spacing w:beforeLines="40" w:before="96" w:afterLines="40" w:after="96"/>
        <w:jc w:val="both"/>
        <w:rPr>
          <w:rFonts w:eastAsia="Calibri"/>
          <w:color w:val="auto"/>
          <w:kern w:val="0"/>
          <w:lang w:eastAsia="en-US"/>
        </w:rPr>
      </w:pPr>
      <w:bookmarkStart w:id="1" w:name="_Hlk165298738"/>
      <w:r>
        <w:rPr>
          <w:rFonts w:eastAsia="Calibri"/>
          <w:color w:val="auto"/>
          <w:kern w:val="0"/>
          <w:lang w:eastAsia="en-US"/>
        </w:rPr>
        <w:t xml:space="preserve">The membership for each hearing is selected by the Tribunal Chair. </w:t>
      </w:r>
      <w:r w:rsidR="00CA557A" w:rsidRPr="00CA557A">
        <w:rPr>
          <w:rFonts w:eastAsia="Calibri"/>
          <w:color w:val="auto"/>
          <w:kern w:val="0"/>
          <w:lang w:eastAsia="en-US"/>
        </w:rPr>
        <w:t xml:space="preserve">For each hearing, the Tribunal must include the Chair or </w:t>
      </w:r>
      <w:r>
        <w:rPr>
          <w:rFonts w:eastAsia="Calibri"/>
          <w:color w:val="auto"/>
          <w:kern w:val="0"/>
          <w:lang w:eastAsia="en-US"/>
        </w:rPr>
        <w:t xml:space="preserve">a </w:t>
      </w:r>
      <w:r w:rsidR="00CA557A" w:rsidRPr="00CA557A">
        <w:rPr>
          <w:rFonts w:eastAsia="Calibri"/>
          <w:color w:val="auto"/>
          <w:kern w:val="0"/>
          <w:lang w:eastAsia="en-US"/>
        </w:rPr>
        <w:t>Deputy Chair</w:t>
      </w:r>
      <w:bookmarkEnd w:id="1"/>
      <w:r w:rsidR="00CA557A" w:rsidRPr="00CA557A">
        <w:rPr>
          <w:rFonts w:eastAsia="Calibri"/>
          <w:color w:val="auto"/>
          <w:kern w:val="0"/>
          <w:lang w:eastAsia="en-US"/>
        </w:rPr>
        <w:t xml:space="preserve">, three </w:t>
      </w:r>
      <w:r w:rsidR="00CA557A">
        <w:rPr>
          <w:rFonts w:eastAsia="Calibri"/>
          <w:color w:val="auto"/>
          <w:kern w:val="0"/>
          <w:lang w:eastAsia="en-US"/>
        </w:rPr>
        <w:t xml:space="preserve">registered </w:t>
      </w:r>
      <w:r w:rsidR="00CA557A" w:rsidRPr="00CA557A">
        <w:rPr>
          <w:rFonts w:eastAsia="Calibri"/>
          <w:color w:val="auto"/>
          <w:kern w:val="0"/>
          <w:lang w:eastAsia="en-US"/>
        </w:rPr>
        <w:t>social workers, and one layperson.</w:t>
      </w:r>
    </w:p>
    <w:p w14:paraId="760C1156" w14:textId="77777777" w:rsidR="00BF56EA" w:rsidRDefault="00BF56EA" w:rsidP="00BF56EA">
      <w:pPr>
        <w:spacing w:beforeLines="40" w:before="96" w:after="40"/>
        <w:jc w:val="both"/>
        <w:rPr>
          <w:rFonts w:eastAsia="Times New Roman"/>
          <w:color w:val="000000"/>
          <w:kern w:val="22"/>
          <w:szCs w:val="20"/>
          <w:lang w:eastAsia="en-NZ"/>
        </w:rPr>
      </w:pPr>
      <w:r>
        <w:rPr>
          <w:rFonts w:eastAsia="Times New Roman"/>
          <w:color w:val="000000"/>
          <w:kern w:val="22"/>
          <w:szCs w:val="20"/>
          <w:lang w:eastAsia="en-NZ"/>
        </w:rPr>
        <w:t>Information about Tribunal decisions and appeals is available at:</w:t>
      </w:r>
    </w:p>
    <w:p w14:paraId="0643E746" w14:textId="0EB2005B" w:rsidR="00BF56EA" w:rsidRPr="00BF56EA" w:rsidRDefault="00807E29" w:rsidP="00BF56EA">
      <w:pPr>
        <w:spacing w:beforeLines="40" w:before="96" w:after="40"/>
        <w:jc w:val="both"/>
        <w:rPr>
          <w:rFonts w:eastAsia="Times New Roman"/>
          <w:color w:val="000000"/>
          <w:kern w:val="22"/>
          <w:szCs w:val="20"/>
          <w:lang w:eastAsia="en-NZ"/>
        </w:rPr>
      </w:pPr>
      <w:hyperlink r:id="rId8" w:history="1">
        <w:r w:rsidR="00BF56EA" w:rsidRPr="00DF4EDE">
          <w:rPr>
            <w:rStyle w:val="Hyperlink"/>
            <w:rFonts w:eastAsia="Times New Roman"/>
            <w:kern w:val="22"/>
            <w:szCs w:val="20"/>
            <w:lang w:eastAsia="en-NZ"/>
          </w:rPr>
          <w:t>https://swrb.govt.nz/tribunal-decisions/</w:t>
        </w:r>
      </w:hyperlink>
      <w:r w:rsidR="00BF56EA">
        <w:rPr>
          <w:rFonts w:eastAsia="Times New Roman"/>
          <w:color w:val="000000"/>
          <w:kern w:val="22"/>
          <w:szCs w:val="20"/>
          <w:lang w:eastAsia="en-NZ"/>
        </w:rPr>
        <w:t xml:space="preserve"> </w:t>
      </w:r>
    </w:p>
    <w:p w14:paraId="21ACF018" w14:textId="4ED4E6F2" w:rsidR="008D5D48" w:rsidRDefault="008D5D48" w:rsidP="008D5D48">
      <w:pPr>
        <w:spacing w:beforeLines="40" w:before="96" w:afterLines="40" w:after="9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Role</w:t>
      </w:r>
      <w:r w:rsidRPr="00BD32BB">
        <w:rPr>
          <w:b/>
          <w:bCs/>
          <w:sz w:val="24"/>
          <w:szCs w:val="24"/>
        </w:rPr>
        <w:t xml:space="preserve"> of the </w:t>
      </w:r>
      <w:r>
        <w:rPr>
          <w:b/>
          <w:bCs/>
          <w:sz w:val="24"/>
          <w:szCs w:val="24"/>
        </w:rPr>
        <w:t>Registered Social Worker</w:t>
      </w:r>
    </w:p>
    <w:p w14:paraId="00A4B537" w14:textId="6379C371" w:rsidR="008D5D48" w:rsidRDefault="008D5D48" w:rsidP="008D5D48">
      <w:pPr>
        <w:pStyle w:val="ReportBody"/>
        <w:spacing w:beforeLines="40" w:before="96" w:afterLines="40" w:after="96"/>
        <w:jc w:val="both"/>
        <w:rPr>
          <w:rFonts w:eastAsia="Calibri"/>
          <w:color w:val="auto"/>
          <w:kern w:val="0"/>
          <w:lang w:eastAsia="en-US"/>
        </w:rPr>
      </w:pPr>
      <w:r>
        <w:rPr>
          <w:rFonts w:eastAsia="Calibri"/>
          <w:color w:val="auto"/>
          <w:kern w:val="0"/>
          <w:lang w:eastAsia="en-US"/>
        </w:rPr>
        <w:t xml:space="preserve">The registered social worker members are </w:t>
      </w:r>
      <w:r w:rsidR="00913A85">
        <w:rPr>
          <w:rFonts w:eastAsia="Calibri"/>
          <w:color w:val="auto"/>
          <w:kern w:val="0"/>
          <w:lang w:eastAsia="en-US"/>
        </w:rPr>
        <w:t>required to provide</w:t>
      </w:r>
      <w:r>
        <w:rPr>
          <w:rFonts w:eastAsia="Calibri"/>
          <w:color w:val="auto"/>
          <w:kern w:val="0"/>
          <w:lang w:eastAsia="en-US"/>
        </w:rPr>
        <w:t>:</w:t>
      </w:r>
    </w:p>
    <w:p w14:paraId="0D5ABD23" w14:textId="77777777" w:rsidR="008D5D48" w:rsidRPr="008D5D48" w:rsidRDefault="008D5D48" w:rsidP="008D5D48">
      <w:pPr>
        <w:pStyle w:val="ListParagraph"/>
        <w:numPr>
          <w:ilvl w:val="0"/>
          <w:numId w:val="37"/>
        </w:numPr>
        <w:spacing w:beforeLines="40" w:before="96" w:afterLines="40" w:after="96" w:line="288" w:lineRule="auto"/>
        <w:ind w:left="284" w:hanging="284"/>
        <w:jc w:val="both"/>
      </w:pPr>
      <w:bookmarkStart w:id="2" w:name="_Hlk201646115"/>
      <w:r w:rsidRPr="00503982">
        <w:rPr>
          <w:bCs/>
          <w:szCs w:val="20"/>
        </w:rPr>
        <w:t>the view of a reasonable social worker</w:t>
      </w:r>
      <w:r>
        <w:rPr>
          <w:bCs/>
          <w:szCs w:val="20"/>
        </w:rPr>
        <w:t xml:space="preserve"> to Tribunal discussions</w:t>
      </w:r>
    </w:p>
    <w:p w14:paraId="55F5636B" w14:textId="18DD94CF" w:rsidR="008D5D48" w:rsidRPr="008D5D48" w:rsidRDefault="008D5D48" w:rsidP="008D5D48">
      <w:pPr>
        <w:pStyle w:val="ListParagraph"/>
        <w:numPr>
          <w:ilvl w:val="0"/>
          <w:numId w:val="37"/>
        </w:numPr>
        <w:spacing w:beforeLines="40" w:before="96" w:afterLines="40" w:after="96" w:line="288" w:lineRule="auto"/>
        <w:ind w:left="284" w:hanging="284"/>
        <w:jc w:val="both"/>
        <w:rPr>
          <w:bCs/>
          <w:szCs w:val="20"/>
        </w:rPr>
      </w:pPr>
      <w:bookmarkStart w:id="3" w:name="_Hlk201646131"/>
      <w:bookmarkEnd w:id="2"/>
      <w:r w:rsidRPr="00503982">
        <w:rPr>
          <w:bCs/>
          <w:szCs w:val="20"/>
        </w:rPr>
        <w:t>assist in drafting decisions on behalf of the Tribunal as is permitted by statutory limitation</w:t>
      </w:r>
      <w:bookmarkEnd w:id="3"/>
      <w:r>
        <w:rPr>
          <w:bCs/>
          <w:szCs w:val="20"/>
        </w:rPr>
        <w:t>.</w:t>
      </w:r>
    </w:p>
    <w:p w14:paraId="7E695E9B" w14:textId="538DEBB2" w:rsidR="00876BCB" w:rsidRPr="00F21F65" w:rsidRDefault="00876BCB" w:rsidP="00F21F65">
      <w:pPr>
        <w:pStyle w:val="Heading3"/>
        <w:keepNext/>
        <w:spacing w:beforeLines="40" w:before="96" w:afterLines="40" w:after="96"/>
        <w:jc w:val="both"/>
      </w:pPr>
      <w:r w:rsidRPr="00C5576B">
        <w:t>Knowledge, skills &amp; experience</w:t>
      </w:r>
    </w:p>
    <w:p w14:paraId="61A03101" w14:textId="7F4607F6" w:rsidR="008F3701" w:rsidRPr="00503982" w:rsidRDefault="00503982" w:rsidP="00503982">
      <w:pPr>
        <w:jc w:val="both"/>
        <w:rPr>
          <w:color w:val="000000"/>
          <w:kern w:val="22"/>
          <w:szCs w:val="20"/>
          <w:lang w:eastAsia="en-NZ"/>
        </w:rPr>
      </w:pPr>
      <w:r w:rsidRPr="00503982">
        <w:rPr>
          <w:color w:val="000000"/>
          <w:kern w:val="22"/>
          <w:szCs w:val="20"/>
          <w:lang w:eastAsia="en-NZ"/>
        </w:rPr>
        <w:t xml:space="preserve">The </w:t>
      </w:r>
      <w:r w:rsidR="004F06D9">
        <w:rPr>
          <w:color w:val="000000"/>
          <w:kern w:val="22"/>
          <w:szCs w:val="20"/>
          <w:lang w:eastAsia="en-NZ"/>
        </w:rPr>
        <w:t xml:space="preserve">Tribunal’s </w:t>
      </w:r>
      <w:r w:rsidR="008F3701">
        <w:rPr>
          <w:color w:val="000000"/>
          <w:kern w:val="22"/>
          <w:szCs w:val="20"/>
          <w:lang w:eastAsia="en-NZ"/>
        </w:rPr>
        <w:t xml:space="preserve">registered </w:t>
      </w:r>
      <w:r w:rsidRPr="00503982">
        <w:rPr>
          <w:color w:val="000000"/>
          <w:kern w:val="22"/>
          <w:szCs w:val="20"/>
          <w:lang w:eastAsia="en-NZ"/>
        </w:rPr>
        <w:t>social worker member</w:t>
      </w:r>
      <w:r w:rsidR="00432438">
        <w:rPr>
          <w:color w:val="000000"/>
          <w:kern w:val="22"/>
          <w:szCs w:val="20"/>
          <w:lang w:eastAsia="en-NZ"/>
        </w:rPr>
        <w:t>s</w:t>
      </w:r>
      <w:r w:rsidRPr="00503982">
        <w:rPr>
          <w:color w:val="000000"/>
          <w:kern w:val="22"/>
          <w:szCs w:val="20"/>
          <w:lang w:eastAsia="en-NZ"/>
        </w:rPr>
        <w:t xml:space="preserve"> should</w:t>
      </w:r>
      <w:r w:rsidR="00432438">
        <w:t xml:space="preserve"> collectively, and as far as possible individually, have the following expertise and experience</w:t>
      </w:r>
      <w:r w:rsidR="00432438">
        <w:rPr>
          <w:color w:val="000000"/>
          <w:kern w:val="22"/>
          <w:szCs w:val="20"/>
          <w:lang w:eastAsia="en-NZ"/>
        </w:rPr>
        <w:t>:</w:t>
      </w:r>
    </w:p>
    <w:p w14:paraId="620047FE" w14:textId="77777777" w:rsidR="005F3C31" w:rsidRPr="00812FEF" w:rsidRDefault="008F3701" w:rsidP="005F3C31">
      <w:pPr>
        <w:pStyle w:val="ListParagraph"/>
        <w:numPr>
          <w:ilvl w:val="0"/>
          <w:numId w:val="37"/>
        </w:numPr>
        <w:spacing w:beforeLines="40" w:before="96" w:afterLines="40" w:after="96" w:line="288" w:lineRule="auto"/>
        <w:ind w:left="284" w:hanging="284"/>
        <w:jc w:val="both"/>
        <w:rPr>
          <w:szCs w:val="20"/>
        </w:rPr>
      </w:pPr>
      <w:bookmarkStart w:id="4" w:name="_Hlk201646289"/>
      <w:r w:rsidRPr="00812FEF">
        <w:rPr>
          <w:szCs w:val="20"/>
        </w:rPr>
        <w:t>an understanding of the Tribunal</w:t>
      </w:r>
      <w:r w:rsidR="00BE08CD" w:rsidRPr="00812FEF">
        <w:rPr>
          <w:szCs w:val="20"/>
        </w:rPr>
        <w:t>’s role to protect the safety of members of the public</w:t>
      </w:r>
    </w:p>
    <w:p w14:paraId="5D3C80E6" w14:textId="77777777" w:rsidR="005F3C31" w:rsidRPr="005F3C31" w:rsidRDefault="00171A8A" w:rsidP="005F3C31">
      <w:pPr>
        <w:pStyle w:val="ListParagraph"/>
        <w:numPr>
          <w:ilvl w:val="0"/>
          <w:numId w:val="37"/>
        </w:numPr>
        <w:spacing w:beforeLines="40" w:before="96" w:afterLines="40" w:after="96" w:line="288" w:lineRule="auto"/>
        <w:ind w:left="284" w:hanging="284"/>
        <w:jc w:val="both"/>
        <w:rPr>
          <w:bCs/>
          <w:szCs w:val="20"/>
        </w:rPr>
      </w:pPr>
      <w:r w:rsidRPr="005F3C31">
        <w:rPr>
          <w:szCs w:val="20"/>
        </w:rPr>
        <w:t>knowledge and experience of matters likely to come before the Tribuna</w:t>
      </w:r>
      <w:r w:rsidR="005F3C31">
        <w:rPr>
          <w:szCs w:val="20"/>
        </w:rPr>
        <w:t>l</w:t>
      </w:r>
    </w:p>
    <w:bookmarkEnd w:id="4"/>
    <w:p w14:paraId="0CC98313" w14:textId="77777777" w:rsidR="005F3C31" w:rsidRPr="005F3C31" w:rsidRDefault="00171A8A" w:rsidP="005F3C31">
      <w:pPr>
        <w:pStyle w:val="ListParagraph"/>
        <w:numPr>
          <w:ilvl w:val="0"/>
          <w:numId w:val="37"/>
        </w:numPr>
        <w:spacing w:beforeLines="40" w:before="96" w:afterLines="40" w:after="96" w:line="288" w:lineRule="auto"/>
        <w:ind w:left="284" w:hanging="284"/>
        <w:jc w:val="both"/>
        <w:rPr>
          <w:bCs/>
          <w:szCs w:val="20"/>
        </w:rPr>
      </w:pPr>
      <w:r w:rsidRPr="005F3C31">
        <w:rPr>
          <w:szCs w:val="20"/>
        </w:rPr>
        <w:t>a commitment to fair process and unbiased decision-making</w:t>
      </w:r>
    </w:p>
    <w:p w14:paraId="3BAA3229" w14:textId="77777777" w:rsidR="00BF56EA" w:rsidRPr="00BF56EA" w:rsidRDefault="00171A8A" w:rsidP="00610C36">
      <w:pPr>
        <w:pStyle w:val="ListParagraph"/>
        <w:numPr>
          <w:ilvl w:val="0"/>
          <w:numId w:val="37"/>
        </w:numPr>
        <w:spacing w:beforeLines="40" w:before="96" w:afterLines="40" w:after="96" w:line="288" w:lineRule="auto"/>
        <w:ind w:left="284" w:hanging="284"/>
        <w:jc w:val="both"/>
        <w:rPr>
          <w:bCs/>
          <w:szCs w:val="20"/>
        </w:rPr>
      </w:pPr>
      <w:r w:rsidRPr="005F3C31">
        <w:rPr>
          <w:szCs w:val="20"/>
        </w:rPr>
        <w:t xml:space="preserve">effective </w:t>
      </w:r>
      <w:r w:rsidR="00481629" w:rsidRPr="005F3C31">
        <w:rPr>
          <w:szCs w:val="20"/>
        </w:rPr>
        <w:t>communication skills</w:t>
      </w:r>
    </w:p>
    <w:p w14:paraId="1220E019" w14:textId="458FE04B" w:rsidR="00293878" w:rsidRPr="00BF56EA" w:rsidRDefault="00BF56EA" w:rsidP="00BF56EA">
      <w:pPr>
        <w:pStyle w:val="ListParagraph"/>
        <w:numPr>
          <w:ilvl w:val="0"/>
          <w:numId w:val="37"/>
        </w:numPr>
        <w:spacing w:beforeLines="40" w:before="96" w:afterLines="40" w:after="96" w:line="288" w:lineRule="auto"/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>an inclusive approach</w:t>
      </w:r>
      <w:r w:rsidR="00E9205C">
        <w:rPr>
          <w:bCs/>
          <w:szCs w:val="20"/>
        </w:rPr>
        <w:t xml:space="preserve"> </w:t>
      </w:r>
      <w:r w:rsidR="00610C36" w:rsidRPr="00503982">
        <w:rPr>
          <w:bCs/>
          <w:szCs w:val="20"/>
        </w:rPr>
        <w:t xml:space="preserve">to </w:t>
      </w:r>
      <w:r>
        <w:rPr>
          <w:bCs/>
          <w:szCs w:val="20"/>
        </w:rPr>
        <w:t>group</w:t>
      </w:r>
      <w:r w:rsidR="00610C36">
        <w:rPr>
          <w:bCs/>
          <w:szCs w:val="20"/>
        </w:rPr>
        <w:t xml:space="preserve"> </w:t>
      </w:r>
      <w:r w:rsidR="00610C36" w:rsidRPr="00503982">
        <w:rPr>
          <w:bCs/>
          <w:szCs w:val="20"/>
        </w:rPr>
        <w:t>discussions</w:t>
      </w:r>
      <w:r>
        <w:rPr>
          <w:bCs/>
          <w:szCs w:val="20"/>
        </w:rPr>
        <w:t xml:space="preserve"> </w:t>
      </w:r>
      <w:r w:rsidR="00621B76" w:rsidRPr="00BF56EA">
        <w:rPr>
          <w:bCs/>
          <w:szCs w:val="20"/>
        </w:rPr>
        <w:t>and decision making</w:t>
      </w:r>
    </w:p>
    <w:p w14:paraId="7A7EDC3D" w14:textId="63654FB0" w:rsidR="00E1586E" w:rsidRPr="004F06D9" w:rsidRDefault="00247ED7" w:rsidP="00247ED7">
      <w:pPr>
        <w:pStyle w:val="ListParagraph"/>
        <w:numPr>
          <w:ilvl w:val="0"/>
          <w:numId w:val="37"/>
        </w:numPr>
        <w:spacing w:beforeLines="40" w:before="96" w:afterLines="40" w:after="96" w:line="288" w:lineRule="auto"/>
        <w:ind w:left="284" w:hanging="284"/>
        <w:jc w:val="both"/>
        <w:rPr>
          <w:bCs/>
          <w:szCs w:val="20"/>
        </w:rPr>
      </w:pPr>
      <w:bookmarkStart w:id="5" w:name="_Hlk201645800"/>
      <w:r w:rsidRPr="004F06D9">
        <w:rPr>
          <w:bCs/>
          <w:szCs w:val="20"/>
        </w:rPr>
        <w:t xml:space="preserve">an </w:t>
      </w:r>
      <w:r w:rsidR="00E1586E" w:rsidRPr="004F06D9">
        <w:rPr>
          <w:bCs/>
          <w:szCs w:val="20"/>
        </w:rPr>
        <w:t>understanding of Te Tiriti o Waitangi, tikanga and te ao Māori as it relates to the social work sector</w:t>
      </w:r>
    </w:p>
    <w:p w14:paraId="7587EC3D" w14:textId="020E326E" w:rsidR="00E1586E" w:rsidRPr="0018558D" w:rsidRDefault="0018558D" w:rsidP="0018558D">
      <w:pPr>
        <w:pStyle w:val="ListParagraph"/>
        <w:numPr>
          <w:ilvl w:val="0"/>
          <w:numId w:val="37"/>
        </w:numPr>
        <w:spacing w:beforeLines="40" w:before="96" w:afterLines="40" w:after="96" w:line="288" w:lineRule="auto"/>
        <w:ind w:left="284" w:hanging="284"/>
        <w:jc w:val="both"/>
        <w:rPr>
          <w:bCs/>
          <w:szCs w:val="20"/>
        </w:rPr>
      </w:pPr>
      <w:bookmarkStart w:id="6" w:name="_Hlk201645809"/>
      <w:bookmarkEnd w:id="5"/>
      <w:r>
        <w:rPr>
          <w:bCs/>
          <w:szCs w:val="20"/>
        </w:rPr>
        <w:t xml:space="preserve">the </w:t>
      </w:r>
      <w:r w:rsidRPr="004F06D9">
        <w:rPr>
          <w:bCs/>
          <w:szCs w:val="20"/>
        </w:rPr>
        <w:t xml:space="preserve">ability to engage effectively with </w:t>
      </w:r>
      <w:r>
        <w:rPr>
          <w:bCs/>
          <w:szCs w:val="20"/>
        </w:rPr>
        <w:t>various</w:t>
      </w:r>
      <w:r w:rsidRPr="004F06D9">
        <w:rPr>
          <w:bCs/>
          <w:szCs w:val="20"/>
        </w:rPr>
        <w:t xml:space="preserve"> ethnic and cultural groups in New Zealand </w:t>
      </w:r>
    </w:p>
    <w:bookmarkEnd w:id="6"/>
    <w:p w14:paraId="0BC3A57E" w14:textId="77777777" w:rsidR="00812FEF" w:rsidRDefault="00812FEF" w:rsidP="00812FEF">
      <w:pPr>
        <w:pStyle w:val="ListParagraph"/>
        <w:numPr>
          <w:ilvl w:val="0"/>
          <w:numId w:val="37"/>
        </w:numPr>
        <w:spacing w:beforeLines="40" w:before="96" w:afterLines="40" w:after="96" w:line="288" w:lineRule="auto"/>
        <w:ind w:left="284" w:hanging="284"/>
        <w:jc w:val="both"/>
        <w:rPr>
          <w:bCs/>
          <w:szCs w:val="20"/>
        </w:rPr>
      </w:pPr>
      <w:r w:rsidRPr="00171A8A">
        <w:rPr>
          <w:bCs/>
          <w:szCs w:val="20"/>
        </w:rPr>
        <w:t>effective time management</w:t>
      </w:r>
      <w:r>
        <w:rPr>
          <w:bCs/>
          <w:szCs w:val="20"/>
        </w:rPr>
        <w:t xml:space="preserve"> and </w:t>
      </w:r>
      <w:r w:rsidRPr="00481629">
        <w:rPr>
          <w:bCs/>
          <w:szCs w:val="20"/>
        </w:rPr>
        <w:t xml:space="preserve">sufficient time </w:t>
      </w:r>
      <w:r>
        <w:rPr>
          <w:bCs/>
          <w:szCs w:val="20"/>
        </w:rPr>
        <w:t xml:space="preserve">and flexibility </w:t>
      </w:r>
      <w:r w:rsidRPr="00481629">
        <w:rPr>
          <w:bCs/>
          <w:szCs w:val="20"/>
        </w:rPr>
        <w:t>to commit to role</w:t>
      </w:r>
    </w:p>
    <w:p w14:paraId="0BDB8989" w14:textId="6D169891" w:rsidR="00F157AF" w:rsidRDefault="00F129B8" w:rsidP="00F157AF">
      <w:pPr>
        <w:pStyle w:val="ListParagraph"/>
        <w:numPr>
          <w:ilvl w:val="0"/>
          <w:numId w:val="37"/>
        </w:numPr>
        <w:spacing w:beforeLines="40" w:before="96" w:afterLines="40" w:after="96" w:line="288" w:lineRule="auto"/>
        <w:ind w:left="284" w:hanging="284"/>
        <w:jc w:val="both"/>
        <w:rPr>
          <w:bCs/>
          <w:szCs w:val="20"/>
        </w:rPr>
      </w:pPr>
      <w:r w:rsidRPr="004671A3">
        <w:rPr>
          <w:bCs/>
          <w:szCs w:val="20"/>
        </w:rPr>
        <w:t xml:space="preserve">the ability to </w:t>
      </w:r>
      <w:r w:rsidR="003C6757" w:rsidRPr="004671A3">
        <w:rPr>
          <w:bCs/>
          <w:szCs w:val="20"/>
        </w:rPr>
        <w:t>manag</w:t>
      </w:r>
      <w:r w:rsidRPr="004671A3">
        <w:rPr>
          <w:bCs/>
          <w:szCs w:val="20"/>
        </w:rPr>
        <w:t>e</w:t>
      </w:r>
      <w:r w:rsidR="00812FEF" w:rsidRPr="004671A3">
        <w:rPr>
          <w:bCs/>
          <w:szCs w:val="20"/>
        </w:rPr>
        <w:t xml:space="preserve"> and maintain</w:t>
      </w:r>
      <w:r w:rsidRPr="004671A3">
        <w:rPr>
          <w:bCs/>
          <w:szCs w:val="20"/>
        </w:rPr>
        <w:t xml:space="preserve"> excellent</w:t>
      </w:r>
      <w:r w:rsidR="003C6757" w:rsidRPr="004671A3">
        <w:rPr>
          <w:bCs/>
          <w:szCs w:val="20"/>
        </w:rPr>
        <w:t xml:space="preserve"> professional relationships with a range of people</w:t>
      </w:r>
      <w:r w:rsidR="008D5D48">
        <w:rPr>
          <w:bCs/>
          <w:szCs w:val="20"/>
        </w:rPr>
        <w:t>.</w:t>
      </w:r>
    </w:p>
    <w:p w14:paraId="18F171C9" w14:textId="581B1D35" w:rsidR="004C05AB" w:rsidRDefault="008A1CEA" w:rsidP="004C05AB">
      <w:pPr>
        <w:pStyle w:val="Heading3"/>
        <w:keepNext/>
        <w:spacing w:beforeLines="40" w:before="96" w:afterLines="40" w:after="96"/>
        <w:jc w:val="both"/>
      </w:pPr>
      <w:r w:rsidRPr="004671A3">
        <w:t>Workload</w:t>
      </w:r>
    </w:p>
    <w:p w14:paraId="1B2C813F" w14:textId="465E6F20" w:rsidR="009D26F4" w:rsidRPr="004671A3" w:rsidRDefault="00794075" w:rsidP="009D26F4">
      <w:pPr>
        <w:pStyle w:val="ReportBody"/>
        <w:spacing w:beforeLines="40" w:before="96" w:afterLines="40" w:after="96"/>
        <w:jc w:val="both"/>
        <w:rPr>
          <w:rFonts w:eastAsia="Calibri"/>
          <w:color w:val="auto"/>
          <w:kern w:val="0"/>
          <w:lang w:eastAsia="en-US"/>
        </w:rPr>
      </w:pPr>
      <w:r w:rsidRPr="004671A3">
        <w:rPr>
          <w:rFonts w:eastAsia="Calibri"/>
          <w:color w:val="auto"/>
          <w:kern w:val="0"/>
          <w:lang w:eastAsia="en-US"/>
        </w:rPr>
        <w:t xml:space="preserve">All </w:t>
      </w:r>
      <w:r w:rsidR="00B438CC" w:rsidRPr="004671A3">
        <w:rPr>
          <w:rFonts w:eastAsia="Calibri"/>
          <w:color w:val="auto"/>
          <w:kern w:val="0"/>
          <w:lang w:eastAsia="en-US"/>
        </w:rPr>
        <w:t>m</w:t>
      </w:r>
      <w:r w:rsidR="00832AD1" w:rsidRPr="004671A3">
        <w:rPr>
          <w:rFonts w:eastAsia="Calibri"/>
          <w:color w:val="auto"/>
          <w:kern w:val="0"/>
          <w:lang w:eastAsia="en-US"/>
        </w:rPr>
        <w:t>embers are expected to prioriti</w:t>
      </w:r>
      <w:r w:rsidRPr="004671A3">
        <w:rPr>
          <w:rFonts w:eastAsia="Calibri"/>
          <w:color w:val="auto"/>
          <w:kern w:val="0"/>
          <w:lang w:eastAsia="en-US"/>
        </w:rPr>
        <w:t>s</w:t>
      </w:r>
      <w:r w:rsidR="00832AD1" w:rsidRPr="004671A3">
        <w:rPr>
          <w:rFonts w:eastAsia="Calibri"/>
          <w:color w:val="auto"/>
          <w:kern w:val="0"/>
          <w:lang w:eastAsia="en-US"/>
        </w:rPr>
        <w:t xml:space="preserve">e their commitment to the Tribunal, and are required to make themselves available to hear and consider at least half of the hearings </w:t>
      </w:r>
      <w:r w:rsidR="00AF0C1C" w:rsidRPr="004671A3">
        <w:rPr>
          <w:rFonts w:eastAsia="Calibri"/>
          <w:color w:val="auto"/>
          <w:kern w:val="0"/>
          <w:lang w:eastAsia="en-US"/>
        </w:rPr>
        <w:t>they are</w:t>
      </w:r>
      <w:r w:rsidR="00832AD1" w:rsidRPr="004671A3">
        <w:rPr>
          <w:rFonts w:eastAsia="Calibri"/>
          <w:color w:val="auto"/>
          <w:kern w:val="0"/>
          <w:lang w:eastAsia="en-US"/>
        </w:rPr>
        <w:t xml:space="preserve"> asked to participate in.</w:t>
      </w:r>
    </w:p>
    <w:p w14:paraId="16A3124F" w14:textId="37127283" w:rsidR="00171A8A" w:rsidRPr="004671A3" w:rsidRDefault="00706787" w:rsidP="007C2141">
      <w:pPr>
        <w:pStyle w:val="ReportBody"/>
        <w:spacing w:beforeLines="40" w:before="96" w:afterLines="40" w:after="96"/>
        <w:jc w:val="both"/>
        <w:rPr>
          <w:rFonts w:eastAsia="Calibri"/>
          <w:color w:val="auto"/>
          <w:kern w:val="0"/>
          <w:lang w:eastAsia="en-US"/>
        </w:rPr>
      </w:pPr>
      <w:r w:rsidRPr="004671A3">
        <w:rPr>
          <w:rFonts w:eastAsia="Calibri"/>
          <w:color w:val="auto"/>
          <w:kern w:val="0"/>
          <w:lang w:eastAsia="en-US"/>
        </w:rPr>
        <w:t xml:space="preserve">All </w:t>
      </w:r>
      <w:r w:rsidR="00CB1485">
        <w:rPr>
          <w:rFonts w:eastAsia="Calibri"/>
          <w:color w:val="auto"/>
          <w:kern w:val="0"/>
          <w:lang w:eastAsia="en-US"/>
        </w:rPr>
        <w:t>m</w:t>
      </w:r>
      <w:r w:rsidR="00B438CC" w:rsidRPr="004671A3">
        <w:rPr>
          <w:rFonts w:eastAsia="Calibri"/>
          <w:color w:val="auto"/>
          <w:kern w:val="0"/>
          <w:lang w:eastAsia="en-US"/>
        </w:rPr>
        <w:t>embers</w:t>
      </w:r>
      <w:r w:rsidR="00C5576B" w:rsidRPr="004671A3">
        <w:rPr>
          <w:rFonts w:eastAsia="Calibri"/>
          <w:color w:val="auto"/>
          <w:kern w:val="0"/>
          <w:lang w:eastAsia="en-US"/>
        </w:rPr>
        <w:t xml:space="preserve"> </w:t>
      </w:r>
      <w:r w:rsidRPr="004671A3">
        <w:rPr>
          <w:rFonts w:eastAsia="Calibri"/>
          <w:color w:val="auto"/>
          <w:kern w:val="0"/>
          <w:lang w:eastAsia="en-US"/>
        </w:rPr>
        <w:t xml:space="preserve">are </w:t>
      </w:r>
      <w:r w:rsidR="00C5576B" w:rsidRPr="004671A3">
        <w:rPr>
          <w:rFonts w:eastAsia="Calibri"/>
          <w:color w:val="auto"/>
          <w:kern w:val="0"/>
          <w:lang w:eastAsia="en-US"/>
        </w:rPr>
        <w:t>required to review all material provided to them before each hearing</w:t>
      </w:r>
      <w:r w:rsidR="00DC0887">
        <w:rPr>
          <w:rFonts w:eastAsia="Calibri"/>
          <w:color w:val="auto"/>
          <w:kern w:val="0"/>
          <w:lang w:eastAsia="en-US"/>
        </w:rPr>
        <w:t xml:space="preserve"> and </w:t>
      </w:r>
      <w:r w:rsidR="00C5576B" w:rsidRPr="004671A3">
        <w:rPr>
          <w:rFonts w:eastAsia="Calibri"/>
          <w:color w:val="auto"/>
          <w:kern w:val="0"/>
          <w:lang w:eastAsia="en-US"/>
        </w:rPr>
        <w:t>attend the hearing</w:t>
      </w:r>
      <w:r w:rsidR="00C0309B" w:rsidRPr="004671A3">
        <w:rPr>
          <w:rFonts w:eastAsia="Calibri"/>
          <w:color w:val="auto"/>
          <w:kern w:val="0"/>
          <w:lang w:eastAsia="en-US"/>
        </w:rPr>
        <w:t>.</w:t>
      </w:r>
      <w:r w:rsidR="00DC0887">
        <w:rPr>
          <w:rFonts w:eastAsia="Calibri"/>
          <w:color w:val="auto"/>
          <w:kern w:val="0"/>
          <w:lang w:eastAsia="en-US"/>
        </w:rPr>
        <w:t xml:space="preserve"> </w:t>
      </w:r>
      <w:r w:rsidR="00F45962" w:rsidRPr="004671A3">
        <w:rPr>
          <w:rFonts w:eastAsia="Calibri"/>
          <w:color w:val="auto"/>
          <w:kern w:val="0"/>
          <w:lang w:eastAsia="en-US"/>
        </w:rPr>
        <w:t>The Tribunal’s caseload can be highly variable across years.</w:t>
      </w:r>
    </w:p>
    <w:p w14:paraId="09020E8F" w14:textId="77777777" w:rsidR="00171A8A" w:rsidRPr="004671A3" w:rsidRDefault="00171A8A" w:rsidP="00171A8A">
      <w:pPr>
        <w:pStyle w:val="ReportBody"/>
        <w:spacing w:beforeLines="40" w:before="96" w:afterLines="40" w:after="96"/>
        <w:jc w:val="both"/>
        <w:rPr>
          <w:rFonts w:eastAsia="Calibri"/>
          <w:color w:val="auto"/>
          <w:kern w:val="0"/>
          <w:lang w:eastAsia="en-US"/>
        </w:rPr>
      </w:pPr>
      <w:r w:rsidRPr="004671A3">
        <w:rPr>
          <w:b/>
          <w:sz w:val="24"/>
          <w:szCs w:val="24"/>
        </w:rPr>
        <w:t>Location of Hearings</w:t>
      </w:r>
    </w:p>
    <w:p w14:paraId="2EF53DB8" w14:textId="538CE962" w:rsidR="00171A8A" w:rsidRPr="005F4D8A" w:rsidRDefault="005F4D8A" w:rsidP="005F4D8A">
      <w:pPr>
        <w:pStyle w:val="ReportBody"/>
        <w:spacing w:beforeLines="40" w:before="96" w:afterLines="40" w:after="96"/>
        <w:jc w:val="both"/>
        <w:rPr>
          <w:rFonts w:eastAsia="Calibri"/>
          <w:color w:val="auto"/>
          <w:kern w:val="0"/>
          <w:lang w:eastAsia="en-US"/>
        </w:rPr>
      </w:pPr>
      <w:bookmarkStart w:id="7" w:name="_Hlk201658328"/>
      <w:r w:rsidRPr="00C05DF2">
        <w:rPr>
          <w:rFonts w:eastAsia="Calibri"/>
          <w:color w:val="auto"/>
          <w:kern w:val="0"/>
          <w:lang w:eastAsia="en-US"/>
        </w:rPr>
        <w:t xml:space="preserve">Hearings are held across New Zealand. Each </w:t>
      </w:r>
      <w:r>
        <w:rPr>
          <w:rFonts w:eastAsia="Calibri"/>
          <w:color w:val="auto"/>
          <w:kern w:val="0"/>
          <w:lang w:eastAsia="en-US"/>
        </w:rPr>
        <w:t xml:space="preserve">hearing </w:t>
      </w:r>
      <w:r w:rsidRPr="00C05DF2">
        <w:rPr>
          <w:rFonts w:eastAsia="Calibri"/>
          <w:color w:val="auto"/>
          <w:kern w:val="0"/>
          <w:lang w:eastAsia="en-US"/>
        </w:rPr>
        <w:t>location depends on where the registered social worker, who has a charge(s) laid against them, lives.</w:t>
      </w:r>
      <w:r w:rsidR="00171A8A" w:rsidRPr="004671A3">
        <w:t xml:space="preserve"> </w:t>
      </w:r>
    </w:p>
    <w:bookmarkEnd w:id="7"/>
    <w:p w14:paraId="602ECCDB" w14:textId="6E9C66D9" w:rsidR="007C2141" w:rsidRPr="004671A3" w:rsidRDefault="006D632D" w:rsidP="007C2141">
      <w:pPr>
        <w:pStyle w:val="Heading3"/>
        <w:keepNext/>
        <w:spacing w:beforeLines="40" w:before="96" w:afterLines="40" w:after="96"/>
        <w:jc w:val="both"/>
        <w:rPr>
          <w:color w:val="00B050"/>
        </w:rPr>
      </w:pPr>
      <w:r>
        <w:lastRenderedPageBreak/>
        <w:t>Fees</w:t>
      </w:r>
      <w:r w:rsidR="007C2141" w:rsidRPr="004671A3">
        <w:t xml:space="preserve"> and expenses</w:t>
      </w:r>
    </w:p>
    <w:p w14:paraId="7E75C48C" w14:textId="59CCAAA1" w:rsidR="007C2141" w:rsidRPr="004671A3" w:rsidRDefault="00CA557A" w:rsidP="00CA557A">
      <w:pPr>
        <w:pStyle w:val="ReportBody"/>
        <w:spacing w:beforeLines="40" w:before="96" w:afterLines="40" w:after="96"/>
        <w:jc w:val="both"/>
        <w:rPr>
          <w:rFonts w:eastAsia="Calibri"/>
          <w:color w:val="auto"/>
          <w:kern w:val="0"/>
          <w:lang w:eastAsia="en-US"/>
        </w:rPr>
      </w:pPr>
      <w:r w:rsidRPr="004671A3">
        <w:rPr>
          <w:rFonts w:eastAsia="Calibri"/>
          <w:color w:val="auto"/>
          <w:kern w:val="0"/>
          <w:lang w:eastAsia="en-US"/>
        </w:rPr>
        <w:t xml:space="preserve">Members are only paid for the hearings they take part in. </w:t>
      </w:r>
      <w:r w:rsidR="00AD3017" w:rsidRPr="004671A3">
        <w:t xml:space="preserve">The fee is </w:t>
      </w:r>
      <w:r w:rsidR="007C2141" w:rsidRPr="004671A3">
        <w:t xml:space="preserve">set </w:t>
      </w:r>
      <w:r w:rsidR="00AD3017" w:rsidRPr="004671A3">
        <w:t xml:space="preserve">under </w:t>
      </w:r>
      <w:r w:rsidR="007C2141" w:rsidRPr="004671A3">
        <w:t>the Cabinet Fees Framework.</w:t>
      </w:r>
      <w:r w:rsidR="00680D76">
        <w:t xml:space="preserve"> </w:t>
      </w:r>
      <w:r w:rsidR="007C2141" w:rsidRPr="004671A3">
        <w:t xml:space="preserve">The current daily fee for work undertaken </w:t>
      </w:r>
      <w:r w:rsidR="00DC0887">
        <w:t xml:space="preserve">by members </w:t>
      </w:r>
      <w:r w:rsidR="007C2141" w:rsidRPr="004671A3">
        <w:t>as part of the Tribunal is $</w:t>
      </w:r>
      <w:r w:rsidR="00AA43E4" w:rsidRPr="004671A3">
        <w:t>450</w:t>
      </w:r>
      <w:r w:rsidR="007C2141" w:rsidRPr="004671A3">
        <w:t>.00.</w:t>
      </w:r>
    </w:p>
    <w:p w14:paraId="07022AA5" w14:textId="77777777" w:rsidR="007C2141" w:rsidRPr="004671A3" w:rsidRDefault="007C2141" w:rsidP="007C2141">
      <w:pPr>
        <w:spacing w:beforeLines="40" w:before="96" w:afterLines="40" w:after="96"/>
        <w:jc w:val="both"/>
        <w:rPr>
          <w:b/>
          <w:szCs w:val="20"/>
        </w:rPr>
      </w:pPr>
      <w:r w:rsidRPr="004671A3">
        <w:rPr>
          <w:szCs w:val="20"/>
        </w:rPr>
        <w:t>Actual and reasonable expenses can be claimed for costs associated with travelling.</w:t>
      </w:r>
    </w:p>
    <w:p w14:paraId="32736759" w14:textId="6010674D" w:rsidR="000E34DA" w:rsidRPr="004671A3" w:rsidRDefault="000E34DA" w:rsidP="000E34DA">
      <w:pPr>
        <w:pStyle w:val="CabStandard"/>
        <w:numPr>
          <w:ilvl w:val="0"/>
          <w:numId w:val="0"/>
        </w:numPr>
        <w:spacing w:after="1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Public servants should not be double</w:t>
      </w:r>
      <w:r w:rsidR="00EB3FEB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paid. </w:t>
      </w:r>
      <w:r w:rsidR="00DC368B">
        <w:rPr>
          <w:rFonts w:ascii="Verdana" w:hAnsi="Verdana"/>
          <w:sz w:val="20"/>
        </w:rPr>
        <w:t>A p</w:t>
      </w:r>
      <w:r>
        <w:rPr>
          <w:rFonts w:ascii="Verdana" w:hAnsi="Verdana"/>
          <w:sz w:val="20"/>
        </w:rPr>
        <w:t>ublic servant appointed to the Tribunal should retain their salary and not receive a fee.</w:t>
      </w:r>
    </w:p>
    <w:p w14:paraId="17F3989F" w14:textId="77777777" w:rsidR="009B66DF" w:rsidRPr="004671A3" w:rsidRDefault="009B66DF" w:rsidP="00F21F65">
      <w:pPr>
        <w:pStyle w:val="Heading3"/>
        <w:spacing w:beforeLines="40" w:before="96" w:afterLines="40" w:after="96"/>
        <w:jc w:val="both"/>
      </w:pPr>
      <w:r w:rsidRPr="004671A3">
        <w:t>Administrative support</w:t>
      </w:r>
    </w:p>
    <w:p w14:paraId="4214EFF8" w14:textId="3D4086A7" w:rsidR="00330E4B" w:rsidRPr="004671A3" w:rsidRDefault="00524DC1">
      <w:pPr>
        <w:spacing w:beforeLines="40" w:before="96" w:afterLines="40" w:after="96"/>
        <w:jc w:val="both"/>
        <w:rPr>
          <w:rFonts w:eastAsia="Times New Roman"/>
          <w:color w:val="00B050"/>
          <w:kern w:val="22"/>
          <w:szCs w:val="20"/>
          <w:lang w:eastAsia="en-NZ"/>
        </w:rPr>
      </w:pPr>
      <w:r w:rsidRPr="004671A3">
        <w:rPr>
          <w:color w:val="000000"/>
          <w:kern w:val="22"/>
          <w:szCs w:val="20"/>
        </w:rPr>
        <w:t>The Social Workers Registration Board provides administrative support to the Tribunal.</w:t>
      </w:r>
      <w:bookmarkEnd w:id="0"/>
    </w:p>
    <w:p w14:paraId="18A6DCA4" w14:textId="447BC79D" w:rsidR="00943E28" w:rsidRPr="004671A3" w:rsidRDefault="00943E28" w:rsidP="00680D76">
      <w:pPr>
        <w:pStyle w:val="Heading3"/>
        <w:spacing w:beforeLines="40" w:before="96" w:afterLines="40" w:after="96"/>
        <w:jc w:val="both"/>
      </w:pPr>
      <w:r w:rsidRPr="004671A3">
        <w:t>Appointee information held</w:t>
      </w:r>
    </w:p>
    <w:p w14:paraId="546B4A95" w14:textId="77777777" w:rsidR="00943E28" w:rsidRPr="004671A3" w:rsidRDefault="00943E28" w:rsidP="004671A3">
      <w:pPr>
        <w:pStyle w:val="ReportBody"/>
        <w:spacing w:beforeLines="40" w:before="96" w:afterLines="40" w:after="96"/>
        <w:jc w:val="both"/>
        <w:rPr>
          <w:rFonts w:eastAsia="Calibri"/>
          <w:color w:val="auto"/>
          <w:kern w:val="0"/>
          <w:lang w:eastAsia="en-US"/>
        </w:rPr>
      </w:pPr>
      <w:r w:rsidRPr="004671A3">
        <w:rPr>
          <w:rFonts w:eastAsia="Calibri"/>
          <w:color w:val="auto"/>
          <w:kern w:val="0"/>
          <w:lang w:eastAsia="en-US"/>
        </w:rPr>
        <w:t xml:space="preserve">Information on those appointed to the Authority is collected and securely held by the Public Service Commission in a specialist system, ‘AppointNet’. For more details, please see the privacy statement at: </w:t>
      </w:r>
    </w:p>
    <w:p w14:paraId="33190927" w14:textId="77777777" w:rsidR="00943E28" w:rsidRPr="00781AE5" w:rsidRDefault="00807E29" w:rsidP="004671A3">
      <w:pPr>
        <w:spacing w:beforeLines="40" w:before="96" w:afterLines="40" w:after="96"/>
        <w:jc w:val="both"/>
        <w:rPr>
          <w:rFonts w:eastAsia="Times New Roman"/>
          <w:color w:val="000000"/>
          <w:kern w:val="22"/>
          <w:szCs w:val="20"/>
          <w:lang w:eastAsia="en-NZ"/>
        </w:rPr>
      </w:pPr>
      <w:hyperlink r:id="rId9" w:history="1">
        <w:r w:rsidR="00943E28" w:rsidRPr="004671A3">
          <w:rPr>
            <w:rStyle w:val="Hyperlink"/>
            <w:rFonts w:eastAsia="Times New Roman"/>
            <w:kern w:val="22"/>
            <w:szCs w:val="20"/>
            <w:lang w:eastAsia="en-NZ"/>
          </w:rPr>
          <w:t>www.publicservice.govt.nz/system/crown-entities/crown-entity-resource-centre/appointnet-privacy-protocol</w:t>
        </w:r>
      </w:hyperlink>
    </w:p>
    <w:p w14:paraId="33A7CF05" w14:textId="5BD8EC36" w:rsidR="00E22F7F" w:rsidRPr="00F21F65" w:rsidRDefault="00E22F7F" w:rsidP="00F21F65">
      <w:pPr>
        <w:pStyle w:val="Heading3"/>
        <w:spacing w:beforeLines="40" w:before="96" w:afterLines="40" w:after="96"/>
        <w:jc w:val="both"/>
        <w:rPr>
          <w:rFonts w:eastAsia="Times New Roman"/>
          <w:color w:val="00B050"/>
          <w:kern w:val="22"/>
          <w:szCs w:val="20"/>
          <w:lang w:eastAsia="en-NZ"/>
        </w:rPr>
      </w:pPr>
    </w:p>
    <w:sectPr w:rsidR="00E22F7F" w:rsidRPr="00F21F65" w:rsidSect="00330E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14" w:right="1021" w:bottom="1021" w:left="1021" w:header="794" w:footer="709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C7B68" w14:textId="77777777" w:rsidR="006F5599" w:rsidRDefault="006F5599" w:rsidP="008B449D">
      <w:r>
        <w:separator/>
      </w:r>
    </w:p>
  </w:endnote>
  <w:endnote w:type="continuationSeparator" w:id="0">
    <w:p w14:paraId="2C91CCBA" w14:textId="77777777" w:rsidR="006F5599" w:rsidRDefault="006F5599" w:rsidP="008B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 Pro Semibold">
    <w:charset w:val="00"/>
    <w:family w:val="swiss"/>
    <w:pitch w:val="variable"/>
    <w:sig w:usb0="80000287" w:usb1="0000004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A0BFD" w14:textId="77777777" w:rsidR="00C53565" w:rsidRDefault="00C535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891FF" w14:textId="77777777" w:rsidR="00C53565" w:rsidRDefault="00C535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BA2F7" w14:textId="77777777" w:rsidR="00C53565" w:rsidRDefault="00C535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D75E6" w14:textId="77777777" w:rsidR="006F5599" w:rsidRDefault="006F5599" w:rsidP="008B449D">
      <w:r>
        <w:separator/>
      </w:r>
    </w:p>
  </w:footnote>
  <w:footnote w:type="continuationSeparator" w:id="0">
    <w:p w14:paraId="46A83E40" w14:textId="77777777" w:rsidR="006F5599" w:rsidRDefault="006F5599" w:rsidP="008B4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FBE87" w14:textId="77777777" w:rsidR="00C53565" w:rsidRDefault="00C535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EE4F0" w14:textId="5E4C879E" w:rsidR="008B449D" w:rsidRPr="00C939D9" w:rsidRDefault="008B449D" w:rsidP="00F41203">
    <w:pPr>
      <w:spacing w:after="80"/>
      <w:jc w:val="center"/>
      <w:rPr>
        <w:rFonts w:ascii="Verdana Pro Semibold" w:hAnsi="Verdana Pro Semibold"/>
        <w:b/>
        <w:sz w:val="32"/>
        <w:szCs w:val="32"/>
      </w:rPr>
    </w:pPr>
    <w:bookmarkStart w:id="8" w:name="_Hlk20753480"/>
    <w:bookmarkStart w:id="9" w:name="_Hlk20753481"/>
    <w:r w:rsidRPr="00C939D9">
      <w:rPr>
        <w:rFonts w:ascii="Verdana Pro Semibold" w:hAnsi="Verdana Pro Semibold"/>
        <w:b/>
        <w:sz w:val="32"/>
        <w:szCs w:val="32"/>
      </w:rPr>
      <w:t xml:space="preserve">Social </w:t>
    </w:r>
    <w:r w:rsidR="005C5D68" w:rsidRPr="00C939D9">
      <w:rPr>
        <w:rFonts w:ascii="Verdana Pro Semibold" w:hAnsi="Verdana Pro Semibold"/>
        <w:b/>
        <w:sz w:val="32"/>
        <w:szCs w:val="32"/>
      </w:rPr>
      <w:t>Workers Disciplinary Tribunal</w:t>
    </w:r>
  </w:p>
  <w:p w14:paraId="4321C180" w14:textId="363279B8" w:rsidR="008B449D" w:rsidRPr="00676D78" w:rsidRDefault="001B53EA" w:rsidP="008B449D">
    <w:pPr>
      <w:pBdr>
        <w:bottom w:val="single" w:sz="12" w:space="1" w:color="auto"/>
      </w:pBdr>
      <w:jc w:val="center"/>
      <w:rPr>
        <w:sz w:val="24"/>
      </w:rPr>
    </w:pPr>
    <w:r>
      <w:rPr>
        <w:sz w:val="24"/>
      </w:rPr>
      <w:t xml:space="preserve">Registered Social Worker </w:t>
    </w:r>
    <w:r w:rsidR="005C5D68">
      <w:rPr>
        <w:sz w:val="24"/>
      </w:rPr>
      <w:t>Position</w:t>
    </w:r>
    <w:r w:rsidR="008B449D" w:rsidRPr="00C63740">
      <w:rPr>
        <w:sz w:val="24"/>
      </w:rPr>
      <w:t xml:space="preserve"> Description</w:t>
    </w:r>
    <w:r w:rsidR="004A39EB">
      <w:rPr>
        <w:sz w:val="24"/>
      </w:rPr>
      <w:t>,</w:t>
    </w:r>
    <w:r w:rsidR="008B449D" w:rsidRPr="00C63740">
      <w:rPr>
        <w:sz w:val="24"/>
      </w:rPr>
      <w:t xml:space="preserve"> </w:t>
    </w:r>
    <w:bookmarkEnd w:id="8"/>
    <w:bookmarkEnd w:id="9"/>
    <w:r w:rsidR="005C5D68">
      <w:rPr>
        <w:sz w:val="24"/>
      </w:rPr>
      <w:t xml:space="preserve">June </w:t>
    </w:r>
    <w:r w:rsidR="00932BFF">
      <w:rPr>
        <w:sz w:val="24"/>
      </w:rPr>
      <w:t>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92A9F" w14:textId="77777777" w:rsidR="00C53565" w:rsidRDefault="00C535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F01DAC"/>
    <w:multiLevelType w:val="hybridMultilevel"/>
    <w:tmpl w:val="2CE4A0B8"/>
    <w:lvl w:ilvl="0" w:tplc="C310B698">
      <w:numFmt w:val="bullet"/>
      <w:lvlText w:val="•"/>
      <w:lvlJc w:val="left"/>
      <w:pPr>
        <w:ind w:left="1080" w:hanging="720"/>
      </w:pPr>
      <w:rPr>
        <w:rFonts w:ascii="Verdana" w:eastAsia="Times New Roman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9C31AE"/>
    <w:multiLevelType w:val="hybridMultilevel"/>
    <w:tmpl w:val="89144E78"/>
    <w:lvl w:ilvl="0" w:tplc="C310B698">
      <w:numFmt w:val="bullet"/>
      <w:lvlText w:val="•"/>
      <w:lvlJc w:val="left"/>
      <w:pPr>
        <w:ind w:left="2705" w:hanging="720"/>
      </w:pPr>
      <w:rPr>
        <w:rFonts w:ascii="Verdana" w:eastAsia="Times New Roman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3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143F7A50"/>
    <w:multiLevelType w:val="hybridMultilevel"/>
    <w:tmpl w:val="188C3676"/>
    <w:lvl w:ilvl="0" w:tplc="B960423A">
      <w:start w:val="1"/>
      <w:numFmt w:val="bullet"/>
      <w:pStyle w:val="Bullet2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6B22475"/>
    <w:multiLevelType w:val="hybridMultilevel"/>
    <w:tmpl w:val="AE28D7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1AC5BCC"/>
    <w:multiLevelType w:val="multilevel"/>
    <w:tmpl w:val="B33C8C64"/>
    <w:lvl w:ilvl="0">
      <w:start w:val="1"/>
      <w:numFmt w:val="decimal"/>
      <w:pStyle w:val="CabStandard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410"/>
        </w:tabs>
        <w:ind w:left="2410" w:hanging="970"/>
      </w:pPr>
    </w:lvl>
    <w:lvl w:ilvl="3">
      <w:start w:val="1"/>
      <w:numFmt w:val="decimal"/>
      <w:lvlText w:val="%1.%2.%3.%4"/>
      <w:lvlJc w:val="left"/>
      <w:pPr>
        <w:tabs>
          <w:tab w:val="num" w:pos="3572"/>
        </w:tabs>
        <w:ind w:left="3572" w:hanging="1162"/>
      </w:pPr>
    </w:lvl>
    <w:lvl w:ilvl="4">
      <w:start w:val="1"/>
      <w:numFmt w:val="decimal"/>
      <w:lvlText w:val="%1.%2.%3.%4.%5"/>
      <w:lvlJc w:val="left"/>
      <w:pPr>
        <w:tabs>
          <w:tab w:val="num" w:pos="4876"/>
        </w:tabs>
        <w:ind w:left="4876" w:hanging="1304"/>
      </w:p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lowerRoman"/>
      <w:lvlText w:val="%7)"/>
      <w:lvlJc w:val="left"/>
      <w:pPr>
        <w:tabs>
          <w:tab w:val="num" w:pos="2880"/>
        </w:tabs>
        <w:ind w:left="2517" w:hanging="357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23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39A5D87"/>
    <w:multiLevelType w:val="hybridMultilevel"/>
    <w:tmpl w:val="C26E90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54BCE"/>
    <w:multiLevelType w:val="multilevel"/>
    <w:tmpl w:val="360CD2E8"/>
    <w:styleLink w:val="BodyList"/>
    <w:lvl w:ilvl="0">
      <w:start w:val="1"/>
      <w:numFmt w:val="decimal"/>
      <w:lvlText w:val="%1"/>
      <w:lvlJc w:val="left"/>
      <w:pPr>
        <w:tabs>
          <w:tab w:val="num" w:pos="494"/>
        </w:tabs>
        <w:ind w:left="494" w:hanging="4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3"/>
        </w:tabs>
        <w:ind w:left="987" w:hanging="49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1667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0"/>
        </w:tabs>
        <w:ind w:left="12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0"/>
        </w:tabs>
        <w:ind w:left="17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0"/>
        </w:tabs>
        <w:ind w:left="22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80"/>
        </w:tabs>
        <w:ind w:left="2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00"/>
        </w:tabs>
        <w:ind w:left="32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60"/>
        </w:tabs>
        <w:ind w:left="3800" w:hanging="1440"/>
      </w:pPr>
      <w:rPr>
        <w:rFonts w:hint="default"/>
      </w:rPr>
    </w:lvl>
  </w:abstractNum>
  <w:abstractNum w:abstractNumId="28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9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CCA41DC"/>
    <w:multiLevelType w:val="hybridMultilevel"/>
    <w:tmpl w:val="958E135A"/>
    <w:lvl w:ilvl="0" w:tplc="C310B698">
      <w:numFmt w:val="bullet"/>
      <w:lvlText w:val="•"/>
      <w:lvlJc w:val="left"/>
      <w:pPr>
        <w:ind w:left="1080" w:hanging="720"/>
      </w:pPr>
      <w:rPr>
        <w:rFonts w:ascii="Verdana" w:eastAsia="Times New Roman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7FA40590"/>
    <w:multiLevelType w:val="multilevel"/>
    <w:tmpl w:val="0C3E25C8"/>
    <w:lvl w:ilvl="0">
      <w:start w:val="1"/>
      <w:numFmt w:val="bullet"/>
      <w:lvlText w:val=""/>
      <w:lvlJc w:val="left"/>
      <w:pPr>
        <w:tabs>
          <w:tab w:val="num" w:pos="986"/>
        </w:tabs>
        <w:ind w:left="986" w:hanging="49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2047"/>
        </w:tabs>
        <w:ind w:left="204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26"/>
        </w:tabs>
        <w:ind w:left="219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86"/>
        </w:tabs>
        <w:ind w:left="269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06"/>
        </w:tabs>
        <w:ind w:left="32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66"/>
        </w:tabs>
        <w:ind w:left="37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6"/>
        </w:tabs>
        <w:ind w:left="42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46"/>
        </w:tabs>
        <w:ind w:left="4786" w:hanging="1440"/>
      </w:pPr>
      <w:rPr>
        <w:rFonts w:hint="default"/>
      </w:rPr>
    </w:lvl>
  </w:abstractNum>
  <w:num w:numId="1" w16cid:durableId="1904291522">
    <w:abstractNumId w:val="20"/>
  </w:num>
  <w:num w:numId="2" w16cid:durableId="4124306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75086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9643509">
    <w:abstractNumId w:val="17"/>
  </w:num>
  <w:num w:numId="5" w16cid:durableId="1131240504">
    <w:abstractNumId w:val="9"/>
  </w:num>
  <w:num w:numId="6" w16cid:durableId="876091352">
    <w:abstractNumId w:val="7"/>
  </w:num>
  <w:num w:numId="7" w16cid:durableId="1867137897">
    <w:abstractNumId w:val="29"/>
  </w:num>
  <w:num w:numId="8" w16cid:durableId="20398164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1751333">
    <w:abstractNumId w:val="9"/>
  </w:num>
  <w:num w:numId="10" w16cid:durableId="505175918">
    <w:abstractNumId w:val="14"/>
  </w:num>
  <w:num w:numId="11" w16cid:durableId="1816218427">
    <w:abstractNumId w:val="14"/>
  </w:num>
  <w:num w:numId="12" w16cid:durableId="422186165">
    <w:abstractNumId w:val="9"/>
  </w:num>
  <w:num w:numId="13" w16cid:durableId="1502314137">
    <w:abstractNumId w:val="10"/>
  </w:num>
  <w:num w:numId="14" w16cid:durableId="802650127">
    <w:abstractNumId w:val="25"/>
  </w:num>
  <w:num w:numId="15" w16cid:durableId="1215895562">
    <w:abstractNumId w:val="15"/>
  </w:num>
  <w:num w:numId="16" w16cid:durableId="2084374137">
    <w:abstractNumId w:val="6"/>
  </w:num>
  <w:num w:numId="17" w16cid:durableId="595984621">
    <w:abstractNumId w:val="5"/>
  </w:num>
  <w:num w:numId="18" w16cid:durableId="704326788">
    <w:abstractNumId w:val="4"/>
  </w:num>
  <w:num w:numId="19" w16cid:durableId="1746949089">
    <w:abstractNumId w:val="8"/>
  </w:num>
  <w:num w:numId="20" w16cid:durableId="303313584">
    <w:abstractNumId w:val="3"/>
  </w:num>
  <w:num w:numId="21" w16cid:durableId="1440758519">
    <w:abstractNumId w:val="2"/>
  </w:num>
  <w:num w:numId="22" w16cid:durableId="347684718">
    <w:abstractNumId w:val="1"/>
  </w:num>
  <w:num w:numId="23" w16cid:durableId="980647636">
    <w:abstractNumId w:val="0"/>
  </w:num>
  <w:num w:numId="24" w16cid:durableId="1270284673">
    <w:abstractNumId w:val="19"/>
  </w:num>
  <w:num w:numId="25" w16cid:durableId="1064329608">
    <w:abstractNumId w:val="31"/>
  </w:num>
  <w:num w:numId="26" w16cid:durableId="2037192289">
    <w:abstractNumId w:val="33"/>
  </w:num>
  <w:num w:numId="27" w16cid:durableId="218522226">
    <w:abstractNumId w:val="30"/>
  </w:num>
  <w:num w:numId="28" w16cid:durableId="319963387">
    <w:abstractNumId w:val="21"/>
  </w:num>
  <w:num w:numId="29" w16cid:durableId="273825344">
    <w:abstractNumId w:val="13"/>
  </w:num>
  <w:num w:numId="30" w16cid:durableId="416752072">
    <w:abstractNumId w:val="23"/>
  </w:num>
  <w:num w:numId="31" w16cid:durableId="92896653">
    <w:abstractNumId w:val="34"/>
  </w:num>
  <w:num w:numId="32" w16cid:durableId="278420873">
    <w:abstractNumId w:val="26"/>
  </w:num>
  <w:num w:numId="33" w16cid:durableId="1856530820">
    <w:abstractNumId w:val="27"/>
  </w:num>
  <w:num w:numId="34" w16cid:durableId="105665153">
    <w:abstractNumId w:val="27"/>
    <w:lvlOverride w:ilvl="0">
      <w:lvl w:ilvl="0">
        <w:start w:val="1"/>
        <w:numFmt w:val="decimal"/>
        <w:lvlText w:val="%1"/>
        <w:lvlJc w:val="left"/>
        <w:pPr>
          <w:tabs>
            <w:tab w:val="num" w:pos="494"/>
          </w:tabs>
          <w:ind w:left="494" w:hanging="494"/>
        </w:pPr>
        <w:rPr>
          <w:rFonts w:hint="default"/>
          <w:i w:val="0"/>
        </w:rPr>
      </w:lvl>
    </w:lvlOverride>
  </w:num>
  <w:num w:numId="35" w16cid:durableId="943877439">
    <w:abstractNumId w:val="18"/>
  </w:num>
  <w:num w:numId="36" w16cid:durableId="2054573635">
    <w:abstractNumId w:val="16"/>
  </w:num>
  <w:num w:numId="37" w16cid:durableId="1885408541">
    <w:abstractNumId w:val="12"/>
  </w:num>
  <w:num w:numId="38" w16cid:durableId="12849653">
    <w:abstractNumId w:val="24"/>
  </w:num>
  <w:num w:numId="39" w16cid:durableId="542520183">
    <w:abstractNumId w:val="11"/>
  </w:num>
  <w:num w:numId="40" w16cid:durableId="1200630098">
    <w:abstractNumId w:val="32"/>
  </w:num>
  <w:num w:numId="41" w16cid:durableId="17413688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18915297">
    <w:abstractNumId w:val="22"/>
  </w:num>
  <w:num w:numId="43" w16cid:durableId="40449627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49D"/>
    <w:rsid w:val="00000B4C"/>
    <w:rsid w:val="00005BBE"/>
    <w:rsid w:val="00007BCD"/>
    <w:rsid w:val="000106D0"/>
    <w:rsid w:val="00034336"/>
    <w:rsid w:val="00037CB0"/>
    <w:rsid w:val="00051B8B"/>
    <w:rsid w:val="00054478"/>
    <w:rsid w:val="00060CB6"/>
    <w:rsid w:val="00061094"/>
    <w:rsid w:val="00074C3C"/>
    <w:rsid w:val="000760F4"/>
    <w:rsid w:val="00080C7E"/>
    <w:rsid w:val="0009211E"/>
    <w:rsid w:val="000A0801"/>
    <w:rsid w:val="000A576B"/>
    <w:rsid w:val="000B11B0"/>
    <w:rsid w:val="000C0C88"/>
    <w:rsid w:val="000D1167"/>
    <w:rsid w:val="000D2055"/>
    <w:rsid w:val="000D3B57"/>
    <w:rsid w:val="000E34DA"/>
    <w:rsid w:val="000E387E"/>
    <w:rsid w:val="000E3BB9"/>
    <w:rsid w:val="000E41FA"/>
    <w:rsid w:val="00106AED"/>
    <w:rsid w:val="00131638"/>
    <w:rsid w:val="00136393"/>
    <w:rsid w:val="00147DC1"/>
    <w:rsid w:val="00171A8A"/>
    <w:rsid w:val="00171F77"/>
    <w:rsid w:val="00182F6E"/>
    <w:rsid w:val="0018558D"/>
    <w:rsid w:val="001A6635"/>
    <w:rsid w:val="001B2A40"/>
    <w:rsid w:val="001B53EA"/>
    <w:rsid w:val="001B77EE"/>
    <w:rsid w:val="001D0472"/>
    <w:rsid w:val="001D3744"/>
    <w:rsid w:val="001D5C4F"/>
    <w:rsid w:val="001D5DD9"/>
    <w:rsid w:val="001E2EC2"/>
    <w:rsid w:val="002013F1"/>
    <w:rsid w:val="00204B26"/>
    <w:rsid w:val="00212435"/>
    <w:rsid w:val="002126C1"/>
    <w:rsid w:val="00213DA6"/>
    <w:rsid w:val="00216302"/>
    <w:rsid w:val="00223AB9"/>
    <w:rsid w:val="00236D2D"/>
    <w:rsid w:val="00245A2B"/>
    <w:rsid w:val="00247ED7"/>
    <w:rsid w:val="00252EE9"/>
    <w:rsid w:val="00255C20"/>
    <w:rsid w:val="002623B6"/>
    <w:rsid w:val="0026363C"/>
    <w:rsid w:val="00274717"/>
    <w:rsid w:val="00293878"/>
    <w:rsid w:val="002B2FBA"/>
    <w:rsid w:val="002B6CD2"/>
    <w:rsid w:val="002C01FE"/>
    <w:rsid w:val="002C5CF0"/>
    <w:rsid w:val="002D1C62"/>
    <w:rsid w:val="002D367B"/>
    <w:rsid w:val="002D7893"/>
    <w:rsid w:val="002E474C"/>
    <w:rsid w:val="002E78C1"/>
    <w:rsid w:val="002E7C16"/>
    <w:rsid w:val="002F4C1A"/>
    <w:rsid w:val="003046E6"/>
    <w:rsid w:val="003142A4"/>
    <w:rsid w:val="00320634"/>
    <w:rsid w:val="003253BC"/>
    <w:rsid w:val="00326BB5"/>
    <w:rsid w:val="00330E4B"/>
    <w:rsid w:val="003527A9"/>
    <w:rsid w:val="00354B6E"/>
    <w:rsid w:val="00354EC2"/>
    <w:rsid w:val="00356C56"/>
    <w:rsid w:val="00365D68"/>
    <w:rsid w:val="00371EEE"/>
    <w:rsid w:val="003768D3"/>
    <w:rsid w:val="00382914"/>
    <w:rsid w:val="00383285"/>
    <w:rsid w:val="00383556"/>
    <w:rsid w:val="00383EE3"/>
    <w:rsid w:val="00384453"/>
    <w:rsid w:val="00387A12"/>
    <w:rsid w:val="00397220"/>
    <w:rsid w:val="003A167E"/>
    <w:rsid w:val="003B0A38"/>
    <w:rsid w:val="003B0DDC"/>
    <w:rsid w:val="003C05DB"/>
    <w:rsid w:val="003C57D4"/>
    <w:rsid w:val="003C6757"/>
    <w:rsid w:val="003C7EF1"/>
    <w:rsid w:val="003D0780"/>
    <w:rsid w:val="003E2869"/>
    <w:rsid w:val="003E3722"/>
    <w:rsid w:val="003E3966"/>
    <w:rsid w:val="00415D95"/>
    <w:rsid w:val="004227ED"/>
    <w:rsid w:val="00432438"/>
    <w:rsid w:val="00437058"/>
    <w:rsid w:val="00445BCE"/>
    <w:rsid w:val="004471E8"/>
    <w:rsid w:val="00454F25"/>
    <w:rsid w:val="004671A3"/>
    <w:rsid w:val="004710B8"/>
    <w:rsid w:val="00481629"/>
    <w:rsid w:val="00487821"/>
    <w:rsid w:val="00497271"/>
    <w:rsid w:val="004A217C"/>
    <w:rsid w:val="004A312E"/>
    <w:rsid w:val="004A39EB"/>
    <w:rsid w:val="004C05AB"/>
    <w:rsid w:val="004C4FBD"/>
    <w:rsid w:val="004D0AEC"/>
    <w:rsid w:val="004D21FB"/>
    <w:rsid w:val="004D7EFC"/>
    <w:rsid w:val="004F01A0"/>
    <w:rsid w:val="004F06D9"/>
    <w:rsid w:val="004F1B9A"/>
    <w:rsid w:val="004F721A"/>
    <w:rsid w:val="0050276B"/>
    <w:rsid w:val="00503982"/>
    <w:rsid w:val="00514936"/>
    <w:rsid w:val="00516A6E"/>
    <w:rsid w:val="00520EBE"/>
    <w:rsid w:val="0052450C"/>
    <w:rsid w:val="00524DC1"/>
    <w:rsid w:val="00530E61"/>
    <w:rsid w:val="00533BE2"/>
    <w:rsid w:val="00533E65"/>
    <w:rsid w:val="00534A91"/>
    <w:rsid w:val="00540770"/>
    <w:rsid w:val="0054647C"/>
    <w:rsid w:val="00546D6B"/>
    <w:rsid w:val="00563A09"/>
    <w:rsid w:val="0056681E"/>
    <w:rsid w:val="00572AA9"/>
    <w:rsid w:val="005756C9"/>
    <w:rsid w:val="00576E66"/>
    <w:rsid w:val="00580E6E"/>
    <w:rsid w:val="005815F4"/>
    <w:rsid w:val="0058513E"/>
    <w:rsid w:val="00593500"/>
    <w:rsid w:val="00595906"/>
    <w:rsid w:val="005B11F9"/>
    <w:rsid w:val="005B4864"/>
    <w:rsid w:val="005C5D68"/>
    <w:rsid w:val="005F2302"/>
    <w:rsid w:val="005F3C31"/>
    <w:rsid w:val="005F4D8A"/>
    <w:rsid w:val="00610C36"/>
    <w:rsid w:val="00611F80"/>
    <w:rsid w:val="00613A81"/>
    <w:rsid w:val="00621B76"/>
    <w:rsid w:val="006229FF"/>
    <w:rsid w:val="0062307B"/>
    <w:rsid w:val="006310F8"/>
    <w:rsid w:val="00631D73"/>
    <w:rsid w:val="006471FD"/>
    <w:rsid w:val="00672823"/>
    <w:rsid w:val="00673A72"/>
    <w:rsid w:val="00680D76"/>
    <w:rsid w:val="00692688"/>
    <w:rsid w:val="0069695E"/>
    <w:rsid w:val="006A7744"/>
    <w:rsid w:val="006B19BD"/>
    <w:rsid w:val="006B5293"/>
    <w:rsid w:val="006C3E0E"/>
    <w:rsid w:val="006D632D"/>
    <w:rsid w:val="006E0F60"/>
    <w:rsid w:val="006F5599"/>
    <w:rsid w:val="00701CD6"/>
    <w:rsid w:val="00706787"/>
    <w:rsid w:val="007101B0"/>
    <w:rsid w:val="00710D5F"/>
    <w:rsid w:val="00714C12"/>
    <w:rsid w:val="00721CAD"/>
    <w:rsid w:val="00730D6D"/>
    <w:rsid w:val="007343B1"/>
    <w:rsid w:val="00755C6F"/>
    <w:rsid w:val="007607D2"/>
    <w:rsid w:val="00762932"/>
    <w:rsid w:val="00767ED0"/>
    <w:rsid w:val="0077080D"/>
    <w:rsid w:val="0077477C"/>
    <w:rsid w:val="00777079"/>
    <w:rsid w:val="00781AE5"/>
    <w:rsid w:val="00787CA5"/>
    <w:rsid w:val="00794075"/>
    <w:rsid w:val="007B182D"/>
    <w:rsid w:val="007B201A"/>
    <w:rsid w:val="007C2141"/>
    <w:rsid w:val="007C2143"/>
    <w:rsid w:val="007C60CF"/>
    <w:rsid w:val="007D3D2A"/>
    <w:rsid w:val="007E0E79"/>
    <w:rsid w:val="007E6013"/>
    <w:rsid w:val="007F1E28"/>
    <w:rsid w:val="007F1E84"/>
    <w:rsid w:val="007F2C1D"/>
    <w:rsid w:val="007F3ACD"/>
    <w:rsid w:val="0080133F"/>
    <w:rsid w:val="0080498F"/>
    <w:rsid w:val="00807E29"/>
    <w:rsid w:val="00812FEF"/>
    <w:rsid w:val="00821474"/>
    <w:rsid w:val="00822AA3"/>
    <w:rsid w:val="00832AD1"/>
    <w:rsid w:val="00847098"/>
    <w:rsid w:val="008542AC"/>
    <w:rsid w:val="00860654"/>
    <w:rsid w:val="0086204F"/>
    <w:rsid w:val="00873679"/>
    <w:rsid w:val="00876BCB"/>
    <w:rsid w:val="00877B33"/>
    <w:rsid w:val="008914E2"/>
    <w:rsid w:val="008A1CEA"/>
    <w:rsid w:val="008A28FA"/>
    <w:rsid w:val="008B449D"/>
    <w:rsid w:val="008D0376"/>
    <w:rsid w:val="008D3928"/>
    <w:rsid w:val="008D5D48"/>
    <w:rsid w:val="008E74F9"/>
    <w:rsid w:val="008F1F79"/>
    <w:rsid w:val="008F3701"/>
    <w:rsid w:val="008F4AA8"/>
    <w:rsid w:val="00903467"/>
    <w:rsid w:val="00906EAA"/>
    <w:rsid w:val="00913A85"/>
    <w:rsid w:val="0093220C"/>
    <w:rsid w:val="00932BFF"/>
    <w:rsid w:val="00932C1C"/>
    <w:rsid w:val="009346F7"/>
    <w:rsid w:val="00943E28"/>
    <w:rsid w:val="00961BA2"/>
    <w:rsid w:val="00970DD2"/>
    <w:rsid w:val="00971A23"/>
    <w:rsid w:val="009735B8"/>
    <w:rsid w:val="009757BD"/>
    <w:rsid w:val="00977A56"/>
    <w:rsid w:val="00977A7B"/>
    <w:rsid w:val="00980D70"/>
    <w:rsid w:val="00986022"/>
    <w:rsid w:val="009867B1"/>
    <w:rsid w:val="009B018E"/>
    <w:rsid w:val="009B2F10"/>
    <w:rsid w:val="009B66DF"/>
    <w:rsid w:val="009C00F5"/>
    <w:rsid w:val="009D15F1"/>
    <w:rsid w:val="009D26F4"/>
    <w:rsid w:val="009D2B10"/>
    <w:rsid w:val="00A15EAD"/>
    <w:rsid w:val="00A2179A"/>
    <w:rsid w:val="00A2199C"/>
    <w:rsid w:val="00A3504E"/>
    <w:rsid w:val="00A40B41"/>
    <w:rsid w:val="00A42A05"/>
    <w:rsid w:val="00A43896"/>
    <w:rsid w:val="00A501B1"/>
    <w:rsid w:val="00A54B4B"/>
    <w:rsid w:val="00A60144"/>
    <w:rsid w:val="00A61C08"/>
    <w:rsid w:val="00A6244E"/>
    <w:rsid w:val="00A734F6"/>
    <w:rsid w:val="00A74231"/>
    <w:rsid w:val="00A878D6"/>
    <w:rsid w:val="00A91172"/>
    <w:rsid w:val="00A91486"/>
    <w:rsid w:val="00A91B2B"/>
    <w:rsid w:val="00A97FEC"/>
    <w:rsid w:val="00AA43E4"/>
    <w:rsid w:val="00AB3862"/>
    <w:rsid w:val="00AB3FBE"/>
    <w:rsid w:val="00AB63DF"/>
    <w:rsid w:val="00AB7770"/>
    <w:rsid w:val="00AB7E53"/>
    <w:rsid w:val="00AC5E4C"/>
    <w:rsid w:val="00AC6E84"/>
    <w:rsid w:val="00AC6EE1"/>
    <w:rsid w:val="00AD3017"/>
    <w:rsid w:val="00AF0C1C"/>
    <w:rsid w:val="00AF29D3"/>
    <w:rsid w:val="00B07DE8"/>
    <w:rsid w:val="00B15CE0"/>
    <w:rsid w:val="00B26A17"/>
    <w:rsid w:val="00B34115"/>
    <w:rsid w:val="00B373ED"/>
    <w:rsid w:val="00B41635"/>
    <w:rsid w:val="00B438CC"/>
    <w:rsid w:val="00B5357A"/>
    <w:rsid w:val="00B53D62"/>
    <w:rsid w:val="00B53E57"/>
    <w:rsid w:val="00B67265"/>
    <w:rsid w:val="00BB0317"/>
    <w:rsid w:val="00BB180C"/>
    <w:rsid w:val="00BB43E1"/>
    <w:rsid w:val="00BC4835"/>
    <w:rsid w:val="00BE08CD"/>
    <w:rsid w:val="00BF0010"/>
    <w:rsid w:val="00BF56EA"/>
    <w:rsid w:val="00C0309B"/>
    <w:rsid w:val="00C054A5"/>
    <w:rsid w:val="00C07F85"/>
    <w:rsid w:val="00C12A3B"/>
    <w:rsid w:val="00C12D2C"/>
    <w:rsid w:val="00C2167A"/>
    <w:rsid w:val="00C36B98"/>
    <w:rsid w:val="00C44D3A"/>
    <w:rsid w:val="00C503A7"/>
    <w:rsid w:val="00C5215F"/>
    <w:rsid w:val="00C53565"/>
    <w:rsid w:val="00C5576B"/>
    <w:rsid w:val="00C574CE"/>
    <w:rsid w:val="00C8538D"/>
    <w:rsid w:val="00C91BA9"/>
    <w:rsid w:val="00C939D9"/>
    <w:rsid w:val="00CA557A"/>
    <w:rsid w:val="00CB1485"/>
    <w:rsid w:val="00CB2F79"/>
    <w:rsid w:val="00CB4A28"/>
    <w:rsid w:val="00CB5273"/>
    <w:rsid w:val="00CC0A66"/>
    <w:rsid w:val="00CC2712"/>
    <w:rsid w:val="00CC4B00"/>
    <w:rsid w:val="00CC62F9"/>
    <w:rsid w:val="00CD3282"/>
    <w:rsid w:val="00CE2756"/>
    <w:rsid w:val="00CF19AC"/>
    <w:rsid w:val="00CF4DA2"/>
    <w:rsid w:val="00CF640A"/>
    <w:rsid w:val="00D15F8A"/>
    <w:rsid w:val="00D31F7C"/>
    <w:rsid w:val="00D34EA0"/>
    <w:rsid w:val="00D47CB0"/>
    <w:rsid w:val="00D57452"/>
    <w:rsid w:val="00D608EB"/>
    <w:rsid w:val="00D60ABE"/>
    <w:rsid w:val="00D83E3A"/>
    <w:rsid w:val="00DB0604"/>
    <w:rsid w:val="00DB6B8F"/>
    <w:rsid w:val="00DC05DF"/>
    <w:rsid w:val="00DC0887"/>
    <w:rsid w:val="00DC253D"/>
    <w:rsid w:val="00DC368B"/>
    <w:rsid w:val="00DD00A9"/>
    <w:rsid w:val="00DD6907"/>
    <w:rsid w:val="00DD7526"/>
    <w:rsid w:val="00DF135B"/>
    <w:rsid w:val="00E00411"/>
    <w:rsid w:val="00E1508F"/>
    <w:rsid w:val="00E1586E"/>
    <w:rsid w:val="00E219EA"/>
    <w:rsid w:val="00E22F7F"/>
    <w:rsid w:val="00E3120C"/>
    <w:rsid w:val="00E33D3E"/>
    <w:rsid w:val="00E35287"/>
    <w:rsid w:val="00E54325"/>
    <w:rsid w:val="00E56A0B"/>
    <w:rsid w:val="00E671C3"/>
    <w:rsid w:val="00E67DC0"/>
    <w:rsid w:val="00E744CA"/>
    <w:rsid w:val="00E817BA"/>
    <w:rsid w:val="00E81951"/>
    <w:rsid w:val="00E87FE8"/>
    <w:rsid w:val="00E90142"/>
    <w:rsid w:val="00E9205C"/>
    <w:rsid w:val="00E9269E"/>
    <w:rsid w:val="00EA7A4B"/>
    <w:rsid w:val="00EB18E0"/>
    <w:rsid w:val="00EB3FEB"/>
    <w:rsid w:val="00EC0FB0"/>
    <w:rsid w:val="00ED296C"/>
    <w:rsid w:val="00ED5EEE"/>
    <w:rsid w:val="00ED7666"/>
    <w:rsid w:val="00EE1090"/>
    <w:rsid w:val="00EE12D6"/>
    <w:rsid w:val="00EE788E"/>
    <w:rsid w:val="00EF380A"/>
    <w:rsid w:val="00F06EE8"/>
    <w:rsid w:val="00F07349"/>
    <w:rsid w:val="00F113EF"/>
    <w:rsid w:val="00F126F3"/>
    <w:rsid w:val="00F129B8"/>
    <w:rsid w:val="00F157AF"/>
    <w:rsid w:val="00F21F65"/>
    <w:rsid w:val="00F22AE5"/>
    <w:rsid w:val="00F23927"/>
    <w:rsid w:val="00F2425D"/>
    <w:rsid w:val="00F37DE9"/>
    <w:rsid w:val="00F41203"/>
    <w:rsid w:val="00F457B1"/>
    <w:rsid w:val="00F45962"/>
    <w:rsid w:val="00F57BF4"/>
    <w:rsid w:val="00F60872"/>
    <w:rsid w:val="00F61B3E"/>
    <w:rsid w:val="00F643A6"/>
    <w:rsid w:val="00F67D1A"/>
    <w:rsid w:val="00F829C0"/>
    <w:rsid w:val="00F829F6"/>
    <w:rsid w:val="00FB2E17"/>
    <w:rsid w:val="00FC0610"/>
    <w:rsid w:val="00FC1B4B"/>
    <w:rsid w:val="00FC4BBC"/>
    <w:rsid w:val="00FC7678"/>
    <w:rsid w:val="00FD292A"/>
    <w:rsid w:val="00FF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8D484"/>
  <w15:chartTrackingRefBased/>
  <w15:docId w15:val="{D47778FF-0729-4A50-9109-9DBC100D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unhideWhenUsed="1"/>
    <w:lsdException w:name="List Number" w:semiHidden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76B"/>
    <w:rPr>
      <w:rFonts w:ascii="Verdana" w:hAnsi="Verdana" w:cs="Arial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3EF"/>
    <w:pPr>
      <w:keepNext/>
      <w:keepLines/>
      <w:spacing w:before="360" w:after="240"/>
      <w:outlineLvl w:val="0"/>
    </w:pPr>
    <w:rPr>
      <w:rFonts w:ascii="Georgia" w:eastAsiaTheme="majorEastAsia" w:hAnsi="Georg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6F3"/>
    <w:pPr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13EF"/>
    <w:rPr>
      <w:rFonts w:ascii="Georgia" w:eastAsiaTheme="majorEastAsia" w:hAnsi="Georgia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126F3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rFonts w:eastAsia="Times New Roman"/>
      <w:kern w:val="28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2"/>
      <w:szCs w:val="24"/>
    </w:rPr>
  </w:style>
  <w:style w:type="paragraph" w:styleId="EnvelopeReturn">
    <w:name w:val="envelope return"/>
    <w:basedOn w:val="Normal"/>
    <w:uiPriority w:val="99"/>
    <w:semiHidden/>
    <w:rsid w:val="003E3722"/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numbering" w:customStyle="1" w:styleId="BodyList">
    <w:name w:val="Body List"/>
    <w:basedOn w:val="NoList"/>
    <w:rsid w:val="008B449D"/>
    <w:pPr>
      <w:numPr>
        <w:numId w:val="33"/>
      </w:numPr>
    </w:pPr>
  </w:style>
  <w:style w:type="paragraph" w:customStyle="1" w:styleId="ReportBody">
    <w:name w:val="Report Body"/>
    <w:basedOn w:val="Normal"/>
    <w:link w:val="ReportBodyChar"/>
    <w:qFormat/>
    <w:rsid w:val="008B449D"/>
    <w:pPr>
      <w:spacing w:before="120"/>
    </w:pPr>
    <w:rPr>
      <w:rFonts w:eastAsia="Times New Roman"/>
      <w:color w:val="000000"/>
      <w:kern w:val="22"/>
      <w:szCs w:val="20"/>
      <w:lang w:eastAsia="en-NZ"/>
    </w:rPr>
  </w:style>
  <w:style w:type="character" w:customStyle="1" w:styleId="ReportBodyChar">
    <w:name w:val="Report Body Char"/>
    <w:link w:val="ReportBody"/>
    <w:rsid w:val="008B449D"/>
    <w:rPr>
      <w:rFonts w:ascii="Verdana" w:eastAsia="Times New Roman" w:hAnsi="Verdana" w:cs="Arial"/>
      <w:color w:val="000000"/>
      <w:kern w:val="22"/>
      <w:lang w:eastAsia="en-NZ"/>
    </w:rPr>
  </w:style>
  <w:style w:type="paragraph" w:customStyle="1" w:styleId="Bullet20">
    <w:name w:val="Bullet 2"/>
    <w:basedOn w:val="ReportBody"/>
    <w:link w:val="Bullet2Char"/>
    <w:qFormat/>
    <w:rsid w:val="008B449D"/>
    <w:pPr>
      <w:numPr>
        <w:numId w:val="36"/>
      </w:numPr>
      <w:ind w:left="284" w:hanging="284"/>
    </w:pPr>
  </w:style>
  <w:style w:type="character" w:customStyle="1" w:styleId="Bullet2Char">
    <w:name w:val="Bullet 2 Char"/>
    <w:link w:val="Bullet20"/>
    <w:rsid w:val="008B449D"/>
    <w:rPr>
      <w:rFonts w:ascii="Verdana" w:eastAsia="Times New Roman" w:hAnsi="Verdana" w:cs="Arial"/>
      <w:color w:val="000000"/>
      <w:kern w:val="22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8B44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49D"/>
    <w:rPr>
      <w:rFonts w:ascii="Verdana" w:hAnsi="Verdana" w:cs="Arial"/>
      <w:szCs w:val="22"/>
    </w:rPr>
  </w:style>
  <w:style w:type="character" w:customStyle="1" w:styleId="insertwords">
    <w:name w:val="insertwords"/>
    <w:basedOn w:val="DefaultParagraphFont"/>
    <w:rsid w:val="000B11B0"/>
  </w:style>
  <w:style w:type="character" w:styleId="Hyperlink">
    <w:name w:val="Hyperlink"/>
    <w:basedOn w:val="DefaultParagraphFont"/>
    <w:uiPriority w:val="99"/>
    <w:unhideWhenUsed/>
    <w:rsid w:val="009860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02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C5D68"/>
    <w:rPr>
      <w:rFonts w:ascii="Verdana" w:hAnsi="Verdana" w:cs="Arial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B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BCB"/>
    <w:rPr>
      <w:rFonts w:ascii="Verdana" w:hAnsi="Verdana" w:cs="Arial"/>
      <w:b/>
      <w:bCs/>
    </w:rPr>
  </w:style>
  <w:style w:type="paragraph" w:customStyle="1" w:styleId="CabStandard">
    <w:name w:val="CabStandard"/>
    <w:basedOn w:val="Normal"/>
    <w:rsid w:val="00524DC1"/>
    <w:pPr>
      <w:numPr>
        <w:numId w:val="41"/>
      </w:numPr>
      <w:spacing w:after="240"/>
    </w:pPr>
    <w:rPr>
      <w:rFonts w:ascii="Arial" w:eastAsia="Times New Roman" w:hAnsi="Arial" w:cs="Times New Roman"/>
      <w:sz w:val="24"/>
      <w:szCs w:val="20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E817BA"/>
    <w:rPr>
      <w:color w:val="800080" w:themeColor="followedHyperlink"/>
      <w:u w:val="single"/>
    </w:rPr>
  </w:style>
  <w:style w:type="paragraph" w:customStyle="1" w:styleId="ReportBody2">
    <w:name w:val="Report Body 2"/>
    <w:basedOn w:val="ReportBody"/>
    <w:qFormat/>
    <w:rsid w:val="00CA557A"/>
    <w:pPr>
      <w:tabs>
        <w:tab w:val="num" w:pos="360"/>
        <w:tab w:val="num" w:pos="1440"/>
      </w:tabs>
      <w:spacing w:after="120" w:line="288" w:lineRule="auto"/>
      <w:ind w:left="986" w:hanging="493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rb.govt.nz/tribunal-decision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ublicservice.govt.nz/system/crown-entities/crown-entity-resource-centre/appointnet-privacy-protoco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D4B2A-350A-4962-95BA-BF32F1D55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 Fowler</dc:creator>
  <cp:keywords/>
  <dc:description/>
  <cp:lastModifiedBy>Tyla Redden</cp:lastModifiedBy>
  <cp:revision>2</cp:revision>
  <cp:lastPrinted>2025-06-12T03:33:00Z</cp:lastPrinted>
  <dcterms:created xsi:type="dcterms:W3CDTF">2025-07-08T20:17:00Z</dcterms:created>
  <dcterms:modified xsi:type="dcterms:W3CDTF">2025-07-08T20:17:00Z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A12053967</vt:lpwstr>
  </property>
  <property fmtid="{D5CDD505-2E9C-101B-9397-08002B2CF9AE}" pid="4" name="Objective-Title">
    <vt:lpwstr>SSAA JD</vt:lpwstr>
  </property>
  <property fmtid="{D5CDD505-2E9C-101B-9397-08002B2CF9AE}" pid="5" name="Objective-Comment">
    <vt:lpwstr/>
  </property>
  <property fmtid="{D5CDD505-2E9C-101B-9397-08002B2CF9AE}" pid="6" name="Objective-CreationStamp">
    <vt:filetime>2019-09-30T03:35:57Z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2019-09-30T04:15:45Z</vt:filetime>
  </property>
  <property fmtid="{D5CDD505-2E9C-101B-9397-08002B2CF9AE}" pid="11" name="Objective-Owner">
    <vt:lpwstr>Lance Fowler</vt:lpwstr>
  </property>
  <property fmtid="{D5CDD505-2E9C-101B-9397-08002B2CF9AE}" pid="12" name="Objective-Path">
    <vt:lpwstr>Global Folder:MSD INFORMATION REPOSITORY:Governance:Governance Advice - External:Appointments:Statutory Tribunals:Social Security Appeal Authority:2019:Call for Nominations:</vt:lpwstr>
  </property>
  <property fmtid="{D5CDD505-2E9C-101B-9397-08002B2CF9AE}" pid="13" name="Objective-Parent">
    <vt:lpwstr>Call for Nominations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0.3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GO/GE/01/02/02/19-23589</vt:lpwstr>
  </property>
  <property fmtid="{D5CDD505-2E9C-101B-9397-08002B2CF9AE}" pid="19" name="Objective-Classification">
    <vt:lpwstr>[Inherited - In Confidence]</vt:lpwstr>
  </property>
  <property fmtid="{D5CDD505-2E9C-101B-9397-08002B2CF9AE}" pid="20" name="Objective-Caveats">
    <vt:lpwstr/>
  </property>
  <property fmtid="{D5CDD505-2E9C-101B-9397-08002B2CF9AE}" pid="21" name="Objective-Document Status [system]">
    <vt:lpwstr>Work in Progress</vt:lpwstr>
  </property>
  <property fmtid="{D5CDD505-2E9C-101B-9397-08002B2CF9AE}" pid="22" name="Objective-Email is Vaulted? [system]">
    <vt:lpwstr/>
  </property>
  <property fmtid="{D5CDD505-2E9C-101B-9397-08002B2CF9AE}" pid="23" name="MSIP_Label_5a96e5af-8d67-4c00-8226-9513c2a2e5a4_Enabled">
    <vt:lpwstr>true</vt:lpwstr>
  </property>
  <property fmtid="{D5CDD505-2E9C-101B-9397-08002B2CF9AE}" pid="24" name="MSIP_Label_5a96e5af-8d67-4c00-8226-9513c2a2e5a4_SetDate">
    <vt:lpwstr>2025-05-06T00:23:56Z</vt:lpwstr>
  </property>
  <property fmtid="{D5CDD505-2E9C-101B-9397-08002B2CF9AE}" pid="25" name="MSIP_Label_5a96e5af-8d67-4c00-8226-9513c2a2e5a4_Method">
    <vt:lpwstr>Privileged</vt:lpwstr>
  </property>
  <property fmtid="{D5CDD505-2E9C-101B-9397-08002B2CF9AE}" pid="26" name="MSIP_Label_5a96e5af-8d67-4c00-8226-9513c2a2e5a4_Name">
    <vt:lpwstr>Unclassified</vt:lpwstr>
  </property>
  <property fmtid="{D5CDD505-2E9C-101B-9397-08002B2CF9AE}" pid="27" name="MSIP_Label_5a96e5af-8d67-4c00-8226-9513c2a2e5a4_SiteId">
    <vt:lpwstr>e40c4f52-99bd-4d4f-bf7e-d001a2ca6556</vt:lpwstr>
  </property>
  <property fmtid="{D5CDD505-2E9C-101B-9397-08002B2CF9AE}" pid="28" name="MSIP_Label_5a96e5af-8d67-4c00-8226-9513c2a2e5a4_ActionId">
    <vt:lpwstr>67172c03-e0cd-4508-ba6c-e11319522c00</vt:lpwstr>
  </property>
  <property fmtid="{D5CDD505-2E9C-101B-9397-08002B2CF9AE}" pid="29" name="MSIP_Label_5a96e5af-8d67-4c00-8226-9513c2a2e5a4_ContentBits">
    <vt:lpwstr>0</vt:lpwstr>
  </property>
</Properties>
</file>