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232C7" w14:textId="4D62244F" w:rsidR="00336C97" w:rsidRPr="0007433E" w:rsidRDefault="00336C97" w:rsidP="0053590F">
      <w:pPr>
        <w:pStyle w:val="Heading3"/>
        <w:jc w:val="both"/>
      </w:pPr>
      <w:r w:rsidRPr="0007433E">
        <w:t>The Board</w:t>
      </w:r>
    </w:p>
    <w:p w14:paraId="3BF2B10B" w14:textId="0043E50F" w:rsidR="00336C97" w:rsidRDefault="00336C97" w:rsidP="0053590F">
      <w:pPr>
        <w:pStyle w:val="BodyText"/>
        <w:spacing w:line="240" w:lineRule="auto"/>
        <w:jc w:val="both"/>
        <w:rPr>
          <w:rFonts w:eastAsia="Times New Roman"/>
          <w:color w:val="000000"/>
          <w:kern w:val="22"/>
          <w:szCs w:val="20"/>
          <w:lang w:eastAsia="en-NZ"/>
        </w:rPr>
      </w:pPr>
      <w:r w:rsidRPr="00DB5600">
        <w:rPr>
          <w:rFonts w:eastAsia="Times New Roman"/>
          <w:color w:val="000000"/>
          <w:kern w:val="22"/>
          <w:szCs w:val="20"/>
          <w:lang w:eastAsia="en-NZ"/>
        </w:rPr>
        <w:t xml:space="preserve">The Social Workers Registration Board (SWRB) is the social worker regulator and lead agency for social worker workforce planning. SWRB is a Crown Entity under the Crown Entities Act 2004 and </w:t>
      </w:r>
      <w:r>
        <w:rPr>
          <w:rFonts w:eastAsia="Times New Roman"/>
          <w:color w:val="000000"/>
          <w:kern w:val="22"/>
          <w:szCs w:val="20"/>
          <w:lang w:eastAsia="en-NZ"/>
        </w:rPr>
        <w:t>is</w:t>
      </w:r>
      <w:r w:rsidRPr="00DB5600">
        <w:rPr>
          <w:rFonts w:eastAsia="Times New Roman"/>
          <w:color w:val="000000"/>
          <w:kern w:val="22"/>
          <w:szCs w:val="20"/>
          <w:lang w:eastAsia="en-NZ"/>
        </w:rPr>
        <w:t xml:space="preserve"> governed by a seven-member Board appointed by the Minister for Social Development and Employment </w:t>
      </w:r>
      <w:r w:rsidR="005C2567">
        <w:rPr>
          <w:rFonts w:eastAsia="Times New Roman"/>
          <w:color w:val="000000"/>
          <w:kern w:val="22"/>
          <w:szCs w:val="20"/>
          <w:lang w:eastAsia="en-NZ"/>
        </w:rPr>
        <w:t xml:space="preserve">(the Minister) </w:t>
      </w:r>
      <w:r w:rsidRPr="00DB5600">
        <w:rPr>
          <w:rFonts w:eastAsia="Times New Roman"/>
          <w:color w:val="000000"/>
          <w:kern w:val="22"/>
          <w:szCs w:val="20"/>
          <w:lang w:eastAsia="en-NZ"/>
        </w:rPr>
        <w:t xml:space="preserve">under the Social Workers Registration Act 2003. </w:t>
      </w:r>
    </w:p>
    <w:p w14:paraId="04C81F31" w14:textId="3648BCDB" w:rsidR="00181F17" w:rsidRPr="00DB5600" w:rsidRDefault="00181F17" w:rsidP="0053590F">
      <w:pPr>
        <w:pStyle w:val="BodyText"/>
        <w:spacing w:line="240" w:lineRule="auto"/>
        <w:jc w:val="both"/>
        <w:rPr>
          <w:rFonts w:eastAsia="Times New Roman"/>
          <w:color w:val="000000"/>
          <w:kern w:val="22"/>
          <w:szCs w:val="20"/>
          <w:lang w:eastAsia="en-NZ"/>
        </w:rPr>
      </w:pPr>
      <w:r>
        <w:rPr>
          <w:rFonts w:eastAsia="Times New Roman"/>
          <w:color w:val="000000"/>
          <w:kern w:val="22"/>
          <w:szCs w:val="20"/>
          <w:lang w:eastAsia="en-NZ"/>
        </w:rPr>
        <w:t>The SWRV is accountable to the Minister and monitored by the Ministry of Social Developm</w:t>
      </w:r>
      <w:r w:rsidR="00334F1C">
        <w:rPr>
          <w:rFonts w:eastAsia="Times New Roman"/>
          <w:color w:val="000000"/>
          <w:kern w:val="22"/>
          <w:szCs w:val="20"/>
          <w:lang w:eastAsia="en-NZ"/>
        </w:rPr>
        <w:t>ent.</w:t>
      </w:r>
    </w:p>
    <w:p w14:paraId="62CD07B0" w14:textId="77777777" w:rsidR="00336C97" w:rsidRPr="0007433E" w:rsidRDefault="00336C97" w:rsidP="0053590F">
      <w:pPr>
        <w:pStyle w:val="Heading3"/>
        <w:jc w:val="both"/>
      </w:pPr>
      <w:r>
        <w:t>Purpose</w:t>
      </w:r>
    </w:p>
    <w:p w14:paraId="6EACE5E4" w14:textId="791131A4" w:rsidR="00336C97" w:rsidRDefault="00336C97" w:rsidP="0053590F">
      <w:pPr>
        <w:pStyle w:val="ReportBody"/>
        <w:spacing w:before="0"/>
        <w:jc w:val="both"/>
      </w:pPr>
      <w:r>
        <w:t xml:space="preserve">The </w:t>
      </w:r>
      <w:r w:rsidR="00A73EB4">
        <w:t xml:space="preserve">SWRB’s </w:t>
      </w:r>
      <w:r>
        <w:t xml:space="preserve">purpose is to protect the safety of members of the public by ensuring social workers are competent and safe to practise and are accountable for the way in which they practise. The SWRB also enhances social workers’ professional practice and provides insight into the opportunities and challenges facing the social worker workforce. </w:t>
      </w:r>
    </w:p>
    <w:p w14:paraId="79FC5ECD" w14:textId="77777777" w:rsidR="00336C97" w:rsidRPr="00ED6B74" w:rsidRDefault="00336C97" w:rsidP="0053590F">
      <w:pPr>
        <w:pStyle w:val="ReportBody"/>
        <w:spacing w:before="0"/>
        <w:jc w:val="both"/>
        <w:rPr>
          <w:rFonts w:eastAsia="Calibri"/>
          <w:b/>
          <w:bCs/>
          <w:sz w:val="24"/>
          <w:szCs w:val="24"/>
        </w:rPr>
      </w:pPr>
      <w:r w:rsidRPr="00ED6B74">
        <w:rPr>
          <w:rFonts w:eastAsia="Calibri"/>
          <w:b/>
          <w:bCs/>
          <w:sz w:val="24"/>
          <w:szCs w:val="24"/>
        </w:rPr>
        <w:t>Function</w:t>
      </w:r>
    </w:p>
    <w:p w14:paraId="61CDCBCB" w14:textId="4F09B52A" w:rsidR="00336C97" w:rsidRPr="00683234" w:rsidRDefault="00336C97" w:rsidP="0053590F">
      <w:pPr>
        <w:pStyle w:val="paragraph"/>
        <w:spacing w:before="0" w:beforeAutospacing="0" w:after="120" w:afterAutospacing="0"/>
        <w:jc w:val="both"/>
        <w:textAlignment w:val="baseline"/>
        <w:rPr>
          <w:rFonts w:ascii="Verdana" w:hAnsi="Verdana" w:cs="Arial"/>
          <w:color w:val="000000"/>
          <w:kern w:val="22"/>
          <w:sz w:val="20"/>
          <w:szCs w:val="20"/>
        </w:rPr>
      </w:pPr>
      <w:r>
        <w:rPr>
          <w:rFonts w:ascii="Verdana" w:hAnsi="Verdana" w:cs="Arial"/>
          <w:color w:val="000000"/>
          <w:kern w:val="22"/>
          <w:sz w:val="20"/>
          <w:szCs w:val="20"/>
        </w:rPr>
        <w:t>The role of the SWRB</w:t>
      </w:r>
      <w:r w:rsidRPr="00683234">
        <w:rPr>
          <w:rFonts w:ascii="Verdana" w:hAnsi="Verdana" w:cs="Arial"/>
          <w:color w:val="000000"/>
          <w:kern w:val="22"/>
          <w:sz w:val="20"/>
          <w:szCs w:val="20"/>
        </w:rPr>
        <w:t xml:space="preserve"> as the regulator of social workers is set out in the Social Workers Registration Act and includes enhancing the professionalism of social workers. </w:t>
      </w:r>
      <w:r>
        <w:rPr>
          <w:rFonts w:ascii="Verdana" w:hAnsi="Verdana" w:cs="Arial"/>
          <w:color w:val="000000"/>
          <w:kern w:val="22"/>
          <w:sz w:val="20"/>
          <w:szCs w:val="20"/>
        </w:rPr>
        <w:t>The SWRB uses</w:t>
      </w:r>
      <w:r w:rsidRPr="00683234">
        <w:rPr>
          <w:rFonts w:ascii="Verdana" w:hAnsi="Verdana" w:cs="Arial"/>
          <w:color w:val="000000"/>
          <w:kern w:val="22"/>
          <w:sz w:val="20"/>
          <w:szCs w:val="20"/>
        </w:rPr>
        <w:t xml:space="preserve"> a range of regulatory tools, including:</w:t>
      </w:r>
    </w:p>
    <w:p w14:paraId="2F100530" w14:textId="18EE2B04" w:rsidR="00336C97" w:rsidRPr="00683234" w:rsidRDefault="00336C97" w:rsidP="0053590F">
      <w:pPr>
        <w:pStyle w:val="paragraph"/>
        <w:numPr>
          <w:ilvl w:val="0"/>
          <w:numId w:val="38"/>
        </w:numPr>
        <w:spacing w:before="0" w:beforeAutospacing="0" w:after="120" w:afterAutospacing="0"/>
        <w:textAlignment w:val="baseline"/>
        <w:rPr>
          <w:rFonts w:ascii="Verdana" w:hAnsi="Verdana" w:cs="Arial"/>
          <w:color w:val="000000"/>
          <w:kern w:val="22"/>
          <w:sz w:val="20"/>
          <w:szCs w:val="20"/>
        </w:rPr>
      </w:pPr>
      <w:r w:rsidRPr="00683234">
        <w:rPr>
          <w:rFonts w:ascii="Verdana" w:hAnsi="Verdana" w:cs="Arial"/>
          <w:color w:val="000000"/>
          <w:kern w:val="22"/>
          <w:sz w:val="20"/>
          <w:szCs w:val="20"/>
        </w:rPr>
        <w:t>the registration of social workers and maintaining a public register of social workers</w:t>
      </w:r>
    </w:p>
    <w:p w14:paraId="14A3BF22" w14:textId="1188A4CB" w:rsidR="00336C97" w:rsidRPr="00683234" w:rsidRDefault="00336C97" w:rsidP="0053590F">
      <w:pPr>
        <w:pStyle w:val="paragraph"/>
        <w:numPr>
          <w:ilvl w:val="0"/>
          <w:numId w:val="38"/>
        </w:numPr>
        <w:spacing w:before="0" w:beforeAutospacing="0" w:after="120" w:afterAutospacing="0"/>
        <w:textAlignment w:val="baseline"/>
        <w:rPr>
          <w:rFonts w:ascii="Verdana" w:hAnsi="Verdana" w:cs="Arial"/>
          <w:color w:val="000000"/>
          <w:kern w:val="22"/>
          <w:sz w:val="20"/>
          <w:szCs w:val="20"/>
        </w:rPr>
      </w:pPr>
      <w:r w:rsidRPr="00683234">
        <w:rPr>
          <w:rFonts w:ascii="Verdana" w:hAnsi="Verdana" w:cs="Arial"/>
          <w:color w:val="000000"/>
          <w:kern w:val="22"/>
          <w:sz w:val="20"/>
          <w:szCs w:val="20"/>
        </w:rPr>
        <w:t>issuing annual practising certificates</w:t>
      </w:r>
    </w:p>
    <w:p w14:paraId="68E833C5" w14:textId="54490D1B" w:rsidR="00336C97" w:rsidRPr="00683234" w:rsidRDefault="00336C97" w:rsidP="0053590F">
      <w:pPr>
        <w:pStyle w:val="paragraph"/>
        <w:numPr>
          <w:ilvl w:val="0"/>
          <w:numId w:val="38"/>
        </w:numPr>
        <w:spacing w:before="0" w:beforeAutospacing="0" w:after="120" w:afterAutospacing="0"/>
        <w:textAlignment w:val="baseline"/>
        <w:rPr>
          <w:rFonts w:ascii="Verdana" w:hAnsi="Verdana" w:cs="Arial"/>
          <w:color w:val="000000"/>
          <w:kern w:val="22"/>
          <w:sz w:val="20"/>
          <w:szCs w:val="20"/>
        </w:rPr>
      </w:pPr>
      <w:r w:rsidRPr="00683234">
        <w:rPr>
          <w:rFonts w:ascii="Verdana" w:hAnsi="Verdana" w:cs="Arial"/>
          <w:color w:val="000000"/>
          <w:kern w:val="22"/>
          <w:sz w:val="20"/>
          <w:szCs w:val="20"/>
        </w:rPr>
        <w:t>publishing a scope of practice, code of conduct, and core competencies</w:t>
      </w:r>
    </w:p>
    <w:p w14:paraId="2F170427" w14:textId="72C39571" w:rsidR="00336C97" w:rsidRPr="00683234" w:rsidRDefault="00336C97" w:rsidP="0053590F">
      <w:pPr>
        <w:pStyle w:val="paragraph"/>
        <w:numPr>
          <w:ilvl w:val="0"/>
          <w:numId w:val="38"/>
        </w:numPr>
        <w:spacing w:before="0" w:beforeAutospacing="0" w:after="120" w:afterAutospacing="0"/>
        <w:textAlignment w:val="baseline"/>
        <w:rPr>
          <w:rFonts w:ascii="Verdana" w:hAnsi="Verdana" w:cs="Arial"/>
          <w:color w:val="000000"/>
          <w:kern w:val="22"/>
          <w:sz w:val="20"/>
          <w:szCs w:val="20"/>
        </w:rPr>
      </w:pPr>
      <w:r w:rsidRPr="00683234">
        <w:rPr>
          <w:rFonts w:ascii="Verdana" w:hAnsi="Verdana" w:cs="Arial"/>
          <w:color w:val="000000"/>
          <w:kern w:val="22"/>
          <w:sz w:val="20"/>
          <w:szCs w:val="20"/>
        </w:rPr>
        <w:t>managing concerns, complaints, and notifications</w:t>
      </w:r>
    </w:p>
    <w:p w14:paraId="2107221D" w14:textId="4226CD5F" w:rsidR="00336C97" w:rsidRPr="002569C2" w:rsidRDefault="00336C97" w:rsidP="0053590F">
      <w:pPr>
        <w:pStyle w:val="paragraph"/>
        <w:numPr>
          <w:ilvl w:val="0"/>
          <w:numId w:val="38"/>
        </w:numPr>
        <w:spacing w:before="0" w:beforeAutospacing="0" w:after="120" w:afterAutospacing="0"/>
        <w:textAlignment w:val="baseline"/>
        <w:rPr>
          <w:rFonts w:ascii="Verdana" w:hAnsi="Verdana" w:cs="Arial"/>
          <w:color w:val="000000"/>
          <w:kern w:val="22"/>
          <w:sz w:val="20"/>
          <w:szCs w:val="20"/>
        </w:rPr>
      </w:pPr>
      <w:r w:rsidRPr="00683234">
        <w:rPr>
          <w:rFonts w:ascii="Verdana" w:hAnsi="Verdana" w:cs="Arial"/>
          <w:color w:val="000000"/>
          <w:kern w:val="22"/>
          <w:sz w:val="20"/>
          <w:szCs w:val="20"/>
        </w:rPr>
        <w:t>prescribing standards in social work education.</w:t>
      </w:r>
    </w:p>
    <w:p w14:paraId="29B47320" w14:textId="3A5C2483" w:rsidR="00336C97" w:rsidRDefault="00336C97" w:rsidP="0053590F">
      <w:pPr>
        <w:pStyle w:val="paragraph"/>
        <w:spacing w:before="0" w:beforeAutospacing="0" w:after="120" w:afterAutospacing="0"/>
        <w:jc w:val="both"/>
        <w:textAlignment w:val="baseline"/>
        <w:rPr>
          <w:rFonts w:ascii="Verdana" w:hAnsi="Verdana" w:cs="Arial"/>
          <w:color w:val="000000"/>
          <w:kern w:val="22"/>
          <w:sz w:val="20"/>
          <w:szCs w:val="20"/>
        </w:rPr>
      </w:pPr>
      <w:r w:rsidRPr="003E1103">
        <w:rPr>
          <w:rFonts w:ascii="Verdana" w:hAnsi="Verdana" w:cs="Arial"/>
          <w:color w:val="000000"/>
          <w:kern w:val="22"/>
          <w:sz w:val="20"/>
          <w:szCs w:val="20"/>
        </w:rPr>
        <w:t xml:space="preserve">The SWRB provides administrative support to the Social Workers Disciplinary Tribunal, which is </w:t>
      </w:r>
      <w:r w:rsidR="005C2567">
        <w:rPr>
          <w:rFonts w:ascii="Verdana" w:hAnsi="Verdana" w:cs="Arial"/>
          <w:color w:val="000000"/>
          <w:kern w:val="22"/>
          <w:sz w:val="20"/>
          <w:szCs w:val="20"/>
        </w:rPr>
        <w:t>an</w:t>
      </w:r>
      <w:r w:rsidRPr="003E1103">
        <w:rPr>
          <w:rFonts w:ascii="Verdana" w:hAnsi="Verdana" w:cs="Arial"/>
          <w:color w:val="000000"/>
          <w:kern w:val="22"/>
          <w:sz w:val="20"/>
          <w:szCs w:val="20"/>
        </w:rPr>
        <w:t xml:space="preserve"> independent body responsible for the </w:t>
      </w:r>
      <w:r w:rsidR="005C2567">
        <w:rPr>
          <w:rFonts w:ascii="Verdana" w:hAnsi="Verdana" w:cs="Arial"/>
          <w:color w:val="000000"/>
          <w:kern w:val="22"/>
          <w:sz w:val="20"/>
          <w:szCs w:val="20"/>
        </w:rPr>
        <w:t xml:space="preserve">social worker </w:t>
      </w:r>
      <w:r w:rsidRPr="003E1103">
        <w:rPr>
          <w:rFonts w:ascii="Verdana" w:hAnsi="Verdana" w:cs="Arial"/>
          <w:color w:val="000000"/>
          <w:kern w:val="22"/>
          <w:sz w:val="20"/>
          <w:szCs w:val="20"/>
        </w:rPr>
        <w:t>disciplinary process</w:t>
      </w:r>
      <w:r w:rsidR="005C2567">
        <w:rPr>
          <w:rFonts w:ascii="Verdana" w:hAnsi="Verdana" w:cs="Arial"/>
          <w:color w:val="000000"/>
          <w:kern w:val="22"/>
          <w:sz w:val="20"/>
          <w:szCs w:val="20"/>
        </w:rPr>
        <w:t xml:space="preserve"> set out in the </w:t>
      </w:r>
      <w:r w:rsidR="005C2567" w:rsidRPr="00683234">
        <w:rPr>
          <w:rFonts w:ascii="Verdana" w:hAnsi="Verdana" w:cs="Arial"/>
          <w:color w:val="000000"/>
          <w:kern w:val="22"/>
          <w:sz w:val="20"/>
          <w:szCs w:val="20"/>
        </w:rPr>
        <w:t>Social Workers Registration Act</w:t>
      </w:r>
      <w:r w:rsidRPr="003E1103">
        <w:rPr>
          <w:rFonts w:ascii="Verdana" w:hAnsi="Verdana" w:cs="Arial"/>
          <w:color w:val="000000"/>
          <w:kern w:val="22"/>
          <w:sz w:val="20"/>
          <w:szCs w:val="20"/>
        </w:rPr>
        <w:t xml:space="preserve">. </w:t>
      </w:r>
      <w:r>
        <w:rPr>
          <w:rFonts w:ascii="Verdana" w:hAnsi="Verdana" w:cs="Arial"/>
          <w:color w:val="000000"/>
          <w:kern w:val="22"/>
          <w:sz w:val="20"/>
          <w:szCs w:val="20"/>
        </w:rPr>
        <w:t>The SWRB</w:t>
      </w:r>
      <w:r w:rsidRPr="003E1103">
        <w:rPr>
          <w:rFonts w:ascii="Verdana" w:hAnsi="Verdana" w:cs="Arial"/>
          <w:color w:val="000000"/>
          <w:kern w:val="22"/>
          <w:sz w:val="20"/>
          <w:szCs w:val="20"/>
        </w:rPr>
        <w:t xml:space="preserve"> also provide</w:t>
      </w:r>
      <w:r w:rsidR="005C2567">
        <w:rPr>
          <w:rFonts w:ascii="Verdana" w:hAnsi="Verdana" w:cs="Arial"/>
          <w:color w:val="000000"/>
          <w:kern w:val="22"/>
          <w:sz w:val="20"/>
          <w:szCs w:val="20"/>
        </w:rPr>
        <w:t>s</w:t>
      </w:r>
      <w:r w:rsidRPr="003E1103">
        <w:rPr>
          <w:rFonts w:ascii="Verdana" w:hAnsi="Verdana" w:cs="Arial"/>
          <w:color w:val="000000"/>
          <w:kern w:val="22"/>
          <w:sz w:val="20"/>
          <w:szCs w:val="20"/>
        </w:rPr>
        <w:t xml:space="preserve"> advice to Government that supports professional and accountable social work.</w:t>
      </w:r>
    </w:p>
    <w:p w14:paraId="0AB15C22" w14:textId="030DB579" w:rsidR="00336C97" w:rsidRPr="00683234" w:rsidRDefault="00336C97" w:rsidP="0053590F">
      <w:pPr>
        <w:pStyle w:val="paragraph"/>
        <w:spacing w:before="0" w:beforeAutospacing="0" w:after="120" w:afterAutospacing="0"/>
        <w:jc w:val="both"/>
        <w:textAlignment w:val="baseline"/>
        <w:rPr>
          <w:rFonts w:ascii="Verdana" w:hAnsi="Verdana" w:cs="Arial"/>
          <w:color w:val="000000"/>
          <w:kern w:val="22"/>
          <w:sz w:val="20"/>
          <w:szCs w:val="20"/>
        </w:rPr>
      </w:pPr>
      <w:r>
        <w:rPr>
          <w:rFonts w:ascii="Verdana" w:hAnsi="Verdana" w:cs="Arial"/>
          <w:color w:val="000000"/>
          <w:kern w:val="22"/>
          <w:sz w:val="20"/>
          <w:szCs w:val="20"/>
        </w:rPr>
        <w:t xml:space="preserve">The regulatory </w:t>
      </w:r>
      <w:r w:rsidRPr="003E1103">
        <w:rPr>
          <w:rFonts w:ascii="Verdana" w:hAnsi="Verdana" w:cs="Arial"/>
          <w:color w:val="000000"/>
          <w:kern w:val="22"/>
          <w:sz w:val="20"/>
          <w:szCs w:val="20"/>
        </w:rPr>
        <w:t xml:space="preserve">functions </w:t>
      </w:r>
      <w:r>
        <w:rPr>
          <w:rFonts w:ascii="Verdana" w:hAnsi="Verdana" w:cs="Arial"/>
          <w:color w:val="000000"/>
          <w:kern w:val="22"/>
          <w:sz w:val="20"/>
          <w:szCs w:val="20"/>
        </w:rPr>
        <w:t xml:space="preserve">of the SWRB </w:t>
      </w:r>
      <w:r w:rsidRPr="003E1103">
        <w:rPr>
          <w:rFonts w:ascii="Verdana" w:hAnsi="Verdana" w:cs="Arial"/>
          <w:color w:val="000000"/>
          <w:kern w:val="22"/>
          <w:sz w:val="20"/>
          <w:szCs w:val="20"/>
        </w:rPr>
        <w:t>are funded on a cost recovery basis, through the fees and disciplinary levy.</w:t>
      </w:r>
    </w:p>
    <w:p w14:paraId="51283F18" w14:textId="0CBDC3CD" w:rsidR="00336C97" w:rsidRPr="0007433E" w:rsidRDefault="00336C97" w:rsidP="0053590F">
      <w:pPr>
        <w:pStyle w:val="Heading3"/>
        <w:jc w:val="both"/>
      </w:pPr>
      <w:r w:rsidRPr="0007433E">
        <w:t>Appointments</w:t>
      </w:r>
    </w:p>
    <w:p w14:paraId="10096525" w14:textId="64FE8979" w:rsidR="00336C97" w:rsidRPr="0007433E" w:rsidRDefault="00336C97" w:rsidP="0053590F">
      <w:pPr>
        <w:pStyle w:val="ReportBody"/>
        <w:spacing w:before="0"/>
        <w:jc w:val="both"/>
        <w:rPr>
          <w:rFonts w:eastAsia="Calibri"/>
        </w:rPr>
      </w:pPr>
      <w:r w:rsidRPr="0007433E">
        <w:rPr>
          <w:rFonts w:eastAsia="Calibri"/>
        </w:rPr>
        <w:t xml:space="preserve">The Board </w:t>
      </w:r>
      <w:r>
        <w:rPr>
          <w:rFonts w:eastAsia="Calibri"/>
        </w:rPr>
        <w:t>consists of</w:t>
      </w:r>
      <w:r w:rsidRPr="0007433E">
        <w:rPr>
          <w:rFonts w:eastAsia="Calibri"/>
        </w:rPr>
        <w:t xml:space="preserve"> seven members, four of whom must be registered social workers. </w:t>
      </w:r>
    </w:p>
    <w:p w14:paraId="537A05B8" w14:textId="77777777" w:rsidR="00336C97" w:rsidRDefault="00336C97" w:rsidP="0053590F">
      <w:pPr>
        <w:pStyle w:val="ReportBody"/>
        <w:spacing w:before="0"/>
        <w:jc w:val="both"/>
        <w:rPr>
          <w:rFonts w:eastAsia="Calibri"/>
        </w:rPr>
      </w:pPr>
      <w:r w:rsidRPr="0007433E">
        <w:rPr>
          <w:rFonts w:eastAsia="Calibri"/>
        </w:rPr>
        <w:t>Members are appointed by the Minister for terms of up to three years. Members may be reappointed but cannot serve on the Board for more than six consecutive years.</w:t>
      </w:r>
    </w:p>
    <w:p w14:paraId="0B3A566A" w14:textId="109751E7" w:rsidR="00336C97" w:rsidRPr="0007433E" w:rsidRDefault="00336C97" w:rsidP="0053590F">
      <w:pPr>
        <w:pStyle w:val="ReportBody"/>
        <w:spacing w:before="0"/>
        <w:jc w:val="both"/>
        <w:rPr>
          <w:rFonts w:eastAsia="Calibri"/>
        </w:rPr>
      </w:pPr>
      <w:r>
        <w:rPr>
          <w:rFonts w:eastAsia="Calibri"/>
        </w:rPr>
        <w:t>The Chair is appointed by the Minister from among the members of the Board. The</w:t>
      </w:r>
      <w:r w:rsidR="00DB2887">
        <w:rPr>
          <w:rFonts w:eastAsia="Calibri"/>
        </w:rPr>
        <w:t xml:space="preserve"> </w:t>
      </w:r>
      <w:r>
        <w:rPr>
          <w:rFonts w:eastAsia="Calibri"/>
        </w:rPr>
        <w:t>Chair</w:t>
      </w:r>
      <w:r w:rsidR="00DB2887">
        <w:rPr>
          <w:rFonts w:eastAsia="Calibri"/>
        </w:rPr>
        <w:t>’s term</w:t>
      </w:r>
      <w:r>
        <w:rPr>
          <w:rFonts w:eastAsia="Calibri"/>
        </w:rPr>
        <w:t xml:space="preserve"> may be no longer than their Board membership.</w:t>
      </w:r>
    </w:p>
    <w:p w14:paraId="3A67B357" w14:textId="7609F385" w:rsidR="00336C97" w:rsidRPr="00F14731" w:rsidRDefault="00336C97" w:rsidP="0053590F">
      <w:pPr>
        <w:pStyle w:val="Heading3"/>
        <w:jc w:val="both"/>
      </w:pPr>
      <w:r w:rsidRPr="00F14731">
        <w:t xml:space="preserve">Knowledge, </w:t>
      </w:r>
      <w:proofErr w:type="gramStart"/>
      <w:r w:rsidR="00AF1F68">
        <w:t>s</w:t>
      </w:r>
      <w:r w:rsidRPr="00F14731">
        <w:t>kills</w:t>
      </w:r>
      <w:proofErr w:type="gramEnd"/>
      <w:r w:rsidRPr="00F14731">
        <w:t xml:space="preserve"> and </w:t>
      </w:r>
      <w:r w:rsidR="00AF1F68">
        <w:t>e</w:t>
      </w:r>
      <w:r w:rsidRPr="00F14731">
        <w:t>xperience</w:t>
      </w:r>
    </w:p>
    <w:p w14:paraId="3757D325" w14:textId="7F2D6B4D" w:rsidR="00336C97" w:rsidRPr="00F14731" w:rsidRDefault="008D6CD1" w:rsidP="0053590F">
      <w:pPr>
        <w:pStyle w:val="ReportBody"/>
        <w:spacing w:before="0"/>
        <w:jc w:val="both"/>
        <w:rPr>
          <w:rFonts w:eastAsia="Calibri"/>
        </w:rPr>
      </w:pPr>
      <w:bookmarkStart w:id="0" w:name="_Hlk169011257"/>
      <w:r>
        <w:rPr>
          <w:rFonts w:eastAsia="Calibri"/>
        </w:rPr>
        <w:t xml:space="preserve">The </w:t>
      </w:r>
      <w:r w:rsidR="00336C97">
        <w:rPr>
          <w:rFonts w:eastAsia="Calibri"/>
        </w:rPr>
        <w:t>Board</w:t>
      </w:r>
      <w:r>
        <w:rPr>
          <w:rFonts w:eastAsia="Calibri"/>
        </w:rPr>
        <w:t>’s</w:t>
      </w:r>
      <w:r w:rsidR="00336C97">
        <w:rPr>
          <w:rFonts w:eastAsia="Calibri"/>
        </w:rPr>
        <w:t xml:space="preserve"> members</w:t>
      </w:r>
      <w:r>
        <w:rPr>
          <w:rFonts w:eastAsia="Calibri"/>
        </w:rPr>
        <w:t>hip</w:t>
      </w:r>
      <w:r w:rsidR="00336C97">
        <w:rPr>
          <w:rFonts w:eastAsia="Calibri"/>
        </w:rPr>
        <w:t xml:space="preserve"> should collectively</w:t>
      </w:r>
      <w:r w:rsidR="00EB6DBA">
        <w:rPr>
          <w:rFonts w:eastAsia="Calibri"/>
        </w:rPr>
        <w:t>, and as far as possible individually,</w:t>
      </w:r>
      <w:r w:rsidR="00336C97">
        <w:rPr>
          <w:rFonts w:eastAsia="Calibri"/>
        </w:rPr>
        <w:t xml:space="preserve"> have the following </w:t>
      </w:r>
      <w:r w:rsidR="00EB6DBA">
        <w:rPr>
          <w:rFonts w:eastAsia="Calibri"/>
        </w:rPr>
        <w:t>e</w:t>
      </w:r>
      <w:r w:rsidR="00336C97">
        <w:rPr>
          <w:rFonts w:eastAsia="Calibri"/>
        </w:rPr>
        <w:t>xpertise and experience:</w:t>
      </w:r>
      <w:bookmarkEnd w:id="0"/>
    </w:p>
    <w:p w14:paraId="3F4BF14E" w14:textId="6794DD07" w:rsidR="00336C97" w:rsidRPr="00F14731" w:rsidRDefault="00336C97" w:rsidP="0053590F">
      <w:pPr>
        <w:pStyle w:val="Bullet20"/>
        <w:spacing w:before="0"/>
        <w:rPr>
          <w:rFonts w:eastAsia="Calibri"/>
        </w:rPr>
      </w:pPr>
      <w:r>
        <w:rPr>
          <w:rFonts w:eastAsia="Calibri"/>
        </w:rPr>
        <w:t>extensive applied social work experience (10-15 years)</w:t>
      </w:r>
    </w:p>
    <w:p w14:paraId="5F752662" w14:textId="77777777" w:rsidR="00336C97" w:rsidRPr="0083498E" w:rsidRDefault="00336C97" w:rsidP="0053590F">
      <w:pPr>
        <w:pStyle w:val="Bullet20"/>
        <w:spacing w:before="0"/>
        <w:rPr>
          <w:rFonts w:eastAsia="Calibri"/>
        </w:rPr>
      </w:pPr>
      <w:r w:rsidRPr="0083498E">
        <w:rPr>
          <w:rFonts w:eastAsia="Calibri"/>
        </w:rPr>
        <w:t xml:space="preserve">strong governance experience </w:t>
      </w:r>
    </w:p>
    <w:p w14:paraId="2C4E70C5" w14:textId="3BB07744" w:rsidR="00336C97" w:rsidRDefault="00336C97" w:rsidP="0053590F">
      <w:pPr>
        <w:pStyle w:val="Bullet20"/>
        <w:spacing w:before="0"/>
      </w:pPr>
      <w:r w:rsidRPr="00F14731">
        <w:rPr>
          <w:rFonts w:eastAsia="Calibri"/>
        </w:rPr>
        <w:t>well-developed and effective financial management skills and experience</w:t>
      </w:r>
      <w:r>
        <w:rPr>
          <w:rFonts w:eastAsia="Calibri"/>
        </w:rPr>
        <w:t>.</w:t>
      </w:r>
    </w:p>
    <w:p w14:paraId="5848F002" w14:textId="31AE2296" w:rsidR="00336C97" w:rsidRPr="00F14731" w:rsidRDefault="00336C97" w:rsidP="0053590F">
      <w:pPr>
        <w:pStyle w:val="Bullet20"/>
        <w:spacing w:before="0"/>
        <w:rPr>
          <w:rFonts w:eastAsia="Calibri"/>
        </w:rPr>
      </w:pPr>
      <w:r w:rsidRPr="00F14731">
        <w:rPr>
          <w:rFonts w:eastAsia="Calibri"/>
        </w:rPr>
        <w:t xml:space="preserve">understanding and knowledge of </w:t>
      </w:r>
      <w:r>
        <w:rPr>
          <w:rFonts w:eastAsia="Calibri"/>
        </w:rPr>
        <w:t xml:space="preserve">machinery of </w:t>
      </w:r>
      <w:r w:rsidRPr="00F14731">
        <w:rPr>
          <w:rFonts w:eastAsia="Calibri"/>
        </w:rPr>
        <w:t xml:space="preserve">government </w:t>
      </w:r>
      <w:r>
        <w:rPr>
          <w:rFonts w:eastAsia="Calibri"/>
        </w:rPr>
        <w:t xml:space="preserve">and Crown Entity responsibilities </w:t>
      </w:r>
    </w:p>
    <w:p w14:paraId="012C70A5" w14:textId="55758371" w:rsidR="00336C97" w:rsidRPr="00F14731" w:rsidRDefault="00336C97" w:rsidP="0053590F">
      <w:pPr>
        <w:pStyle w:val="Bullet20"/>
        <w:spacing w:before="0"/>
        <w:rPr>
          <w:rFonts w:eastAsia="Calibri"/>
        </w:rPr>
      </w:pPr>
      <w:r w:rsidRPr="00F14731">
        <w:rPr>
          <w:rFonts w:eastAsia="Calibri"/>
        </w:rPr>
        <w:t xml:space="preserve">understanding of </w:t>
      </w:r>
      <w:r>
        <w:rPr>
          <w:rFonts w:eastAsia="Calibri"/>
        </w:rPr>
        <w:t xml:space="preserve">professional </w:t>
      </w:r>
      <w:r w:rsidRPr="00F14731">
        <w:rPr>
          <w:rFonts w:eastAsia="Calibri"/>
        </w:rPr>
        <w:t xml:space="preserve">regulatory functions including public safety </w:t>
      </w:r>
    </w:p>
    <w:p w14:paraId="20EA1D58" w14:textId="66BD4305" w:rsidR="00336C97" w:rsidRPr="00F14731" w:rsidRDefault="00336C97" w:rsidP="0053590F">
      <w:pPr>
        <w:pStyle w:val="Bullet20"/>
        <w:spacing w:before="0"/>
      </w:pPr>
      <w:r w:rsidRPr="00F14731">
        <w:rPr>
          <w:lang w:val="en-GB"/>
        </w:rPr>
        <w:t xml:space="preserve">understanding of Te </w:t>
      </w:r>
      <w:proofErr w:type="spellStart"/>
      <w:r w:rsidRPr="00F14731">
        <w:rPr>
          <w:lang w:val="en-GB"/>
        </w:rPr>
        <w:t>Tiriti</w:t>
      </w:r>
      <w:proofErr w:type="spellEnd"/>
      <w:r w:rsidRPr="00F14731">
        <w:rPr>
          <w:lang w:val="en-GB"/>
        </w:rPr>
        <w:t xml:space="preserve"> o Waitangi, </w:t>
      </w:r>
      <w:proofErr w:type="spellStart"/>
      <w:r w:rsidRPr="00F14731">
        <w:rPr>
          <w:lang w:val="en-GB"/>
        </w:rPr>
        <w:t>te</w:t>
      </w:r>
      <w:proofErr w:type="spellEnd"/>
      <w:r w:rsidRPr="00F14731">
        <w:rPr>
          <w:lang w:val="en-GB"/>
        </w:rPr>
        <w:t xml:space="preserve"> </w:t>
      </w:r>
      <w:proofErr w:type="spellStart"/>
      <w:r w:rsidRPr="00F14731">
        <w:rPr>
          <w:lang w:val="en-GB"/>
        </w:rPr>
        <w:t>reo</w:t>
      </w:r>
      <w:proofErr w:type="spellEnd"/>
      <w:r w:rsidRPr="00F14731">
        <w:rPr>
          <w:lang w:val="en-GB"/>
        </w:rPr>
        <w:t xml:space="preserve"> Māori, tikanga </w:t>
      </w:r>
      <w:r>
        <w:rPr>
          <w:lang w:val="en-GB"/>
        </w:rPr>
        <w:t xml:space="preserve">and </w:t>
      </w:r>
      <w:proofErr w:type="spellStart"/>
      <w:r w:rsidRPr="00F14731">
        <w:rPr>
          <w:lang w:val="en-GB"/>
        </w:rPr>
        <w:t>te</w:t>
      </w:r>
      <w:proofErr w:type="spellEnd"/>
      <w:r w:rsidRPr="00F14731">
        <w:rPr>
          <w:lang w:val="en-GB"/>
        </w:rPr>
        <w:t xml:space="preserve"> </w:t>
      </w:r>
      <w:proofErr w:type="spellStart"/>
      <w:r w:rsidRPr="00F14731">
        <w:rPr>
          <w:lang w:val="en-GB"/>
        </w:rPr>
        <w:t>ao</w:t>
      </w:r>
      <w:proofErr w:type="spellEnd"/>
      <w:r w:rsidRPr="00F14731">
        <w:rPr>
          <w:lang w:val="en-GB"/>
        </w:rPr>
        <w:t xml:space="preserve"> Māori and as it relates to the social </w:t>
      </w:r>
      <w:r>
        <w:rPr>
          <w:lang w:val="en-GB"/>
        </w:rPr>
        <w:t>work</w:t>
      </w:r>
      <w:r w:rsidRPr="00F14731">
        <w:rPr>
          <w:lang w:val="en-GB"/>
        </w:rPr>
        <w:t xml:space="preserve"> sector</w:t>
      </w:r>
    </w:p>
    <w:p w14:paraId="507483AC" w14:textId="1FCA92F9" w:rsidR="00336C97" w:rsidRDefault="00336C97" w:rsidP="0053590F">
      <w:pPr>
        <w:pStyle w:val="Bullet20"/>
        <w:spacing w:before="0"/>
        <w:rPr>
          <w:rFonts w:eastAsia="Calibri"/>
        </w:rPr>
      </w:pPr>
      <w:r w:rsidRPr="00FB4166">
        <w:rPr>
          <w:rFonts w:eastAsia="Calibri"/>
        </w:rPr>
        <w:t xml:space="preserve">ability to engage effectively with Pacific peoples and diverse ethnic and cultural groups in New Zealand </w:t>
      </w:r>
    </w:p>
    <w:p w14:paraId="5607FC2C" w14:textId="77777777" w:rsidR="00EB6DBA" w:rsidRDefault="00336C97" w:rsidP="0053590F">
      <w:pPr>
        <w:pStyle w:val="Bullet20"/>
        <w:spacing w:before="0"/>
        <w:rPr>
          <w:rFonts w:eastAsia="Calibri"/>
        </w:rPr>
      </w:pPr>
      <w:r w:rsidRPr="00F14731">
        <w:rPr>
          <w:rFonts w:eastAsia="Calibri"/>
        </w:rPr>
        <w:t>effective relationship management</w:t>
      </w:r>
    </w:p>
    <w:p w14:paraId="7DCCB843" w14:textId="6F1D6711" w:rsidR="005C2567" w:rsidRPr="00EB6DBA" w:rsidRDefault="00336C97" w:rsidP="0053590F">
      <w:pPr>
        <w:pStyle w:val="Bullet20"/>
        <w:spacing w:before="0"/>
        <w:rPr>
          <w:rFonts w:eastAsia="Calibri"/>
        </w:rPr>
      </w:pPr>
      <w:r w:rsidRPr="00EB6DBA">
        <w:rPr>
          <w:rFonts w:eastAsia="Calibri"/>
        </w:rPr>
        <w:t>effective communications skills.</w:t>
      </w:r>
    </w:p>
    <w:p w14:paraId="53F681E0" w14:textId="0C7A5D91" w:rsidR="00646A0B" w:rsidRPr="00926499" w:rsidRDefault="00646A0B" w:rsidP="0053590F">
      <w:pPr>
        <w:spacing w:line="240" w:lineRule="auto"/>
        <w:jc w:val="both"/>
        <w:outlineLvl w:val="2"/>
        <w:rPr>
          <w:b/>
          <w:sz w:val="24"/>
          <w:szCs w:val="24"/>
        </w:rPr>
      </w:pPr>
      <w:r w:rsidRPr="00926499">
        <w:rPr>
          <w:b/>
          <w:sz w:val="24"/>
          <w:szCs w:val="24"/>
        </w:rPr>
        <w:t>Role of the Chair</w:t>
      </w:r>
    </w:p>
    <w:p w14:paraId="32E1418C" w14:textId="77777777" w:rsidR="00646A0B" w:rsidRPr="00926499" w:rsidRDefault="00646A0B" w:rsidP="0053590F">
      <w:pPr>
        <w:spacing w:line="240" w:lineRule="auto"/>
        <w:jc w:val="both"/>
        <w:rPr>
          <w:color w:val="000000"/>
          <w:kern w:val="22"/>
          <w:szCs w:val="20"/>
          <w:lang w:eastAsia="en-NZ"/>
        </w:rPr>
      </w:pPr>
      <w:r>
        <w:rPr>
          <w:color w:val="000000"/>
          <w:kern w:val="22"/>
          <w:szCs w:val="20"/>
          <w:lang w:eastAsia="en-NZ"/>
        </w:rPr>
        <w:t xml:space="preserve">In addition to their </w:t>
      </w:r>
      <w:r w:rsidRPr="00926499">
        <w:rPr>
          <w:color w:val="000000"/>
          <w:kern w:val="22"/>
          <w:szCs w:val="20"/>
          <w:lang w:eastAsia="en-NZ"/>
        </w:rPr>
        <w:t xml:space="preserve">responsibilities </w:t>
      </w:r>
      <w:r>
        <w:rPr>
          <w:color w:val="000000"/>
          <w:kern w:val="22"/>
          <w:szCs w:val="20"/>
          <w:lang w:eastAsia="en-NZ"/>
        </w:rPr>
        <w:t xml:space="preserve">as a Board member, </w:t>
      </w:r>
      <w:r w:rsidRPr="00926499">
        <w:rPr>
          <w:color w:val="000000"/>
          <w:kern w:val="22"/>
          <w:szCs w:val="20"/>
          <w:lang w:eastAsia="en-NZ"/>
        </w:rPr>
        <w:t>the Chair will:</w:t>
      </w:r>
    </w:p>
    <w:p w14:paraId="069C632B" w14:textId="77777777" w:rsidR="00646A0B" w:rsidRPr="00926499" w:rsidRDefault="00646A0B" w:rsidP="0053590F">
      <w:pPr>
        <w:numPr>
          <w:ilvl w:val="0"/>
          <w:numId w:val="36"/>
        </w:numPr>
        <w:spacing w:line="240" w:lineRule="auto"/>
        <w:ind w:left="284" w:hanging="284"/>
        <w:rPr>
          <w:color w:val="000000"/>
          <w:kern w:val="22"/>
          <w:szCs w:val="20"/>
          <w:lang w:eastAsia="en-NZ"/>
        </w:rPr>
      </w:pPr>
      <w:r w:rsidRPr="00926499">
        <w:rPr>
          <w:color w:val="000000"/>
          <w:kern w:val="22"/>
          <w:szCs w:val="20"/>
          <w:lang w:eastAsia="en-NZ"/>
        </w:rPr>
        <w:t xml:space="preserve">act as leader of the Board, presiding </w:t>
      </w:r>
      <w:proofErr w:type="gramStart"/>
      <w:r w:rsidRPr="00926499">
        <w:rPr>
          <w:color w:val="000000"/>
          <w:kern w:val="22"/>
          <w:szCs w:val="20"/>
          <w:lang w:eastAsia="en-NZ"/>
        </w:rPr>
        <w:t>over Board</w:t>
      </w:r>
      <w:proofErr w:type="gramEnd"/>
      <w:r w:rsidRPr="00926499">
        <w:rPr>
          <w:color w:val="000000"/>
          <w:kern w:val="22"/>
          <w:szCs w:val="20"/>
          <w:lang w:eastAsia="en-NZ"/>
        </w:rPr>
        <w:t xml:space="preserve"> meetings </w:t>
      </w:r>
    </w:p>
    <w:p w14:paraId="38950ACA" w14:textId="77777777" w:rsidR="00646A0B" w:rsidRPr="00926499" w:rsidRDefault="00646A0B" w:rsidP="0053590F">
      <w:pPr>
        <w:numPr>
          <w:ilvl w:val="0"/>
          <w:numId w:val="36"/>
        </w:numPr>
        <w:spacing w:line="240" w:lineRule="auto"/>
        <w:ind w:left="284" w:hanging="284"/>
        <w:rPr>
          <w:color w:val="000000"/>
          <w:kern w:val="22"/>
          <w:szCs w:val="20"/>
          <w:lang w:eastAsia="en-NZ"/>
        </w:rPr>
      </w:pPr>
      <w:r w:rsidRPr="00926499">
        <w:rPr>
          <w:color w:val="000000"/>
          <w:kern w:val="22"/>
          <w:szCs w:val="20"/>
          <w:lang w:eastAsia="en-NZ"/>
        </w:rPr>
        <w:t>be responsible for the integrity of the Board’s processes (especially those relating to managing board member conflicts of interest)</w:t>
      </w:r>
    </w:p>
    <w:p w14:paraId="48CBBAA1" w14:textId="77777777" w:rsidR="00646A0B" w:rsidRPr="00926499" w:rsidRDefault="00646A0B" w:rsidP="0053590F">
      <w:pPr>
        <w:numPr>
          <w:ilvl w:val="0"/>
          <w:numId w:val="36"/>
        </w:numPr>
        <w:spacing w:line="240" w:lineRule="auto"/>
        <w:ind w:left="284" w:hanging="284"/>
        <w:rPr>
          <w:color w:val="000000"/>
          <w:kern w:val="22"/>
          <w:szCs w:val="20"/>
          <w:lang w:eastAsia="en-NZ"/>
        </w:rPr>
      </w:pPr>
      <w:r w:rsidRPr="00926499">
        <w:rPr>
          <w:color w:val="000000"/>
          <w:kern w:val="22"/>
          <w:szCs w:val="20"/>
          <w:lang w:eastAsia="en-NZ"/>
        </w:rPr>
        <w:t>act as the main point of contact between the Board and the responsible Minister</w:t>
      </w:r>
    </w:p>
    <w:p w14:paraId="4AC384C2" w14:textId="1535F812" w:rsidR="00646A0B" w:rsidRPr="00926499" w:rsidRDefault="00646A0B" w:rsidP="0053590F">
      <w:pPr>
        <w:numPr>
          <w:ilvl w:val="0"/>
          <w:numId w:val="36"/>
        </w:numPr>
        <w:spacing w:line="240" w:lineRule="auto"/>
        <w:ind w:left="284" w:hanging="284"/>
        <w:rPr>
          <w:color w:val="000000"/>
          <w:kern w:val="22"/>
          <w:szCs w:val="20"/>
          <w:lang w:val="en-AU" w:eastAsia="en-NZ"/>
        </w:rPr>
      </w:pPr>
      <w:r w:rsidRPr="00926499">
        <w:rPr>
          <w:color w:val="000000"/>
          <w:kern w:val="22"/>
          <w:szCs w:val="20"/>
          <w:lang w:eastAsia="en-NZ"/>
        </w:rPr>
        <w:t xml:space="preserve">be responsible for the day-to-day relationship with </w:t>
      </w:r>
      <w:r w:rsidR="00821507">
        <w:rPr>
          <w:color w:val="000000"/>
          <w:kern w:val="22"/>
          <w:szCs w:val="20"/>
          <w:lang w:eastAsia="en-NZ"/>
        </w:rPr>
        <w:t>SWRB</w:t>
      </w:r>
      <w:r w:rsidRPr="00926499">
        <w:rPr>
          <w:color w:val="000000"/>
          <w:kern w:val="22"/>
          <w:szCs w:val="20"/>
          <w:lang w:eastAsia="en-NZ"/>
        </w:rPr>
        <w:t>’s Chief Executive.</w:t>
      </w:r>
    </w:p>
    <w:p w14:paraId="49C8F140" w14:textId="77777777" w:rsidR="00646A0B" w:rsidRDefault="00646A0B" w:rsidP="0053590F">
      <w:pPr>
        <w:spacing w:line="240" w:lineRule="auto"/>
        <w:jc w:val="both"/>
        <w:rPr>
          <w:color w:val="000000"/>
          <w:kern w:val="22"/>
          <w:szCs w:val="20"/>
          <w:lang w:eastAsia="en-NZ"/>
        </w:rPr>
      </w:pPr>
      <w:r>
        <w:rPr>
          <w:color w:val="000000"/>
          <w:kern w:val="22"/>
          <w:szCs w:val="20"/>
          <w:lang w:eastAsia="en-NZ"/>
        </w:rPr>
        <w:lastRenderedPageBreak/>
        <w:t>Although the required knowledge and skill mix can be spread across the Board members, i</w:t>
      </w:r>
      <w:r w:rsidRPr="00926499">
        <w:rPr>
          <w:color w:val="000000"/>
          <w:kern w:val="22"/>
          <w:szCs w:val="20"/>
          <w:lang w:eastAsia="en-NZ"/>
        </w:rPr>
        <w:t>t is expected that the Chair will be familiar with public sector governance practices, fiscal management and change management</w:t>
      </w:r>
      <w:r>
        <w:rPr>
          <w:color w:val="000000"/>
          <w:kern w:val="22"/>
          <w:szCs w:val="20"/>
          <w:lang w:eastAsia="en-NZ"/>
        </w:rPr>
        <w:t>.</w:t>
      </w:r>
    </w:p>
    <w:p w14:paraId="3CDBF7DF" w14:textId="77777777" w:rsidR="00646A0B" w:rsidRPr="00926499" w:rsidRDefault="00646A0B" w:rsidP="0053590F">
      <w:pPr>
        <w:spacing w:line="240" w:lineRule="auto"/>
        <w:jc w:val="both"/>
        <w:rPr>
          <w:color w:val="000000"/>
          <w:kern w:val="22"/>
          <w:szCs w:val="20"/>
          <w:lang w:eastAsia="en-NZ"/>
        </w:rPr>
      </w:pPr>
      <w:r>
        <w:rPr>
          <w:color w:val="000000"/>
          <w:kern w:val="22"/>
          <w:szCs w:val="20"/>
          <w:lang w:eastAsia="en-NZ"/>
        </w:rPr>
        <w:t>The Chair</w:t>
      </w:r>
      <w:r w:rsidRPr="00926499">
        <w:rPr>
          <w:color w:val="000000"/>
          <w:kern w:val="22"/>
          <w:szCs w:val="20"/>
          <w:lang w:eastAsia="en-NZ"/>
        </w:rPr>
        <w:t xml:space="preserve"> will be able to engage effectively with the social work profession</w:t>
      </w:r>
      <w:r>
        <w:rPr>
          <w:color w:val="000000"/>
          <w:kern w:val="22"/>
          <w:szCs w:val="20"/>
          <w:lang w:eastAsia="en-NZ"/>
        </w:rPr>
        <w:t xml:space="preserve"> and other key stakeholders.</w:t>
      </w:r>
    </w:p>
    <w:p w14:paraId="0099FE39" w14:textId="77777777" w:rsidR="00A73EB4" w:rsidRPr="0007433E" w:rsidRDefault="00A73EB4" w:rsidP="00A73EB4">
      <w:pPr>
        <w:pStyle w:val="Heading3"/>
        <w:jc w:val="both"/>
      </w:pPr>
      <w:r w:rsidRPr="0007433E">
        <w:t>Workload</w:t>
      </w:r>
    </w:p>
    <w:p w14:paraId="2EBA86E2" w14:textId="77777777" w:rsidR="00A73EB4" w:rsidRPr="0007433E" w:rsidRDefault="00A73EB4" w:rsidP="00A73EB4">
      <w:pPr>
        <w:pStyle w:val="ReportBody"/>
        <w:spacing w:before="0"/>
        <w:jc w:val="both"/>
        <w:rPr>
          <w:rFonts w:eastAsia="Calibri"/>
        </w:rPr>
      </w:pPr>
      <w:r w:rsidRPr="0007433E">
        <w:rPr>
          <w:rFonts w:eastAsia="Calibri"/>
        </w:rPr>
        <w:t>Members are expected to attend all scheduled Board meeting</w:t>
      </w:r>
      <w:r>
        <w:rPr>
          <w:rFonts w:eastAsia="Calibri"/>
        </w:rPr>
        <w:t xml:space="preserve">s, participate in online Board </w:t>
      </w:r>
      <w:proofErr w:type="gramStart"/>
      <w:r>
        <w:rPr>
          <w:rFonts w:eastAsia="Calibri"/>
        </w:rPr>
        <w:t>activities</w:t>
      </w:r>
      <w:proofErr w:type="gramEnd"/>
      <w:r>
        <w:rPr>
          <w:rFonts w:eastAsia="Calibri"/>
        </w:rPr>
        <w:t xml:space="preserve"> </w:t>
      </w:r>
      <w:r w:rsidRPr="0007433E">
        <w:rPr>
          <w:rFonts w:eastAsia="Calibri"/>
        </w:rPr>
        <w:t xml:space="preserve">and </w:t>
      </w:r>
      <w:r>
        <w:rPr>
          <w:rFonts w:eastAsia="Calibri"/>
        </w:rPr>
        <w:t>als</w:t>
      </w:r>
      <w:r w:rsidRPr="0007433E">
        <w:rPr>
          <w:rFonts w:eastAsia="Calibri"/>
        </w:rPr>
        <w:t>o</w:t>
      </w:r>
      <w:r>
        <w:rPr>
          <w:rFonts w:eastAsia="Calibri"/>
        </w:rPr>
        <w:t xml:space="preserve"> </w:t>
      </w:r>
      <w:r w:rsidRPr="0007433E">
        <w:rPr>
          <w:rFonts w:eastAsia="Calibri"/>
        </w:rPr>
        <w:t>participate in any specialist committees established by the Board.</w:t>
      </w:r>
      <w:r>
        <w:rPr>
          <w:rFonts w:eastAsia="Calibri"/>
        </w:rPr>
        <w:t xml:space="preserve"> Around six full-day meetings are held per year.</w:t>
      </w:r>
    </w:p>
    <w:p w14:paraId="44D54C17" w14:textId="77777777" w:rsidR="00A73EB4" w:rsidRDefault="00A73EB4" w:rsidP="00A73EB4">
      <w:pPr>
        <w:pStyle w:val="ReportBody"/>
        <w:spacing w:before="0"/>
        <w:jc w:val="both"/>
        <w:rPr>
          <w:rFonts w:eastAsia="Calibri"/>
        </w:rPr>
      </w:pPr>
      <w:r w:rsidRPr="0007433E">
        <w:rPr>
          <w:rFonts w:eastAsia="Calibri"/>
        </w:rPr>
        <w:t>It is expected that the Chair will spend up to 50 days per year on Board business, and other members up to 30 days per year.</w:t>
      </w:r>
    </w:p>
    <w:p w14:paraId="34C296F7" w14:textId="77777777" w:rsidR="00336C97" w:rsidRPr="0007433E" w:rsidRDefault="00336C97" w:rsidP="0053590F">
      <w:pPr>
        <w:pStyle w:val="Heading3"/>
        <w:jc w:val="both"/>
      </w:pPr>
      <w:r w:rsidRPr="0007433E">
        <w:t>Remuneration and expenses</w:t>
      </w:r>
    </w:p>
    <w:p w14:paraId="28266456" w14:textId="3DEC579F" w:rsidR="00336C97" w:rsidRPr="002569C2" w:rsidRDefault="00336C97" w:rsidP="0053590F">
      <w:pPr>
        <w:pStyle w:val="ReportBody"/>
        <w:spacing w:before="0"/>
        <w:jc w:val="both"/>
        <w:rPr>
          <w:rFonts w:eastAsia="Calibri"/>
        </w:rPr>
      </w:pPr>
      <w:r w:rsidRPr="0007433E">
        <w:rPr>
          <w:rFonts w:eastAsia="Calibri"/>
        </w:rPr>
        <w:t xml:space="preserve">The remuneration of </w:t>
      </w:r>
      <w:r>
        <w:rPr>
          <w:rFonts w:eastAsia="Calibri"/>
        </w:rPr>
        <w:t>B</w:t>
      </w:r>
      <w:r w:rsidRPr="0007433E">
        <w:rPr>
          <w:rFonts w:eastAsia="Calibri"/>
        </w:rPr>
        <w:t>oard members is set in accordance with the Cabinet Fees Framework. The Board Chair</w:t>
      </w:r>
      <w:r>
        <w:rPr>
          <w:rFonts w:eastAsia="Calibri"/>
        </w:rPr>
        <w:t>’s</w:t>
      </w:r>
      <w:r w:rsidRPr="0007433E">
        <w:rPr>
          <w:rFonts w:eastAsia="Calibri"/>
        </w:rPr>
        <w:t xml:space="preserve"> annual fee </w:t>
      </w:r>
      <w:r>
        <w:rPr>
          <w:rFonts w:eastAsia="Calibri"/>
        </w:rPr>
        <w:t xml:space="preserve">is </w:t>
      </w:r>
      <w:r w:rsidRPr="0007433E">
        <w:rPr>
          <w:rFonts w:eastAsia="Calibri"/>
        </w:rPr>
        <w:t>$</w:t>
      </w:r>
      <w:r>
        <w:rPr>
          <w:rFonts w:eastAsia="Calibri"/>
        </w:rPr>
        <w:t>27,350</w:t>
      </w:r>
      <w:r w:rsidRPr="0007433E">
        <w:rPr>
          <w:rFonts w:eastAsia="Calibri"/>
        </w:rPr>
        <w:t xml:space="preserve"> </w:t>
      </w:r>
      <w:r>
        <w:rPr>
          <w:rFonts w:eastAsia="Calibri"/>
        </w:rPr>
        <w:t>and</w:t>
      </w:r>
      <w:r w:rsidRPr="0007433E">
        <w:rPr>
          <w:rFonts w:eastAsia="Calibri"/>
        </w:rPr>
        <w:t xml:space="preserve"> the members annual fee </w:t>
      </w:r>
      <w:r>
        <w:rPr>
          <w:rFonts w:eastAsia="Calibri"/>
        </w:rPr>
        <w:t xml:space="preserve">is </w:t>
      </w:r>
      <w:r w:rsidRPr="0007433E">
        <w:rPr>
          <w:rFonts w:eastAsia="Calibri"/>
        </w:rPr>
        <w:t>$1</w:t>
      </w:r>
      <w:r>
        <w:rPr>
          <w:rFonts w:eastAsia="Calibri"/>
        </w:rPr>
        <w:t>1</w:t>
      </w:r>
      <w:r w:rsidRPr="002569C2">
        <w:rPr>
          <w:rFonts w:eastAsia="Calibri"/>
        </w:rPr>
        <w:t>,250.</w:t>
      </w:r>
    </w:p>
    <w:p w14:paraId="63E41294" w14:textId="1982727C" w:rsidR="00336C97" w:rsidRDefault="00336C97" w:rsidP="0053590F">
      <w:pPr>
        <w:pStyle w:val="ReportBody"/>
        <w:spacing w:before="0"/>
        <w:jc w:val="both"/>
        <w:rPr>
          <w:rFonts w:eastAsia="Calibri"/>
        </w:rPr>
      </w:pPr>
      <w:r w:rsidRPr="002569C2">
        <w:rPr>
          <w:rFonts w:eastAsia="Calibri"/>
        </w:rPr>
        <w:t>A member is also entitled to claim expenses such as travel, parking, telephone calls, and postage costs.</w:t>
      </w:r>
    </w:p>
    <w:p w14:paraId="422790E8" w14:textId="119585D2" w:rsidR="005C2567" w:rsidRPr="002569C2" w:rsidRDefault="005C2567" w:rsidP="0053590F">
      <w:pPr>
        <w:pStyle w:val="Heading3"/>
        <w:jc w:val="both"/>
      </w:pPr>
      <w:r>
        <w:t>Conflict of interests</w:t>
      </w:r>
    </w:p>
    <w:p w14:paraId="58164D8B" w14:textId="77777777" w:rsidR="00181F17" w:rsidRDefault="00181F17" w:rsidP="0053590F">
      <w:pPr>
        <w:pStyle w:val="CabStandard"/>
        <w:numPr>
          <w:ilvl w:val="0"/>
          <w:numId w:val="0"/>
        </w:numPr>
        <w:spacing w:after="120"/>
        <w:jc w:val="both"/>
        <w:rPr>
          <w:rFonts w:ascii="Verdana" w:hAnsi="Verdana"/>
          <w:sz w:val="20"/>
        </w:rPr>
      </w:pPr>
      <w:r w:rsidRPr="002569C2">
        <w:rPr>
          <w:rFonts w:ascii="Verdana" w:hAnsi="Verdana"/>
          <w:sz w:val="20"/>
        </w:rPr>
        <w:t xml:space="preserve">The SWRB has processes in place to ensure that any </w:t>
      </w:r>
      <w:r>
        <w:rPr>
          <w:rFonts w:ascii="Verdana" w:hAnsi="Verdana"/>
          <w:sz w:val="20"/>
        </w:rPr>
        <w:t>potential conflicts of interest a member has are acknowledged when they are appointed, and appropriately managed throughout the member’s term.</w:t>
      </w:r>
    </w:p>
    <w:p w14:paraId="6AA9BF03" w14:textId="77777777" w:rsidR="00181F17" w:rsidRPr="002569C2" w:rsidRDefault="00181F17" w:rsidP="0053590F">
      <w:pPr>
        <w:pStyle w:val="CabStandard"/>
        <w:numPr>
          <w:ilvl w:val="0"/>
          <w:numId w:val="0"/>
        </w:numPr>
        <w:spacing w:after="120"/>
        <w:jc w:val="both"/>
        <w:rPr>
          <w:rFonts w:ascii="Verdana" w:eastAsia="Calibri" w:hAnsi="Verdana"/>
          <w:sz w:val="20"/>
        </w:rPr>
      </w:pPr>
      <w:r>
        <w:rPr>
          <w:rFonts w:ascii="Verdana" w:hAnsi="Verdana"/>
          <w:sz w:val="20"/>
        </w:rPr>
        <w:t>G</w:t>
      </w:r>
      <w:r w:rsidRPr="002569C2">
        <w:rPr>
          <w:rFonts w:ascii="Verdana" w:hAnsi="Verdana"/>
          <w:sz w:val="20"/>
        </w:rPr>
        <w:t xml:space="preserve">iven the potential conflict of interest between the role of a public servant and the role of a member of a statutory body, Ministers </w:t>
      </w:r>
      <w:r>
        <w:rPr>
          <w:rFonts w:ascii="Verdana" w:hAnsi="Verdana"/>
          <w:sz w:val="20"/>
        </w:rPr>
        <w:t xml:space="preserve">will </w:t>
      </w:r>
      <w:r w:rsidRPr="002569C2">
        <w:rPr>
          <w:rFonts w:ascii="Verdana" w:hAnsi="Verdana"/>
          <w:sz w:val="20"/>
        </w:rPr>
        <w:t xml:space="preserve">not </w:t>
      </w:r>
      <w:r>
        <w:rPr>
          <w:rFonts w:ascii="Verdana" w:hAnsi="Verdana"/>
          <w:sz w:val="20"/>
        </w:rPr>
        <w:t xml:space="preserve">generally </w:t>
      </w:r>
      <w:r w:rsidRPr="002569C2">
        <w:rPr>
          <w:rFonts w:ascii="Verdana" w:hAnsi="Verdana"/>
          <w:sz w:val="20"/>
        </w:rPr>
        <w:t>appoint public servants to statutory bodies unless there are special circumstances</w:t>
      </w:r>
      <w:r>
        <w:rPr>
          <w:rFonts w:ascii="Verdana" w:hAnsi="Verdana"/>
          <w:sz w:val="20"/>
        </w:rPr>
        <w:t>. The C</w:t>
      </w:r>
      <w:r w:rsidRPr="002569C2">
        <w:rPr>
          <w:rFonts w:ascii="Verdana" w:hAnsi="Verdana"/>
          <w:sz w:val="20"/>
        </w:rPr>
        <w:t xml:space="preserve">abinet circular </w:t>
      </w:r>
      <w:r>
        <w:rPr>
          <w:rFonts w:ascii="Verdana" w:hAnsi="Verdana"/>
          <w:sz w:val="20"/>
        </w:rPr>
        <w:t xml:space="preserve">which </w:t>
      </w:r>
      <w:r w:rsidRPr="002569C2">
        <w:rPr>
          <w:rFonts w:ascii="Verdana" w:hAnsi="Verdana"/>
          <w:sz w:val="20"/>
        </w:rPr>
        <w:t xml:space="preserve">outlines </w:t>
      </w:r>
      <w:r>
        <w:rPr>
          <w:rFonts w:ascii="Verdana" w:hAnsi="Verdana"/>
          <w:sz w:val="20"/>
        </w:rPr>
        <w:t xml:space="preserve">this expectation, </w:t>
      </w:r>
      <w:proofErr w:type="gramStart"/>
      <w:r w:rsidRPr="002569C2">
        <w:rPr>
          <w:rFonts w:ascii="Verdana" w:hAnsi="Verdana"/>
          <w:sz w:val="20"/>
        </w:rPr>
        <w:t>CO(</w:t>
      </w:r>
      <w:proofErr w:type="gramEnd"/>
      <w:r w:rsidRPr="002569C2">
        <w:rPr>
          <w:rFonts w:ascii="Verdana" w:hAnsi="Verdana"/>
          <w:sz w:val="20"/>
        </w:rPr>
        <w:t xml:space="preserve">02)5 </w:t>
      </w:r>
      <w:r w:rsidRPr="002569C2">
        <w:rPr>
          <w:rFonts w:ascii="Verdana" w:hAnsi="Verdana"/>
          <w:i/>
          <w:iCs/>
          <w:sz w:val="20"/>
        </w:rPr>
        <w:t>Appointment of Public Servants to Statutory Boards</w:t>
      </w:r>
      <w:r>
        <w:rPr>
          <w:rFonts w:ascii="Verdana" w:hAnsi="Verdana"/>
          <w:sz w:val="20"/>
        </w:rPr>
        <w:t>, sets out the s</w:t>
      </w:r>
      <w:r w:rsidRPr="002569C2">
        <w:rPr>
          <w:rFonts w:ascii="Verdana" w:hAnsi="Verdana"/>
          <w:sz w:val="20"/>
        </w:rPr>
        <w:t>pecial circumstances where public servants can be appointed to statutory bodies.</w:t>
      </w:r>
    </w:p>
    <w:p w14:paraId="0D11C284" w14:textId="77777777" w:rsidR="00181F17" w:rsidRPr="002569C2" w:rsidRDefault="00181F17" w:rsidP="0053590F">
      <w:pPr>
        <w:pStyle w:val="CabStandard"/>
        <w:numPr>
          <w:ilvl w:val="0"/>
          <w:numId w:val="0"/>
        </w:numPr>
        <w:spacing w:after="120"/>
        <w:jc w:val="both"/>
        <w:rPr>
          <w:rFonts w:ascii="Verdana" w:eastAsia="Calibri" w:hAnsi="Verdana"/>
          <w:sz w:val="20"/>
        </w:rPr>
      </w:pPr>
      <w:r>
        <w:rPr>
          <w:rFonts w:ascii="Verdana" w:hAnsi="Verdana"/>
          <w:sz w:val="20"/>
        </w:rPr>
        <w:t xml:space="preserve">A </w:t>
      </w:r>
      <w:r w:rsidRPr="002569C2">
        <w:rPr>
          <w:rFonts w:ascii="Verdana" w:hAnsi="Verdana"/>
          <w:sz w:val="20"/>
        </w:rPr>
        <w:t>public sector employee who is appointed to the Board will not be double paid for their job (as a Board member and as a public sector employee).</w:t>
      </w:r>
    </w:p>
    <w:p w14:paraId="6A27D19D" w14:textId="77777777" w:rsidR="00646A0B" w:rsidRPr="00330E4B" w:rsidRDefault="00646A0B" w:rsidP="00A73EB4">
      <w:pPr>
        <w:pStyle w:val="Heading3"/>
        <w:keepNext/>
        <w:spacing w:after="0"/>
      </w:pPr>
      <w:r w:rsidRPr="00330E4B">
        <w:t>Appointee information</w:t>
      </w:r>
      <w:r>
        <w:t xml:space="preserve"> held</w:t>
      </w:r>
    </w:p>
    <w:p w14:paraId="14A151EC" w14:textId="77777777" w:rsidR="00646A0B" w:rsidRDefault="00646A0B" w:rsidP="0053590F">
      <w:pPr>
        <w:spacing w:before="40" w:after="0" w:line="240" w:lineRule="auto"/>
        <w:jc w:val="both"/>
        <w:rPr>
          <w:rFonts w:eastAsia="Times New Roman"/>
          <w:color w:val="000000"/>
          <w:kern w:val="22"/>
          <w:szCs w:val="20"/>
          <w:lang w:eastAsia="en-NZ"/>
        </w:rPr>
      </w:pPr>
      <w:r>
        <w:rPr>
          <w:rFonts w:eastAsia="Times New Roman"/>
          <w:color w:val="000000"/>
          <w:kern w:val="22"/>
          <w:szCs w:val="20"/>
          <w:lang w:eastAsia="en-NZ"/>
        </w:rPr>
        <w:t>Information on those appointed to the Authority is collected and securely held by the Public Service Commission in a specialist system, ‘AppointNet’. For more details, please see the privacy statement at</w:t>
      </w:r>
    </w:p>
    <w:p w14:paraId="576F76A7" w14:textId="14DEB1FE" w:rsidR="00646A0B" w:rsidRPr="00646A0B" w:rsidRDefault="009C22E5" w:rsidP="0053590F">
      <w:pPr>
        <w:spacing w:line="240" w:lineRule="auto"/>
        <w:jc w:val="both"/>
        <w:rPr>
          <w:rFonts w:eastAsia="Times New Roman"/>
          <w:color w:val="000000"/>
          <w:kern w:val="22"/>
          <w:szCs w:val="20"/>
          <w:lang w:eastAsia="en-NZ"/>
        </w:rPr>
      </w:pPr>
      <w:hyperlink r:id="rId8" w:history="1">
        <w:r w:rsidR="00646A0B" w:rsidRPr="0027566F">
          <w:rPr>
            <w:rStyle w:val="Hyperlink"/>
            <w:rFonts w:eastAsia="Times New Roman"/>
            <w:kern w:val="22"/>
            <w:szCs w:val="20"/>
            <w:lang w:eastAsia="en-NZ"/>
          </w:rPr>
          <w:t>www.publicservice.govt.nz/system/crown-entities/crown-entity-resource-centre/appointnet-privacy-protocol</w:t>
        </w:r>
      </w:hyperlink>
      <w:r w:rsidR="00646A0B" w:rsidRPr="00DC05DF">
        <w:rPr>
          <w:rStyle w:val="Hyperlink"/>
          <w:rFonts w:eastAsia="Times New Roman"/>
          <w:color w:val="000000" w:themeColor="text1"/>
          <w:kern w:val="22"/>
          <w:szCs w:val="20"/>
          <w:lang w:eastAsia="en-NZ"/>
        </w:rPr>
        <w:t>.</w:t>
      </w:r>
    </w:p>
    <w:sectPr w:rsidR="00646A0B" w:rsidRPr="00646A0B" w:rsidSect="00AA6718">
      <w:headerReference w:type="default" r:id="rId9"/>
      <w:pgSz w:w="11906" w:h="16838"/>
      <w:pgMar w:top="1560" w:right="991" w:bottom="1440" w:left="1134"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6004D" w14:textId="77777777" w:rsidR="00492FAC" w:rsidRDefault="00492FAC" w:rsidP="00375332">
      <w:pPr>
        <w:spacing w:after="0" w:line="240" w:lineRule="auto"/>
      </w:pPr>
      <w:r>
        <w:separator/>
      </w:r>
    </w:p>
  </w:endnote>
  <w:endnote w:type="continuationSeparator" w:id="0">
    <w:p w14:paraId="3B54493E" w14:textId="77777777" w:rsidR="00492FAC" w:rsidRDefault="00492FAC" w:rsidP="00375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B784C" w14:textId="77777777" w:rsidR="00492FAC" w:rsidRDefault="00492FAC" w:rsidP="00375332">
      <w:pPr>
        <w:spacing w:after="0" w:line="240" w:lineRule="auto"/>
      </w:pPr>
      <w:r>
        <w:separator/>
      </w:r>
    </w:p>
  </w:footnote>
  <w:footnote w:type="continuationSeparator" w:id="0">
    <w:p w14:paraId="1C1EA95E" w14:textId="77777777" w:rsidR="00492FAC" w:rsidRDefault="00492FAC" w:rsidP="00375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D0D3" w14:textId="77777777" w:rsidR="00375332" w:rsidRPr="00676D78" w:rsidRDefault="00375332" w:rsidP="00375332">
    <w:pPr>
      <w:pBdr>
        <w:bottom w:val="single" w:sz="12" w:space="1" w:color="auto"/>
      </w:pBdr>
      <w:spacing w:after="0" w:line="240" w:lineRule="auto"/>
      <w:jc w:val="center"/>
      <w:rPr>
        <w:b/>
        <w:sz w:val="32"/>
        <w:szCs w:val="32"/>
      </w:rPr>
    </w:pPr>
    <w:r w:rsidRPr="00676D78">
      <w:rPr>
        <w:b/>
        <w:sz w:val="32"/>
        <w:szCs w:val="32"/>
      </w:rPr>
      <w:t xml:space="preserve">Social Workers </w:t>
    </w:r>
    <w:r>
      <w:rPr>
        <w:b/>
        <w:sz w:val="32"/>
        <w:szCs w:val="32"/>
      </w:rPr>
      <w:t>Registration Board</w:t>
    </w:r>
    <w:r w:rsidRPr="00676D78">
      <w:rPr>
        <w:b/>
        <w:sz w:val="32"/>
        <w:szCs w:val="32"/>
      </w:rPr>
      <w:t xml:space="preserve"> </w:t>
    </w:r>
  </w:p>
  <w:p w14:paraId="651E09C3" w14:textId="187DBD00" w:rsidR="00375332" w:rsidRPr="00375332" w:rsidRDefault="00375332" w:rsidP="00375332">
    <w:pPr>
      <w:pBdr>
        <w:bottom w:val="single" w:sz="12" w:space="1" w:color="auto"/>
      </w:pBdr>
      <w:spacing w:after="0" w:line="240" w:lineRule="auto"/>
      <w:jc w:val="center"/>
      <w:rPr>
        <w:sz w:val="24"/>
      </w:rPr>
    </w:pPr>
    <w:r>
      <w:rPr>
        <w:sz w:val="24"/>
      </w:rPr>
      <w:t xml:space="preserve">Board Member </w:t>
    </w:r>
    <w:r w:rsidRPr="00C63740">
      <w:rPr>
        <w:sz w:val="24"/>
      </w:rPr>
      <w:t>Position Description</w:t>
    </w:r>
    <w:r w:rsidR="00764BC5">
      <w:rPr>
        <w:sz w:val="24"/>
      </w:rPr>
      <w:t xml:space="preserve"> 202</w:t>
    </w:r>
    <w:r w:rsidR="00CE3E06">
      <w:rPr>
        <w:sz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43F7A50"/>
    <w:multiLevelType w:val="hybridMultilevel"/>
    <w:tmpl w:val="B042477E"/>
    <w:lvl w:ilvl="0" w:tplc="B960423A">
      <w:start w:val="1"/>
      <w:numFmt w:val="bullet"/>
      <w:pStyle w:val="Bullet20"/>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15:restartNumberingAfterBreak="0">
    <w:nsid w:val="26B22475"/>
    <w:multiLevelType w:val="hybridMultilevel"/>
    <w:tmpl w:val="AE28D7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9"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1AC5BCC"/>
    <w:multiLevelType w:val="multilevel"/>
    <w:tmpl w:val="B33C8C64"/>
    <w:lvl w:ilvl="0">
      <w:start w:val="1"/>
      <w:numFmt w:val="decimal"/>
      <w:pStyle w:val="CabStandard"/>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1"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F446197"/>
    <w:multiLevelType w:val="hybridMultilevel"/>
    <w:tmpl w:val="4996683E"/>
    <w:lvl w:ilvl="0" w:tplc="A214506A">
      <w:start w:val="1"/>
      <w:numFmt w:val="bullet"/>
      <w:lvlText w:val=""/>
      <w:lvlJc w:val="left"/>
      <w:pPr>
        <w:ind w:left="720" w:hanging="360"/>
      </w:pPr>
      <w:rPr>
        <w:rFonts w:ascii="Symbol" w:hAnsi="Symbol" w:hint="default"/>
      </w:rPr>
    </w:lvl>
    <w:lvl w:ilvl="1" w:tplc="4F3638E8">
      <w:start w:val="1"/>
      <w:numFmt w:val="bullet"/>
      <w:lvlText w:val="o"/>
      <w:lvlJc w:val="left"/>
      <w:pPr>
        <w:ind w:left="1440" w:hanging="360"/>
      </w:pPr>
      <w:rPr>
        <w:rFonts w:ascii="Courier New" w:hAnsi="Courier New" w:hint="default"/>
      </w:rPr>
    </w:lvl>
    <w:lvl w:ilvl="2" w:tplc="9BB8631C">
      <w:start w:val="1"/>
      <w:numFmt w:val="bullet"/>
      <w:lvlText w:val=""/>
      <w:lvlJc w:val="left"/>
      <w:pPr>
        <w:ind w:left="2160" w:hanging="360"/>
      </w:pPr>
      <w:rPr>
        <w:rFonts w:ascii="Wingdings" w:hAnsi="Wingdings" w:hint="default"/>
      </w:rPr>
    </w:lvl>
    <w:lvl w:ilvl="3" w:tplc="85EE8370">
      <w:start w:val="1"/>
      <w:numFmt w:val="bullet"/>
      <w:lvlText w:val=""/>
      <w:lvlJc w:val="left"/>
      <w:pPr>
        <w:ind w:left="2880" w:hanging="360"/>
      </w:pPr>
      <w:rPr>
        <w:rFonts w:ascii="Symbol" w:hAnsi="Symbol" w:hint="default"/>
      </w:rPr>
    </w:lvl>
    <w:lvl w:ilvl="4" w:tplc="D2DCF922">
      <w:start w:val="1"/>
      <w:numFmt w:val="bullet"/>
      <w:lvlText w:val="o"/>
      <w:lvlJc w:val="left"/>
      <w:pPr>
        <w:ind w:left="3600" w:hanging="360"/>
      </w:pPr>
      <w:rPr>
        <w:rFonts w:ascii="Courier New" w:hAnsi="Courier New" w:hint="default"/>
      </w:rPr>
    </w:lvl>
    <w:lvl w:ilvl="5" w:tplc="3E6E6BAC">
      <w:start w:val="1"/>
      <w:numFmt w:val="bullet"/>
      <w:lvlText w:val=""/>
      <w:lvlJc w:val="left"/>
      <w:pPr>
        <w:ind w:left="4320" w:hanging="360"/>
      </w:pPr>
      <w:rPr>
        <w:rFonts w:ascii="Wingdings" w:hAnsi="Wingdings" w:hint="default"/>
      </w:rPr>
    </w:lvl>
    <w:lvl w:ilvl="6" w:tplc="40125C9A">
      <w:start w:val="1"/>
      <w:numFmt w:val="bullet"/>
      <w:lvlText w:val=""/>
      <w:lvlJc w:val="left"/>
      <w:pPr>
        <w:ind w:left="5040" w:hanging="360"/>
      </w:pPr>
      <w:rPr>
        <w:rFonts w:ascii="Symbol" w:hAnsi="Symbol" w:hint="default"/>
      </w:rPr>
    </w:lvl>
    <w:lvl w:ilvl="7" w:tplc="E18E8A68">
      <w:start w:val="1"/>
      <w:numFmt w:val="bullet"/>
      <w:lvlText w:val="o"/>
      <w:lvlJc w:val="left"/>
      <w:pPr>
        <w:ind w:left="5760" w:hanging="360"/>
      </w:pPr>
      <w:rPr>
        <w:rFonts w:ascii="Courier New" w:hAnsi="Courier New" w:hint="default"/>
      </w:rPr>
    </w:lvl>
    <w:lvl w:ilvl="8" w:tplc="577CAD98">
      <w:start w:val="1"/>
      <w:numFmt w:val="bullet"/>
      <w:lvlText w:val=""/>
      <w:lvlJc w:val="left"/>
      <w:pPr>
        <w:ind w:left="6480" w:hanging="360"/>
      </w:pPr>
      <w:rPr>
        <w:rFonts w:ascii="Wingdings" w:hAnsi="Wingdings" w:hint="default"/>
      </w:rPr>
    </w:lvl>
  </w:abstractNum>
  <w:abstractNum w:abstractNumId="24"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9F54BCE"/>
    <w:multiLevelType w:val="multilevel"/>
    <w:tmpl w:val="360CD2E8"/>
    <w:styleLink w:val="BodyList"/>
    <w:lvl w:ilvl="0">
      <w:start w:val="1"/>
      <w:numFmt w:val="decimal"/>
      <w:lvlText w:val="%1"/>
      <w:lvlJc w:val="left"/>
      <w:pPr>
        <w:tabs>
          <w:tab w:val="num" w:pos="494"/>
        </w:tabs>
        <w:ind w:left="494" w:hanging="494"/>
      </w:pPr>
      <w:rPr>
        <w:rFonts w:hint="default"/>
      </w:rPr>
    </w:lvl>
    <w:lvl w:ilvl="1">
      <w:start w:val="1"/>
      <w:numFmt w:val="decimal"/>
      <w:lvlText w:val="%1.%2"/>
      <w:lvlJc w:val="left"/>
      <w:pPr>
        <w:tabs>
          <w:tab w:val="num" w:pos="493"/>
        </w:tabs>
        <w:ind w:left="987" w:hanging="493"/>
      </w:pPr>
      <w:rPr>
        <w:rFonts w:hint="default"/>
      </w:rPr>
    </w:lvl>
    <w:lvl w:ilvl="2">
      <w:start w:val="1"/>
      <w:numFmt w:val="decimal"/>
      <w:lvlText w:val="%1.%2.%3"/>
      <w:lvlJc w:val="left"/>
      <w:pPr>
        <w:tabs>
          <w:tab w:val="num" w:pos="680"/>
        </w:tabs>
        <w:ind w:left="1667" w:hanging="680"/>
      </w:pPr>
      <w:rPr>
        <w:rFonts w:hint="default"/>
      </w:rPr>
    </w:lvl>
    <w:lvl w:ilvl="3">
      <w:start w:val="1"/>
      <w:numFmt w:val="decimal"/>
      <w:lvlText w:val="%1.%2.%3.%4."/>
      <w:lvlJc w:val="left"/>
      <w:pPr>
        <w:tabs>
          <w:tab w:val="num" w:pos="1640"/>
        </w:tabs>
        <w:ind w:left="1208" w:hanging="648"/>
      </w:pPr>
      <w:rPr>
        <w:rFonts w:hint="default"/>
      </w:rPr>
    </w:lvl>
    <w:lvl w:ilvl="4">
      <w:start w:val="1"/>
      <w:numFmt w:val="decimal"/>
      <w:lvlText w:val="%1.%2.%3.%4.%5."/>
      <w:lvlJc w:val="left"/>
      <w:pPr>
        <w:tabs>
          <w:tab w:val="num" w:pos="2000"/>
        </w:tabs>
        <w:ind w:left="1712" w:hanging="792"/>
      </w:pPr>
      <w:rPr>
        <w:rFonts w:hint="default"/>
      </w:rPr>
    </w:lvl>
    <w:lvl w:ilvl="5">
      <w:start w:val="1"/>
      <w:numFmt w:val="decimal"/>
      <w:lvlText w:val="%1.%2.%3.%4.%5.%6."/>
      <w:lvlJc w:val="left"/>
      <w:pPr>
        <w:tabs>
          <w:tab w:val="num" w:pos="2720"/>
        </w:tabs>
        <w:ind w:left="2216" w:hanging="936"/>
      </w:pPr>
      <w:rPr>
        <w:rFonts w:hint="default"/>
      </w:rPr>
    </w:lvl>
    <w:lvl w:ilvl="6">
      <w:start w:val="1"/>
      <w:numFmt w:val="decimal"/>
      <w:lvlText w:val="%1.%2.%3.%4.%5.%6.%7."/>
      <w:lvlJc w:val="left"/>
      <w:pPr>
        <w:tabs>
          <w:tab w:val="num" w:pos="3080"/>
        </w:tabs>
        <w:ind w:left="2720" w:hanging="1080"/>
      </w:pPr>
      <w:rPr>
        <w:rFonts w:hint="default"/>
      </w:rPr>
    </w:lvl>
    <w:lvl w:ilvl="7">
      <w:start w:val="1"/>
      <w:numFmt w:val="decimal"/>
      <w:lvlText w:val="%1.%2.%3.%4.%5.%6.%7.%8."/>
      <w:lvlJc w:val="left"/>
      <w:pPr>
        <w:tabs>
          <w:tab w:val="num" w:pos="3800"/>
        </w:tabs>
        <w:ind w:left="3224" w:hanging="1224"/>
      </w:pPr>
      <w:rPr>
        <w:rFonts w:hint="default"/>
      </w:rPr>
    </w:lvl>
    <w:lvl w:ilvl="8">
      <w:start w:val="1"/>
      <w:numFmt w:val="decimal"/>
      <w:lvlText w:val="%1.%2.%3.%4.%5.%6.%7.%8.%9."/>
      <w:lvlJc w:val="left"/>
      <w:pPr>
        <w:tabs>
          <w:tab w:val="num" w:pos="4160"/>
        </w:tabs>
        <w:ind w:left="3800" w:hanging="1440"/>
      </w:pPr>
      <w:rPr>
        <w:rFonts w:hint="default"/>
      </w:rPr>
    </w:lvl>
  </w:abstractNum>
  <w:abstractNum w:abstractNumId="26"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7"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7BC32C94"/>
    <w:multiLevelType w:val="hybridMultilevel"/>
    <w:tmpl w:val="BB9CCC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348141659">
    <w:abstractNumId w:val="18"/>
  </w:num>
  <w:num w:numId="2" w16cid:durableId="9534388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78265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3833073">
    <w:abstractNumId w:val="15"/>
  </w:num>
  <w:num w:numId="5" w16cid:durableId="20017395">
    <w:abstractNumId w:val="9"/>
  </w:num>
  <w:num w:numId="6" w16cid:durableId="566502980">
    <w:abstractNumId w:val="7"/>
  </w:num>
  <w:num w:numId="7" w16cid:durableId="54360338">
    <w:abstractNumId w:val="27"/>
  </w:num>
  <w:num w:numId="8" w16cid:durableId="102879999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4195328">
    <w:abstractNumId w:val="9"/>
  </w:num>
  <w:num w:numId="10" w16cid:durableId="1776049657">
    <w:abstractNumId w:val="12"/>
  </w:num>
  <w:num w:numId="11" w16cid:durableId="593828138">
    <w:abstractNumId w:val="12"/>
  </w:num>
  <w:num w:numId="12" w16cid:durableId="262418239">
    <w:abstractNumId w:val="9"/>
  </w:num>
  <w:num w:numId="13" w16cid:durableId="1830367053">
    <w:abstractNumId w:val="10"/>
  </w:num>
  <w:num w:numId="14" w16cid:durableId="1940523226">
    <w:abstractNumId w:val="22"/>
  </w:num>
  <w:num w:numId="15" w16cid:durableId="175775491">
    <w:abstractNumId w:val="13"/>
  </w:num>
  <w:num w:numId="16" w16cid:durableId="1016927950">
    <w:abstractNumId w:val="6"/>
  </w:num>
  <w:num w:numId="17" w16cid:durableId="1921059287">
    <w:abstractNumId w:val="5"/>
  </w:num>
  <w:num w:numId="18" w16cid:durableId="406071549">
    <w:abstractNumId w:val="4"/>
  </w:num>
  <w:num w:numId="19" w16cid:durableId="2121102180">
    <w:abstractNumId w:val="8"/>
  </w:num>
  <w:num w:numId="20" w16cid:durableId="1083842909">
    <w:abstractNumId w:val="3"/>
  </w:num>
  <w:num w:numId="21" w16cid:durableId="206182924">
    <w:abstractNumId w:val="2"/>
  </w:num>
  <w:num w:numId="22" w16cid:durableId="1088187663">
    <w:abstractNumId w:val="1"/>
  </w:num>
  <w:num w:numId="23" w16cid:durableId="261302682">
    <w:abstractNumId w:val="0"/>
  </w:num>
  <w:num w:numId="24" w16cid:durableId="285745795">
    <w:abstractNumId w:val="17"/>
  </w:num>
  <w:num w:numId="25" w16cid:durableId="1308169772">
    <w:abstractNumId w:val="29"/>
  </w:num>
  <w:num w:numId="26" w16cid:durableId="1822427998">
    <w:abstractNumId w:val="30"/>
  </w:num>
  <w:num w:numId="27" w16cid:durableId="1556163447">
    <w:abstractNumId w:val="28"/>
  </w:num>
  <w:num w:numId="28" w16cid:durableId="450902712">
    <w:abstractNumId w:val="19"/>
  </w:num>
  <w:num w:numId="29" w16cid:durableId="693189885">
    <w:abstractNumId w:val="11"/>
  </w:num>
  <w:num w:numId="30" w16cid:durableId="715812774">
    <w:abstractNumId w:val="21"/>
  </w:num>
  <w:num w:numId="31" w16cid:durableId="85620055">
    <w:abstractNumId w:val="31"/>
  </w:num>
  <w:num w:numId="32" w16cid:durableId="1488596968">
    <w:abstractNumId w:val="24"/>
  </w:num>
  <w:num w:numId="33" w16cid:durableId="1462722960">
    <w:abstractNumId w:val="25"/>
  </w:num>
  <w:num w:numId="34" w16cid:durableId="909729377">
    <w:abstractNumId w:val="25"/>
    <w:lvlOverride w:ilvl="0">
      <w:lvl w:ilvl="0">
        <w:start w:val="1"/>
        <w:numFmt w:val="decimal"/>
        <w:lvlText w:val="%1"/>
        <w:lvlJc w:val="left"/>
        <w:pPr>
          <w:tabs>
            <w:tab w:val="num" w:pos="494"/>
          </w:tabs>
          <w:ind w:left="494" w:hanging="494"/>
        </w:pPr>
        <w:rPr>
          <w:rFonts w:hint="default"/>
          <w:i w:val="0"/>
        </w:rPr>
      </w:lvl>
    </w:lvlOverride>
  </w:num>
  <w:num w:numId="35" w16cid:durableId="1715426030">
    <w:abstractNumId w:val="16"/>
  </w:num>
  <w:num w:numId="36" w16cid:durableId="1170950307">
    <w:abstractNumId w:val="14"/>
  </w:num>
  <w:num w:numId="37" w16cid:durableId="94792034">
    <w:abstractNumId w:val="23"/>
  </w:num>
  <w:num w:numId="38" w16cid:durableId="1755272937">
    <w:abstractNumId w:val="32"/>
  </w:num>
  <w:num w:numId="39" w16cid:durableId="4828174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32"/>
    <w:rsid w:val="00000B4C"/>
    <w:rsid w:val="00005BBE"/>
    <w:rsid w:val="000106D0"/>
    <w:rsid w:val="00014D7F"/>
    <w:rsid w:val="00034336"/>
    <w:rsid w:val="00037CB0"/>
    <w:rsid w:val="0005067F"/>
    <w:rsid w:val="00095063"/>
    <w:rsid w:val="000A576B"/>
    <w:rsid w:val="000C4098"/>
    <w:rsid w:val="000D28B4"/>
    <w:rsid w:val="000E3BB9"/>
    <w:rsid w:val="00106AED"/>
    <w:rsid w:val="00114D25"/>
    <w:rsid w:val="00133D9F"/>
    <w:rsid w:val="00142D86"/>
    <w:rsid w:val="00165902"/>
    <w:rsid w:val="001741C3"/>
    <w:rsid w:val="00181F17"/>
    <w:rsid w:val="00191BAE"/>
    <w:rsid w:val="001D3744"/>
    <w:rsid w:val="00200E56"/>
    <w:rsid w:val="00213DA6"/>
    <w:rsid w:val="00216302"/>
    <w:rsid w:val="0022179E"/>
    <w:rsid w:val="00231181"/>
    <w:rsid w:val="00236D2D"/>
    <w:rsid w:val="00245A2B"/>
    <w:rsid w:val="0025717D"/>
    <w:rsid w:val="002614A5"/>
    <w:rsid w:val="002657AF"/>
    <w:rsid w:val="00284B97"/>
    <w:rsid w:val="002D1C62"/>
    <w:rsid w:val="002D367B"/>
    <w:rsid w:val="002D4789"/>
    <w:rsid w:val="002E36E3"/>
    <w:rsid w:val="002F2B59"/>
    <w:rsid w:val="00325203"/>
    <w:rsid w:val="00330725"/>
    <w:rsid w:val="00334F1C"/>
    <w:rsid w:val="00336C97"/>
    <w:rsid w:val="00354EC2"/>
    <w:rsid w:val="00362284"/>
    <w:rsid w:val="00372B3C"/>
    <w:rsid w:val="00375332"/>
    <w:rsid w:val="00397220"/>
    <w:rsid w:val="003B0A38"/>
    <w:rsid w:val="003E1103"/>
    <w:rsid w:val="003E2869"/>
    <w:rsid w:val="003E3722"/>
    <w:rsid w:val="003E395B"/>
    <w:rsid w:val="003F712B"/>
    <w:rsid w:val="00400232"/>
    <w:rsid w:val="0040765C"/>
    <w:rsid w:val="004227ED"/>
    <w:rsid w:val="00445BCE"/>
    <w:rsid w:val="00454F25"/>
    <w:rsid w:val="00462133"/>
    <w:rsid w:val="004710B8"/>
    <w:rsid w:val="00485C7B"/>
    <w:rsid w:val="00492FAC"/>
    <w:rsid w:val="004A5369"/>
    <w:rsid w:val="00525511"/>
    <w:rsid w:val="00533E65"/>
    <w:rsid w:val="00534B50"/>
    <w:rsid w:val="0053590F"/>
    <w:rsid w:val="00546A54"/>
    <w:rsid w:val="0056681E"/>
    <w:rsid w:val="00572AA9"/>
    <w:rsid w:val="0058073E"/>
    <w:rsid w:val="00586902"/>
    <w:rsid w:val="00595906"/>
    <w:rsid w:val="005A3CFC"/>
    <w:rsid w:val="005B11F9"/>
    <w:rsid w:val="005C2567"/>
    <w:rsid w:val="0061193D"/>
    <w:rsid w:val="00631D73"/>
    <w:rsid w:val="0063515A"/>
    <w:rsid w:val="00641FB3"/>
    <w:rsid w:val="00646A0B"/>
    <w:rsid w:val="00656F2B"/>
    <w:rsid w:val="00683234"/>
    <w:rsid w:val="006B19BD"/>
    <w:rsid w:val="006C2882"/>
    <w:rsid w:val="006E3986"/>
    <w:rsid w:val="006F5DD7"/>
    <w:rsid w:val="0071134C"/>
    <w:rsid w:val="007138E2"/>
    <w:rsid w:val="00723AD1"/>
    <w:rsid w:val="007349F4"/>
    <w:rsid w:val="00754B31"/>
    <w:rsid w:val="00764BC5"/>
    <w:rsid w:val="0077615D"/>
    <w:rsid w:val="00783338"/>
    <w:rsid w:val="00785CDD"/>
    <w:rsid w:val="00790865"/>
    <w:rsid w:val="007B201A"/>
    <w:rsid w:val="007B2B5B"/>
    <w:rsid w:val="007C2143"/>
    <w:rsid w:val="007C5533"/>
    <w:rsid w:val="007C72BF"/>
    <w:rsid w:val="007D64AC"/>
    <w:rsid w:val="007F3ACD"/>
    <w:rsid w:val="0080133F"/>
    <w:rsid w:val="0080240C"/>
    <w:rsid w:val="0080498F"/>
    <w:rsid w:val="00813C12"/>
    <w:rsid w:val="00821507"/>
    <w:rsid w:val="0083498E"/>
    <w:rsid w:val="00860654"/>
    <w:rsid w:val="008679E2"/>
    <w:rsid w:val="008A5C2A"/>
    <w:rsid w:val="008C453B"/>
    <w:rsid w:val="008D6CD1"/>
    <w:rsid w:val="008E5475"/>
    <w:rsid w:val="008F69A0"/>
    <w:rsid w:val="00902721"/>
    <w:rsid w:val="00903467"/>
    <w:rsid w:val="009044B8"/>
    <w:rsid w:val="00906EAA"/>
    <w:rsid w:val="00926499"/>
    <w:rsid w:val="00970DD2"/>
    <w:rsid w:val="0097272A"/>
    <w:rsid w:val="00972FEE"/>
    <w:rsid w:val="00977534"/>
    <w:rsid w:val="009C22E5"/>
    <w:rsid w:val="009D15F1"/>
    <w:rsid w:val="009D1893"/>
    <w:rsid w:val="009D2B10"/>
    <w:rsid w:val="009D538B"/>
    <w:rsid w:val="009E19D5"/>
    <w:rsid w:val="009F0D25"/>
    <w:rsid w:val="009F73EB"/>
    <w:rsid w:val="00A122FD"/>
    <w:rsid w:val="00A13468"/>
    <w:rsid w:val="00A16599"/>
    <w:rsid w:val="00A2199C"/>
    <w:rsid w:val="00A30C44"/>
    <w:rsid w:val="00A43896"/>
    <w:rsid w:val="00A56E71"/>
    <w:rsid w:val="00A60A0B"/>
    <w:rsid w:val="00A6244E"/>
    <w:rsid w:val="00A73EB4"/>
    <w:rsid w:val="00A82CBC"/>
    <w:rsid w:val="00A92881"/>
    <w:rsid w:val="00AA6718"/>
    <w:rsid w:val="00AC5622"/>
    <w:rsid w:val="00AC6EE1"/>
    <w:rsid w:val="00AF1F68"/>
    <w:rsid w:val="00B146D9"/>
    <w:rsid w:val="00B222DF"/>
    <w:rsid w:val="00B3747E"/>
    <w:rsid w:val="00B41635"/>
    <w:rsid w:val="00B425E2"/>
    <w:rsid w:val="00B5357A"/>
    <w:rsid w:val="00B73046"/>
    <w:rsid w:val="00BB5AEB"/>
    <w:rsid w:val="00BB7573"/>
    <w:rsid w:val="00BD2353"/>
    <w:rsid w:val="00BF70D2"/>
    <w:rsid w:val="00C1450D"/>
    <w:rsid w:val="00C503A7"/>
    <w:rsid w:val="00C5215F"/>
    <w:rsid w:val="00C5366D"/>
    <w:rsid w:val="00CA3E07"/>
    <w:rsid w:val="00CA6C66"/>
    <w:rsid w:val="00CB4A28"/>
    <w:rsid w:val="00CC071A"/>
    <w:rsid w:val="00CE0230"/>
    <w:rsid w:val="00CE3E06"/>
    <w:rsid w:val="00CE73B6"/>
    <w:rsid w:val="00CF3F15"/>
    <w:rsid w:val="00D25D0B"/>
    <w:rsid w:val="00D34EA0"/>
    <w:rsid w:val="00D37D0C"/>
    <w:rsid w:val="00DB2887"/>
    <w:rsid w:val="00DB5600"/>
    <w:rsid w:val="00DD6907"/>
    <w:rsid w:val="00DD7526"/>
    <w:rsid w:val="00DE67FB"/>
    <w:rsid w:val="00DF7A2F"/>
    <w:rsid w:val="00E03654"/>
    <w:rsid w:val="00E203D1"/>
    <w:rsid w:val="00E557E0"/>
    <w:rsid w:val="00E671C3"/>
    <w:rsid w:val="00E813F9"/>
    <w:rsid w:val="00E90142"/>
    <w:rsid w:val="00E9269E"/>
    <w:rsid w:val="00EA71A7"/>
    <w:rsid w:val="00EB2F3F"/>
    <w:rsid w:val="00EB6DBA"/>
    <w:rsid w:val="00ED6B74"/>
    <w:rsid w:val="00F06EE8"/>
    <w:rsid w:val="00F07349"/>
    <w:rsid w:val="00F113EF"/>
    <w:rsid w:val="00F126F3"/>
    <w:rsid w:val="00F14731"/>
    <w:rsid w:val="00F15A3A"/>
    <w:rsid w:val="00F20199"/>
    <w:rsid w:val="00F22AE5"/>
    <w:rsid w:val="00F25716"/>
    <w:rsid w:val="00F34EA5"/>
    <w:rsid w:val="00F75891"/>
    <w:rsid w:val="00F779F6"/>
    <w:rsid w:val="00F77DA2"/>
    <w:rsid w:val="00F829C0"/>
    <w:rsid w:val="00F829F6"/>
    <w:rsid w:val="00FA79B0"/>
    <w:rsid w:val="00FB4166"/>
    <w:rsid w:val="00FD15C3"/>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23CD6"/>
  <w15:chartTrackingRefBased/>
  <w15:docId w15:val="{2703F6BA-DD86-4295-8233-0650FA51B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qFormat/>
    <w:rsid w:val="007349F4"/>
    <w:pPr>
      <w:spacing w:line="240" w:lineRule="auto"/>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rsid w:val="007349F4"/>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aliases w:val="List 1,Other List,List Paragraph numbered"/>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Hyperlink">
    <w:name w:val="Hyperlink"/>
    <w:rsid w:val="00375332"/>
    <w:rPr>
      <w:color w:val="0000FF"/>
      <w:u w:val="single"/>
    </w:rPr>
  </w:style>
  <w:style w:type="numbering" w:customStyle="1" w:styleId="BodyList">
    <w:name w:val="Body List"/>
    <w:basedOn w:val="NoList"/>
    <w:rsid w:val="00375332"/>
    <w:pPr>
      <w:numPr>
        <w:numId w:val="33"/>
      </w:numPr>
    </w:pPr>
  </w:style>
  <w:style w:type="paragraph" w:customStyle="1" w:styleId="ReportBody">
    <w:name w:val="Report Body"/>
    <w:basedOn w:val="Normal"/>
    <w:link w:val="ReportBodyChar"/>
    <w:qFormat/>
    <w:rsid w:val="00375332"/>
    <w:pPr>
      <w:spacing w:before="120" w:line="240" w:lineRule="auto"/>
    </w:pPr>
    <w:rPr>
      <w:rFonts w:eastAsia="Times New Roman"/>
      <w:color w:val="000000"/>
      <w:kern w:val="22"/>
      <w:szCs w:val="20"/>
      <w:lang w:eastAsia="en-NZ"/>
    </w:rPr>
  </w:style>
  <w:style w:type="character" w:customStyle="1" w:styleId="ReportBodyChar">
    <w:name w:val="Report Body Char"/>
    <w:link w:val="ReportBody"/>
    <w:rsid w:val="00375332"/>
    <w:rPr>
      <w:rFonts w:ascii="Verdana" w:eastAsia="Times New Roman" w:hAnsi="Verdana" w:cs="Arial"/>
      <w:color w:val="000000"/>
      <w:kern w:val="22"/>
      <w:lang w:eastAsia="en-NZ"/>
    </w:rPr>
  </w:style>
  <w:style w:type="paragraph" w:customStyle="1" w:styleId="Bullet20">
    <w:name w:val="Bullet 2"/>
    <w:basedOn w:val="ReportBody"/>
    <w:link w:val="Bullet2Char"/>
    <w:qFormat/>
    <w:rsid w:val="00375332"/>
    <w:pPr>
      <w:numPr>
        <w:numId w:val="36"/>
      </w:numPr>
    </w:pPr>
  </w:style>
  <w:style w:type="character" w:customStyle="1" w:styleId="Bullet2Char">
    <w:name w:val="Bullet 2 Char"/>
    <w:link w:val="Bullet20"/>
    <w:rsid w:val="00375332"/>
    <w:rPr>
      <w:rFonts w:ascii="Verdana" w:eastAsia="Times New Roman" w:hAnsi="Verdana" w:cs="Arial"/>
      <w:color w:val="000000"/>
      <w:kern w:val="22"/>
      <w:lang w:eastAsia="en-NZ"/>
    </w:rPr>
  </w:style>
  <w:style w:type="paragraph" w:styleId="Header">
    <w:name w:val="header"/>
    <w:basedOn w:val="Normal"/>
    <w:link w:val="HeaderChar"/>
    <w:uiPriority w:val="99"/>
    <w:unhideWhenUsed/>
    <w:rsid w:val="003753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332"/>
    <w:rPr>
      <w:rFonts w:ascii="Verdana" w:hAnsi="Verdana" w:cs="Arial"/>
      <w:szCs w:val="22"/>
    </w:rPr>
  </w:style>
  <w:style w:type="character" w:customStyle="1" w:styleId="ListParagraphChar">
    <w:name w:val="List Paragraph Char"/>
    <w:aliases w:val="List 1 Char,Other List Char,List Paragraph numbered Char"/>
    <w:basedOn w:val="DefaultParagraphFont"/>
    <w:link w:val="ListParagraph"/>
    <w:uiPriority w:val="34"/>
    <w:rsid w:val="00A13468"/>
    <w:rPr>
      <w:rFonts w:ascii="Verdana" w:hAnsi="Verdana" w:cs="Arial"/>
      <w:szCs w:val="22"/>
    </w:rPr>
  </w:style>
  <w:style w:type="paragraph" w:styleId="Revision">
    <w:name w:val="Revision"/>
    <w:hidden/>
    <w:uiPriority w:val="99"/>
    <w:semiHidden/>
    <w:rsid w:val="0005067F"/>
    <w:rPr>
      <w:rFonts w:ascii="Verdana" w:hAnsi="Verdana" w:cs="Arial"/>
      <w:szCs w:val="22"/>
    </w:rPr>
  </w:style>
  <w:style w:type="paragraph" w:styleId="CommentSubject">
    <w:name w:val="annotation subject"/>
    <w:basedOn w:val="CommentText"/>
    <w:next w:val="CommentText"/>
    <w:link w:val="CommentSubjectChar"/>
    <w:uiPriority w:val="99"/>
    <w:semiHidden/>
    <w:unhideWhenUsed/>
    <w:rsid w:val="0022179E"/>
    <w:rPr>
      <w:b/>
      <w:bCs/>
    </w:rPr>
  </w:style>
  <w:style w:type="character" w:customStyle="1" w:styleId="CommentSubjectChar">
    <w:name w:val="Comment Subject Char"/>
    <w:basedOn w:val="CommentTextChar"/>
    <w:link w:val="CommentSubject"/>
    <w:uiPriority w:val="99"/>
    <w:semiHidden/>
    <w:rsid w:val="0022179E"/>
    <w:rPr>
      <w:rFonts w:ascii="Verdana" w:hAnsi="Verdana" w:cs="Arial"/>
      <w:b/>
      <w:bCs/>
    </w:rPr>
  </w:style>
  <w:style w:type="paragraph" w:customStyle="1" w:styleId="paragraph">
    <w:name w:val="paragraph"/>
    <w:basedOn w:val="Normal"/>
    <w:rsid w:val="0068323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683234"/>
  </w:style>
  <w:style w:type="character" w:customStyle="1" w:styleId="eop">
    <w:name w:val="eop"/>
    <w:basedOn w:val="DefaultParagraphFont"/>
    <w:rsid w:val="00683234"/>
  </w:style>
  <w:style w:type="paragraph" w:customStyle="1" w:styleId="CabStandard">
    <w:name w:val="CabStandard"/>
    <w:basedOn w:val="Normal"/>
    <w:rsid w:val="00336C97"/>
    <w:pPr>
      <w:numPr>
        <w:numId w:val="39"/>
      </w:numPr>
      <w:spacing w:after="240" w:line="240" w:lineRule="auto"/>
    </w:pPr>
    <w:rPr>
      <w:rFonts w:ascii="Arial" w:eastAsia="Times New Roman" w:hAnsi="Arial" w:cs="Times New Roman"/>
      <w:sz w:val="24"/>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blicservice.govt.nz/system/crown-entities/crown-entity-resource-centre/appointnet-privacy-protoco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3F6D3-567B-474E-8948-9408FC713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Fowler</dc:creator>
  <cp:keywords/>
  <dc:description/>
  <cp:lastModifiedBy>Tyla Redden</cp:lastModifiedBy>
  <cp:revision>2</cp:revision>
  <cp:lastPrinted>2022-11-22T22:18:00Z</cp:lastPrinted>
  <dcterms:created xsi:type="dcterms:W3CDTF">2025-07-08T20:15:00Z</dcterms:created>
  <dcterms:modified xsi:type="dcterms:W3CDTF">2025-07-08T20:15:00Z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96e5af-8d67-4c00-8226-9513c2a2e5a4_Enabled">
    <vt:lpwstr>true</vt:lpwstr>
  </property>
  <property fmtid="{D5CDD505-2E9C-101B-9397-08002B2CF9AE}" pid="3" name="MSIP_Label_5a96e5af-8d67-4c00-8226-9513c2a2e5a4_SetDate">
    <vt:lpwstr>2022-11-09T22:53:31Z</vt:lpwstr>
  </property>
  <property fmtid="{D5CDD505-2E9C-101B-9397-08002B2CF9AE}" pid="4" name="MSIP_Label_5a96e5af-8d67-4c00-8226-9513c2a2e5a4_Method">
    <vt:lpwstr>Privileged</vt:lpwstr>
  </property>
  <property fmtid="{D5CDD505-2E9C-101B-9397-08002B2CF9AE}" pid="5" name="MSIP_Label_5a96e5af-8d67-4c00-8226-9513c2a2e5a4_Name">
    <vt:lpwstr>Unclassified</vt:lpwstr>
  </property>
  <property fmtid="{D5CDD505-2E9C-101B-9397-08002B2CF9AE}" pid="6" name="MSIP_Label_5a96e5af-8d67-4c00-8226-9513c2a2e5a4_SiteId">
    <vt:lpwstr>e40c4f52-99bd-4d4f-bf7e-d001a2ca6556</vt:lpwstr>
  </property>
  <property fmtid="{D5CDD505-2E9C-101B-9397-08002B2CF9AE}" pid="7" name="MSIP_Label_5a96e5af-8d67-4c00-8226-9513c2a2e5a4_ActionId">
    <vt:lpwstr>1375f472-0121-426c-8783-0401690fac11</vt:lpwstr>
  </property>
  <property fmtid="{D5CDD505-2E9C-101B-9397-08002B2CF9AE}" pid="8" name="MSIP_Label_5a96e5af-8d67-4c00-8226-9513c2a2e5a4_ContentBits">
    <vt:lpwstr>0</vt:lpwstr>
  </property>
</Properties>
</file>