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B0CA" w14:textId="3B935C96" w:rsidR="5204AFC9" w:rsidRPr="00353CA5" w:rsidRDefault="00825B7E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 w:rsidRPr="00825B7E">
        <w:rPr>
          <w:rStyle w:val="Heading1Char"/>
          <w:b/>
        </w:rPr>
        <w:t>Executive Assistant</w:t>
      </w:r>
      <w:r>
        <w:t xml:space="preserve"> </w:t>
      </w:r>
      <w:r w:rsidR="00B305AE">
        <w:br/>
      </w:r>
      <w:r w:rsidR="00B305AE">
        <w:br/>
      </w:r>
      <w:r w:rsidRPr="00825B7E">
        <w:rPr>
          <w:rStyle w:val="Heading1Char"/>
        </w:rPr>
        <w:t>Strategy and Insights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48B6D67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294F465D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614B262A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1B0404EF" w14:textId="77777777" w:rsidR="005C0C81" w:rsidRPr="004F3212" w:rsidRDefault="005C0C81" w:rsidP="005C0C81">
      <w:pPr>
        <w:spacing w:line="240" w:lineRule="auto"/>
      </w:pPr>
      <w:r w:rsidRPr="004F3212">
        <w:t xml:space="preserve">As a Te Tiriti o Waitangi </w:t>
      </w:r>
      <w:proofErr w:type="gramStart"/>
      <w:r w:rsidRPr="004F3212">
        <w:t>partner</w:t>
      </w:r>
      <w:proofErr w:type="gramEnd"/>
      <w:r w:rsidRPr="004F3212">
        <w:t xml:space="preserve"> we are committed to supporting and enabling Māori, whānau, hapū, Iwi and communities to realise their own potential and aspirations.</w:t>
      </w:r>
    </w:p>
    <w:p w14:paraId="043DF8FA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 xml:space="preserve">He </w:t>
      </w:r>
      <w:proofErr w:type="spellStart"/>
      <w:r w:rsidRPr="00ED7955">
        <w:rPr>
          <w:szCs w:val="26"/>
        </w:rPr>
        <w:t>whakataukī</w:t>
      </w:r>
      <w:proofErr w:type="spellEnd"/>
      <w:r w:rsidRPr="00ED7955">
        <w:rPr>
          <w:szCs w:val="26"/>
        </w:rPr>
        <w:t>*</w:t>
      </w:r>
    </w:p>
    <w:p w14:paraId="5885527B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FE42E3">
        <w:rPr>
          <w:b/>
          <w:bCs/>
          <w:lang w:eastAsia="en-NZ"/>
        </w:rPr>
        <w:t>Unuhia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rito</w:t>
      </w:r>
      <w:proofErr w:type="spellEnd"/>
      <w:r w:rsidRPr="00FE42E3">
        <w:rPr>
          <w:b/>
          <w:bCs/>
          <w:lang w:eastAsia="en-NZ"/>
        </w:rPr>
        <w:t xml:space="preserve"> o te harakeke</w:t>
      </w:r>
    </w:p>
    <w:p w14:paraId="0DBA135A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Kei </w:t>
      </w:r>
      <w:proofErr w:type="spellStart"/>
      <w:r w:rsidRPr="00FE42E3">
        <w:rPr>
          <w:b/>
          <w:bCs/>
          <w:lang w:eastAsia="en-NZ"/>
        </w:rPr>
        <w:t>hea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kōmako</w:t>
      </w:r>
      <w:proofErr w:type="spellEnd"/>
      <w:r w:rsidRPr="00FE42E3">
        <w:rPr>
          <w:b/>
          <w:bCs/>
          <w:lang w:eastAsia="en-NZ"/>
        </w:rPr>
        <w:t xml:space="preserve"> e kō?</w:t>
      </w:r>
    </w:p>
    <w:p w14:paraId="36850EEE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Whakatairangitia, rere ki uta, rere ki </w:t>
      </w:r>
      <w:proofErr w:type="gramStart"/>
      <w:r w:rsidRPr="00FE42E3">
        <w:rPr>
          <w:b/>
          <w:bCs/>
          <w:lang w:eastAsia="en-NZ"/>
        </w:rPr>
        <w:t>tai;</w:t>
      </w:r>
      <w:proofErr w:type="gramEnd"/>
    </w:p>
    <w:p w14:paraId="299A92E2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Ui </w:t>
      </w:r>
      <w:proofErr w:type="spellStart"/>
      <w:r w:rsidRPr="00FE42E3">
        <w:rPr>
          <w:b/>
          <w:bCs/>
          <w:lang w:eastAsia="en-NZ"/>
        </w:rPr>
        <w:t>mai</w:t>
      </w:r>
      <w:proofErr w:type="spellEnd"/>
      <w:r w:rsidRPr="00FE42E3">
        <w:rPr>
          <w:b/>
          <w:bCs/>
          <w:lang w:eastAsia="en-NZ"/>
        </w:rPr>
        <w:t xml:space="preserve"> ki ahau,</w:t>
      </w:r>
    </w:p>
    <w:p w14:paraId="2A01BA73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He aha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mea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nui</w:t>
      </w:r>
      <w:proofErr w:type="spellEnd"/>
      <w:r w:rsidRPr="00FE42E3">
        <w:rPr>
          <w:b/>
          <w:bCs/>
          <w:lang w:eastAsia="en-NZ"/>
        </w:rPr>
        <w:t xml:space="preserve"> o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ao</w:t>
      </w:r>
      <w:proofErr w:type="spellEnd"/>
      <w:r w:rsidRPr="00FE42E3">
        <w:rPr>
          <w:b/>
          <w:bCs/>
          <w:lang w:eastAsia="en-NZ"/>
        </w:rPr>
        <w:t>?</w:t>
      </w:r>
    </w:p>
    <w:p w14:paraId="1F5A9928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FE42E3">
        <w:rPr>
          <w:b/>
          <w:bCs/>
          <w:lang w:eastAsia="en-NZ"/>
        </w:rPr>
        <w:t>Māku</w:t>
      </w:r>
      <w:proofErr w:type="spellEnd"/>
      <w:r w:rsidRPr="00FE42E3">
        <w:rPr>
          <w:b/>
          <w:bCs/>
          <w:lang w:eastAsia="en-NZ"/>
        </w:rPr>
        <w:t xml:space="preserve"> e </w:t>
      </w:r>
      <w:proofErr w:type="spellStart"/>
      <w:r w:rsidRPr="00FE42E3">
        <w:rPr>
          <w:b/>
          <w:bCs/>
          <w:lang w:eastAsia="en-NZ"/>
        </w:rPr>
        <w:t>kī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atu</w:t>
      </w:r>
      <w:proofErr w:type="spellEnd"/>
      <w:r w:rsidRPr="00FE42E3">
        <w:rPr>
          <w:b/>
          <w:bCs/>
          <w:lang w:eastAsia="en-NZ"/>
        </w:rPr>
        <w:t>,</w:t>
      </w:r>
    </w:p>
    <w:p w14:paraId="71B26307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>He tangata, he tangata, he tangata*</w:t>
      </w:r>
    </w:p>
    <w:p w14:paraId="638DF907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If you remove the central shoot of the </w:t>
      </w:r>
      <w:proofErr w:type="spellStart"/>
      <w:r w:rsidRPr="00FE42E3">
        <w:rPr>
          <w:lang w:eastAsia="en-NZ"/>
        </w:rPr>
        <w:t>flaxbush</w:t>
      </w:r>
      <w:proofErr w:type="spellEnd"/>
    </w:p>
    <w:p w14:paraId="58977A8D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Where will the bellbird find rest?</w:t>
      </w:r>
    </w:p>
    <w:p w14:paraId="46455A79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Will it fly inland, fly out to sea, or fly </w:t>
      </w:r>
      <w:proofErr w:type="gramStart"/>
      <w:r w:rsidRPr="00FE42E3">
        <w:rPr>
          <w:lang w:eastAsia="en-NZ"/>
        </w:rPr>
        <w:t>aimlessly;</w:t>
      </w:r>
      <w:proofErr w:type="gramEnd"/>
    </w:p>
    <w:p w14:paraId="6DACB955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If you were to ask me,</w:t>
      </w:r>
    </w:p>
    <w:p w14:paraId="164EE8DE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What is the most important thing in the world?</w:t>
      </w:r>
    </w:p>
    <w:p w14:paraId="6C485135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 will tell you,</w:t>
      </w:r>
    </w:p>
    <w:p w14:paraId="2D603FD0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It is people, it is people, it is people</w:t>
      </w:r>
    </w:p>
    <w:p w14:paraId="300CAA33" w14:textId="0C765391" w:rsidR="005C0C81" w:rsidRPr="00FE42E3" w:rsidRDefault="004700FD" w:rsidP="2BB36439">
      <w:pPr>
        <w:rPr>
          <w:b/>
          <w:bCs/>
          <w:lang w:eastAsia="en-NZ"/>
        </w:rPr>
      </w:pPr>
      <w:r w:rsidRPr="00FE42E3">
        <w:rPr>
          <w:lang w:eastAsia="en-NZ"/>
        </w:rPr>
        <w:br/>
      </w:r>
      <w:r w:rsidR="005C0C81" w:rsidRPr="00FE42E3">
        <w:rPr>
          <w:lang w:eastAsia="en-NZ"/>
        </w:rPr>
        <w:t>*</w:t>
      </w:r>
      <w:r w:rsidR="00353CA5" w:rsidRPr="00FE42E3">
        <w:rPr>
          <w:lang w:eastAsia="en-NZ"/>
        </w:rPr>
        <w:t xml:space="preserve"> </w:t>
      </w:r>
      <w:r w:rsidR="005C0C81" w:rsidRPr="00FE42E3">
        <w:rPr>
          <w:lang w:eastAsia="en-NZ"/>
        </w:rPr>
        <w:t xml:space="preserve">We would like to acknowledge Te Rūnanga Nui o Te Aupōuri Trust for their permission to use this whakataukī </w:t>
      </w:r>
    </w:p>
    <w:p w14:paraId="70EA2CBC" w14:textId="77777777" w:rsidR="00BC35AE" w:rsidRPr="00FE42E3" w:rsidRDefault="00241016" w:rsidP="00D3627D">
      <w:pPr>
        <w:pStyle w:val="Heading2"/>
      </w:pPr>
      <w:r w:rsidRPr="00FE42E3">
        <w:lastRenderedPageBreak/>
        <w:t>Position Detail</w:t>
      </w:r>
    </w:p>
    <w:p w14:paraId="62C309B4" w14:textId="77777777" w:rsidR="00241016" w:rsidRPr="00FE42E3" w:rsidRDefault="00241016" w:rsidP="00D3627D">
      <w:pPr>
        <w:pStyle w:val="Heading3"/>
      </w:pPr>
      <w:r w:rsidRPr="00FE42E3">
        <w:t>Overview of position</w:t>
      </w:r>
    </w:p>
    <w:p w14:paraId="4FF40023" w14:textId="421EE4C5" w:rsidR="00825B7E" w:rsidRPr="00825B7E" w:rsidRDefault="00825B7E" w:rsidP="00271138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825B7E">
        <w:rPr>
          <w:rFonts w:eastAsiaTheme="minorEastAsia" w:cstheme="minorBidi"/>
          <w:b w:val="0"/>
          <w:bCs w:val="0"/>
          <w:iCs w:val="0"/>
          <w:color w:val="auto"/>
          <w:sz w:val="22"/>
        </w:rPr>
        <w:t>The Executive Assistant will be an experienced and highly skilled EA who will deliver high quality executive support to the Manager.</w:t>
      </w:r>
    </w:p>
    <w:p w14:paraId="5EB61DDF" w14:textId="77777777" w:rsidR="00825B7E" w:rsidRPr="00825B7E" w:rsidRDefault="00825B7E" w:rsidP="00271138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825B7E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The Executive Assistant will be well positioned within their business group and will effectively manage their managers schedule and will perform a wide variety of complex and confidential administrative, secretarial and research functions. </w:t>
      </w:r>
    </w:p>
    <w:p w14:paraId="0BA4E814" w14:textId="77777777" w:rsidR="00825B7E" w:rsidRPr="00825B7E" w:rsidRDefault="00825B7E" w:rsidP="00271138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825B7E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The role also provides crucial support to leadership teams allowing them to focus on strategic and operational priorities, our people, our partners and a delivery model which enables high quality service for our clients.  </w:t>
      </w:r>
    </w:p>
    <w:p w14:paraId="40234BCB" w14:textId="363B37D4" w:rsidR="004700FD" w:rsidRPr="00FE42E3" w:rsidRDefault="00825B7E" w:rsidP="00271138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825B7E">
        <w:rPr>
          <w:rFonts w:eastAsiaTheme="minorEastAsia" w:cstheme="minorBidi"/>
          <w:b w:val="0"/>
          <w:bCs w:val="0"/>
          <w:iCs w:val="0"/>
          <w:color w:val="auto"/>
          <w:sz w:val="22"/>
        </w:rPr>
        <w:t>Duties performed require high trust and confidentiality, initiative, as well as good judgement and an ability to problem solve independently and as a collective.</w:t>
      </w:r>
    </w:p>
    <w:p w14:paraId="2269D850" w14:textId="7391EC4D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Location</w:t>
      </w:r>
    </w:p>
    <w:p w14:paraId="519C42EA" w14:textId="4D146A41" w:rsidR="005C0C81" w:rsidRPr="00FE42E3" w:rsidRDefault="00825B7E" w:rsidP="00D3627D">
      <w:pPr>
        <w:spacing w:line="240" w:lineRule="auto"/>
      </w:pPr>
      <w:r w:rsidRPr="00825B7E">
        <w:t>National Office, Wellington</w:t>
      </w:r>
    </w:p>
    <w:p w14:paraId="72BFDA47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Reports to</w:t>
      </w:r>
    </w:p>
    <w:p w14:paraId="4525DCBD" w14:textId="30E73E6D" w:rsidR="005C0C81" w:rsidRPr="00FE42E3" w:rsidRDefault="00825B7E" w:rsidP="00D3627D">
      <w:pPr>
        <w:spacing w:line="240" w:lineRule="auto"/>
      </w:pPr>
      <w:r w:rsidRPr="00825B7E">
        <w:t>General Manager, Data Strategy and Operational Products</w:t>
      </w:r>
    </w:p>
    <w:p w14:paraId="58921DBE" w14:textId="649D4CCC" w:rsidR="009357ED" w:rsidRPr="00FE42E3" w:rsidRDefault="0077295B" w:rsidP="00D3627D">
      <w:pPr>
        <w:pStyle w:val="Heading3"/>
      </w:pPr>
      <w:r w:rsidRPr="00FE42E3">
        <w:t xml:space="preserve">Key </w:t>
      </w:r>
      <w:r w:rsidR="00CB3BB8" w:rsidRPr="00FE42E3">
        <w:t>R</w:t>
      </w:r>
      <w:r w:rsidR="009357ED" w:rsidRPr="00FE42E3">
        <w:t>esponsibilities</w:t>
      </w:r>
    </w:p>
    <w:p w14:paraId="275F8537" w14:textId="0F3A3E1F" w:rsidR="00825B7E" w:rsidRPr="00271138" w:rsidRDefault="00825B7E" w:rsidP="00271138">
      <w:pPr>
        <w:spacing w:before="240" w:line="240" w:lineRule="auto"/>
        <w:rPr>
          <w:b/>
          <w:bCs/>
          <w:sz w:val="24"/>
          <w:szCs w:val="24"/>
        </w:rPr>
      </w:pPr>
      <w:r w:rsidRPr="00271138">
        <w:rPr>
          <w:b/>
          <w:bCs/>
          <w:sz w:val="24"/>
          <w:szCs w:val="24"/>
        </w:rPr>
        <w:t>Executive support</w:t>
      </w:r>
    </w:p>
    <w:p w14:paraId="1686641A" w14:textId="6D657482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Develop knowledge and understanding of the manager’s/leader’s work commitments and priorities to assist them in meeting their outcomes. This includes identifying emerging issues and bringing this to the Manager’s attention.</w:t>
      </w:r>
    </w:p>
    <w:p w14:paraId="3CBAFA1C" w14:textId="6833A3FF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 xml:space="preserve">Manage private and confidential information, situations and issues in a manner that reflects the level and seniority of the environment.   </w:t>
      </w:r>
    </w:p>
    <w:p w14:paraId="6C19D4A4" w14:textId="202768BF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Pro-actively manage diaries, meetings, and logistics effectively and efficiently to allow the Manager to undertake the requirements of their role.</w:t>
      </w:r>
    </w:p>
    <w:p w14:paraId="35FF9AEE" w14:textId="22EA2B93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Manage effective administrative systems and processes and develop new practices as required to enable the business unit to operate more efficiently.</w:t>
      </w:r>
    </w:p>
    <w:p w14:paraId="29E75FF9" w14:textId="0C96651F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Support the investigation and collation of information in response to escalated complaints/issues when requested, so the appropriate resolution can be achieved.</w:t>
      </w:r>
    </w:p>
    <w:p w14:paraId="2C59A02F" w14:textId="00B20B04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Proactively identify and prioritise all matters that require urgent action and gather and present relevant information for the Manager/Leader to evaluate and respond appropriately, ensuring high risk and important issues are effectively flagged and resolved and sensitive information appropriately managed.</w:t>
      </w:r>
    </w:p>
    <w:p w14:paraId="056304EB" w14:textId="495D4722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lastRenderedPageBreak/>
        <w:t>Provide effective diary and email management for the Manager/Leader – plan and optimise their schedule balancing commitments, priorities and conflicting demands. Screen, assess and manage requests of their time using prioritisation methods.</w:t>
      </w:r>
    </w:p>
    <w:p w14:paraId="42C056AE" w14:textId="1A7EC36A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Provide secretariat services to the business unit including the coordination of all aspects of meetings – this includes preparation of agendas and meeting packs, coordination of digital technologies, room or venue bookings, catering, managing scheduling conflicts and minute-taking to ensure the effective operation of meetings.</w:t>
      </w:r>
    </w:p>
    <w:p w14:paraId="67CA2A99" w14:textId="0C1B7335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Manage travel arrangements and logistics to support operational requirements and   reconcile travel reports against travel arrangements to ensure costings are accurate.</w:t>
      </w:r>
    </w:p>
    <w:p w14:paraId="51D1242B" w14:textId="72B2B74F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Broker information between the Manager and their stakeholders to ensure information is disseminated in an appropriate and timely manner.</w:t>
      </w:r>
    </w:p>
    <w:p w14:paraId="5F6577BC" w14:textId="4D2F41CB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Prepare high quality presentations, reports, memos and briefing materials and ensure the Manager/Leader is across the finer details</w:t>
      </w:r>
    </w:p>
    <w:p w14:paraId="52AF59A3" w14:textId="28FBD866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Capture and collate feedback and information for the Manager and business unit leadership team as required to identify risks or issues, support operational requirements and inform decision-making.</w:t>
      </w:r>
    </w:p>
    <w:p w14:paraId="2C0EA319" w14:textId="60A977C0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Coordinate and operate in the planning and delivery of events and forums to ensure they run smoothly, and objectives and action points are achieved. This includes co-ordinating with suppliers and key stakeholders.</w:t>
      </w:r>
    </w:p>
    <w:p w14:paraId="4893CA9A" w14:textId="6063F184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Act as a central point of contact for the implementation of initiatives by disseminating information, status reporting, and coordinating dates and ensuring the business unit has all the required support available.</w:t>
      </w:r>
    </w:p>
    <w:p w14:paraId="68D04B96" w14:textId="75353CF3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Monitor and update business unit invoices in financial systems and administer asset registers and expense claim forms so the budget manager can authorise payment promptly.</w:t>
      </w:r>
    </w:p>
    <w:p w14:paraId="19F0AAF0" w14:textId="77777777" w:rsidR="00825B7E" w:rsidRPr="00271138" w:rsidRDefault="00825B7E" w:rsidP="00271138">
      <w:pPr>
        <w:spacing w:before="240" w:line="240" w:lineRule="auto"/>
        <w:rPr>
          <w:b/>
          <w:bCs/>
          <w:sz w:val="24"/>
          <w:szCs w:val="24"/>
        </w:rPr>
      </w:pPr>
      <w:r w:rsidRPr="00271138">
        <w:rPr>
          <w:b/>
          <w:bCs/>
          <w:sz w:val="24"/>
          <w:szCs w:val="24"/>
        </w:rPr>
        <w:t>Leadership</w:t>
      </w:r>
    </w:p>
    <w:p w14:paraId="40DA6CD0" w14:textId="50789A0F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 xml:space="preserve">Partner with the Senior EA and the DCE Office to enable them to achieve </w:t>
      </w:r>
      <w:proofErr w:type="gramStart"/>
      <w:r>
        <w:t>their</w:t>
      </w:r>
      <w:proofErr w:type="gramEnd"/>
      <w:r>
        <w:t xml:space="preserve"> </w:t>
      </w:r>
    </w:p>
    <w:p w14:paraId="168D472D" w14:textId="6A9356AB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Demonstrate credibility, integrity and loyalty with colleagues and peers.</w:t>
      </w:r>
    </w:p>
    <w:p w14:paraId="44F03422" w14:textId="3DBB1075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Contribute as member of leadership team for work group and build your capability.</w:t>
      </w:r>
    </w:p>
    <w:p w14:paraId="4E0CCB53" w14:textId="77777777" w:rsidR="00825B7E" w:rsidRPr="00271138" w:rsidRDefault="00825B7E" w:rsidP="00271138">
      <w:pPr>
        <w:spacing w:before="240" w:line="240" w:lineRule="auto"/>
        <w:rPr>
          <w:b/>
          <w:bCs/>
          <w:sz w:val="24"/>
          <w:szCs w:val="24"/>
        </w:rPr>
      </w:pPr>
      <w:r w:rsidRPr="00271138">
        <w:rPr>
          <w:b/>
          <w:bCs/>
          <w:sz w:val="24"/>
          <w:szCs w:val="24"/>
        </w:rPr>
        <w:t>Human Resource support</w:t>
      </w:r>
    </w:p>
    <w:p w14:paraId="5BE11A39" w14:textId="4C733EA1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Support and administer the recruitment process on behalf of the manager to ensure the smooth running of the recruitment, onboarding and offboarding process.</w:t>
      </w:r>
    </w:p>
    <w:p w14:paraId="65B7EC33" w14:textId="7C36966E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Arrange for induction of new staff reporting to the Manager and procurement of necessary equipment.</w:t>
      </w:r>
    </w:p>
    <w:p w14:paraId="5BED4528" w14:textId="5535E209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Liaise with People Group to coordinate secondments, allowances and leave to maximise the manager’s time.</w:t>
      </w:r>
    </w:p>
    <w:p w14:paraId="5664D782" w14:textId="77777777" w:rsidR="00271138" w:rsidRDefault="00271138" w:rsidP="00271138">
      <w:pPr>
        <w:pStyle w:val="ListParagraph"/>
        <w:numPr>
          <w:ilvl w:val="0"/>
          <w:numId w:val="0"/>
        </w:numPr>
        <w:spacing w:line="240" w:lineRule="auto"/>
        <w:ind w:left="714"/>
        <w:contextualSpacing w:val="0"/>
      </w:pPr>
    </w:p>
    <w:p w14:paraId="3882E733" w14:textId="0F2D58A7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lastRenderedPageBreak/>
        <w:t>Ensure employee information is stored securely and only disclosed to those with appropriate authority to protect privacy and confidentiality.</w:t>
      </w:r>
    </w:p>
    <w:p w14:paraId="10EC56F0" w14:textId="59AEA8ED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Audit and reconcile employee leave to ensure records are accurate, escalating any leave liability issues.</w:t>
      </w:r>
    </w:p>
    <w:p w14:paraId="55CFECA2" w14:textId="1C937706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Review payroll reports to ensure employee salaries are accurate, escalating any anomalies for resolution.</w:t>
      </w:r>
    </w:p>
    <w:p w14:paraId="24B5EC94" w14:textId="77777777" w:rsidR="00825B7E" w:rsidRPr="00271138" w:rsidRDefault="00825B7E" w:rsidP="00271138">
      <w:pPr>
        <w:spacing w:before="240" w:line="240" w:lineRule="auto"/>
        <w:rPr>
          <w:b/>
          <w:bCs/>
          <w:sz w:val="24"/>
          <w:szCs w:val="24"/>
        </w:rPr>
      </w:pPr>
      <w:r w:rsidRPr="00271138">
        <w:rPr>
          <w:b/>
          <w:bCs/>
          <w:sz w:val="24"/>
          <w:szCs w:val="24"/>
        </w:rPr>
        <w:t>Stakeholder and Relationship Management</w:t>
      </w:r>
    </w:p>
    <w:p w14:paraId="7241A88E" w14:textId="6049DC5F" w:rsid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Cultivate a network of contacts and develop and maintain open communication channels, working collaboratively to facilitate the sharing of information and identify and mitigate risk to enhance the delivery of executive support.</w:t>
      </w:r>
    </w:p>
    <w:p w14:paraId="0F827649" w14:textId="0C981563" w:rsidR="004700FD" w:rsidRPr="00825B7E" w:rsidRDefault="00825B7E" w:rsidP="00271138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  <w:rPr>
          <w:lang w:val="en-US"/>
        </w:rPr>
      </w:pPr>
      <w:r>
        <w:t>Coordinate with and assist other executive support colleagues so that best practice is shared, and overload situations can be managed efficiently.</w:t>
      </w:r>
    </w:p>
    <w:p w14:paraId="0E48B73C" w14:textId="5C1B87F0" w:rsidR="005C0C81" w:rsidRPr="00FE42E3" w:rsidRDefault="005C0C81" w:rsidP="00D3627D">
      <w:pPr>
        <w:pStyle w:val="Heading3"/>
      </w:pPr>
      <w:r w:rsidRPr="00FE42E3">
        <w:t>Additional Responsibilities</w:t>
      </w:r>
    </w:p>
    <w:p w14:paraId="16AA22AF" w14:textId="5E724BB9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 xml:space="preserve">Embedding </w:t>
      </w:r>
      <w:proofErr w:type="spellStart"/>
      <w:r w:rsidRPr="00FE42E3">
        <w:rPr>
          <w:iCs w:val="0"/>
        </w:rPr>
        <w:t>te</w:t>
      </w:r>
      <w:proofErr w:type="spellEnd"/>
      <w:r w:rsidRPr="00FE42E3">
        <w:rPr>
          <w:iCs w:val="0"/>
        </w:rPr>
        <w:t xml:space="preserve"> </w:t>
      </w:r>
      <w:proofErr w:type="spellStart"/>
      <w:r w:rsidRPr="00FE42E3">
        <w:rPr>
          <w:iCs w:val="0"/>
        </w:rPr>
        <w:t>ao</w:t>
      </w:r>
      <w:proofErr w:type="spellEnd"/>
      <w:r w:rsidRPr="00FE42E3">
        <w:rPr>
          <w:iCs w:val="0"/>
        </w:rPr>
        <w:t xml:space="preserve"> Māori </w:t>
      </w:r>
    </w:p>
    <w:p w14:paraId="18015BA8" w14:textId="77777777" w:rsidR="005C0C81" w:rsidRPr="00FE42E3" w:rsidRDefault="005C0C81" w:rsidP="00D3627D">
      <w:pPr>
        <w:pStyle w:val="ListParagraph"/>
        <w:spacing w:line="240" w:lineRule="auto"/>
        <w:ind w:left="714" w:hanging="357"/>
        <w:contextualSpacing w:val="0"/>
      </w:pPr>
      <w:r w:rsidRPr="00FE42E3">
        <w:t xml:space="preserve">Embedding Te Ao Māori (te reo Māori, tikanga, kawa, Te Tiriti o Waitangi) into the way we do things at MSD. </w:t>
      </w:r>
    </w:p>
    <w:p w14:paraId="07260BD5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Building more experience, knowledge, skills, and capabilities to confidently engage with whānau, hapū and iwi.</w:t>
      </w:r>
    </w:p>
    <w:p w14:paraId="59A0AF03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Health, safety, and security</w:t>
      </w:r>
    </w:p>
    <w:p w14:paraId="0466EE9E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Understand and implement your Health, Safety and Security (HSS) accountabilities as outlined in the HSS Accountability Framework.</w:t>
      </w:r>
    </w:p>
    <w:p w14:paraId="40792204" w14:textId="77777777" w:rsidR="00205B82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Ensure you understand, follow, and implement all Health, Safety and Security and wellbeing policies and procedures.</w:t>
      </w:r>
    </w:p>
    <w:p w14:paraId="6468274F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Emergency management and business continuity</w:t>
      </w:r>
    </w:p>
    <w:p w14:paraId="0AB8F312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Remain familiar with the relevant provisions of the Emergency Management and Business Continuity Plans that impact your business group/team.</w:t>
      </w:r>
    </w:p>
    <w:p w14:paraId="7451A632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Participate in periodic training, reviews and tests of the established Business Continuity Plans and operating procedures.</w:t>
      </w:r>
    </w:p>
    <w:p w14:paraId="246CE7EB" w14:textId="77777777" w:rsidR="00825B7E" w:rsidRDefault="0077295B" w:rsidP="00271138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E42E3">
        <w:rPr>
          <w:rFonts w:eastAsiaTheme="majorEastAsia" w:cstheme="majorBidi"/>
          <w:b/>
          <w:bCs/>
          <w:color w:val="002060"/>
          <w:sz w:val="28"/>
          <w:szCs w:val="26"/>
        </w:rPr>
        <w:t>Know-how</w:t>
      </w:r>
    </w:p>
    <w:p w14:paraId="5463233C" w14:textId="2C44477D" w:rsidR="00825B7E" w:rsidRDefault="00825B7E" w:rsidP="00271138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 xml:space="preserve">Tertiary qualification (desirable) </w:t>
      </w:r>
      <w:proofErr w:type="spellStart"/>
      <w:r>
        <w:t>eg</w:t>
      </w:r>
      <w:proofErr w:type="spellEnd"/>
      <w:r>
        <w:t xml:space="preserve"> Certificate or Diploma in Business Administration or equivalent experience. </w:t>
      </w:r>
    </w:p>
    <w:p w14:paraId="7A4B8976" w14:textId="67D897E2" w:rsidR="00825B7E" w:rsidRDefault="00825B7E" w:rsidP="00271138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 xml:space="preserve">Experience providing comprehensive executive support to a senior leader, preferably within a large complex organisation. </w:t>
      </w:r>
    </w:p>
    <w:p w14:paraId="3EE57DD0" w14:textId="7B47AD3D" w:rsidR="00825B7E" w:rsidRDefault="00825B7E" w:rsidP="00271138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Excellent written and verbal communication skills with meticulous attention to detail in all aspects of the role.</w:t>
      </w:r>
    </w:p>
    <w:p w14:paraId="0518577A" w14:textId="07CDEBD5" w:rsidR="00825B7E" w:rsidRDefault="00825B7E" w:rsidP="00271138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Understanding of the Public Finance Act and experience in financial administration, budgets and invoice/account reconciliation.</w:t>
      </w:r>
    </w:p>
    <w:p w14:paraId="11E09EAB" w14:textId="01DD08CC" w:rsidR="00825B7E" w:rsidRDefault="00825B7E" w:rsidP="00271138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lastRenderedPageBreak/>
        <w:t>Advanced skills in prioritising in an often busy and complex environment and applying sound judgement when dealing with competing deadlines.</w:t>
      </w:r>
    </w:p>
    <w:p w14:paraId="7133B433" w14:textId="17A7395A" w:rsidR="00825B7E" w:rsidRDefault="00825B7E" w:rsidP="00271138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Advanced planning and organisational skills – the ability to set and manage objectives, deadlines, time, and priorities effectively often within tight timeframes and under pressure.</w:t>
      </w:r>
    </w:p>
    <w:p w14:paraId="6794FD90" w14:textId="054FF0DE" w:rsidR="00825B7E" w:rsidRDefault="00825B7E" w:rsidP="00271138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Advanced skills in developing trust and confidence ensuring professionalism and credibility at the executive level and managing confidential and privileged information sensitively.</w:t>
      </w:r>
    </w:p>
    <w:p w14:paraId="59D07306" w14:textId="66D81D7B" w:rsidR="00825B7E" w:rsidRDefault="00825B7E" w:rsidP="00271138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 xml:space="preserve">Significant experience developing, managing and improving administration processes and procedures. </w:t>
      </w:r>
    </w:p>
    <w:p w14:paraId="2CD994BB" w14:textId="0BEFF7AA" w:rsidR="00825B7E" w:rsidRDefault="00825B7E" w:rsidP="00271138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 xml:space="preserve">Proficient in the use of the Microsoft Office suite and preparing presentation materials. </w:t>
      </w:r>
    </w:p>
    <w:p w14:paraId="322BA4D3" w14:textId="0FFCF187" w:rsidR="00825B7E" w:rsidRDefault="00825B7E" w:rsidP="00271138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Advanced Situational awareness skills – ability to identify potential risks and issues, evaluate information and apply discretion to make quality judgements, decisions and appropriate responses.</w:t>
      </w:r>
    </w:p>
    <w:p w14:paraId="46B49FF1" w14:textId="42D14C5E" w:rsidR="00825B7E" w:rsidRDefault="00825B7E" w:rsidP="00271138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 w:rsidRPr="00825B7E">
        <w:t>Advanced Interpersonal and relationship management skills.</w:t>
      </w:r>
    </w:p>
    <w:p w14:paraId="512882B5" w14:textId="4D369C86" w:rsidR="00205B82" w:rsidRPr="00825B7E" w:rsidRDefault="0077295B" w:rsidP="00271138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825B7E">
        <w:rPr>
          <w:rFonts w:eastAsiaTheme="majorEastAsia" w:cstheme="majorBidi"/>
          <w:b/>
          <w:bCs/>
          <w:color w:val="002060"/>
          <w:sz w:val="28"/>
          <w:szCs w:val="26"/>
        </w:rPr>
        <w:t>Attributes</w:t>
      </w:r>
    </w:p>
    <w:p w14:paraId="18A34DCE" w14:textId="58681FC0" w:rsidR="00825B7E" w:rsidRDefault="00825B7E" w:rsidP="00271138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 w:rsidRPr="00825B7E">
        <w:rPr>
          <w:b/>
          <w:bCs/>
        </w:rPr>
        <w:t>Integrity</w:t>
      </w:r>
      <w:r>
        <w:t xml:space="preserve"> – High level of integrity, diligence, and ability to build trusting relationships. </w:t>
      </w:r>
    </w:p>
    <w:p w14:paraId="4BECA0D1" w14:textId="1852CFF9" w:rsidR="00825B7E" w:rsidRDefault="00825B7E" w:rsidP="00271138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 w:rsidRPr="00825B7E">
        <w:rPr>
          <w:b/>
          <w:bCs/>
        </w:rPr>
        <w:t>Collaborative</w:t>
      </w:r>
      <w:r>
        <w:t xml:space="preserve"> – Facilitate collaboration and communication, through tools, and behavioural norms to improve the quality and number of collaborative discussions thereby enabling efficient completion of tasks and complex problems to be solved.</w:t>
      </w:r>
    </w:p>
    <w:p w14:paraId="4FE2489E" w14:textId="3C013B5B" w:rsidR="00825B7E" w:rsidRDefault="00825B7E" w:rsidP="00271138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 w:rsidRPr="00825B7E">
        <w:rPr>
          <w:b/>
          <w:bCs/>
        </w:rPr>
        <w:t>Accountable</w:t>
      </w:r>
      <w:r>
        <w:t xml:space="preserve"> – Delivers on their promises and holds themselves accountable.</w:t>
      </w:r>
    </w:p>
    <w:p w14:paraId="3708B54F" w14:textId="164ED8DE" w:rsidR="00825B7E" w:rsidRDefault="00825B7E" w:rsidP="00271138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 w:rsidRPr="00825B7E">
        <w:rPr>
          <w:b/>
          <w:bCs/>
        </w:rPr>
        <w:t xml:space="preserve">Pride in delivering value </w:t>
      </w:r>
      <w:r>
        <w:t>– Take pride in the development and delivery of work towards a shared goal that delivers value to the client.</w:t>
      </w:r>
    </w:p>
    <w:p w14:paraId="64205E5B" w14:textId="69E28913" w:rsidR="00825B7E" w:rsidRDefault="00825B7E" w:rsidP="00271138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 w:rsidRPr="00825B7E">
        <w:rPr>
          <w:b/>
          <w:bCs/>
        </w:rPr>
        <w:t xml:space="preserve">Ability to adapt to change </w:t>
      </w:r>
      <w:r>
        <w:t>– Be comfortable with ambiguity, and flexible adapting to changing demands and priorities.</w:t>
      </w:r>
    </w:p>
    <w:p w14:paraId="48D0ADE9" w14:textId="32B1823C" w:rsidR="00825B7E" w:rsidRDefault="00825B7E" w:rsidP="00271138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 w:rsidRPr="00825B7E">
        <w:rPr>
          <w:b/>
          <w:bCs/>
        </w:rPr>
        <w:t xml:space="preserve">Engaged </w:t>
      </w:r>
      <w:r>
        <w:t>– Display a genuine interest in your team and their individual requirements around their support, care, and development.</w:t>
      </w:r>
    </w:p>
    <w:p w14:paraId="08ACB038" w14:textId="5EDDF397" w:rsidR="00825B7E" w:rsidRDefault="00825B7E" w:rsidP="00271138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 w:rsidRPr="00825B7E">
        <w:rPr>
          <w:b/>
          <w:bCs/>
        </w:rPr>
        <w:t xml:space="preserve">Welcomes and values diversity </w:t>
      </w:r>
      <w:r>
        <w:t xml:space="preserve">– Leads and contributes to an inclusive working environment where differences are acknowledged and respected. </w:t>
      </w:r>
    </w:p>
    <w:p w14:paraId="63F10F63" w14:textId="03D6BFC0" w:rsidR="00825B7E" w:rsidRDefault="00825B7E" w:rsidP="00271138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 w:rsidRPr="00825B7E">
        <w:rPr>
          <w:b/>
          <w:bCs/>
        </w:rPr>
        <w:t xml:space="preserve">Effective change agent </w:t>
      </w:r>
      <w:r>
        <w:t>– communicates and manages change well, adaptable.</w:t>
      </w:r>
    </w:p>
    <w:p w14:paraId="2005333A" w14:textId="028B0E9E" w:rsidR="00825B7E" w:rsidRDefault="00825B7E" w:rsidP="00271138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 w:rsidRPr="00825B7E">
        <w:rPr>
          <w:b/>
          <w:bCs/>
        </w:rPr>
        <w:t>Authenticity</w:t>
      </w:r>
      <w:r>
        <w:t xml:space="preserve"> – Our people are real, pragmatic and down to earth. We are genuine in our approach, with each other and our clients.</w:t>
      </w:r>
    </w:p>
    <w:p w14:paraId="16237B61" w14:textId="08D9BA85" w:rsidR="00271138" w:rsidRPr="00271138" w:rsidRDefault="00825B7E" w:rsidP="00825B7E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 w:rsidRPr="00825B7E">
        <w:rPr>
          <w:b/>
          <w:bCs/>
        </w:rPr>
        <w:t xml:space="preserve">Excellence </w:t>
      </w:r>
      <w:r>
        <w:t xml:space="preserve">in everything we do – all client (external and internal) interactions. </w:t>
      </w:r>
    </w:p>
    <w:p w14:paraId="747380EA" w14:textId="77777777" w:rsidR="00271138" w:rsidRDefault="00271138" w:rsidP="00271138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</w:p>
    <w:p w14:paraId="4DF0C806" w14:textId="77777777" w:rsidR="00271138" w:rsidRDefault="00271138" w:rsidP="00271138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</w:p>
    <w:p w14:paraId="3455BCD9" w14:textId="0E257471" w:rsidR="00205B82" w:rsidRPr="00FE42E3" w:rsidRDefault="0077295B" w:rsidP="00271138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E42E3">
        <w:rPr>
          <w:rFonts w:eastAsiaTheme="majorEastAsia" w:cstheme="majorBidi"/>
          <w:b/>
          <w:bCs/>
          <w:color w:val="002060"/>
          <w:sz w:val="28"/>
          <w:szCs w:val="26"/>
        </w:rPr>
        <w:lastRenderedPageBreak/>
        <w:t xml:space="preserve">Key Relationships </w:t>
      </w:r>
    </w:p>
    <w:p w14:paraId="4F3E48C6" w14:textId="10C1760F" w:rsidR="0077295B" w:rsidRPr="00FE42E3" w:rsidRDefault="0077295B" w:rsidP="00271138">
      <w:pPr>
        <w:spacing w:before="240" w:line="240" w:lineRule="auto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Internal </w:t>
      </w:r>
    </w:p>
    <w:p w14:paraId="32F8F53E" w14:textId="1816ED1D" w:rsidR="00271138" w:rsidRDefault="00271138" w:rsidP="00271138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</w:pPr>
      <w:r>
        <w:t xml:space="preserve">Leadership and Management teams </w:t>
      </w:r>
    </w:p>
    <w:p w14:paraId="13E51422" w14:textId="4293307A" w:rsidR="00271138" w:rsidRDefault="00271138" w:rsidP="00271138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</w:pPr>
      <w:r>
        <w:t>DCE’s Office</w:t>
      </w:r>
    </w:p>
    <w:p w14:paraId="56421033" w14:textId="23B781FA" w:rsidR="00271138" w:rsidRDefault="00271138" w:rsidP="00271138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</w:pPr>
      <w:r>
        <w:t xml:space="preserve">Wider MSD staff and Managers </w:t>
      </w:r>
    </w:p>
    <w:p w14:paraId="3F74690B" w14:textId="52021C80" w:rsidR="00271138" w:rsidRDefault="00271138" w:rsidP="00271138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</w:pPr>
      <w:r>
        <w:t>Human Resources</w:t>
      </w:r>
    </w:p>
    <w:p w14:paraId="6FEE8FC7" w14:textId="360C3BAF" w:rsidR="00271138" w:rsidRDefault="00271138" w:rsidP="00271138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</w:pPr>
      <w:r>
        <w:t xml:space="preserve">Service Delivery </w:t>
      </w:r>
    </w:p>
    <w:p w14:paraId="2E0EBBC2" w14:textId="0E5A729B" w:rsidR="00271138" w:rsidRDefault="00271138" w:rsidP="00271138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</w:pPr>
      <w:r>
        <w:t>Finance</w:t>
      </w:r>
    </w:p>
    <w:p w14:paraId="0645BBB3" w14:textId="3EEB6978" w:rsidR="00271138" w:rsidRDefault="00271138" w:rsidP="00271138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</w:pPr>
      <w:r>
        <w:t>National Accounting Centre</w:t>
      </w:r>
    </w:p>
    <w:p w14:paraId="3C3E7AAC" w14:textId="6839ED2B" w:rsidR="00271138" w:rsidRDefault="00271138" w:rsidP="00271138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</w:pPr>
      <w:r>
        <w:t xml:space="preserve">Property Management and Property and Facilities </w:t>
      </w:r>
    </w:p>
    <w:p w14:paraId="2FEF4A5B" w14:textId="3E5FEA61" w:rsidR="0077295B" w:rsidRPr="00271138" w:rsidRDefault="00271138" w:rsidP="00271138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t xml:space="preserve">Other MSD business units </w:t>
      </w:r>
    </w:p>
    <w:p w14:paraId="6035E337" w14:textId="5D269650" w:rsidR="0077295B" w:rsidRPr="00FE42E3" w:rsidRDefault="006C03B8" w:rsidP="00271138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External</w:t>
      </w:r>
    </w:p>
    <w:p w14:paraId="4169D1ED" w14:textId="1C790301" w:rsidR="00271138" w:rsidRPr="00271138" w:rsidRDefault="00271138" w:rsidP="00271138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  <w:rPr>
          <w:szCs w:val="26"/>
        </w:rPr>
      </w:pPr>
      <w:r w:rsidRPr="00271138">
        <w:rPr>
          <w:szCs w:val="26"/>
        </w:rPr>
        <w:t>Suppliers, contractors and service providers</w:t>
      </w:r>
    </w:p>
    <w:p w14:paraId="35E38FDA" w14:textId="48CEFCAE" w:rsidR="0077295B" w:rsidRPr="00271138" w:rsidRDefault="00271138" w:rsidP="00271138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  <w:rPr>
          <w:szCs w:val="26"/>
        </w:rPr>
      </w:pPr>
      <w:r w:rsidRPr="00271138">
        <w:rPr>
          <w:szCs w:val="26"/>
        </w:rPr>
        <w:t xml:space="preserve">Other government agencies </w:t>
      </w:r>
    </w:p>
    <w:p w14:paraId="42DE1EC4" w14:textId="50A4D049" w:rsidR="005C0C81" w:rsidRPr="00FE42E3" w:rsidRDefault="005C0C81" w:rsidP="00D3627D">
      <w:pPr>
        <w:pStyle w:val="Heading3"/>
      </w:pPr>
      <w:r w:rsidRPr="00FE42E3">
        <w:t xml:space="preserve">Delegations </w:t>
      </w:r>
    </w:p>
    <w:p w14:paraId="2778ADB8" w14:textId="52A3F8C2" w:rsidR="005C6B8C" w:rsidRDefault="007D7B1B" w:rsidP="00D3627D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E42E3">
        <w:br/>
      </w:r>
      <w:r w:rsidR="005C0C81"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Direct reports </w:t>
      </w:r>
      <w:r w:rsid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–</w:t>
      </w:r>
      <w:r w:rsidR="00271138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No</w:t>
      </w:r>
      <w:r w:rsidRPr="00FE42E3">
        <w:br/>
      </w:r>
      <w:r w:rsidRPr="00FE42E3">
        <w:br/>
      </w:r>
      <w:r w:rsidR="005C0C81"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Security </w:t>
      </w:r>
      <w:r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clearance</w:t>
      </w:r>
      <w:r w:rsid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–</w:t>
      </w:r>
      <w:r w:rsidR="00271138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No</w:t>
      </w:r>
      <w:r w:rsidRPr="00FE42E3">
        <w:br/>
      </w:r>
      <w:r w:rsidRPr="00FE42E3">
        <w:br/>
      </w:r>
      <w:r w:rsidR="005C0C81"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Children’s worker</w:t>
      </w:r>
      <w:r w:rsid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–</w:t>
      </w:r>
      <w:r w:rsidR="00271138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No</w:t>
      </w:r>
      <w:r w:rsidRPr="00FE42E3">
        <w:br/>
      </w:r>
      <w:r w:rsidRPr="00FE42E3">
        <w:br/>
      </w:r>
      <w:r w:rsidR="005C0C81"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Travel</w:t>
      </w:r>
      <w:r w:rsid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–</w:t>
      </w:r>
      <w:r w:rsidR="00271138" w:rsidRPr="00271138">
        <w:t xml:space="preserve"> </w:t>
      </w:r>
      <w:r w:rsidR="00271138" w:rsidRPr="00271138">
        <w:rPr>
          <w:rFonts w:eastAsiaTheme="majorEastAsia" w:cstheme="majorBidi"/>
          <w:color w:val="000000" w:themeColor="text1"/>
          <w:sz w:val="24"/>
          <w:szCs w:val="24"/>
        </w:rPr>
        <w:t>Limited ad hoc travel may be required</w:t>
      </w:r>
      <w:r w:rsidRPr="00FE42E3">
        <w:br/>
      </w:r>
      <w:r w:rsidRPr="00FE42E3">
        <w:br/>
      </w:r>
      <w:r w:rsidR="00141ACE"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HR </w:t>
      </w:r>
      <w:r w:rsidR="005C6B8C"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Delegation Level </w:t>
      </w:r>
      <w:r w:rsid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–</w:t>
      </w:r>
      <w:r w:rsidR="00271138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None</w:t>
      </w:r>
      <w:r w:rsidRPr="00FE42E3">
        <w:br/>
      </w:r>
      <w:r w:rsidRPr="00FE42E3">
        <w:br/>
      </w:r>
      <w:r w:rsidR="005C6B8C"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Financial Delegation </w:t>
      </w:r>
      <w:r w:rsidR="00A13052">
        <w:rPr>
          <w:rFonts w:eastAsiaTheme="majorEastAsia" w:cstheme="majorBidi"/>
          <w:b/>
          <w:bCs/>
          <w:color w:val="000000" w:themeColor="text1"/>
          <w:sz w:val="24"/>
          <w:szCs w:val="24"/>
        </w:rPr>
        <w:t>L</w:t>
      </w:r>
      <w:r w:rsidR="005C6B8C"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evel</w:t>
      </w:r>
      <w:r w:rsid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–</w:t>
      </w:r>
      <w:r w:rsidR="00271138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None</w:t>
      </w:r>
    </w:p>
    <w:p w14:paraId="29AB5DAF" w14:textId="77777777" w:rsidR="00271138" w:rsidRDefault="00271138" w:rsidP="00D3627D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62B7874A" w14:textId="77777777" w:rsidR="00271138" w:rsidRDefault="00271138" w:rsidP="00D3627D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3F661E85" w14:textId="77777777" w:rsidR="00271138" w:rsidRDefault="00271138" w:rsidP="00D3627D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5F2A7B48" w14:textId="77777777" w:rsidR="00271138" w:rsidRDefault="00271138" w:rsidP="00D3627D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5201D154" w14:textId="77777777" w:rsidR="00271138" w:rsidRDefault="00271138" w:rsidP="00D3627D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6721D628" w14:textId="77777777" w:rsidR="00271138" w:rsidRDefault="00271138" w:rsidP="00D3627D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5C3F046C" w14:textId="77777777" w:rsidR="00271138" w:rsidRDefault="00271138" w:rsidP="00D3627D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367F2F9F" w14:textId="77777777" w:rsidR="00271138" w:rsidRPr="00FE42E3" w:rsidRDefault="00271138" w:rsidP="00D3627D"/>
    <w:p w14:paraId="1F366400" w14:textId="4861310A" w:rsidR="005C0C81" w:rsidRPr="00FE42E3" w:rsidRDefault="005C0C81" w:rsidP="00D3627D">
      <w:pPr>
        <w:pStyle w:val="Heading2"/>
      </w:pPr>
      <w:r w:rsidRPr="00FE42E3">
        <w:lastRenderedPageBreak/>
        <w:t>Working in public service</w:t>
      </w:r>
    </w:p>
    <w:p w14:paraId="04A7278D" w14:textId="77777777" w:rsidR="005C0C81" w:rsidRPr="00FE42E3" w:rsidRDefault="005C0C81" w:rsidP="00D3627D">
      <w:r w:rsidRPr="00FE42E3">
        <w:rPr>
          <w:lang w:eastAsia="en-NZ"/>
        </w:rPr>
        <w:t>In the public</w:t>
      </w:r>
      <w:r w:rsidRPr="00FE42E3">
        <w:rPr>
          <w:rFonts w:ascii="Arial" w:hAnsi="Arial"/>
          <w:lang w:eastAsia="en-NZ"/>
        </w:rPr>
        <w:t> </w:t>
      </w:r>
      <w:r w:rsidRPr="00FE42E3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0FE42E3">
        <w:rPr>
          <w:lang w:val="mi-NZ" w:eastAsia="en-NZ"/>
        </w:rPr>
        <w:t>Māori</w:t>
      </w:r>
      <w:r w:rsidRPr="00FE42E3">
        <w:rPr>
          <w:lang w:eastAsia="en-NZ"/>
        </w:rPr>
        <w:t xml:space="preserve"> under the Treaty of </w:t>
      </w:r>
      <w:r w:rsidRPr="00FE42E3">
        <w:rPr>
          <w:lang w:val="mi-NZ" w:eastAsia="en-NZ"/>
        </w:rPr>
        <w:t>Waitangi</w:t>
      </w:r>
      <w:r w:rsidRPr="00FE42E3">
        <w:rPr>
          <w:lang w:eastAsia="en-NZ"/>
        </w:rPr>
        <w:t>.</w:t>
      </w:r>
      <w:r w:rsidRPr="00FE42E3">
        <w:rPr>
          <w:rFonts w:ascii="Arial" w:hAnsi="Arial"/>
          <w:lang w:eastAsia="en-NZ"/>
        </w:rPr>
        <w:t> </w:t>
      </w:r>
      <w:r w:rsidRPr="00FE42E3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 w:rsidRPr="00FE42E3">
        <w:t>potential and aspirations.</w:t>
      </w:r>
    </w:p>
    <w:p w14:paraId="1BA4FC08" w14:textId="77777777" w:rsidR="00CB3BB8" w:rsidRPr="00FE42E3" w:rsidRDefault="005C0C81" w:rsidP="00D3627D">
      <w:r w:rsidRPr="00FE42E3">
        <w:rPr>
          <w:rStyle w:val="Strong"/>
        </w:rPr>
        <w:t xml:space="preserve"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 me ngā tikanga matua o te ratonga tūmatanui i roto i ā mātou mahi. </w:t>
      </w:r>
    </w:p>
    <w:sectPr w:rsidR="00CB3BB8" w:rsidRPr="00FE42E3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BDFB" w14:textId="77777777" w:rsidR="00C31EDC" w:rsidRDefault="00C31EDC" w:rsidP="00336686">
      <w:r>
        <w:separator/>
      </w:r>
    </w:p>
  </w:endnote>
  <w:endnote w:type="continuationSeparator" w:id="0">
    <w:p w14:paraId="2E818992" w14:textId="77777777" w:rsidR="00C31EDC" w:rsidRDefault="00C31EDC" w:rsidP="00336686">
      <w:r>
        <w:continuationSeparator/>
      </w:r>
    </w:p>
  </w:endnote>
  <w:endnote w:type="continuationNotice" w:id="1">
    <w:p w14:paraId="798F9FEF" w14:textId="77777777" w:rsidR="00C31EDC" w:rsidRDefault="00C31EDC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8283" w14:textId="7470EB77" w:rsidR="00C7317E" w:rsidRPr="008A00F5" w:rsidRDefault="00271138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00F5"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663ACD51" wp14:editId="78E381CD">
              <wp:simplePos x="0" y="0"/>
              <wp:positionH relativeFrom="column">
                <wp:posOffset>-900430</wp:posOffset>
              </wp:positionH>
              <wp:positionV relativeFrom="paragraph">
                <wp:posOffset>-306185</wp:posOffset>
              </wp:positionV>
              <wp:extent cx="7636689" cy="1089900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9" cy="108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825B7E" w:rsidRPr="00825B7E">
          <w:rPr>
            <w:sz w:val="20"/>
            <w:szCs w:val="20"/>
          </w:rPr>
          <w:t>Executive Assistant</w:t>
        </w:r>
        <w:r w:rsidR="00825B7E" w:rsidRPr="00825B7E">
          <w:rPr>
            <w:sz w:val="20"/>
            <w:szCs w:val="20"/>
          </w:rPr>
          <w:t xml:space="preserve"> </w:t>
        </w:r>
        <w:r w:rsidR="005C0C81" w:rsidRPr="00825B7E">
          <w:rPr>
            <w:sz w:val="20"/>
            <w:szCs w:val="20"/>
          </w:rPr>
          <w:t xml:space="preserve">– </w:t>
        </w:r>
        <w:r w:rsidR="00825B7E" w:rsidRPr="00825B7E">
          <w:rPr>
            <w:sz w:val="20"/>
            <w:szCs w:val="20"/>
          </w:rPr>
          <w:t>Band 5</w:t>
        </w:r>
        <w:r w:rsidR="005C0C81" w:rsidRPr="00825B7E">
          <w:rPr>
            <w:sz w:val="20"/>
            <w:szCs w:val="20"/>
          </w:rPr>
          <w:t xml:space="preserve"> – </w:t>
        </w:r>
        <w:r w:rsidR="00825B7E" w:rsidRPr="00825B7E">
          <w:rPr>
            <w:sz w:val="20"/>
            <w:szCs w:val="20"/>
          </w:rPr>
          <w:t>December 2024</w:t>
        </w:r>
      </w:sdtContent>
    </w:sdt>
    <w:r w:rsidR="007D7B1B">
      <w:rPr>
        <w:noProof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FD02" w14:textId="77777777" w:rsidR="00C31EDC" w:rsidRDefault="00C31EDC" w:rsidP="00336686">
      <w:r>
        <w:separator/>
      </w:r>
    </w:p>
  </w:footnote>
  <w:footnote w:type="continuationSeparator" w:id="0">
    <w:p w14:paraId="0E9EF4E4" w14:textId="77777777" w:rsidR="00C31EDC" w:rsidRDefault="00C31EDC" w:rsidP="00336686">
      <w:r>
        <w:continuationSeparator/>
      </w:r>
    </w:p>
  </w:footnote>
  <w:footnote w:type="continuationNotice" w:id="1">
    <w:p w14:paraId="53AB1D7C" w14:textId="77777777" w:rsidR="00C31EDC" w:rsidRDefault="00C31EDC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19BC" w14:textId="77777777" w:rsidR="00C53480" w:rsidRDefault="00271138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7211" w14:textId="23064FFE" w:rsidR="00C53480" w:rsidRDefault="00336686" w:rsidP="001C7505">
    <w:pPr>
      <w:pStyle w:val="Header"/>
      <w:tabs>
        <w:tab w:val="clear" w:pos="4513"/>
        <w:tab w:val="clear" w:pos="9026"/>
        <w:tab w:val="left" w:pos="676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1B64963"/>
    <w:multiLevelType w:val="hybridMultilevel"/>
    <w:tmpl w:val="192856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DF35808"/>
    <w:multiLevelType w:val="hybridMultilevel"/>
    <w:tmpl w:val="0A7CA0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97FD2"/>
    <w:multiLevelType w:val="hybridMultilevel"/>
    <w:tmpl w:val="E822DE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2E86D84"/>
    <w:multiLevelType w:val="hybridMultilevel"/>
    <w:tmpl w:val="6E7AB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6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5"/>
  </w:num>
  <w:num w:numId="5" w16cid:durableId="1341010801">
    <w:abstractNumId w:val="16"/>
  </w:num>
  <w:num w:numId="6" w16cid:durableId="1864854123">
    <w:abstractNumId w:val="17"/>
  </w:num>
  <w:num w:numId="7" w16cid:durableId="1146584851">
    <w:abstractNumId w:val="27"/>
  </w:num>
  <w:num w:numId="8" w16cid:durableId="1671786130">
    <w:abstractNumId w:val="9"/>
  </w:num>
  <w:num w:numId="9" w16cid:durableId="2140149030">
    <w:abstractNumId w:val="15"/>
  </w:num>
  <w:num w:numId="10" w16cid:durableId="136529671">
    <w:abstractNumId w:val="24"/>
  </w:num>
  <w:num w:numId="11" w16cid:durableId="1102068592">
    <w:abstractNumId w:val="18"/>
  </w:num>
  <w:num w:numId="12" w16cid:durableId="1011878886">
    <w:abstractNumId w:val="19"/>
  </w:num>
  <w:num w:numId="13" w16cid:durableId="1999267206">
    <w:abstractNumId w:val="28"/>
  </w:num>
  <w:num w:numId="14" w16cid:durableId="1394620197">
    <w:abstractNumId w:val="10"/>
  </w:num>
  <w:num w:numId="15" w16cid:durableId="2023244101">
    <w:abstractNumId w:val="7"/>
  </w:num>
  <w:num w:numId="16" w16cid:durableId="421686626">
    <w:abstractNumId w:val="2"/>
  </w:num>
  <w:num w:numId="17" w16cid:durableId="1274364210">
    <w:abstractNumId w:val="13"/>
  </w:num>
  <w:num w:numId="18" w16cid:durableId="977149842">
    <w:abstractNumId w:val="4"/>
  </w:num>
  <w:num w:numId="19" w16cid:durableId="1270048622">
    <w:abstractNumId w:val="22"/>
  </w:num>
  <w:num w:numId="20" w16cid:durableId="1437407180">
    <w:abstractNumId w:val="11"/>
  </w:num>
  <w:num w:numId="21" w16cid:durableId="56637716">
    <w:abstractNumId w:val="25"/>
  </w:num>
  <w:num w:numId="22" w16cid:durableId="1259213211">
    <w:abstractNumId w:val="8"/>
  </w:num>
  <w:num w:numId="23" w16cid:durableId="368457051">
    <w:abstractNumId w:val="12"/>
  </w:num>
  <w:num w:numId="24" w16cid:durableId="1076123646">
    <w:abstractNumId w:val="20"/>
  </w:num>
  <w:num w:numId="25" w16cid:durableId="651564553">
    <w:abstractNumId w:val="26"/>
  </w:num>
  <w:num w:numId="26" w16cid:durableId="1860586675">
    <w:abstractNumId w:val="8"/>
  </w:num>
  <w:num w:numId="27" w16cid:durableId="547885364">
    <w:abstractNumId w:val="8"/>
  </w:num>
  <w:num w:numId="28" w16cid:durableId="1381632945">
    <w:abstractNumId w:val="8"/>
  </w:num>
  <w:num w:numId="29" w16cid:durableId="600915327">
    <w:abstractNumId w:val="23"/>
  </w:num>
  <w:num w:numId="30" w16cid:durableId="1512721310">
    <w:abstractNumId w:val="14"/>
  </w:num>
  <w:num w:numId="31" w16cid:durableId="769080550">
    <w:abstractNumId w:val="3"/>
  </w:num>
  <w:num w:numId="32" w16cid:durableId="93972072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sDel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5791"/>
    <w:rsid w:val="00030E00"/>
    <w:rsid w:val="000335D1"/>
    <w:rsid w:val="00034336"/>
    <w:rsid w:val="00037CB0"/>
    <w:rsid w:val="00045765"/>
    <w:rsid w:val="00045A31"/>
    <w:rsid w:val="00055B71"/>
    <w:rsid w:val="000664C2"/>
    <w:rsid w:val="0008363E"/>
    <w:rsid w:val="000862FF"/>
    <w:rsid w:val="000911E3"/>
    <w:rsid w:val="000A43F3"/>
    <w:rsid w:val="000A576B"/>
    <w:rsid w:val="000A6009"/>
    <w:rsid w:val="000A639A"/>
    <w:rsid w:val="000B4B5D"/>
    <w:rsid w:val="000B6D09"/>
    <w:rsid w:val="000B73DA"/>
    <w:rsid w:val="000D28A7"/>
    <w:rsid w:val="000E3BB9"/>
    <w:rsid w:val="000F068A"/>
    <w:rsid w:val="001027B0"/>
    <w:rsid w:val="00106AED"/>
    <w:rsid w:val="001173C6"/>
    <w:rsid w:val="00130581"/>
    <w:rsid w:val="0013109B"/>
    <w:rsid w:val="00136C27"/>
    <w:rsid w:val="00141ACE"/>
    <w:rsid w:val="00141BC1"/>
    <w:rsid w:val="00163CD1"/>
    <w:rsid w:val="001665FF"/>
    <w:rsid w:val="0018334B"/>
    <w:rsid w:val="001C6113"/>
    <w:rsid w:val="001C711B"/>
    <w:rsid w:val="001C7505"/>
    <w:rsid w:val="001D1546"/>
    <w:rsid w:val="001D3744"/>
    <w:rsid w:val="001D45B8"/>
    <w:rsid w:val="001D6DA4"/>
    <w:rsid w:val="001E2B3C"/>
    <w:rsid w:val="001E556E"/>
    <w:rsid w:val="001E6801"/>
    <w:rsid w:val="00205B82"/>
    <w:rsid w:val="00213AFF"/>
    <w:rsid w:val="00213DA6"/>
    <w:rsid w:val="00216302"/>
    <w:rsid w:val="002209AC"/>
    <w:rsid w:val="0022670A"/>
    <w:rsid w:val="00226CC5"/>
    <w:rsid w:val="00227C4F"/>
    <w:rsid w:val="00235BC4"/>
    <w:rsid w:val="00236D2D"/>
    <w:rsid w:val="00240D7E"/>
    <w:rsid w:val="00241016"/>
    <w:rsid w:val="00242051"/>
    <w:rsid w:val="00242200"/>
    <w:rsid w:val="00245A2B"/>
    <w:rsid w:val="00271138"/>
    <w:rsid w:val="0027186A"/>
    <w:rsid w:val="0029741C"/>
    <w:rsid w:val="002A07F6"/>
    <w:rsid w:val="002A539F"/>
    <w:rsid w:val="002A6600"/>
    <w:rsid w:val="002A673A"/>
    <w:rsid w:val="002B021B"/>
    <w:rsid w:val="002B7A33"/>
    <w:rsid w:val="002D14AF"/>
    <w:rsid w:val="002D1C62"/>
    <w:rsid w:val="002D367B"/>
    <w:rsid w:val="002D3998"/>
    <w:rsid w:val="002D6645"/>
    <w:rsid w:val="00310872"/>
    <w:rsid w:val="00313A09"/>
    <w:rsid w:val="003206C4"/>
    <w:rsid w:val="00331B43"/>
    <w:rsid w:val="00333717"/>
    <w:rsid w:val="00336686"/>
    <w:rsid w:val="00353CA5"/>
    <w:rsid w:val="00354EC2"/>
    <w:rsid w:val="00361559"/>
    <w:rsid w:val="0039174E"/>
    <w:rsid w:val="00397220"/>
    <w:rsid w:val="00397DBD"/>
    <w:rsid w:val="003A18EC"/>
    <w:rsid w:val="003A6234"/>
    <w:rsid w:val="003A6B6A"/>
    <w:rsid w:val="003B0A38"/>
    <w:rsid w:val="003B2B69"/>
    <w:rsid w:val="003B6C49"/>
    <w:rsid w:val="003C4607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2A31"/>
    <w:rsid w:val="0043366F"/>
    <w:rsid w:val="00436532"/>
    <w:rsid w:val="004441E8"/>
    <w:rsid w:val="00445BCE"/>
    <w:rsid w:val="00454F25"/>
    <w:rsid w:val="00465072"/>
    <w:rsid w:val="004700FD"/>
    <w:rsid w:val="0047088C"/>
    <w:rsid w:val="004710B8"/>
    <w:rsid w:val="00481590"/>
    <w:rsid w:val="00484950"/>
    <w:rsid w:val="00490CE6"/>
    <w:rsid w:val="0049248B"/>
    <w:rsid w:val="004B09FD"/>
    <w:rsid w:val="004B0A86"/>
    <w:rsid w:val="004B4185"/>
    <w:rsid w:val="004B6F86"/>
    <w:rsid w:val="004F2EE1"/>
    <w:rsid w:val="004F58F2"/>
    <w:rsid w:val="005007B5"/>
    <w:rsid w:val="0051374F"/>
    <w:rsid w:val="00515156"/>
    <w:rsid w:val="0053221B"/>
    <w:rsid w:val="00533E65"/>
    <w:rsid w:val="00536498"/>
    <w:rsid w:val="00560C59"/>
    <w:rsid w:val="0056681E"/>
    <w:rsid w:val="005671A5"/>
    <w:rsid w:val="00572AA9"/>
    <w:rsid w:val="00572ACC"/>
    <w:rsid w:val="00595906"/>
    <w:rsid w:val="00596B81"/>
    <w:rsid w:val="005A37D0"/>
    <w:rsid w:val="005B11F9"/>
    <w:rsid w:val="005C0C81"/>
    <w:rsid w:val="005C6B8C"/>
    <w:rsid w:val="005D148E"/>
    <w:rsid w:val="005D56AA"/>
    <w:rsid w:val="005E0875"/>
    <w:rsid w:val="005F09BC"/>
    <w:rsid w:val="0060003B"/>
    <w:rsid w:val="0060148C"/>
    <w:rsid w:val="00631D73"/>
    <w:rsid w:val="00634AE8"/>
    <w:rsid w:val="00640CA3"/>
    <w:rsid w:val="0065019F"/>
    <w:rsid w:val="006514D5"/>
    <w:rsid w:val="0067336C"/>
    <w:rsid w:val="00675AC6"/>
    <w:rsid w:val="006808C0"/>
    <w:rsid w:val="006930FB"/>
    <w:rsid w:val="006A5C63"/>
    <w:rsid w:val="006B19BD"/>
    <w:rsid w:val="006C03B8"/>
    <w:rsid w:val="006D6117"/>
    <w:rsid w:val="006F3E61"/>
    <w:rsid w:val="006F3FBA"/>
    <w:rsid w:val="00707B47"/>
    <w:rsid w:val="00712E73"/>
    <w:rsid w:val="00714E12"/>
    <w:rsid w:val="00736553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6649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1CDD"/>
    <w:rsid w:val="00802A08"/>
    <w:rsid w:val="0080498F"/>
    <w:rsid w:val="0081624E"/>
    <w:rsid w:val="00820255"/>
    <w:rsid w:val="00823748"/>
    <w:rsid w:val="00825B7E"/>
    <w:rsid w:val="00831C28"/>
    <w:rsid w:val="008339D0"/>
    <w:rsid w:val="008414B1"/>
    <w:rsid w:val="00860654"/>
    <w:rsid w:val="0087517C"/>
    <w:rsid w:val="008879FF"/>
    <w:rsid w:val="008951EE"/>
    <w:rsid w:val="008A00F5"/>
    <w:rsid w:val="008B0A66"/>
    <w:rsid w:val="008B2E4F"/>
    <w:rsid w:val="008B41B5"/>
    <w:rsid w:val="008E3B02"/>
    <w:rsid w:val="008E4BE7"/>
    <w:rsid w:val="008F7774"/>
    <w:rsid w:val="00902888"/>
    <w:rsid w:val="00903467"/>
    <w:rsid w:val="00906EAA"/>
    <w:rsid w:val="009349DB"/>
    <w:rsid w:val="009357ED"/>
    <w:rsid w:val="0094214B"/>
    <w:rsid w:val="0094396A"/>
    <w:rsid w:val="009604E6"/>
    <w:rsid w:val="00970DD2"/>
    <w:rsid w:val="00987EA2"/>
    <w:rsid w:val="009A312D"/>
    <w:rsid w:val="009A7046"/>
    <w:rsid w:val="009A73F0"/>
    <w:rsid w:val="009C662A"/>
    <w:rsid w:val="009D0F50"/>
    <w:rsid w:val="009D15F1"/>
    <w:rsid w:val="009D2B10"/>
    <w:rsid w:val="009E36A5"/>
    <w:rsid w:val="00A02A16"/>
    <w:rsid w:val="00A13052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94789"/>
    <w:rsid w:val="00AA0A5A"/>
    <w:rsid w:val="00AA10B3"/>
    <w:rsid w:val="00AA743C"/>
    <w:rsid w:val="00AB062A"/>
    <w:rsid w:val="00AB5895"/>
    <w:rsid w:val="00AD16A6"/>
    <w:rsid w:val="00AD2BF2"/>
    <w:rsid w:val="00AD5DF4"/>
    <w:rsid w:val="00AD6305"/>
    <w:rsid w:val="00B02A8F"/>
    <w:rsid w:val="00B04D1D"/>
    <w:rsid w:val="00B14D81"/>
    <w:rsid w:val="00B305AE"/>
    <w:rsid w:val="00B32C51"/>
    <w:rsid w:val="00B407D6"/>
    <w:rsid w:val="00B41635"/>
    <w:rsid w:val="00B5357A"/>
    <w:rsid w:val="00B542E4"/>
    <w:rsid w:val="00B5634E"/>
    <w:rsid w:val="00B626AE"/>
    <w:rsid w:val="00B62FE8"/>
    <w:rsid w:val="00B8332D"/>
    <w:rsid w:val="00B84E48"/>
    <w:rsid w:val="00B8501A"/>
    <w:rsid w:val="00B86B79"/>
    <w:rsid w:val="00BA2526"/>
    <w:rsid w:val="00BB6450"/>
    <w:rsid w:val="00BC35AE"/>
    <w:rsid w:val="00BD5D20"/>
    <w:rsid w:val="00BE6537"/>
    <w:rsid w:val="00BF0186"/>
    <w:rsid w:val="00BF3B63"/>
    <w:rsid w:val="00BF47A8"/>
    <w:rsid w:val="00BF67C6"/>
    <w:rsid w:val="00C041FA"/>
    <w:rsid w:val="00C100F0"/>
    <w:rsid w:val="00C12F94"/>
    <w:rsid w:val="00C161A3"/>
    <w:rsid w:val="00C24180"/>
    <w:rsid w:val="00C31EDC"/>
    <w:rsid w:val="00C3580B"/>
    <w:rsid w:val="00C4259B"/>
    <w:rsid w:val="00C4358C"/>
    <w:rsid w:val="00C45EB5"/>
    <w:rsid w:val="00C47DF4"/>
    <w:rsid w:val="00C503A7"/>
    <w:rsid w:val="00C5215F"/>
    <w:rsid w:val="00C53480"/>
    <w:rsid w:val="00C54D3C"/>
    <w:rsid w:val="00C64549"/>
    <w:rsid w:val="00C64ABC"/>
    <w:rsid w:val="00C7317E"/>
    <w:rsid w:val="00C865D6"/>
    <w:rsid w:val="00CA08C4"/>
    <w:rsid w:val="00CA42DB"/>
    <w:rsid w:val="00CB25D8"/>
    <w:rsid w:val="00CB3BB8"/>
    <w:rsid w:val="00CB4A28"/>
    <w:rsid w:val="00CC5FDE"/>
    <w:rsid w:val="00CE6800"/>
    <w:rsid w:val="00CE6C53"/>
    <w:rsid w:val="00CF090D"/>
    <w:rsid w:val="00CF6B2D"/>
    <w:rsid w:val="00D13D05"/>
    <w:rsid w:val="00D178C3"/>
    <w:rsid w:val="00D20B97"/>
    <w:rsid w:val="00D23F6F"/>
    <w:rsid w:val="00D30CE7"/>
    <w:rsid w:val="00D34EA0"/>
    <w:rsid w:val="00D3587B"/>
    <w:rsid w:val="00D3627D"/>
    <w:rsid w:val="00D52EB5"/>
    <w:rsid w:val="00D843A4"/>
    <w:rsid w:val="00D8674C"/>
    <w:rsid w:val="00DA31FF"/>
    <w:rsid w:val="00DB1FC9"/>
    <w:rsid w:val="00DD3E6B"/>
    <w:rsid w:val="00DD6907"/>
    <w:rsid w:val="00DD7526"/>
    <w:rsid w:val="00DE22DC"/>
    <w:rsid w:val="00DF513A"/>
    <w:rsid w:val="00E03EF3"/>
    <w:rsid w:val="00E31E8F"/>
    <w:rsid w:val="00E3355F"/>
    <w:rsid w:val="00E42617"/>
    <w:rsid w:val="00E45D7F"/>
    <w:rsid w:val="00E47D04"/>
    <w:rsid w:val="00E671C3"/>
    <w:rsid w:val="00E67C5E"/>
    <w:rsid w:val="00E82A81"/>
    <w:rsid w:val="00E830D0"/>
    <w:rsid w:val="00E90142"/>
    <w:rsid w:val="00E9269E"/>
    <w:rsid w:val="00EB3D34"/>
    <w:rsid w:val="00EC012D"/>
    <w:rsid w:val="00EC1C7C"/>
    <w:rsid w:val="00EC52B6"/>
    <w:rsid w:val="00ED23DA"/>
    <w:rsid w:val="00ED776D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0505"/>
    <w:rsid w:val="00F829C0"/>
    <w:rsid w:val="00F829F6"/>
    <w:rsid w:val="00F85064"/>
    <w:rsid w:val="00F9356E"/>
    <w:rsid w:val="00F95006"/>
    <w:rsid w:val="00F96FEE"/>
    <w:rsid w:val="00FB675F"/>
    <w:rsid w:val="00FC5A23"/>
    <w:rsid w:val="00FD2534"/>
    <w:rsid w:val="00FE1317"/>
    <w:rsid w:val="00FE42E3"/>
    <w:rsid w:val="00FF4F8E"/>
    <w:rsid w:val="00FF64E0"/>
    <w:rsid w:val="049AAAA2"/>
    <w:rsid w:val="05D56DAB"/>
    <w:rsid w:val="09644348"/>
    <w:rsid w:val="0D8C6053"/>
    <w:rsid w:val="0D99AB38"/>
    <w:rsid w:val="0FD0C869"/>
    <w:rsid w:val="1B301802"/>
    <w:rsid w:val="1E1770F6"/>
    <w:rsid w:val="25416B32"/>
    <w:rsid w:val="26657468"/>
    <w:rsid w:val="26925853"/>
    <w:rsid w:val="29233FB8"/>
    <w:rsid w:val="2947613E"/>
    <w:rsid w:val="2BB36439"/>
    <w:rsid w:val="3C1941E9"/>
    <w:rsid w:val="3C7271D6"/>
    <w:rsid w:val="3CCA052B"/>
    <w:rsid w:val="3D34B620"/>
    <w:rsid w:val="5204AFC9"/>
    <w:rsid w:val="5216CC2C"/>
    <w:rsid w:val="5280D22F"/>
    <w:rsid w:val="5A93E91F"/>
    <w:rsid w:val="5DE77A91"/>
    <w:rsid w:val="609385C4"/>
    <w:rsid w:val="656D5030"/>
    <w:rsid w:val="793E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6" ma:contentTypeDescription="Create a new document." ma:contentTypeScope="" ma:versionID="0c82fc6684d298a2a8617deb5f684cf5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targetNamespace="http://schemas.microsoft.com/office/2006/metadata/properties" ma:root="true" ma:fieldsID="332f7d6672861f5e51600a517ca8fd16" ns1:_="" ns2:_="" ns3:_="">
    <xsd:import namespace="http://schemas.microsoft.com/sharepoint/v3"/>
    <xsd:import namespace="35b09a1f-b4e3-4cbd-aeb4-bcf7bdc6e1a8"/>
    <xsd:import namespace="24a4208d-6389-4ccf-93db-5bf6e7a6c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51B561-EBA7-4D51-AB85-1324FC84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</ds:schemaRefs>
</ds:datastoreItem>
</file>

<file path=customXml/itemProps3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Tyla Redden</cp:lastModifiedBy>
  <cp:revision>11</cp:revision>
  <cp:lastPrinted>2025-09-12T22:32:00Z</cp:lastPrinted>
  <dcterms:created xsi:type="dcterms:W3CDTF">2026-01-19T21:19:00Z</dcterms:created>
  <dcterms:modified xsi:type="dcterms:W3CDTF">2026-04-29T22:13:00Z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</Properties>
</file>