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C7EE8"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03134036">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40FAA3D2" w14:textId="77777777" w:rsidR="008B5857" w:rsidRPr="00EE3034" w:rsidRDefault="008B5857" w:rsidP="00FD13BE">
      <w:pPr>
        <w:pStyle w:val="Heading1"/>
        <w:ind w:left="142"/>
        <w:rPr>
          <w:color w:val="FFFFFF" w:themeColor="background1"/>
          <w:sz w:val="28"/>
          <w:szCs w:val="32"/>
          <w:lang w:val="en-NZ"/>
        </w:rPr>
      </w:pPr>
      <w:r w:rsidRPr="00EE3034">
        <w:rPr>
          <w:color w:val="FFFFFF" w:themeColor="background1"/>
          <w:sz w:val="28"/>
          <w:szCs w:val="32"/>
          <w:lang w:val="en-NZ"/>
        </w:rPr>
        <w:t xml:space="preserve">Senior </w:t>
      </w:r>
      <w:r w:rsidR="009B5DE5" w:rsidRPr="00EE3034">
        <w:rPr>
          <w:color w:val="FFFFFF" w:themeColor="background1"/>
          <w:sz w:val="28"/>
          <w:szCs w:val="32"/>
          <w:lang w:val="en-NZ"/>
        </w:rPr>
        <w:t xml:space="preserve">HR </w:t>
      </w:r>
      <w:r w:rsidRPr="00EE3034">
        <w:rPr>
          <w:color w:val="FFFFFF" w:themeColor="background1"/>
          <w:sz w:val="28"/>
          <w:szCs w:val="32"/>
          <w:lang w:val="en-NZ"/>
        </w:rPr>
        <w:t xml:space="preserve">Advisor </w:t>
      </w:r>
    </w:p>
    <w:p w14:paraId="1E412244" w14:textId="4B6BEABE" w:rsidR="000710E0" w:rsidRPr="00EE3034" w:rsidRDefault="006F7866" w:rsidP="00FD13BE">
      <w:pPr>
        <w:pStyle w:val="Heading1"/>
        <w:ind w:left="142"/>
        <w:rPr>
          <w:color w:val="FFFFFF" w:themeColor="background1"/>
          <w:sz w:val="28"/>
          <w:szCs w:val="32"/>
          <w:lang w:val="en-NZ"/>
        </w:rPr>
      </w:pPr>
      <w:r w:rsidRPr="00EE3034">
        <w:rPr>
          <w:color w:val="FFFFFF" w:themeColor="background1"/>
          <w:sz w:val="28"/>
          <w:szCs w:val="32"/>
          <w:lang w:val="en-NZ"/>
        </w:rPr>
        <w:t>Workforce Strategy and Organisation</w:t>
      </w:r>
      <w:r w:rsidR="00EE3034">
        <w:rPr>
          <w:color w:val="FFFFFF" w:themeColor="background1"/>
          <w:sz w:val="28"/>
          <w:szCs w:val="32"/>
          <w:lang w:val="en-NZ"/>
        </w:rPr>
        <w:t>al</w:t>
      </w:r>
      <w:r w:rsidRPr="00EE3034">
        <w:rPr>
          <w:color w:val="FFFFFF" w:themeColor="background1"/>
          <w:sz w:val="28"/>
          <w:szCs w:val="32"/>
          <w:lang w:val="en-NZ"/>
        </w:rPr>
        <w:t xml:space="preserve"> Design</w:t>
      </w:r>
      <w:r w:rsidR="008B5857" w:rsidRPr="00EE3034">
        <w:rPr>
          <w:color w:val="FFFFFF" w:themeColor="background1"/>
          <w:sz w:val="28"/>
          <w:szCs w:val="32"/>
          <w:lang w:val="en-NZ"/>
        </w:rPr>
        <w:t xml:space="preserve">, </w:t>
      </w:r>
      <w:r w:rsidR="009B5DE5" w:rsidRPr="00EE3034">
        <w:rPr>
          <w:color w:val="FFFFFF" w:themeColor="background1"/>
          <w:sz w:val="28"/>
          <w:szCs w:val="32"/>
          <w:lang w:val="en-NZ"/>
        </w:rPr>
        <w:t>People Group</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5E1D2"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911A4"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69731"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57376"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5C249"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3EF56"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08905"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ADF34"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B372D"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896E10">
          <w:headerReference w:type="even" r:id="rId11"/>
          <w:footerReference w:type="default" r:id="rId12"/>
          <w:footerReference w:type="first" r:id="rId13"/>
          <w:pgSz w:w="11906" w:h="16838"/>
          <w:pgMar w:top="1440" w:right="1440" w:bottom="851" w:left="1440" w:header="454" w:footer="160"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39ECC4E" w14:textId="77777777" w:rsidR="00EE2C85" w:rsidRDefault="00EE2C85" w:rsidP="00EE2C85">
      <w:pPr>
        <w:pStyle w:val="Heading3-leftaligned"/>
      </w:pPr>
      <w:r>
        <w:t xml:space="preserve">Te </w:t>
      </w:r>
      <w:proofErr w:type="spellStart"/>
      <w:r>
        <w:t>Pae</w:t>
      </w:r>
      <w:proofErr w:type="spellEnd"/>
      <w:r>
        <w:t xml:space="preserve"> </w:t>
      </w:r>
      <w:proofErr w:type="spellStart"/>
      <w:r>
        <w:t>Tawhiti</w:t>
      </w:r>
      <w:proofErr w:type="spellEnd"/>
    </w:p>
    <w:p w14:paraId="4E109863" w14:textId="77777777" w:rsidR="00EE2C85" w:rsidRPr="00E26A52" w:rsidRDefault="00EE2C85" w:rsidP="00EE2C85">
      <w:pPr>
        <w:rPr>
          <w:rFonts w:cstheme="minorHAnsi"/>
          <w:bCs/>
          <w:szCs w:val="20"/>
        </w:rPr>
      </w:pPr>
      <w:bookmarkStart w:id="0" w:name="_Hlk103065947"/>
      <w:r w:rsidRPr="00E26A52">
        <w:rPr>
          <w:szCs w:val="20"/>
        </w:rPr>
        <w:t xml:space="preserve">Te </w:t>
      </w:r>
      <w:proofErr w:type="spellStart"/>
      <w:r w:rsidRPr="00E26A52">
        <w:rPr>
          <w:szCs w:val="20"/>
        </w:rPr>
        <w:t>Pae</w:t>
      </w:r>
      <w:proofErr w:type="spellEnd"/>
      <w:r w:rsidRPr="00E26A52">
        <w:rPr>
          <w:szCs w:val="20"/>
        </w:rPr>
        <w:t xml:space="preserve"> </w:t>
      </w:r>
      <w:proofErr w:type="spellStart"/>
      <w:r w:rsidRPr="00E26A52">
        <w:rPr>
          <w:szCs w:val="20"/>
        </w:rPr>
        <w:t>Tawhiti</w:t>
      </w:r>
      <w:proofErr w:type="spellEnd"/>
      <w:r w:rsidRPr="00E26A52">
        <w:rPr>
          <w:szCs w:val="20"/>
        </w:rPr>
        <w:t xml:space="preserve"> – Our Future is about MSD’s future role and how we can make a bigger and better difference for New Zealanders. </w:t>
      </w:r>
      <w:r w:rsidRPr="00E26A52">
        <w:rPr>
          <w:rFonts w:cstheme="minorHAnsi"/>
          <w:szCs w:val="20"/>
        </w:rPr>
        <w:t xml:space="preserve">In support of </w:t>
      </w:r>
      <w:r w:rsidRPr="00E26A52">
        <w:rPr>
          <w:rFonts w:cstheme="minorHAnsi"/>
          <w:iCs/>
          <w:szCs w:val="20"/>
        </w:rPr>
        <w:t xml:space="preserve">Te </w:t>
      </w:r>
      <w:proofErr w:type="spellStart"/>
      <w:r w:rsidRPr="00E26A52">
        <w:rPr>
          <w:rFonts w:cstheme="minorHAnsi"/>
          <w:iCs/>
          <w:szCs w:val="20"/>
        </w:rPr>
        <w:t>Pae</w:t>
      </w:r>
      <w:proofErr w:type="spellEnd"/>
      <w:r w:rsidRPr="00E26A52">
        <w:rPr>
          <w:rFonts w:cstheme="minorHAnsi"/>
          <w:iCs/>
          <w:szCs w:val="20"/>
        </w:rPr>
        <w:t xml:space="preserve"> </w:t>
      </w:r>
      <w:proofErr w:type="spellStart"/>
      <w:r w:rsidRPr="00E26A52">
        <w:rPr>
          <w:rFonts w:cstheme="minorHAnsi"/>
          <w:iCs/>
          <w:szCs w:val="20"/>
        </w:rPr>
        <w:t>Tawhiti</w:t>
      </w:r>
      <w:proofErr w:type="spellEnd"/>
      <w:r w:rsidRPr="00E26A52">
        <w:rPr>
          <w:rFonts w:cstheme="minorHAnsi"/>
          <w:iCs/>
          <w:szCs w:val="20"/>
        </w:rPr>
        <w:t xml:space="preserve"> – Our Future</w:t>
      </w:r>
      <w:r w:rsidRPr="00E26A52">
        <w:rPr>
          <w:rFonts w:cstheme="minorHAnsi"/>
          <w:i/>
          <w:szCs w:val="20"/>
        </w:rPr>
        <w:t>,</w:t>
      </w:r>
      <w:r w:rsidRPr="00E26A52">
        <w:rPr>
          <w:rFonts w:cstheme="minorHAnsi"/>
          <w:bCs/>
          <w:szCs w:val="20"/>
        </w:rPr>
        <w:t xml:space="preserve"> </w:t>
      </w:r>
      <w:hyperlink r:id="rId14" w:history="1">
        <w:r w:rsidRPr="00E26A52">
          <w:rPr>
            <w:rFonts w:cstheme="minorHAnsi"/>
            <w:bCs/>
            <w:color w:val="0000FF"/>
            <w:szCs w:val="20"/>
            <w:u w:val="single"/>
          </w:rPr>
          <w:t xml:space="preserve">Te </w:t>
        </w:r>
        <w:proofErr w:type="spellStart"/>
        <w:r w:rsidRPr="00E26A52">
          <w:rPr>
            <w:rFonts w:cstheme="minorHAnsi"/>
            <w:bCs/>
            <w:color w:val="0000FF"/>
            <w:szCs w:val="20"/>
            <w:u w:val="single"/>
          </w:rPr>
          <w:t>Pae</w:t>
        </w:r>
        <w:proofErr w:type="spellEnd"/>
        <w:r w:rsidRPr="00E26A52">
          <w:rPr>
            <w:rFonts w:cstheme="minorHAnsi"/>
            <w:bCs/>
            <w:color w:val="0000FF"/>
            <w:szCs w:val="20"/>
            <w:u w:val="single"/>
          </w:rPr>
          <w:t xml:space="preserve"> Tata</w:t>
        </w:r>
      </w:hyperlink>
      <w:r w:rsidRPr="00E26A52">
        <w:rPr>
          <w:rFonts w:cstheme="minorHAnsi"/>
          <w:bCs/>
          <w:szCs w:val="20"/>
        </w:rPr>
        <w:t xml:space="preserve"> and </w:t>
      </w:r>
      <w:hyperlink r:id="rId15" w:history="1">
        <w:r w:rsidRPr="00E26A52">
          <w:rPr>
            <w:rFonts w:cstheme="minorHAnsi"/>
            <w:bCs/>
            <w:color w:val="0000FF"/>
            <w:szCs w:val="20"/>
            <w:u w:val="single"/>
          </w:rPr>
          <w:t>Pacific Prosperity</w:t>
        </w:r>
      </w:hyperlink>
      <w:r w:rsidRPr="00E26A52">
        <w:rPr>
          <w:rFonts w:cstheme="minorHAnsi"/>
          <w:bCs/>
          <w:szCs w:val="20"/>
        </w:rPr>
        <w:t xml:space="preserve"> describe how our future will be realised for Māori and Pacific peoples.</w:t>
      </w:r>
    </w:p>
    <w:p w14:paraId="6DB2F5D0" w14:textId="77777777" w:rsidR="00EE2C85" w:rsidRPr="00E26A52" w:rsidRDefault="00EE2C85" w:rsidP="00EE2C85">
      <w:pPr>
        <w:tabs>
          <w:tab w:val="left" w:pos="426"/>
        </w:tabs>
        <w:rPr>
          <w:szCs w:val="20"/>
        </w:rPr>
      </w:pPr>
      <w:r w:rsidRPr="00E26A52">
        <w:rPr>
          <w:szCs w:val="20"/>
        </w:rPr>
        <w:t xml:space="preserve">Te </w:t>
      </w:r>
      <w:proofErr w:type="spellStart"/>
      <w:r w:rsidRPr="00E26A52">
        <w:rPr>
          <w:szCs w:val="20"/>
        </w:rPr>
        <w:t>Pae</w:t>
      </w:r>
      <w:proofErr w:type="spellEnd"/>
      <w:r w:rsidRPr="00E26A52">
        <w:rPr>
          <w:szCs w:val="20"/>
        </w:rPr>
        <w:t xml:space="preserve"> </w:t>
      </w:r>
      <w:proofErr w:type="spellStart"/>
      <w:r w:rsidRPr="00E26A52">
        <w:rPr>
          <w:szCs w:val="20"/>
        </w:rPr>
        <w:t>Tawhiti</w:t>
      </w:r>
      <w:proofErr w:type="spellEnd"/>
      <w:r w:rsidRPr="00E26A52">
        <w:rPr>
          <w:szCs w:val="20"/>
        </w:rPr>
        <w:t xml:space="preserve"> Transformation Programme (the Programme) will help us achieve the shifts we want to make. The Programme will also position us to deliver the changes to the welfare system that the Government requires. Achieving our Te </w:t>
      </w:r>
      <w:proofErr w:type="spellStart"/>
      <w:r w:rsidRPr="00E26A52">
        <w:rPr>
          <w:szCs w:val="20"/>
        </w:rPr>
        <w:t>Pae</w:t>
      </w:r>
      <w:proofErr w:type="spellEnd"/>
      <w:r w:rsidRPr="00E26A52">
        <w:rPr>
          <w:szCs w:val="20"/>
        </w:rPr>
        <w:t xml:space="preserve"> </w:t>
      </w:r>
      <w:proofErr w:type="spellStart"/>
      <w:r w:rsidRPr="00E26A52">
        <w:rPr>
          <w:szCs w:val="20"/>
        </w:rPr>
        <w:t>Tawhiti</w:t>
      </w:r>
      <w:proofErr w:type="spellEnd"/>
      <w:r w:rsidRPr="00E26A52">
        <w:rPr>
          <w:szCs w:val="20"/>
        </w:rPr>
        <w:t xml:space="preserve"> vision will be a multi-year journey for MSD.  To ensure we are responsive and can adapt to the wide range of changes, we are adopting an iterative, agile approach to the design and delivery of the Programme. We are currently working on detailed design, where we’ll be involving clients, staff, and a broad range of stakeholders.</w:t>
      </w:r>
      <w:r w:rsidRPr="00E26A52" w:rsidDel="00E72B88">
        <w:rPr>
          <w:szCs w:val="20"/>
        </w:rPr>
        <w:t xml:space="preserve"> </w:t>
      </w:r>
    </w:p>
    <w:p w14:paraId="058D2354" w14:textId="77777777" w:rsidR="00EE2C85" w:rsidRPr="00E26A52" w:rsidRDefault="00EE2C85" w:rsidP="00EE2C85">
      <w:pPr>
        <w:tabs>
          <w:tab w:val="left" w:pos="426"/>
        </w:tabs>
        <w:rPr>
          <w:szCs w:val="20"/>
        </w:rPr>
      </w:pPr>
      <w:r w:rsidRPr="00E26A52">
        <w:rPr>
          <w:szCs w:val="20"/>
        </w:rPr>
        <w:t>This is a once in a generation change to the way MSD delivers services to New Zealanders, it’s our opportunity to set up MSD for the next 30 years. The programme will be a major undertaking, delivering significant benefits to over a million New Zealanders who access MSD support and services. This is an unrivalled opportunity to be involved in MSD’s journey.</w:t>
      </w:r>
      <w:bookmarkEnd w:id="0"/>
    </w:p>
    <w:p w14:paraId="1B961415" w14:textId="47816ABF" w:rsidR="0080061F" w:rsidRDefault="0080061F" w:rsidP="0080061F">
      <w:pPr>
        <w:pStyle w:val="Heading3"/>
      </w:pPr>
      <w:r>
        <w:t>Overview of position</w:t>
      </w:r>
    </w:p>
    <w:p w14:paraId="5570023F" w14:textId="28875C7F" w:rsidR="009B5DE5" w:rsidRDefault="009B5DE5" w:rsidP="0080061F">
      <w:pPr>
        <w:pStyle w:val="Heading3"/>
        <w:rPr>
          <w:rFonts w:eastAsia="Calibri"/>
          <w:b w:val="0"/>
          <w:sz w:val="20"/>
          <w:szCs w:val="22"/>
          <w:lang w:eastAsia="en-US"/>
        </w:rPr>
      </w:pPr>
      <w:r w:rsidRPr="009B5DE5">
        <w:rPr>
          <w:rFonts w:eastAsia="Calibri"/>
          <w:b w:val="0"/>
          <w:sz w:val="20"/>
          <w:szCs w:val="22"/>
          <w:lang w:eastAsia="en-US"/>
        </w:rPr>
        <w:t xml:space="preserve">The </w:t>
      </w:r>
      <w:r w:rsidR="008B5857">
        <w:rPr>
          <w:rFonts w:eastAsia="Calibri"/>
          <w:b w:val="0"/>
          <w:sz w:val="20"/>
          <w:szCs w:val="22"/>
          <w:lang w:eastAsia="en-US"/>
        </w:rPr>
        <w:t xml:space="preserve">Senior </w:t>
      </w:r>
      <w:r w:rsidRPr="009B5DE5">
        <w:rPr>
          <w:rFonts w:eastAsia="Calibri"/>
          <w:b w:val="0"/>
          <w:sz w:val="20"/>
          <w:szCs w:val="22"/>
          <w:lang w:eastAsia="en-US"/>
        </w:rPr>
        <w:t xml:space="preserve">HR </w:t>
      </w:r>
      <w:r w:rsidR="008B5857">
        <w:rPr>
          <w:rFonts w:eastAsia="Calibri"/>
          <w:b w:val="0"/>
          <w:sz w:val="20"/>
          <w:szCs w:val="22"/>
          <w:lang w:eastAsia="en-US"/>
        </w:rPr>
        <w:t xml:space="preserve">Advisor </w:t>
      </w:r>
      <w:r w:rsidR="00EE2C85">
        <w:rPr>
          <w:rFonts w:eastAsia="Calibri"/>
          <w:b w:val="0"/>
          <w:sz w:val="20"/>
          <w:szCs w:val="22"/>
          <w:lang w:eastAsia="en-US"/>
        </w:rPr>
        <w:t xml:space="preserve">provides advice and support to the </w:t>
      </w:r>
      <w:r w:rsidR="004141D3">
        <w:rPr>
          <w:rFonts w:eastAsia="Calibri"/>
          <w:b w:val="0"/>
          <w:sz w:val="20"/>
          <w:szCs w:val="22"/>
          <w:lang w:eastAsia="en-US"/>
        </w:rPr>
        <w:t xml:space="preserve">People, </w:t>
      </w:r>
      <w:r w:rsidR="00EE2C85">
        <w:rPr>
          <w:rFonts w:eastAsia="Calibri"/>
          <w:b w:val="0"/>
          <w:sz w:val="20"/>
          <w:szCs w:val="22"/>
          <w:lang w:eastAsia="en-US"/>
        </w:rPr>
        <w:t xml:space="preserve">Workforce </w:t>
      </w:r>
      <w:r w:rsidR="004141D3">
        <w:rPr>
          <w:rFonts w:eastAsia="Calibri"/>
          <w:b w:val="0"/>
          <w:sz w:val="20"/>
          <w:szCs w:val="22"/>
          <w:lang w:eastAsia="en-US"/>
        </w:rPr>
        <w:t>and Workplace w</w:t>
      </w:r>
      <w:r w:rsidR="00EE2C85">
        <w:rPr>
          <w:rFonts w:eastAsia="Calibri"/>
          <w:b w:val="0"/>
          <w:sz w:val="20"/>
          <w:szCs w:val="22"/>
          <w:lang w:eastAsia="en-US"/>
        </w:rPr>
        <w:t xml:space="preserve">orkstream within the Te </w:t>
      </w:r>
      <w:proofErr w:type="spellStart"/>
      <w:r w:rsidR="00EE2C85">
        <w:rPr>
          <w:rFonts w:eastAsia="Calibri"/>
          <w:b w:val="0"/>
          <w:sz w:val="20"/>
          <w:szCs w:val="22"/>
          <w:lang w:eastAsia="en-US"/>
        </w:rPr>
        <w:t>Pae</w:t>
      </w:r>
      <w:proofErr w:type="spellEnd"/>
      <w:r w:rsidR="00EE2C85">
        <w:rPr>
          <w:rFonts w:eastAsia="Calibri"/>
          <w:b w:val="0"/>
          <w:sz w:val="20"/>
          <w:szCs w:val="22"/>
          <w:lang w:eastAsia="en-US"/>
        </w:rPr>
        <w:t xml:space="preserve"> </w:t>
      </w:r>
      <w:proofErr w:type="spellStart"/>
      <w:r w:rsidR="00EE2C85">
        <w:rPr>
          <w:rFonts w:eastAsia="Calibri"/>
          <w:b w:val="0"/>
          <w:sz w:val="20"/>
          <w:szCs w:val="22"/>
          <w:lang w:eastAsia="en-US"/>
        </w:rPr>
        <w:t>Tawhiti</w:t>
      </w:r>
      <w:proofErr w:type="spellEnd"/>
      <w:r w:rsidR="00EE2C85">
        <w:rPr>
          <w:rFonts w:eastAsia="Calibri"/>
          <w:b w:val="0"/>
          <w:sz w:val="20"/>
          <w:szCs w:val="22"/>
          <w:lang w:eastAsia="en-US"/>
        </w:rPr>
        <w:t xml:space="preserve"> programme.  The position </w:t>
      </w:r>
      <w:r w:rsidRPr="009B5DE5">
        <w:rPr>
          <w:rFonts w:eastAsia="Calibri"/>
          <w:b w:val="0"/>
          <w:sz w:val="20"/>
          <w:szCs w:val="22"/>
          <w:lang w:eastAsia="en-US"/>
        </w:rPr>
        <w:t>will work closely with the Principal HR</w:t>
      </w:r>
      <w:r w:rsidR="00896E10">
        <w:rPr>
          <w:rFonts w:eastAsia="Calibri"/>
          <w:b w:val="0"/>
          <w:sz w:val="20"/>
          <w:szCs w:val="22"/>
          <w:lang w:eastAsia="en-US"/>
        </w:rPr>
        <w:t xml:space="preserve"> </w:t>
      </w:r>
      <w:r w:rsidR="00EE2C85">
        <w:rPr>
          <w:rFonts w:eastAsia="Calibri"/>
          <w:b w:val="0"/>
          <w:sz w:val="20"/>
          <w:szCs w:val="22"/>
          <w:lang w:eastAsia="en-US"/>
        </w:rPr>
        <w:t>Advisors</w:t>
      </w:r>
      <w:r w:rsidR="00896E10">
        <w:rPr>
          <w:rFonts w:eastAsia="Calibri"/>
          <w:b w:val="0"/>
          <w:sz w:val="20"/>
          <w:szCs w:val="22"/>
          <w:lang w:eastAsia="en-US"/>
        </w:rPr>
        <w:t xml:space="preserve"> </w:t>
      </w:r>
      <w:r w:rsidR="005425C2">
        <w:rPr>
          <w:rFonts w:eastAsia="Calibri"/>
          <w:b w:val="0"/>
          <w:sz w:val="20"/>
          <w:szCs w:val="22"/>
          <w:lang w:eastAsia="en-US"/>
        </w:rPr>
        <w:t xml:space="preserve">and other Te </w:t>
      </w:r>
      <w:proofErr w:type="spellStart"/>
      <w:r w:rsidR="005425C2">
        <w:rPr>
          <w:rFonts w:eastAsia="Calibri"/>
          <w:b w:val="0"/>
          <w:sz w:val="20"/>
          <w:szCs w:val="22"/>
          <w:lang w:eastAsia="en-US"/>
        </w:rPr>
        <w:t>Pae</w:t>
      </w:r>
      <w:proofErr w:type="spellEnd"/>
      <w:r w:rsidR="005425C2">
        <w:rPr>
          <w:rFonts w:eastAsia="Calibri"/>
          <w:b w:val="0"/>
          <w:sz w:val="20"/>
          <w:szCs w:val="22"/>
          <w:lang w:eastAsia="en-US"/>
        </w:rPr>
        <w:t xml:space="preserve"> </w:t>
      </w:r>
      <w:proofErr w:type="spellStart"/>
      <w:r w:rsidR="005425C2">
        <w:rPr>
          <w:rFonts w:eastAsia="Calibri"/>
          <w:b w:val="0"/>
          <w:sz w:val="20"/>
          <w:szCs w:val="22"/>
          <w:lang w:eastAsia="en-US"/>
        </w:rPr>
        <w:t>Tawhiti</w:t>
      </w:r>
      <w:proofErr w:type="spellEnd"/>
      <w:r w:rsidR="005425C2">
        <w:rPr>
          <w:rFonts w:eastAsia="Calibri"/>
          <w:b w:val="0"/>
          <w:sz w:val="20"/>
          <w:szCs w:val="22"/>
          <w:lang w:eastAsia="en-US"/>
        </w:rPr>
        <w:t xml:space="preserve"> workstreams identifying and providing advice on</w:t>
      </w:r>
      <w:r w:rsidR="0092508D">
        <w:rPr>
          <w:rFonts w:eastAsia="Calibri"/>
          <w:b w:val="0"/>
          <w:sz w:val="20"/>
          <w:szCs w:val="22"/>
          <w:lang w:eastAsia="en-US"/>
        </w:rPr>
        <w:t xml:space="preserve"> </w:t>
      </w:r>
      <w:r w:rsidR="00EE2C85">
        <w:rPr>
          <w:rFonts w:eastAsia="Calibri"/>
          <w:b w:val="0"/>
          <w:sz w:val="20"/>
          <w:szCs w:val="22"/>
          <w:lang w:eastAsia="en-US"/>
        </w:rPr>
        <w:t xml:space="preserve">role design, </w:t>
      </w:r>
      <w:r w:rsidR="005425C2">
        <w:rPr>
          <w:rFonts w:eastAsia="Calibri"/>
          <w:b w:val="0"/>
          <w:sz w:val="20"/>
          <w:szCs w:val="22"/>
          <w:lang w:eastAsia="en-US"/>
        </w:rPr>
        <w:t xml:space="preserve">capabilities, </w:t>
      </w:r>
      <w:r w:rsidR="0092508D">
        <w:rPr>
          <w:rFonts w:eastAsia="Calibri"/>
          <w:b w:val="0"/>
          <w:sz w:val="20"/>
          <w:szCs w:val="22"/>
          <w:lang w:eastAsia="en-US"/>
        </w:rPr>
        <w:t xml:space="preserve">ways of working, </w:t>
      </w:r>
      <w:r w:rsidR="00EE2C85">
        <w:rPr>
          <w:rFonts w:eastAsia="Calibri"/>
          <w:b w:val="0"/>
          <w:sz w:val="20"/>
          <w:szCs w:val="22"/>
          <w:lang w:eastAsia="en-US"/>
        </w:rPr>
        <w:t xml:space="preserve">change and workforce planning.  </w:t>
      </w:r>
      <w:r w:rsidR="005425C2">
        <w:rPr>
          <w:rFonts w:eastAsia="Calibri"/>
          <w:b w:val="0"/>
          <w:sz w:val="20"/>
          <w:szCs w:val="22"/>
          <w:lang w:eastAsia="en-US"/>
        </w:rPr>
        <w:t xml:space="preserve">Key to the position is understanding people centric approaches that will support and enable our people to achieve the </w:t>
      </w:r>
      <w:r w:rsidR="0092508D">
        <w:rPr>
          <w:rFonts w:eastAsia="Calibri"/>
          <w:b w:val="0"/>
          <w:sz w:val="20"/>
          <w:szCs w:val="22"/>
          <w:lang w:eastAsia="en-US"/>
        </w:rPr>
        <w:t xml:space="preserve">Ministry’s </w:t>
      </w:r>
      <w:r w:rsidR="005425C2">
        <w:rPr>
          <w:rFonts w:eastAsia="Calibri"/>
          <w:b w:val="0"/>
          <w:sz w:val="20"/>
          <w:szCs w:val="22"/>
          <w:lang w:eastAsia="en-US"/>
        </w:rPr>
        <w:t xml:space="preserve">strategic outcomes. </w:t>
      </w:r>
      <w:r w:rsidRPr="009B5DE5">
        <w:rPr>
          <w:rFonts w:eastAsia="Calibri"/>
          <w:b w:val="0"/>
          <w:sz w:val="20"/>
          <w:szCs w:val="22"/>
          <w:lang w:eastAsia="en-US"/>
        </w:rPr>
        <w:t xml:space="preserve">The </w:t>
      </w:r>
      <w:r w:rsidR="008B5857">
        <w:rPr>
          <w:rFonts w:eastAsia="Calibri"/>
          <w:b w:val="0"/>
          <w:sz w:val="20"/>
          <w:szCs w:val="22"/>
          <w:lang w:eastAsia="en-US"/>
        </w:rPr>
        <w:t xml:space="preserve">Senior HR Advisor </w:t>
      </w:r>
      <w:r w:rsidR="005425C2">
        <w:rPr>
          <w:rFonts w:eastAsia="Calibri"/>
          <w:b w:val="0"/>
          <w:sz w:val="20"/>
          <w:szCs w:val="22"/>
          <w:lang w:eastAsia="en-US"/>
        </w:rPr>
        <w:t>is a strong communicator who can build relationships with stakeholders</w:t>
      </w:r>
      <w:r w:rsidR="004E2E5B">
        <w:rPr>
          <w:rFonts w:eastAsia="Calibri"/>
          <w:b w:val="0"/>
          <w:sz w:val="20"/>
          <w:szCs w:val="22"/>
          <w:lang w:eastAsia="en-US"/>
        </w:rPr>
        <w:t xml:space="preserve"> and provide pragmatic, timely advice.</w:t>
      </w:r>
      <w:r w:rsidR="005425C2">
        <w:rPr>
          <w:rFonts w:eastAsia="Calibri"/>
          <w:b w:val="0"/>
          <w:sz w:val="20"/>
          <w:szCs w:val="22"/>
          <w:lang w:eastAsia="en-US"/>
        </w:rPr>
        <w:t xml:space="preserve"> </w:t>
      </w:r>
    </w:p>
    <w:p w14:paraId="2EC18287" w14:textId="6CB0CB31" w:rsidR="0080061F" w:rsidRPr="00A70B36" w:rsidRDefault="0080061F" w:rsidP="0080061F">
      <w:pPr>
        <w:pStyle w:val="Heading3"/>
      </w:pPr>
      <w:r w:rsidRPr="00A70B36">
        <w:t>Location</w:t>
      </w:r>
    </w:p>
    <w:p w14:paraId="50B953AD" w14:textId="0ECA03E8" w:rsidR="0080061F" w:rsidRDefault="009B5DE5" w:rsidP="0080061F">
      <w:r>
        <w:t>National Office, Wellington</w:t>
      </w:r>
      <w:r w:rsidR="00FC4D90">
        <w:t xml:space="preserve"> (preferred)</w:t>
      </w:r>
    </w:p>
    <w:p w14:paraId="70CBFD7E" w14:textId="77777777" w:rsidR="0080061F" w:rsidRDefault="0080061F" w:rsidP="0080061F">
      <w:pPr>
        <w:pStyle w:val="Heading3"/>
      </w:pPr>
      <w:r>
        <w:t>Reports to</w:t>
      </w:r>
    </w:p>
    <w:p w14:paraId="3BD35AB1" w14:textId="6BF441AF" w:rsidR="0080061F" w:rsidRDefault="009B5DE5" w:rsidP="0080061F">
      <w:pPr>
        <w:spacing w:after="0" w:line="240" w:lineRule="auto"/>
      </w:pPr>
      <w:r>
        <w:t xml:space="preserve">Director </w:t>
      </w:r>
      <w:r w:rsidR="005425C2">
        <w:t xml:space="preserve">Workforce Strategy and Organisational Design/Te </w:t>
      </w:r>
      <w:proofErr w:type="spellStart"/>
      <w:r w:rsidR="005425C2">
        <w:t>Pae</w:t>
      </w:r>
      <w:proofErr w:type="spellEnd"/>
      <w:r w:rsidR="005425C2">
        <w:t xml:space="preserve"> </w:t>
      </w:r>
      <w:proofErr w:type="spellStart"/>
      <w:r w:rsidR="005425C2">
        <w:t>Tawhiti</w:t>
      </w:r>
      <w:proofErr w:type="spellEnd"/>
      <w:r w:rsidR="005425C2">
        <w:t xml:space="preserve"> </w:t>
      </w:r>
      <w:r w:rsidR="004141D3">
        <w:t xml:space="preserve">People, </w:t>
      </w:r>
      <w:r w:rsidR="005425C2">
        <w:t xml:space="preserve">Workforce </w:t>
      </w:r>
      <w:r w:rsidR="004141D3">
        <w:t>and Workplace w</w:t>
      </w:r>
      <w:r w:rsidR="005425C2">
        <w:t>orkstream Lead</w:t>
      </w:r>
    </w:p>
    <w:p w14:paraId="364B1823" w14:textId="20343787" w:rsidR="0080061F" w:rsidRDefault="0080061F" w:rsidP="0055724C">
      <w:pPr>
        <w:pStyle w:val="Heading2"/>
        <w:spacing w:before="360"/>
      </w:pPr>
      <w:r w:rsidRPr="00776B90">
        <w:t>Key</w:t>
      </w:r>
      <w:r>
        <w:t xml:space="preserve"> </w:t>
      </w:r>
      <w:r w:rsidRPr="00B27E44">
        <w:t>responsibilities</w:t>
      </w:r>
    </w:p>
    <w:p w14:paraId="1966DC9E" w14:textId="2E4C2D1F" w:rsidR="009B5DE5" w:rsidRPr="00896E10" w:rsidRDefault="005425C2" w:rsidP="009B5DE5">
      <w:pPr>
        <w:pStyle w:val="BodyText3"/>
        <w:spacing w:before="120"/>
        <w:rPr>
          <w:rFonts w:eastAsia="Times New Roman"/>
          <w:b/>
          <w:sz w:val="24"/>
          <w:szCs w:val="20"/>
          <w:lang w:eastAsia="en-GB"/>
        </w:rPr>
      </w:pPr>
      <w:r>
        <w:rPr>
          <w:rFonts w:eastAsia="Times New Roman"/>
          <w:b/>
          <w:sz w:val="24"/>
          <w:szCs w:val="20"/>
          <w:lang w:eastAsia="en-GB"/>
        </w:rPr>
        <w:t>Workforce</w:t>
      </w:r>
      <w:r w:rsidR="009B5DE5" w:rsidRPr="00896E10">
        <w:rPr>
          <w:rFonts w:eastAsia="Times New Roman"/>
          <w:b/>
          <w:sz w:val="24"/>
          <w:szCs w:val="20"/>
          <w:lang w:eastAsia="en-GB"/>
        </w:rPr>
        <w:t xml:space="preserve"> </w:t>
      </w:r>
      <w:r w:rsidR="0030348A" w:rsidRPr="00896E10">
        <w:rPr>
          <w:rFonts w:eastAsia="Times New Roman"/>
          <w:b/>
          <w:sz w:val="24"/>
          <w:szCs w:val="20"/>
          <w:lang w:eastAsia="en-GB"/>
        </w:rPr>
        <w:t xml:space="preserve">Strategy </w:t>
      </w:r>
      <w:r w:rsidR="00896E10" w:rsidRPr="00896E10">
        <w:rPr>
          <w:rFonts w:eastAsia="Times New Roman"/>
          <w:b/>
          <w:sz w:val="24"/>
          <w:szCs w:val="20"/>
          <w:lang w:eastAsia="en-GB"/>
        </w:rPr>
        <w:t>and</w:t>
      </w:r>
      <w:r w:rsidR="0030348A" w:rsidRPr="00896E10">
        <w:rPr>
          <w:rFonts w:eastAsia="Times New Roman"/>
          <w:b/>
          <w:sz w:val="24"/>
          <w:szCs w:val="20"/>
          <w:lang w:eastAsia="en-GB"/>
        </w:rPr>
        <w:t xml:space="preserve"> </w:t>
      </w:r>
      <w:r w:rsidR="009B5DE5" w:rsidRPr="00896E10">
        <w:rPr>
          <w:rFonts w:eastAsia="Times New Roman"/>
          <w:b/>
          <w:sz w:val="24"/>
          <w:szCs w:val="20"/>
          <w:lang w:eastAsia="en-GB"/>
        </w:rPr>
        <w:t>Delivery</w:t>
      </w:r>
      <w:r w:rsidR="0030348A" w:rsidRPr="00896E10">
        <w:rPr>
          <w:rFonts w:eastAsia="Times New Roman"/>
          <w:b/>
          <w:sz w:val="24"/>
          <w:szCs w:val="20"/>
          <w:lang w:eastAsia="en-GB"/>
        </w:rPr>
        <w:t xml:space="preserve"> Support</w:t>
      </w:r>
    </w:p>
    <w:p w14:paraId="1A2A6933" w14:textId="7800478F" w:rsidR="009B5DE5" w:rsidRPr="00896E10" w:rsidRDefault="009B5DE5" w:rsidP="009B5DE5">
      <w:pPr>
        <w:pStyle w:val="Bullet1"/>
        <w:numPr>
          <w:ilvl w:val="0"/>
          <w:numId w:val="2"/>
        </w:numPr>
        <w:tabs>
          <w:tab w:val="clear" w:pos="454"/>
        </w:tabs>
        <w:spacing w:before="60" w:after="60"/>
      </w:pPr>
      <w:bookmarkStart w:id="1" w:name="_Hlk95824146"/>
      <w:r w:rsidRPr="00896E10">
        <w:t xml:space="preserve">Work </w:t>
      </w:r>
      <w:r w:rsidR="00EE3034" w:rsidRPr="00896E10">
        <w:t xml:space="preserve">with </w:t>
      </w:r>
      <w:r w:rsidR="00EE3034">
        <w:t>the</w:t>
      </w:r>
      <w:r w:rsidR="007101D5">
        <w:t xml:space="preserve"> </w:t>
      </w:r>
      <w:r w:rsidR="00B4283F">
        <w:t xml:space="preserve">People, </w:t>
      </w:r>
      <w:r w:rsidR="007101D5">
        <w:t xml:space="preserve">Workforce </w:t>
      </w:r>
      <w:r w:rsidR="004141D3">
        <w:t xml:space="preserve">and Workplace </w:t>
      </w:r>
      <w:r w:rsidR="007101D5">
        <w:t>Workstream team</w:t>
      </w:r>
      <w:r w:rsidR="005D3A00" w:rsidRPr="00896E10">
        <w:t xml:space="preserve"> </w:t>
      </w:r>
      <w:r w:rsidRPr="00896E10">
        <w:t xml:space="preserve">to </w:t>
      </w:r>
      <w:bookmarkEnd w:id="1"/>
      <w:r w:rsidR="007101D5">
        <w:t xml:space="preserve">develop and iterate the Te </w:t>
      </w:r>
      <w:proofErr w:type="spellStart"/>
      <w:r w:rsidR="007101D5">
        <w:t>Pae</w:t>
      </w:r>
      <w:proofErr w:type="spellEnd"/>
      <w:r w:rsidR="007101D5">
        <w:t xml:space="preserve"> </w:t>
      </w:r>
      <w:proofErr w:type="spellStart"/>
      <w:r w:rsidR="007101D5">
        <w:t>Tawhiti</w:t>
      </w:r>
      <w:proofErr w:type="spellEnd"/>
      <w:r w:rsidR="007101D5">
        <w:t xml:space="preserve"> Workforce Strategy</w:t>
      </w:r>
      <w:r w:rsidR="004141D3">
        <w:t>, Our People Approach</w:t>
      </w:r>
      <w:r w:rsidR="007101D5">
        <w:t xml:space="preserve">, including the facilitation of workshops, consolidation of feedback and validation of outputs.  </w:t>
      </w:r>
    </w:p>
    <w:p w14:paraId="6B27B056" w14:textId="56CD8133" w:rsidR="006D1E1B" w:rsidRDefault="006D1E1B" w:rsidP="006D1E1B">
      <w:pPr>
        <w:pStyle w:val="ListBullet"/>
      </w:pPr>
      <w:r>
        <w:t>Work closely with the transformation workstreams to develop a deep understanding of the business operating context</w:t>
      </w:r>
      <w:r w:rsidR="004141D3">
        <w:t>, the shifts for our workforce in the future</w:t>
      </w:r>
      <w:r>
        <w:t xml:space="preserve"> </w:t>
      </w:r>
      <w:proofErr w:type="spellStart"/>
      <w:r>
        <w:t>andneeds</w:t>
      </w:r>
      <w:proofErr w:type="spellEnd"/>
      <w:r>
        <w:t>/challenges</w:t>
      </w:r>
      <w:r w:rsidR="004141D3">
        <w:t xml:space="preserve"> for our </w:t>
      </w:r>
      <w:proofErr w:type="gramStart"/>
      <w:r w:rsidR="004141D3">
        <w:t>people</w:t>
      </w:r>
      <w:proofErr w:type="gramEnd"/>
    </w:p>
    <w:p w14:paraId="4861C252" w14:textId="3A63D6EE" w:rsidR="005D0E4C" w:rsidRDefault="005D0E4C" w:rsidP="005D0E4C">
      <w:pPr>
        <w:pStyle w:val="ListBullet"/>
      </w:pPr>
      <w:r>
        <w:t xml:space="preserve">Develop strong working relationships across the Te </w:t>
      </w:r>
      <w:proofErr w:type="spellStart"/>
      <w:r>
        <w:t>Pae</w:t>
      </w:r>
      <w:proofErr w:type="spellEnd"/>
      <w:r>
        <w:t xml:space="preserve"> </w:t>
      </w:r>
      <w:proofErr w:type="spellStart"/>
      <w:r>
        <w:t>Tawhiti</w:t>
      </w:r>
      <w:proofErr w:type="spellEnd"/>
      <w:r>
        <w:t xml:space="preserve"> programme and wider people group.</w:t>
      </w:r>
    </w:p>
    <w:p w14:paraId="3B8AD082" w14:textId="1F2C89F6" w:rsidR="005C7313" w:rsidRPr="0040192A" w:rsidRDefault="005C7313" w:rsidP="005C7313">
      <w:pPr>
        <w:pStyle w:val="ListBullet"/>
      </w:pPr>
      <w:r w:rsidRPr="0040192A">
        <w:lastRenderedPageBreak/>
        <w:t xml:space="preserve">Role model the Ministry’s values, the Code of Conduct and demonstrate a collaborative and supportive approach to </w:t>
      </w:r>
      <w:r>
        <w:t xml:space="preserve">People Group and Te </w:t>
      </w:r>
      <w:proofErr w:type="spellStart"/>
      <w:r>
        <w:t>Pae</w:t>
      </w:r>
      <w:proofErr w:type="spellEnd"/>
      <w:r>
        <w:t xml:space="preserve"> </w:t>
      </w:r>
      <w:proofErr w:type="spellStart"/>
      <w:r>
        <w:t>Tawhiti</w:t>
      </w:r>
      <w:proofErr w:type="spellEnd"/>
      <w:r>
        <w:t xml:space="preserve"> </w:t>
      </w:r>
      <w:r w:rsidRPr="0040192A">
        <w:t xml:space="preserve">team members.   </w:t>
      </w:r>
    </w:p>
    <w:p w14:paraId="6D91353E" w14:textId="48457B54" w:rsidR="0030348A" w:rsidRDefault="0030348A" w:rsidP="0030348A">
      <w:pPr>
        <w:pStyle w:val="Bullet1"/>
        <w:numPr>
          <w:ilvl w:val="0"/>
          <w:numId w:val="2"/>
        </w:numPr>
        <w:tabs>
          <w:tab w:val="clear" w:pos="454"/>
        </w:tabs>
        <w:spacing w:before="60" w:after="60"/>
      </w:pPr>
      <w:r w:rsidRPr="00896E10">
        <w:t xml:space="preserve">Undertake best practice research to support particular projects or </w:t>
      </w:r>
      <w:proofErr w:type="spellStart"/>
      <w:r w:rsidRPr="00896E10">
        <w:t>programmes</w:t>
      </w:r>
      <w:proofErr w:type="spellEnd"/>
      <w:r w:rsidRPr="00896E10">
        <w:t xml:space="preserve"> within the </w:t>
      </w:r>
      <w:proofErr w:type="gramStart"/>
      <w:r w:rsidRPr="00896E10">
        <w:t>team</w:t>
      </w:r>
      <w:proofErr w:type="gramEnd"/>
    </w:p>
    <w:p w14:paraId="1C4CC1B2" w14:textId="343F6C26" w:rsidR="007A047E" w:rsidRPr="00896E10" w:rsidDel="0053354E" w:rsidRDefault="007A047E" w:rsidP="0030348A">
      <w:pPr>
        <w:pStyle w:val="Bullet1"/>
        <w:numPr>
          <w:ilvl w:val="0"/>
          <w:numId w:val="2"/>
        </w:numPr>
        <w:tabs>
          <w:tab w:val="clear" w:pos="454"/>
        </w:tabs>
        <w:spacing w:before="60" w:after="60"/>
      </w:pPr>
      <w:r>
        <w:t xml:space="preserve">Understanding key HR metrics relevant to transformation outcomes. </w:t>
      </w:r>
    </w:p>
    <w:p w14:paraId="25882DC2" w14:textId="0C52BB06" w:rsidR="003C04EE" w:rsidRDefault="003C04EE" w:rsidP="003C04EE">
      <w:pPr>
        <w:pStyle w:val="BodyText3"/>
        <w:spacing w:before="120"/>
        <w:rPr>
          <w:rFonts w:eastAsia="Times New Roman"/>
          <w:b/>
          <w:sz w:val="24"/>
          <w:szCs w:val="20"/>
          <w:lang w:eastAsia="en-GB"/>
        </w:rPr>
      </w:pPr>
      <w:r>
        <w:rPr>
          <w:rFonts w:eastAsia="Times New Roman"/>
          <w:b/>
          <w:sz w:val="24"/>
          <w:szCs w:val="20"/>
          <w:lang w:eastAsia="en-GB"/>
        </w:rPr>
        <w:t xml:space="preserve">Change Management </w:t>
      </w:r>
    </w:p>
    <w:p w14:paraId="40A98A9D" w14:textId="7C650056" w:rsidR="005C7313" w:rsidRPr="00896E10" w:rsidRDefault="005C7313" w:rsidP="005C7313">
      <w:pPr>
        <w:pStyle w:val="Bullet1"/>
        <w:numPr>
          <w:ilvl w:val="0"/>
          <w:numId w:val="2"/>
        </w:numPr>
        <w:tabs>
          <w:tab w:val="clear" w:pos="454"/>
        </w:tabs>
        <w:spacing w:before="60" w:after="60"/>
      </w:pPr>
      <w:r w:rsidRPr="00896E10">
        <w:t>Support Principal HR</w:t>
      </w:r>
      <w:r>
        <w:t xml:space="preserve"> Advisors</w:t>
      </w:r>
      <w:r w:rsidRPr="00896E10">
        <w:t xml:space="preserve"> with the </w:t>
      </w:r>
      <w:r w:rsidR="007A047E">
        <w:t xml:space="preserve">design and </w:t>
      </w:r>
      <w:r w:rsidRPr="00896E10">
        <w:t xml:space="preserve">development of </w:t>
      </w:r>
      <w:r w:rsidR="004141D3">
        <w:t xml:space="preserve">structural change and </w:t>
      </w:r>
      <w:r w:rsidRPr="00896E10">
        <w:t xml:space="preserve">workforce </w:t>
      </w:r>
      <w:r>
        <w:t>transition plans that enable and support our people through the different phases of transformation.</w:t>
      </w:r>
    </w:p>
    <w:p w14:paraId="23B889CF" w14:textId="6AC1E498" w:rsidR="00424602" w:rsidRPr="00896E10" w:rsidRDefault="00424602" w:rsidP="003C04EE">
      <w:pPr>
        <w:pStyle w:val="Bullet1"/>
        <w:numPr>
          <w:ilvl w:val="0"/>
          <w:numId w:val="2"/>
        </w:numPr>
        <w:tabs>
          <w:tab w:val="clear" w:pos="454"/>
        </w:tabs>
        <w:spacing w:before="60" w:after="60"/>
      </w:pPr>
      <w:r w:rsidRPr="00896E10">
        <w:t>Support</w:t>
      </w:r>
      <w:r w:rsidR="00DB06D7" w:rsidRPr="00896E10">
        <w:t xml:space="preserve"> </w:t>
      </w:r>
      <w:r w:rsidR="003C04EE" w:rsidRPr="00896E10">
        <w:t>change management processes</w:t>
      </w:r>
      <w:r w:rsidR="00DB06D7" w:rsidRPr="00896E10">
        <w:t xml:space="preserve"> across</w:t>
      </w:r>
      <w:r w:rsidR="005C7313">
        <w:t xml:space="preserve"> Te </w:t>
      </w:r>
      <w:proofErr w:type="spellStart"/>
      <w:r w:rsidR="005C7313">
        <w:t>Pae</w:t>
      </w:r>
      <w:proofErr w:type="spellEnd"/>
      <w:r w:rsidR="005C7313">
        <w:t xml:space="preserve"> </w:t>
      </w:r>
      <w:proofErr w:type="spellStart"/>
      <w:r w:rsidR="005C7313">
        <w:t>Tawhiti</w:t>
      </w:r>
      <w:proofErr w:type="spellEnd"/>
      <w:r w:rsidR="003C04EE" w:rsidRPr="00896E10">
        <w:t>.</w:t>
      </w:r>
      <w:r w:rsidR="00DB06D7" w:rsidRPr="00896E10">
        <w:t xml:space="preserve"> This includes providing advice and support to managers on</w:t>
      </w:r>
      <w:r w:rsidRPr="00896E10">
        <w:t xml:space="preserve"> </w:t>
      </w:r>
      <w:r w:rsidR="00DB06D7" w:rsidRPr="00896E10">
        <w:t xml:space="preserve">change planning, consultation, job </w:t>
      </w:r>
      <w:r w:rsidRPr="00896E10">
        <w:t>matching and implementation</w:t>
      </w:r>
      <w:r w:rsidR="0092508D">
        <w:t>,</w:t>
      </w:r>
      <w:r w:rsidRPr="00896E10">
        <w:t xml:space="preserve"> including HR system and payroll activities. </w:t>
      </w:r>
    </w:p>
    <w:p w14:paraId="0B80F221" w14:textId="30CDDA7F" w:rsidR="00424602" w:rsidRPr="00896E10" w:rsidRDefault="00424602" w:rsidP="003C04EE">
      <w:pPr>
        <w:pStyle w:val="Bullet1"/>
        <w:numPr>
          <w:ilvl w:val="0"/>
          <w:numId w:val="2"/>
        </w:numPr>
        <w:tabs>
          <w:tab w:val="clear" w:pos="454"/>
        </w:tabs>
        <w:spacing w:before="60" w:after="60"/>
      </w:pPr>
      <w:r w:rsidRPr="00896E10">
        <w:t xml:space="preserve">Ensure all change is completed in an effective and timely manner, with all employment and policy requirements met to required standards. </w:t>
      </w:r>
    </w:p>
    <w:p w14:paraId="3246F0B7" w14:textId="1EF92F1E" w:rsidR="009B5DE5" w:rsidRPr="009B5DE5" w:rsidRDefault="009B5DE5" w:rsidP="009B5DE5">
      <w:pPr>
        <w:pStyle w:val="BodyText3"/>
        <w:spacing w:before="120"/>
        <w:rPr>
          <w:rFonts w:eastAsia="Times New Roman"/>
          <w:b/>
          <w:sz w:val="24"/>
          <w:szCs w:val="20"/>
          <w:lang w:eastAsia="en-GB"/>
        </w:rPr>
      </w:pPr>
      <w:r w:rsidRPr="009B5DE5">
        <w:rPr>
          <w:rFonts w:eastAsia="Times New Roman"/>
          <w:b/>
          <w:sz w:val="24"/>
          <w:szCs w:val="20"/>
          <w:lang w:eastAsia="en-GB"/>
        </w:rPr>
        <w:t>Organisation Design and Development</w:t>
      </w:r>
    </w:p>
    <w:p w14:paraId="668D6CE0" w14:textId="695CB952" w:rsidR="009B5DE5" w:rsidRPr="00896E10" w:rsidRDefault="00424602" w:rsidP="009B5DE5">
      <w:pPr>
        <w:pStyle w:val="Bullet1"/>
        <w:numPr>
          <w:ilvl w:val="0"/>
          <w:numId w:val="2"/>
        </w:numPr>
        <w:tabs>
          <w:tab w:val="clear" w:pos="454"/>
        </w:tabs>
        <w:spacing w:before="60" w:after="60"/>
      </w:pPr>
      <w:bookmarkStart w:id="2" w:name="_Hlk95824169"/>
      <w:r w:rsidRPr="00896E10">
        <w:t>Support</w:t>
      </w:r>
      <w:r w:rsidR="009B5DE5" w:rsidRPr="00896E10">
        <w:t xml:space="preserve"> the Principal </w:t>
      </w:r>
      <w:r w:rsidR="005C7313" w:rsidRPr="00896E10">
        <w:t>HR</w:t>
      </w:r>
      <w:r w:rsidR="005C7313">
        <w:t xml:space="preserve"> Advisors</w:t>
      </w:r>
      <w:r w:rsidR="005C7313" w:rsidRPr="00896E10">
        <w:t xml:space="preserve"> </w:t>
      </w:r>
      <w:r w:rsidRPr="00896E10">
        <w:t xml:space="preserve">in </w:t>
      </w:r>
      <w:r w:rsidR="005C7313">
        <w:t>organi</w:t>
      </w:r>
      <w:r w:rsidR="0092508D">
        <w:t>s</w:t>
      </w:r>
      <w:r w:rsidR="005C7313">
        <w:t>ation/role</w:t>
      </w:r>
      <w:r w:rsidR="00C57F6C" w:rsidRPr="00896E10">
        <w:t xml:space="preserve"> design </w:t>
      </w:r>
      <w:r w:rsidR="009B5DE5" w:rsidRPr="00896E10">
        <w:t xml:space="preserve">and </w:t>
      </w:r>
      <w:r w:rsidR="0092508D">
        <w:t>workforce</w:t>
      </w:r>
      <w:r w:rsidR="0092508D" w:rsidRPr="00896E10">
        <w:t xml:space="preserve"> </w:t>
      </w:r>
      <w:r w:rsidR="009B5DE5" w:rsidRPr="00896E10">
        <w:t>plan</w:t>
      </w:r>
      <w:r w:rsidR="00C57F6C" w:rsidRPr="00896E10">
        <w:t>ning</w:t>
      </w:r>
      <w:r w:rsidR="009B5DE5" w:rsidRPr="00896E10">
        <w:t xml:space="preserve"> </w:t>
      </w:r>
      <w:r w:rsidR="0092508D">
        <w:t>to</w:t>
      </w:r>
      <w:r w:rsidR="0092508D" w:rsidRPr="00896E10">
        <w:t xml:space="preserve"> </w:t>
      </w:r>
      <w:r w:rsidR="009B5DE5" w:rsidRPr="00896E10">
        <w:t xml:space="preserve">meet current and future requirements of the </w:t>
      </w:r>
      <w:r w:rsidR="005C7313">
        <w:t>organi</w:t>
      </w:r>
      <w:r w:rsidR="0092508D">
        <w:t>s</w:t>
      </w:r>
      <w:r w:rsidR="005C7313">
        <w:t>ation.</w:t>
      </w:r>
    </w:p>
    <w:p w14:paraId="00E9FD93" w14:textId="76AC1AD7" w:rsidR="009B5DE5" w:rsidRDefault="009B5DE5" w:rsidP="009B5DE5">
      <w:pPr>
        <w:pStyle w:val="Bullet1"/>
        <w:numPr>
          <w:ilvl w:val="0"/>
          <w:numId w:val="2"/>
        </w:numPr>
        <w:tabs>
          <w:tab w:val="clear" w:pos="454"/>
        </w:tabs>
        <w:spacing w:before="60" w:after="60"/>
      </w:pPr>
      <w:r w:rsidRPr="00896E10">
        <w:t xml:space="preserve">Support the </w:t>
      </w:r>
      <w:r w:rsidR="005D3A00" w:rsidRPr="00896E10">
        <w:t>Principal HR</w:t>
      </w:r>
      <w:r w:rsidR="005C7313">
        <w:t xml:space="preserve"> Advisors</w:t>
      </w:r>
      <w:r w:rsidR="005D3A00" w:rsidRPr="00896E10">
        <w:t xml:space="preserve"> with the </w:t>
      </w:r>
      <w:r w:rsidRPr="00896E10">
        <w:t xml:space="preserve">implementation of appropriate talent and resourcing strategies to deliver the right </w:t>
      </w:r>
      <w:bookmarkEnd w:id="2"/>
      <w:r w:rsidRPr="00896E10">
        <w:t>people</w:t>
      </w:r>
      <w:r w:rsidR="0092508D">
        <w:t>,</w:t>
      </w:r>
      <w:r w:rsidRPr="00896E10">
        <w:t xml:space="preserve"> in the right place</w:t>
      </w:r>
      <w:r w:rsidR="0092508D">
        <w:t>,</w:t>
      </w:r>
      <w:r w:rsidRPr="00896E10">
        <w:t xml:space="preserve"> at the right time with the right skills, </w:t>
      </w:r>
      <w:r w:rsidR="005C7313">
        <w:t>capabilities</w:t>
      </w:r>
      <w:r w:rsidR="005C7313" w:rsidRPr="00896E10">
        <w:t xml:space="preserve"> </w:t>
      </w:r>
      <w:r w:rsidRPr="00896E10">
        <w:t xml:space="preserve">and </w:t>
      </w:r>
      <w:proofErr w:type="spellStart"/>
      <w:r w:rsidRPr="00896E10">
        <w:t>behaviours</w:t>
      </w:r>
      <w:proofErr w:type="spellEnd"/>
      <w:r w:rsidRPr="00896E10">
        <w:t>.</w:t>
      </w:r>
    </w:p>
    <w:p w14:paraId="69792FED" w14:textId="23AD53CF" w:rsidR="005C7313" w:rsidRPr="00EC17BB" w:rsidRDefault="00002CC2" w:rsidP="005C7313">
      <w:pPr>
        <w:pStyle w:val="ListBullet"/>
        <w:rPr>
          <w:rFonts w:eastAsia="Times New Roman"/>
          <w:lang w:eastAsia="en-GB"/>
        </w:rPr>
      </w:pPr>
      <w:r>
        <w:t>G</w:t>
      </w:r>
      <w:r w:rsidR="005C7313" w:rsidRPr="00957989">
        <w:t>athering, analys</w:t>
      </w:r>
      <w:r>
        <w:t>e</w:t>
      </w:r>
      <w:r w:rsidR="005C7313" w:rsidRPr="00957989">
        <w:t xml:space="preserve"> and </w:t>
      </w:r>
      <w:proofErr w:type="spellStart"/>
      <w:r w:rsidR="005C7313" w:rsidRPr="00957989">
        <w:t>presentn</w:t>
      </w:r>
      <w:proofErr w:type="spellEnd"/>
      <w:r w:rsidR="005C7313">
        <w:t xml:space="preserve"> </w:t>
      </w:r>
      <w:r w:rsidR="005C7313" w:rsidRPr="00957989">
        <w:t xml:space="preserve">information </w:t>
      </w:r>
      <w:r w:rsidR="005C7313">
        <w:t>to inform organisation design decisions</w:t>
      </w:r>
      <w:r w:rsidR="0092508D">
        <w:t xml:space="preserve"> and workforce activities</w:t>
      </w:r>
      <w:r w:rsidR="005C7313" w:rsidRPr="00957989">
        <w:t>.</w:t>
      </w:r>
    </w:p>
    <w:p w14:paraId="7EB26AA4" w14:textId="77777777" w:rsidR="001A3C41" w:rsidRDefault="004B66D9" w:rsidP="001A3C41">
      <w:pPr>
        <w:pStyle w:val="Bullet1"/>
        <w:numPr>
          <w:ilvl w:val="0"/>
          <w:numId w:val="2"/>
        </w:numPr>
        <w:tabs>
          <w:tab w:val="clear" w:pos="454"/>
        </w:tabs>
        <w:spacing w:before="60" w:after="60"/>
      </w:pPr>
      <w:r w:rsidRPr="00896E10">
        <w:t xml:space="preserve">Participate in the development and implementation of HR policies, practices, </w:t>
      </w:r>
      <w:proofErr w:type="gramStart"/>
      <w:r w:rsidRPr="00896E10">
        <w:t>information</w:t>
      </w:r>
      <w:proofErr w:type="gramEnd"/>
      <w:r w:rsidRPr="00896E10">
        <w:t xml:space="preserve"> and tools to support the achievement of MSD’s organi</w:t>
      </w:r>
      <w:r w:rsidR="00FA3A08" w:rsidRPr="00896E10">
        <w:t>s</w:t>
      </w:r>
      <w:r w:rsidRPr="00896E10">
        <w:t xml:space="preserve">ational objectives. </w:t>
      </w:r>
    </w:p>
    <w:p w14:paraId="7C30522A" w14:textId="4B74FA6D" w:rsidR="004141D3" w:rsidRDefault="004141D3" w:rsidP="009B5DE5">
      <w:pPr>
        <w:pStyle w:val="Bullet1"/>
        <w:numPr>
          <w:ilvl w:val="0"/>
          <w:numId w:val="2"/>
        </w:numPr>
        <w:tabs>
          <w:tab w:val="clear" w:pos="454"/>
        </w:tabs>
        <w:spacing w:before="60" w:after="60"/>
      </w:pPr>
      <w:r w:rsidRPr="001A3C41">
        <w:rPr>
          <w:b/>
          <w:sz w:val="24"/>
          <w:lang w:eastAsia="en-GB"/>
        </w:rPr>
        <w:t xml:space="preserve">Workforce Planning </w:t>
      </w:r>
      <w:r w:rsidR="00002CC2">
        <w:t>Build a strong understanding of our current workforce structures, positions and capabilities and work closely with the workstreams to understand future needs.</w:t>
      </w:r>
    </w:p>
    <w:p w14:paraId="68016201" w14:textId="6AF47B7A" w:rsidR="00002CC2" w:rsidRPr="00002CC2" w:rsidRDefault="00002CC2" w:rsidP="00002CC2">
      <w:pPr>
        <w:pStyle w:val="ListBullet"/>
        <w:rPr>
          <w:lang w:val="en-NZ" w:eastAsia="en-NZ"/>
        </w:rPr>
      </w:pPr>
      <w:r>
        <w:rPr>
          <w:lang w:val="en-NZ" w:eastAsia="en-NZ"/>
        </w:rPr>
        <w:t>Support the f</w:t>
      </w:r>
      <w:r w:rsidRPr="00002CC2">
        <w:rPr>
          <w:lang w:val="en-NZ" w:eastAsia="en-NZ"/>
        </w:rPr>
        <w:t>orecast</w:t>
      </w:r>
      <w:r>
        <w:rPr>
          <w:lang w:val="en-NZ" w:eastAsia="en-NZ"/>
        </w:rPr>
        <w:t>ing</w:t>
      </w:r>
      <w:r w:rsidRPr="00002CC2">
        <w:rPr>
          <w:lang w:val="en-NZ" w:eastAsia="en-NZ"/>
        </w:rPr>
        <w:t xml:space="preserve"> </w:t>
      </w:r>
      <w:r>
        <w:rPr>
          <w:lang w:val="en-NZ" w:eastAsia="en-NZ"/>
        </w:rPr>
        <w:t xml:space="preserve">of </w:t>
      </w:r>
      <w:r w:rsidRPr="00002CC2">
        <w:rPr>
          <w:lang w:val="en-NZ" w:eastAsia="en-NZ"/>
        </w:rPr>
        <w:t>workforce demand and supply to ensure the right people are in the right roles at the right time</w:t>
      </w:r>
      <w:r>
        <w:rPr>
          <w:lang w:val="en-NZ" w:eastAsia="en-NZ"/>
        </w:rPr>
        <w:t xml:space="preserve"> in the future. </w:t>
      </w:r>
    </w:p>
    <w:p w14:paraId="35C41200" w14:textId="2B399B38" w:rsidR="00002CC2" w:rsidRPr="00002CC2" w:rsidRDefault="00002CC2" w:rsidP="00002CC2">
      <w:pPr>
        <w:pStyle w:val="ListBullet"/>
        <w:rPr>
          <w:lang w:val="en-NZ" w:eastAsia="en-NZ"/>
        </w:rPr>
      </w:pPr>
      <w:r w:rsidRPr="00002CC2">
        <w:rPr>
          <w:lang w:val="en-NZ" w:eastAsia="en-NZ"/>
        </w:rPr>
        <w:t>Utili</w:t>
      </w:r>
      <w:r>
        <w:rPr>
          <w:lang w:val="en-NZ" w:eastAsia="en-NZ"/>
        </w:rPr>
        <w:t>s</w:t>
      </w:r>
      <w:r w:rsidRPr="00002CC2">
        <w:rPr>
          <w:lang w:val="en-NZ" w:eastAsia="en-NZ"/>
        </w:rPr>
        <w:t xml:space="preserve">e data and analytics to inform workforce planning </w:t>
      </w:r>
      <w:r>
        <w:rPr>
          <w:lang w:val="en-NZ" w:eastAsia="en-NZ"/>
        </w:rPr>
        <w:t xml:space="preserve">and change </w:t>
      </w:r>
      <w:r w:rsidRPr="00002CC2">
        <w:rPr>
          <w:lang w:val="en-NZ" w:eastAsia="en-NZ"/>
        </w:rPr>
        <w:t>decisions.</w:t>
      </w:r>
    </w:p>
    <w:p w14:paraId="57923E00" w14:textId="42EF7EE5" w:rsidR="00002CC2" w:rsidRDefault="00002CC2" w:rsidP="009B5DE5">
      <w:pPr>
        <w:pStyle w:val="Bullet1"/>
        <w:numPr>
          <w:ilvl w:val="0"/>
          <w:numId w:val="2"/>
        </w:numPr>
        <w:tabs>
          <w:tab w:val="clear" w:pos="454"/>
        </w:tabs>
        <w:spacing w:before="60" w:after="60"/>
      </w:pPr>
      <w:r>
        <w:t xml:space="preserve">Support the tracking of FTE and workforce trends for the Ministry, including supporting processes such as Annual Review, Parliamentary Questions and Official Information Act requests. </w:t>
      </w:r>
    </w:p>
    <w:p w14:paraId="6E8CD00F" w14:textId="5D3CC9F2" w:rsidR="007A047E" w:rsidRPr="00F85A3C" w:rsidRDefault="007A047E" w:rsidP="00F85A3C">
      <w:pPr>
        <w:pStyle w:val="BodyText3"/>
        <w:spacing w:before="120"/>
        <w:rPr>
          <w:b/>
          <w:sz w:val="24"/>
          <w:lang w:eastAsia="en-GB"/>
        </w:rPr>
      </w:pPr>
      <w:r w:rsidRPr="00F85A3C">
        <w:rPr>
          <w:rFonts w:eastAsia="Times New Roman"/>
          <w:b/>
          <w:sz w:val="24"/>
          <w:szCs w:val="20"/>
          <w:lang w:eastAsia="en-GB"/>
        </w:rPr>
        <w:t>HR Project Management</w:t>
      </w:r>
    </w:p>
    <w:p w14:paraId="0946A35A" w14:textId="24C6C1C7" w:rsidR="007A047E" w:rsidRDefault="007A047E" w:rsidP="00F85A3C">
      <w:pPr>
        <w:pStyle w:val="Bullet1"/>
        <w:numPr>
          <w:ilvl w:val="0"/>
          <w:numId w:val="44"/>
        </w:numPr>
        <w:tabs>
          <w:tab w:val="clear" w:pos="454"/>
        </w:tabs>
        <w:spacing w:before="60" w:after="60"/>
      </w:pPr>
      <w:r>
        <w:t xml:space="preserve">Leading and contributing to activities in the People, Workforce and Workplace </w:t>
      </w:r>
      <w:proofErr w:type="gramStart"/>
      <w:r>
        <w:t>workstream</w:t>
      </w:r>
      <w:proofErr w:type="gramEnd"/>
    </w:p>
    <w:p w14:paraId="4B3FF8A1" w14:textId="7A2E9024" w:rsidR="007A047E" w:rsidRDefault="007A047E" w:rsidP="00F85A3C">
      <w:pPr>
        <w:pStyle w:val="Bullet1"/>
        <w:numPr>
          <w:ilvl w:val="0"/>
          <w:numId w:val="44"/>
        </w:numPr>
        <w:tabs>
          <w:tab w:val="clear" w:pos="454"/>
        </w:tabs>
        <w:spacing w:before="60" w:after="60"/>
      </w:pPr>
      <w:r>
        <w:t xml:space="preserve">Monitoring risks, </w:t>
      </w:r>
      <w:proofErr w:type="gramStart"/>
      <w:r>
        <w:t>milestones</w:t>
      </w:r>
      <w:proofErr w:type="gramEnd"/>
      <w:r>
        <w:t xml:space="preserve"> and stakeholder communications.</w:t>
      </w:r>
    </w:p>
    <w:p w14:paraId="7992E10D" w14:textId="03C5D439" w:rsidR="007A047E" w:rsidRDefault="007A047E" w:rsidP="00F85A3C">
      <w:pPr>
        <w:pStyle w:val="Bullet1"/>
        <w:numPr>
          <w:ilvl w:val="0"/>
          <w:numId w:val="44"/>
        </w:numPr>
        <w:tabs>
          <w:tab w:val="clear" w:pos="454"/>
        </w:tabs>
        <w:spacing w:before="60" w:after="60"/>
      </w:pPr>
      <w:r>
        <w:t>Working with cross-functional teams, including technology, service delivery and transformation workstreams</w:t>
      </w:r>
    </w:p>
    <w:p w14:paraId="4AEF863B" w14:textId="77777777" w:rsidR="007A047E" w:rsidRDefault="007A047E" w:rsidP="007A047E">
      <w:pPr>
        <w:pStyle w:val="Bullet1"/>
        <w:numPr>
          <w:ilvl w:val="0"/>
          <w:numId w:val="0"/>
        </w:numPr>
        <w:tabs>
          <w:tab w:val="clear" w:pos="454"/>
        </w:tabs>
        <w:spacing w:before="60" w:after="60"/>
        <w:ind w:left="1146" w:hanging="360"/>
      </w:pPr>
    </w:p>
    <w:p w14:paraId="4AED5350" w14:textId="77777777" w:rsidR="007A047E" w:rsidRPr="00896E10" w:rsidRDefault="007A047E" w:rsidP="00F85A3C">
      <w:pPr>
        <w:pStyle w:val="Bullet1"/>
        <w:numPr>
          <w:ilvl w:val="0"/>
          <w:numId w:val="0"/>
        </w:numPr>
        <w:tabs>
          <w:tab w:val="clear" w:pos="454"/>
        </w:tabs>
        <w:spacing w:before="60" w:after="60"/>
        <w:ind w:left="1146" w:hanging="360"/>
      </w:pPr>
    </w:p>
    <w:p w14:paraId="326C3638" w14:textId="77777777" w:rsidR="00F85A3C" w:rsidRDefault="00F85A3C">
      <w:pPr>
        <w:spacing w:after="0" w:line="240" w:lineRule="auto"/>
        <w:rPr>
          <w:rFonts w:eastAsia="Times New Roman"/>
          <w:b/>
          <w:sz w:val="24"/>
          <w:szCs w:val="20"/>
          <w:lang w:eastAsia="en-GB"/>
        </w:rPr>
      </w:pPr>
      <w:r>
        <w:rPr>
          <w:rFonts w:eastAsia="Times New Roman"/>
          <w:b/>
          <w:sz w:val="24"/>
          <w:szCs w:val="20"/>
          <w:lang w:eastAsia="en-GB"/>
        </w:rPr>
        <w:br w:type="page"/>
      </w:r>
    </w:p>
    <w:p w14:paraId="4C74D920" w14:textId="53E92639" w:rsidR="009B5DE5" w:rsidRPr="009B5DE5" w:rsidRDefault="009B5DE5" w:rsidP="009B5DE5">
      <w:pPr>
        <w:pStyle w:val="BodyText3"/>
        <w:spacing w:before="120"/>
        <w:rPr>
          <w:rFonts w:eastAsia="Times New Roman"/>
          <w:b/>
          <w:sz w:val="24"/>
          <w:szCs w:val="20"/>
          <w:lang w:eastAsia="en-GB"/>
        </w:rPr>
      </w:pPr>
      <w:r w:rsidRPr="009B5DE5">
        <w:rPr>
          <w:rFonts w:eastAsia="Times New Roman"/>
          <w:b/>
          <w:sz w:val="24"/>
          <w:szCs w:val="20"/>
          <w:lang w:eastAsia="en-GB"/>
        </w:rPr>
        <w:lastRenderedPageBreak/>
        <w:t>Risk Management</w:t>
      </w:r>
    </w:p>
    <w:p w14:paraId="39BA86C1" w14:textId="77777777" w:rsidR="009B5DE5" w:rsidRPr="009B5DE5" w:rsidRDefault="009B5DE5" w:rsidP="009B5DE5">
      <w:pPr>
        <w:pStyle w:val="Bullet1"/>
        <w:numPr>
          <w:ilvl w:val="0"/>
          <w:numId w:val="2"/>
        </w:numPr>
        <w:tabs>
          <w:tab w:val="clear" w:pos="454"/>
        </w:tabs>
        <w:spacing w:before="60" w:after="60"/>
      </w:pPr>
      <w:r w:rsidRPr="009B5DE5">
        <w:t>Identify any organisational risks and take action to minimise their impact.</w:t>
      </w:r>
    </w:p>
    <w:p w14:paraId="3C8C5672" w14:textId="4AE7E652" w:rsidR="009B5DE5" w:rsidRPr="009B5DE5" w:rsidRDefault="009B5DE5" w:rsidP="009B5DE5">
      <w:pPr>
        <w:pStyle w:val="Bullet1"/>
        <w:numPr>
          <w:ilvl w:val="0"/>
          <w:numId w:val="2"/>
        </w:numPr>
        <w:tabs>
          <w:tab w:val="clear" w:pos="454"/>
        </w:tabs>
        <w:spacing w:before="60" w:after="60"/>
      </w:pPr>
      <w:r w:rsidRPr="009B5DE5">
        <w:t>Effectively manage risks and establish and maintain a risk management framework.</w:t>
      </w:r>
    </w:p>
    <w:p w14:paraId="68C809B0" w14:textId="72DD3E1D" w:rsidR="0080061F" w:rsidRDefault="0080061F" w:rsidP="009B5DE5">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144F3559" w:rsidR="0080061F" w:rsidRDefault="0080061F" w:rsidP="009B5DE5">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556A2A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896E10">
      <w:pPr>
        <w:pStyle w:val="Bullet1"/>
        <w:numPr>
          <w:ilvl w:val="0"/>
          <w:numId w:val="2"/>
        </w:numPr>
        <w:tabs>
          <w:tab w:val="clear" w:pos="454"/>
        </w:tabs>
        <w:spacing w:before="60" w:after="60"/>
      </w:pPr>
      <w:r w:rsidRPr="00EF2412">
        <w:t>Remain familiar with the relevant provisions of the Emergency Management and Business Continuity Plans that impact your business group/team.</w:t>
      </w:r>
    </w:p>
    <w:p w14:paraId="2BB6AD17" w14:textId="38D84F5B" w:rsidR="0080061F" w:rsidRDefault="0080061F" w:rsidP="00896E10">
      <w:pPr>
        <w:pStyle w:val="Bullet1"/>
        <w:numPr>
          <w:ilvl w:val="0"/>
          <w:numId w:val="2"/>
        </w:numPr>
        <w:tabs>
          <w:tab w:val="clear" w:pos="454"/>
        </w:tabs>
        <w:spacing w:before="60" w:after="60"/>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1D653880" w14:textId="2837A89C" w:rsidR="00FA3A08" w:rsidRPr="00896E10" w:rsidRDefault="001225DF" w:rsidP="00896E10">
      <w:pPr>
        <w:pStyle w:val="Bullet1"/>
        <w:numPr>
          <w:ilvl w:val="0"/>
          <w:numId w:val="2"/>
        </w:numPr>
        <w:tabs>
          <w:tab w:val="clear" w:pos="454"/>
        </w:tabs>
        <w:spacing w:before="60" w:after="60"/>
      </w:pPr>
      <w:r w:rsidRPr="00896E10">
        <w:t xml:space="preserve">Degree </w:t>
      </w:r>
      <w:r w:rsidR="00FA3A08" w:rsidRPr="00896E10">
        <w:t>qualifications in a HR discipline and equivalent relevant experience</w:t>
      </w:r>
      <w:r w:rsidR="00002CC2">
        <w:t>.</w:t>
      </w:r>
    </w:p>
    <w:p w14:paraId="278BF7B1" w14:textId="15390271" w:rsidR="003D6E13" w:rsidRDefault="001225DF" w:rsidP="00896E10">
      <w:pPr>
        <w:pStyle w:val="Bullet1"/>
        <w:numPr>
          <w:ilvl w:val="0"/>
          <w:numId w:val="2"/>
        </w:numPr>
        <w:tabs>
          <w:tab w:val="clear" w:pos="454"/>
        </w:tabs>
        <w:spacing w:before="60" w:after="60"/>
      </w:pPr>
      <w:r w:rsidRPr="00896E10">
        <w:t xml:space="preserve">Strong </w:t>
      </w:r>
      <w:r w:rsidR="003D6E13" w:rsidRPr="00896E10">
        <w:t>HR and/or business experience at an intermediate level in medium to large enterprises</w:t>
      </w:r>
      <w:r w:rsidR="00002CC2">
        <w:t>.</w:t>
      </w:r>
    </w:p>
    <w:p w14:paraId="1CDE8147" w14:textId="77777777" w:rsidR="003D35A3" w:rsidRDefault="003D35A3" w:rsidP="003D35A3">
      <w:pPr>
        <w:pStyle w:val="Bullet1"/>
        <w:numPr>
          <w:ilvl w:val="0"/>
          <w:numId w:val="2"/>
        </w:numPr>
        <w:tabs>
          <w:tab w:val="clear" w:pos="454"/>
        </w:tabs>
        <w:spacing w:before="60" w:after="60"/>
      </w:pPr>
      <w:r>
        <w:t xml:space="preserve">Understanding of organisation design in a change context. </w:t>
      </w:r>
    </w:p>
    <w:p w14:paraId="4B33A3EC" w14:textId="23A555FE" w:rsidR="00002CC2" w:rsidRPr="00896E10" w:rsidRDefault="00002CC2" w:rsidP="003D35A3">
      <w:pPr>
        <w:pStyle w:val="Bullet1"/>
        <w:numPr>
          <w:ilvl w:val="0"/>
          <w:numId w:val="2"/>
        </w:numPr>
        <w:tabs>
          <w:tab w:val="clear" w:pos="454"/>
        </w:tabs>
        <w:spacing w:before="60" w:after="60"/>
      </w:pPr>
      <w:r>
        <w:t xml:space="preserve">Understanding of workforce and FTE metrics. </w:t>
      </w:r>
    </w:p>
    <w:p w14:paraId="07291351" w14:textId="77777777" w:rsidR="001225DF" w:rsidRDefault="001225DF" w:rsidP="00896E10">
      <w:pPr>
        <w:pStyle w:val="Bullet1"/>
        <w:numPr>
          <w:ilvl w:val="0"/>
          <w:numId w:val="2"/>
        </w:numPr>
        <w:tabs>
          <w:tab w:val="clear" w:pos="454"/>
        </w:tabs>
        <w:spacing w:before="60" w:after="60"/>
      </w:pPr>
      <w:r w:rsidRPr="00896E10">
        <w:t xml:space="preserve">Experience in delivering change management activities and supporting the business in implementing change. </w:t>
      </w:r>
    </w:p>
    <w:p w14:paraId="71E15FCF" w14:textId="569C6FF0" w:rsidR="001225DF" w:rsidRPr="00896E10" w:rsidRDefault="001225DF" w:rsidP="00896E10">
      <w:pPr>
        <w:pStyle w:val="Bullet1"/>
        <w:numPr>
          <w:ilvl w:val="0"/>
          <w:numId w:val="2"/>
        </w:numPr>
        <w:tabs>
          <w:tab w:val="clear" w:pos="454"/>
        </w:tabs>
        <w:spacing w:before="60" w:after="60"/>
      </w:pPr>
      <w:r w:rsidRPr="00896E10">
        <w:t>Experience in the use of organisational/people metrics to drive organisational performance and planning.</w:t>
      </w:r>
    </w:p>
    <w:p w14:paraId="7561C1D3" w14:textId="77777777" w:rsidR="001225DF" w:rsidRPr="00896E10" w:rsidRDefault="001225DF" w:rsidP="00896E10">
      <w:pPr>
        <w:pStyle w:val="Bullet1"/>
        <w:numPr>
          <w:ilvl w:val="0"/>
          <w:numId w:val="2"/>
        </w:numPr>
        <w:tabs>
          <w:tab w:val="clear" w:pos="454"/>
        </w:tabs>
        <w:spacing w:before="60" w:after="60"/>
      </w:pPr>
      <w:r w:rsidRPr="00896E10">
        <w:t>Proven skills and experience building and maintaining effective stakeholder relationships.</w:t>
      </w:r>
    </w:p>
    <w:p w14:paraId="33AC198E" w14:textId="77777777" w:rsidR="001225DF" w:rsidRPr="00896E10" w:rsidRDefault="001225DF" w:rsidP="00896E10">
      <w:pPr>
        <w:pStyle w:val="Bullet1"/>
        <w:numPr>
          <w:ilvl w:val="0"/>
          <w:numId w:val="2"/>
        </w:numPr>
        <w:tabs>
          <w:tab w:val="clear" w:pos="454"/>
        </w:tabs>
        <w:spacing w:before="60" w:after="60"/>
      </w:pPr>
      <w:r w:rsidRPr="00896E10">
        <w:t>Strong negotiation skills, able to influence others to see own point of view, gains agreement from multiple parties and find compromise when necessary.</w:t>
      </w:r>
    </w:p>
    <w:p w14:paraId="1209A5A9" w14:textId="3993EEB7" w:rsidR="00896E10" w:rsidRDefault="001225DF" w:rsidP="00EE3034">
      <w:pPr>
        <w:pStyle w:val="Bullet1"/>
        <w:numPr>
          <w:ilvl w:val="0"/>
          <w:numId w:val="2"/>
        </w:numPr>
        <w:tabs>
          <w:tab w:val="clear" w:pos="454"/>
        </w:tabs>
        <w:spacing w:before="60" w:after="0" w:line="240" w:lineRule="auto"/>
      </w:pPr>
      <w:r w:rsidRPr="00896E10">
        <w:t xml:space="preserve">Strong problem-solving skills and the ability to exercise sound judgement in </w:t>
      </w:r>
      <w:proofErr w:type="gramStart"/>
      <w:r w:rsidRPr="00896E10">
        <w:t>decision-making</w:t>
      </w:r>
      <w:proofErr w:type="gramEnd"/>
    </w:p>
    <w:p w14:paraId="3FAA161F" w14:textId="3F67F408" w:rsidR="003D6E13" w:rsidRPr="00896E10" w:rsidRDefault="003D6E13" w:rsidP="00896E10">
      <w:pPr>
        <w:pStyle w:val="Bullet1"/>
        <w:numPr>
          <w:ilvl w:val="0"/>
          <w:numId w:val="2"/>
        </w:numPr>
        <w:tabs>
          <w:tab w:val="clear" w:pos="454"/>
        </w:tabs>
        <w:spacing w:before="60" w:after="60"/>
      </w:pPr>
      <w:r w:rsidRPr="00896E10">
        <w:t>Experience in general ‘employee value chain’ HR skills:</w:t>
      </w:r>
    </w:p>
    <w:p w14:paraId="7FDBB976" w14:textId="77777777" w:rsidR="003D6E13" w:rsidRPr="00896E10" w:rsidRDefault="003D6E13" w:rsidP="00896E10">
      <w:pPr>
        <w:pStyle w:val="Bullet1"/>
        <w:numPr>
          <w:ilvl w:val="0"/>
          <w:numId w:val="38"/>
        </w:numPr>
        <w:tabs>
          <w:tab w:val="clear" w:pos="454"/>
        </w:tabs>
        <w:spacing w:after="60" w:line="240" w:lineRule="auto"/>
        <w:ind w:left="714" w:hanging="357"/>
      </w:pPr>
      <w:r w:rsidRPr="00896E10">
        <w:t xml:space="preserve">organisational development </w:t>
      </w:r>
    </w:p>
    <w:p w14:paraId="2B66E5DF" w14:textId="77777777" w:rsidR="003D6E13" w:rsidRPr="00896E10" w:rsidRDefault="003D6E13" w:rsidP="00896E10">
      <w:pPr>
        <w:pStyle w:val="Bullet1"/>
        <w:numPr>
          <w:ilvl w:val="0"/>
          <w:numId w:val="38"/>
        </w:numPr>
        <w:tabs>
          <w:tab w:val="clear" w:pos="454"/>
        </w:tabs>
        <w:spacing w:after="60" w:line="240" w:lineRule="auto"/>
        <w:ind w:left="714" w:hanging="357"/>
      </w:pPr>
      <w:r w:rsidRPr="00896E10">
        <w:t>succession and talent management</w:t>
      </w:r>
    </w:p>
    <w:p w14:paraId="258D552F" w14:textId="77777777" w:rsidR="003D6E13" w:rsidRPr="00896E10" w:rsidRDefault="003D6E13" w:rsidP="00896E10">
      <w:pPr>
        <w:pStyle w:val="Bullet1"/>
        <w:numPr>
          <w:ilvl w:val="0"/>
          <w:numId w:val="38"/>
        </w:numPr>
        <w:tabs>
          <w:tab w:val="clear" w:pos="454"/>
        </w:tabs>
        <w:spacing w:after="60" w:line="240" w:lineRule="auto"/>
        <w:ind w:left="714" w:hanging="357"/>
      </w:pPr>
      <w:r w:rsidRPr="00896E10">
        <w:t>shaping organisational culture</w:t>
      </w:r>
    </w:p>
    <w:p w14:paraId="3A09B641" w14:textId="77777777" w:rsidR="003D6E13" w:rsidRPr="003D6E13" w:rsidRDefault="003D6E13" w:rsidP="00896E10">
      <w:pPr>
        <w:pStyle w:val="Bullet1"/>
        <w:numPr>
          <w:ilvl w:val="0"/>
          <w:numId w:val="38"/>
        </w:numPr>
        <w:tabs>
          <w:tab w:val="clear" w:pos="454"/>
        </w:tabs>
        <w:spacing w:after="60" w:line="240" w:lineRule="auto"/>
        <w:ind w:left="714" w:hanging="357"/>
      </w:pPr>
      <w:r w:rsidRPr="003D6E13">
        <w:t>Proven experience in developing and implementing HR projects.</w:t>
      </w:r>
    </w:p>
    <w:p w14:paraId="52B84073" w14:textId="71D30A66" w:rsidR="003D6E13" w:rsidRPr="003D6E13" w:rsidRDefault="003D6E13" w:rsidP="00896E10">
      <w:pPr>
        <w:pStyle w:val="Bullet1"/>
        <w:numPr>
          <w:ilvl w:val="0"/>
          <w:numId w:val="2"/>
        </w:numPr>
        <w:tabs>
          <w:tab w:val="clear" w:pos="454"/>
        </w:tabs>
        <w:spacing w:before="120" w:after="60"/>
        <w:ind w:left="357" w:hanging="357"/>
      </w:pPr>
      <w:r w:rsidRPr="003D6E13">
        <w:t xml:space="preserve">Recognised as a ‘Trusted Advisor’ to managers in a medium to large </w:t>
      </w:r>
      <w:proofErr w:type="gramStart"/>
      <w:r w:rsidRPr="003D6E13">
        <w:t>organisation</w:t>
      </w:r>
      <w:proofErr w:type="gramEnd"/>
      <w:r w:rsidR="004779CF">
        <w:t xml:space="preserve">  </w:t>
      </w:r>
    </w:p>
    <w:p w14:paraId="134BA960" w14:textId="0D87670D" w:rsidR="0080061F" w:rsidRDefault="0080061F" w:rsidP="0055724C">
      <w:pPr>
        <w:pStyle w:val="Heading2"/>
        <w:spacing w:before="360"/>
      </w:pPr>
      <w:r w:rsidRPr="00B27E44">
        <w:lastRenderedPageBreak/>
        <w:t>Attributes</w:t>
      </w:r>
    </w:p>
    <w:p w14:paraId="7A953AC5" w14:textId="6C8385DC" w:rsidR="001225DF" w:rsidRDefault="001225DF" w:rsidP="001225DF">
      <w:pPr>
        <w:pStyle w:val="Bullet1"/>
        <w:numPr>
          <w:ilvl w:val="0"/>
          <w:numId w:val="33"/>
        </w:numPr>
        <w:spacing w:before="60" w:after="60"/>
        <w:textAlignment w:val="auto"/>
      </w:pPr>
      <w:r>
        <w:t>Highly effective organisation and planning skills, with the ability to prioritise in a busy and complex environment.</w:t>
      </w:r>
      <w:r w:rsidR="001A3C41">
        <w:t xml:space="preserve">  </w:t>
      </w:r>
    </w:p>
    <w:p w14:paraId="49FC9EF6" w14:textId="61B7F359" w:rsidR="001225DF" w:rsidRDefault="001225DF" w:rsidP="001225DF">
      <w:pPr>
        <w:pStyle w:val="Bullet1"/>
        <w:numPr>
          <w:ilvl w:val="0"/>
          <w:numId w:val="33"/>
        </w:numPr>
        <w:spacing w:before="60" w:after="60"/>
        <w:textAlignment w:val="auto"/>
      </w:pPr>
      <w:r>
        <w:t>Achievement of results in a time pressured environment</w:t>
      </w:r>
      <w:r w:rsidR="001A3C41">
        <w:t xml:space="preserve"> with competing priorities</w:t>
      </w:r>
    </w:p>
    <w:p w14:paraId="7B6B316F" w14:textId="144CB76A" w:rsidR="001225DF" w:rsidRDefault="001225DF" w:rsidP="001225DF">
      <w:pPr>
        <w:pStyle w:val="Bullet1"/>
        <w:numPr>
          <w:ilvl w:val="0"/>
          <w:numId w:val="33"/>
        </w:numPr>
        <w:spacing w:before="60" w:after="60"/>
        <w:textAlignment w:val="auto"/>
      </w:pPr>
      <w:r>
        <w:t>Excellent communication (both oral and written) skills and ability to share information in a way that is easy to follow and gets the right messages across.</w:t>
      </w:r>
    </w:p>
    <w:p w14:paraId="324A9FBF" w14:textId="77777777" w:rsidR="001225DF" w:rsidRDefault="001225DF" w:rsidP="001225DF">
      <w:pPr>
        <w:pStyle w:val="Bullet1"/>
        <w:numPr>
          <w:ilvl w:val="0"/>
          <w:numId w:val="33"/>
        </w:numPr>
        <w:spacing w:before="60" w:after="60"/>
        <w:textAlignment w:val="auto"/>
      </w:pPr>
      <w:r>
        <w:t>Exercises sound judgement and political sensitivity.</w:t>
      </w:r>
    </w:p>
    <w:p w14:paraId="09BC3314" w14:textId="702D2AB4" w:rsidR="0030348A" w:rsidRDefault="001225DF" w:rsidP="00896E10">
      <w:pPr>
        <w:pStyle w:val="Bullet1"/>
        <w:numPr>
          <w:ilvl w:val="0"/>
          <w:numId w:val="33"/>
        </w:numPr>
        <w:spacing w:before="60" w:after="60"/>
        <w:textAlignment w:val="auto"/>
      </w:pPr>
      <w:r>
        <w:t>Welcomes and values diversity and contributes to an inclusive working environment where differences are acknowledged and respected.</w:t>
      </w:r>
    </w:p>
    <w:p w14:paraId="32803067" w14:textId="77777777" w:rsidR="001A3C41" w:rsidRDefault="001A3C41" w:rsidP="001A3C41">
      <w:pPr>
        <w:pStyle w:val="ListBullet"/>
      </w:pPr>
      <w:r>
        <w:t>Navigating ambiguity and rapid change.</w:t>
      </w:r>
    </w:p>
    <w:p w14:paraId="183FB5F5" w14:textId="77777777" w:rsidR="001A3C41" w:rsidRPr="003D6E13" w:rsidRDefault="001A3C41" w:rsidP="00F85A3C">
      <w:pPr>
        <w:pStyle w:val="Bullet1"/>
        <w:numPr>
          <w:ilvl w:val="0"/>
          <w:numId w:val="0"/>
        </w:numPr>
        <w:spacing w:before="60" w:after="60"/>
        <w:ind w:left="360"/>
        <w:textAlignment w:val="auto"/>
      </w:pPr>
    </w:p>
    <w:p w14:paraId="34125658" w14:textId="7FA61553" w:rsidR="0080061F" w:rsidRPr="0076538D" w:rsidRDefault="0080061F" w:rsidP="0055724C">
      <w:pPr>
        <w:pStyle w:val="Heading2"/>
        <w:spacing w:before="360"/>
      </w:pPr>
      <w:r>
        <w:t xml:space="preserve">Key </w:t>
      </w:r>
      <w:r w:rsidR="00E22E32">
        <w:t>r</w:t>
      </w:r>
      <w:r>
        <w:t xml:space="preserve">elationships </w:t>
      </w:r>
    </w:p>
    <w:p w14:paraId="0F41B810" w14:textId="2B97E50E" w:rsidR="00424602" w:rsidRDefault="0080061F" w:rsidP="00896E10">
      <w:pPr>
        <w:pStyle w:val="Heading3"/>
      </w:pPr>
      <w:r w:rsidRPr="007B1B6A">
        <w:t>Internal</w:t>
      </w:r>
    </w:p>
    <w:p w14:paraId="14FBAE99" w14:textId="00E01F82" w:rsidR="007603B1" w:rsidRDefault="007603B1" w:rsidP="007603B1">
      <w:pPr>
        <w:numPr>
          <w:ilvl w:val="0"/>
          <w:numId w:val="7"/>
        </w:numPr>
        <w:ind w:left="425" w:hanging="425"/>
        <w:contextualSpacing/>
      </w:pPr>
      <w:r>
        <w:t xml:space="preserve">Te </w:t>
      </w:r>
      <w:proofErr w:type="spellStart"/>
      <w:r>
        <w:t>Pae</w:t>
      </w:r>
      <w:proofErr w:type="spellEnd"/>
      <w:r>
        <w:t xml:space="preserve"> </w:t>
      </w:r>
      <w:proofErr w:type="spellStart"/>
      <w:r>
        <w:t>Tawhiti</w:t>
      </w:r>
      <w:proofErr w:type="spellEnd"/>
      <w:r>
        <w:t xml:space="preserve"> Programme members</w:t>
      </w:r>
    </w:p>
    <w:p w14:paraId="1665E06D" w14:textId="77777777" w:rsidR="007603B1" w:rsidRDefault="007603B1" w:rsidP="007603B1">
      <w:pPr>
        <w:numPr>
          <w:ilvl w:val="0"/>
          <w:numId w:val="7"/>
        </w:numPr>
        <w:ind w:left="425" w:hanging="425"/>
        <w:contextualSpacing/>
      </w:pPr>
      <w:r>
        <w:t>People Group</w:t>
      </w:r>
    </w:p>
    <w:p w14:paraId="5D5F7BF4" w14:textId="77777777" w:rsidR="007603B1" w:rsidRDefault="007603B1" w:rsidP="007603B1">
      <w:pPr>
        <w:numPr>
          <w:ilvl w:val="0"/>
          <w:numId w:val="7"/>
        </w:numPr>
        <w:ind w:left="425" w:hanging="425"/>
        <w:contextualSpacing/>
      </w:pPr>
      <w:r>
        <w:t xml:space="preserve">Line managers and other Ministry </w:t>
      </w:r>
      <w:proofErr w:type="gramStart"/>
      <w:r>
        <w:t>staff</w:t>
      </w:r>
      <w:proofErr w:type="gramEnd"/>
    </w:p>
    <w:p w14:paraId="33232EFC" w14:textId="77777777" w:rsidR="007603B1" w:rsidRDefault="007603B1" w:rsidP="007603B1">
      <w:pPr>
        <w:numPr>
          <w:ilvl w:val="0"/>
          <w:numId w:val="7"/>
        </w:numPr>
        <w:ind w:left="425" w:hanging="425"/>
        <w:contextualSpacing/>
      </w:pPr>
      <w:r>
        <w:t xml:space="preserve">HSS and Wellbeing Teams  </w:t>
      </w:r>
      <w:r w:rsidRPr="00CB13D7">
        <w:t xml:space="preserve"> </w:t>
      </w:r>
    </w:p>
    <w:p w14:paraId="48DBAD43" w14:textId="77777777" w:rsidR="0080061F" w:rsidRDefault="0080061F" w:rsidP="000469A5">
      <w:pPr>
        <w:pStyle w:val="Heading3"/>
      </w:pPr>
      <w:r w:rsidRPr="00E83550">
        <w:t xml:space="preserve">External </w:t>
      </w:r>
    </w:p>
    <w:p w14:paraId="03C19A16" w14:textId="77777777" w:rsidR="00896E10" w:rsidRPr="003D6E13" w:rsidRDefault="00896E10" w:rsidP="00896E10">
      <w:pPr>
        <w:numPr>
          <w:ilvl w:val="0"/>
          <w:numId w:val="7"/>
        </w:numPr>
        <w:tabs>
          <w:tab w:val="num" w:pos="426"/>
        </w:tabs>
        <w:spacing w:before="60" w:after="60"/>
        <w:ind w:left="425" w:hanging="425"/>
        <w:contextualSpacing/>
      </w:pPr>
      <w:r>
        <w:t>Public Service Association (PSA)</w:t>
      </w:r>
    </w:p>
    <w:p w14:paraId="6E8882E1" w14:textId="48AA8E9D" w:rsidR="003D6E13" w:rsidRPr="003D6E13" w:rsidRDefault="003D6E13" w:rsidP="003D6E13">
      <w:pPr>
        <w:numPr>
          <w:ilvl w:val="0"/>
          <w:numId w:val="7"/>
        </w:numPr>
        <w:tabs>
          <w:tab w:val="num" w:pos="426"/>
        </w:tabs>
        <w:spacing w:before="60" w:after="60"/>
        <w:ind w:left="425" w:hanging="425"/>
        <w:contextualSpacing/>
      </w:pPr>
      <w:r w:rsidRPr="003D6E13">
        <w:t xml:space="preserve">Government departments (incl. </w:t>
      </w:r>
      <w:r w:rsidR="008855D0">
        <w:t>P</w:t>
      </w:r>
      <w:r w:rsidRPr="003D6E13">
        <w:t>SC) and other relevant agencies</w:t>
      </w:r>
    </w:p>
    <w:p w14:paraId="0611D89E" w14:textId="77777777" w:rsidR="003D6E13" w:rsidRPr="003D6E13" w:rsidRDefault="003D6E13" w:rsidP="003D6E13">
      <w:pPr>
        <w:numPr>
          <w:ilvl w:val="0"/>
          <w:numId w:val="7"/>
        </w:numPr>
        <w:tabs>
          <w:tab w:val="num" w:pos="426"/>
        </w:tabs>
        <w:spacing w:before="60" w:after="60"/>
        <w:ind w:left="425" w:hanging="425"/>
        <w:contextualSpacing/>
      </w:pPr>
      <w:r w:rsidRPr="003D6E13">
        <w:t>Union officials as necessary</w:t>
      </w:r>
    </w:p>
    <w:p w14:paraId="75AFE802" w14:textId="77777777" w:rsidR="003D6E13" w:rsidRPr="003D6E13" w:rsidRDefault="003D6E13" w:rsidP="003D6E13">
      <w:pPr>
        <w:numPr>
          <w:ilvl w:val="0"/>
          <w:numId w:val="7"/>
        </w:numPr>
        <w:tabs>
          <w:tab w:val="num" w:pos="426"/>
        </w:tabs>
        <w:spacing w:before="60" w:after="60"/>
        <w:ind w:left="425" w:hanging="425"/>
        <w:contextualSpacing/>
      </w:pPr>
      <w:r w:rsidRPr="003D6E13">
        <w:t>HR professionals in both the public and private sectors.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FBC75D6" w:rsidR="0080061F" w:rsidRPr="00B27E44" w:rsidRDefault="0080061F" w:rsidP="00086206">
      <w:pPr>
        <w:pStyle w:val="Bullet1"/>
        <w:numPr>
          <w:ilvl w:val="0"/>
          <w:numId w:val="2"/>
        </w:numPr>
        <w:tabs>
          <w:tab w:val="clear" w:pos="454"/>
        </w:tabs>
        <w:spacing w:before="60" w:after="60"/>
      </w:pPr>
      <w:r w:rsidRPr="00B27E44">
        <w:t xml:space="preserve">Financial – </w:t>
      </w:r>
      <w:r w:rsidR="003D6E13">
        <w:t xml:space="preserve">No </w:t>
      </w:r>
    </w:p>
    <w:p w14:paraId="1A13EE12" w14:textId="50E9EBEA" w:rsidR="0080061F" w:rsidRDefault="0080061F" w:rsidP="00086206">
      <w:pPr>
        <w:pStyle w:val="Bullet1"/>
        <w:numPr>
          <w:ilvl w:val="0"/>
          <w:numId w:val="2"/>
        </w:numPr>
        <w:tabs>
          <w:tab w:val="clear" w:pos="454"/>
        </w:tabs>
        <w:spacing w:before="60" w:after="60"/>
      </w:pPr>
      <w:r w:rsidRPr="00B27E44">
        <w:t>Hum</w:t>
      </w:r>
      <w:r>
        <w:t>an Resources</w:t>
      </w:r>
      <w:r w:rsidR="005A4594">
        <w:t xml:space="preserve"> </w:t>
      </w:r>
      <w:r w:rsidR="005A4594" w:rsidRPr="00B27E44">
        <w:t xml:space="preserve">– </w:t>
      </w:r>
      <w:r w:rsidR="003D6E13">
        <w:t>No</w:t>
      </w:r>
    </w:p>
    <w:p w14:paraId="09A0D619" w14:textId="0E9B6973" w:rsidR="0080061F" w:rsidRDefault="0080061F" w:rsidP="000469A5">
      <w:pPr>
        <w:pStyle w:val="Heading3"/>
      </w:pPr>
      <w:r w:rsidRPr="00096E86">
        <w:t>Direct reports</w:t>
      </w:r>
      <w:r w:rsidR="005A4594">
        <w:t xml:space="preserve"> </w:t>
      </w:r>
      <w:r w:rsidR="005A4594" w:rsidRPr="005A4594">
        <w:t xml:space="preserve">– </w:t>
      </w:r>
      <w:r w:rsidR="003D6E13">
        <w:t>No</w:t>
      </w:r>
    </w:p>
    <w:p w14:paraId="7A424157" w14:textId="0999E8E0" w:rsidR="0080061F" w:rsidRDefault="0080061F" w:rsidP="000469A5">
      <w:pPr>
        <w:pStyle w:val="Heading3"/>
      </w:pPr>
      <w:r>
        <w:t xml:space="preserve">Security clearance </w:t>
      </w:r>
      <w:r w:rsidR="005A4594" w:rsidRPr="005A4594">
        <w:t xml:space="preserve">– </w:t>
      </w:r>
      <w:r w:rsidR="003D6E13">
        <w:t>No</w:t>
      </w:r>
    </w:p>
    <w:p w14:paraId="5AD192A7" w14:textId="5FB7664A" w:rsidR="0080061F" w:rsidRPr="0076538D" w:rsidRDefault="0080061F" w:rsidP="000469A5">
      <w:pPr>
        <w:pStyle w:val="Heading3"/>
      </w:pPr>
      <w:r>
        <w:t>Children’s worker</w:t>
      </w:r>
      <w:r w:rsidR="005A4594">
        <w:t xml:space="preserve"> </w:t>
      </w:r>
      <w:r w:rsidR="005A4594" w:rsidRPr="005A4594">
        <w:t xml:space="preserve">– </w:t>
      </w:r>
      <w:r w:rsidR="003D6E13">
        <w:t xml:space="preserve">No </w:t>
      </w:r>
    </w:p>
    <w:p w14:paraId="211086BA" w14:textId="1C01102D" w:rsidR="0080061F" w:rsidRPr="0080061F" w:rsidRDefault="0080061F" w:rsidP="005A4594">
      <w:pPr>
        <w:spacing w:after="0" w:line="240" w:lineRule="auto"/>
        <w:rPr>
          <w:b/>
          <w:bCs/>
          <w:lang w:eastAsia="en-GB"/>
        </w:rPr>
      </w:pPr>
      <w:r>
        <w:t xml:space="preserve">Limited adhoc travel may be </w:t>
      </w:r>
      <w:proofErr w:type="gramStart"/>
      <w:r>
        <w:t>require</w:t>
      </w:r>
      <w:r w:rsidR="005A4594">
        <w:t>d</w:t>
      </w:r>
      <w:proofErr w:type="gramEnd"/>
    </w:p>
    <w:sectPr w:rsidR="0080061F" w:rsidRPr="0080061F" w:rsidSect="00896E10">
      <w:headerReference w:type="even" r:id="rId16"/>
      <w:headerReference w:type="default" r:id="rId17"/>
      <w:footerReference w:type="default" r:id="rId18"/>
      <w:headerReference w:type="first" r:id="rId19"/>
      <w:pgSz w:w="11906" w:h="16838"/>
      <w:pgMar w:top="851" w:right="1440" w:bottom="851"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9B39" w14:textId="77777777" w:rsidR="00B643B6" w:rsidRDefault="00B643B6" w:rsidP="0077711D">
      <w:pPr>
        <w:spacing w:after="0" w:line="240" w:lineRule="auto"/>
      </w:pPr>
      <w:r>
        <w:separator/>
      </w:r>
    </w:p>
  </w:endnote>
  <w:endnote w:type="continuationSeparator" w:id="0">
    <w:p w14:paraId="21B7B173" w14:textId="77777777" w:rsidR="00B643B6" w:rsidRDefault="00B643B6"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685302"/>
      <w:docPartObj>
        <w:docPartGallery w:val="Page Numbers (Bottom of Page)"/>
        <w:docPartUnique/>
      </w:docPartObj>
    </w:sdtPr>
    <w:sdtEndPr>
      <w:rPr>
        <w:noProof/>
      </w:rPr>
    </w:sdtEndPr>
    <w:sdtContent>
      <w:p w14:paraId="066E1BC9" w14:textId="38CEDC9E" w:rsidR="0082165F" w:rsidRDefault="00896E10" w:rsidP="00EE2C85">
        <w:pPr>
          <w:pStyle w:val="Footer"/>
          <w:pBdr>
            <w:top w:val="single" w:sz="4" w:space="1" w:color="auto"/>
          </w:pBdr>
        </w:pPr>
        <w:r>
          <w:t xml:space="preserve">Position Description - Senior HR Advisor – </w:t>
        </w:r>
        <w:r w:rsidR="00CF2CAB">
          <w:t>May</w:t>
        </w:r>
        <w:r w:rsidR="00EE2C85">
          <w:t xml:space="preserve"> 202</w:t>
        </w:r>
        <w:r w:rsidR="00CF2CAB">
          <w:t>5</w:t>
        </w:r>
        <w:r>
          <w:tab/>
        </w:r>
        <w:r w:rsidR="0082165F">
          <w:fldChar w:fldCharType="begin"/>
        </w:r>
        <w:r w:rsidR="0082165F">
          <w:instrText xml:space="preserve"> PAGE   \* MERGEFORMAT </w:instrText>
        </w:r>
        <w:r w:rsidR="0082165F">
          <w:fldChar w:fldCharType="separate"/>
        </w:r>
        <w:r w:rsidR="0082165F">
          <w:rPr>
            <w:noProof/>
          </w:rPr>
          <w:t>2</w:t>
        </w:r>
        <w:r w:rsidR="0082165F">
          <w:rPr>
            <w:noProof/>
          </w:rPr>
          <w:fldChar w:fldCharType="end"/>
        </w:r>
      </w:p>
    </w:sdtContent>
  </w:sdt>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89E" w14:textId="253F0537" w:rsidR="0082165F" w:rsidRDefault="0082165F">
    <w:pPr>
      <w:pStyle w:val="Footer"/>
    </w:pPr>
    <w:r>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315767"/>
      <w:docPartObj>
        <w:docPartGallery w:val="Page Numbers (Bottom of Page)"/>
        <w:docPartUnique/>
      </w:docPartObj>
    </w:sdtPr>
    <w:sdtEndPr>
      <w:rPr>
        <w:noProof/>
      </w:rPr>
    </w:sdtEndPr>
    <w:sdtContent>
      <w:p w14:paraId="5B4977E4" w14:textId="68FF8FAC" w:rsidR="00896E10" w:rsidRDefault="00896E10" w:rsidP="00896E10">
        <w:pPr>
          <w:pStyle w:val="Footer"/>
          <w:pBdr>
            <w:top w:val="single" w:sz="4" w:space="1" w:color="auto"/>
          </w:pBdr>
          <w:jc w:val="center"/>
        </w:pPr>
        <w:r>
          <w:t xml:space="preserve">Position Description - Senior HR Advisor – </w:t>
        </w:r>
        <w:r w:rsidR="001A3C41">
          <w:t>May 2025</w:t>
        </w:r>
        <w:r>
          <w:t xml:space="preserve"> </w:t>
        </w:r>
        <w:r>
          <w:tab/>
        </w:r>
        <w:r>
          <w:fldChar w:fldCharType="begin"/>
        </w:r>
        <w:r>
          <w:instrText xml:space="preserve"> PAGE   \* MERGEFORMAT </w:instrText>
        </w:r>
        <w:r>
          <w:fldChar w:fldCharType="separate"/>
        </w:r>
        <w:r>
          <w:t>2</w:t>
        </w:r>
        <w:r>
          <w:rPr>
            <w:noProof/>
          </w:rPr>
          <w:fldChar w:fldCharType="end"/>
        </w:r>
      </w:p>
    </w:sdtContent>
  </w:sdt>
  <w:p w14:paraId="4216BD8A" w14:textId="4172B8A1" w:rsidR="00803002" w:rsidRPr="002E5827" w:rsidRDefault="00803002" w:rsidP="0080061F">
    <w:pPr>
      <w:pStyle w:val="Footer"/>
      <w:pBdr>
        <w:top w:val="single" w:sz="4" w:space="1" w:color="auto"/>
      </w:pBdr>
      <w:tabs>
        <w:tab w:val="clear" w:pos="9026"/>
        <w:tab w:val="right" w:pos="10206"/>
      </w:tabs>
      <w:rPr>
        <w:szCs w:val="18"/>
      </w:rPr>
    </w:pPr>
    <w:r>
      <w:rPr>
        <w:szCs w:val="18"/>
      </w:rPr>
      <w:tab/>
    </w:r>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8E04" w14:textId="77777777" w:rsidR="00B643B6" w:rsidRDefault="00B643B6" w:rsidP="0077711D">
      <w:pPr>
        <w:spacing w:after="0" w:line="240" w:lineRule="auto"/>
      </w:pPr>
      <w:r>
        <w:separator/>
      </w:r>
    </w:p>
  </w:footnote>
  <w:footnote w:type="continuationSeparator" w:id="0">
    <w:p w14:paraId="4AF7D9AA" w14:textId="77777777" w:rsidR="00B643B6" w:rsidRDefault="00B643B6"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D7EB" w14:textId="686D6761" w:rsidR="004141D3" w:rsidRDefault="004141D3">
    <w:pPr>
      <w:pStyle w:val="Header"/>
    </w:pPr>
    <w:r>
      <w:rPr>
        <w:noProof/>
      </w:rPr>
      <mc:AlternateContent>
        <mc:Choice Requires="wps">
          <w:drawing>
            <wp:anchor distT="0" distB="0" distL="0" distR="0" simplePos="0" relativeHeight="251659264" behindDoc="0" locked="0" layoutInCell="1" allowOverlap="1" wp14:anchorId="4823E335" wp14:editId="465FD8C6">
              <wp:simplePos x="635" y="635"/>
              <wp:positionH relativeFrom="page">
                <wp:align>center</wp:align>
              </wp:positionH>
              <wp:positionV relativeFrom="page">
                <wp:align>top</wp:align>
              </wp:positionV>
              <wp:extent cx="443865" cy="443865"/>
              <wp:effectExtent l="0" t="0" r="8890" b="4445"/>
              <wp:wrapNone/>
              <wp:docPr id="166277926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C3B2C" w14:textId="6726D715" w:rsidR="004141D3" w:rsidRPr="004141D3" w:rsidRDefault="004141D3" w:rsidP="004141D3">
                          <w:pPr>
                            <w:spacing w:after="0"/>
                            <w:rPr>
                              <w:rFonts w:ascii="Calibri" w:hAnsi="Calibri" w:cs="Calibri"/>
                              <w:noProof/>
                              <w:color w:val="000000"/>
                              <w:szCs w:val="20"/>
                            </w:rPr>
                          </w:pPr>
                          <w:r w:rsidRPr="004141D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23E335"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46C3B2C" w14:textId="6726D715" w:rsidR="004141D3" w:rsidRPr="004141D3" w:rsidRDefault="004141D3" w:rsidP="004141D3">
                    <w:pPr>
                      <w:spacing w:after="0"/>
                      <w:rPr>
                        <w:rFonts w:ascii="Calibri" w:hAnsi="Calibri" w:cs="Calibri"/>
                        <w:noProof/>
                        <w:color w:val="000000"/>
                        <w:szCs w:val="20"/>
                      </w:rPr>
                    </w:pPr>
                    <w:r w:rsidRPr="004141D3">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FADD" w14:textId="2B33190E" w:rsidR="004141D3" w:rsidRDefault="004141D3">
    <w:pPr>
      <w:pStyle w:val="Header"/>
    </w:pPr>
    <w:r>
      <w:rPr>
        <w:noProof/>
      </w:rPr>
      <mc:AlternateContent>
        <mc:Choice Requires="wps">
          <w:drawing>
            <wp:anchor distT="0" distB="0" distL="0" distR="0" simplePos="0" relativeHeight="251662336" behindDoc="0" locked="0" layoutInCell="1" allowOverlap="1" wp14:anchorId="6254E6E1" wp14:editId="004D2E57">
              <wp:simplePos x="635" y="635"/>
              <wp:positionH relativeFrom="page">
                <wp:align>center</wp:align>
              </wp:positionH>
              <wp:positionV relativeFrom="page">
                <wp:align>top</wp:align>
              </wp:positionV>
              <wp:extent cx="443865" cy="443865"/>
              <wp:effectExtent l="0" t="0" r="8890" b="4445"/>
              <wp:wrapNone/>
              <wp:docPr id="12864452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861D0" w14:textId="5EFD2075" w:rsidR="004141D3" w:rsidRPr="004141D3" w:rsidRDefault="004141D3" w:rsidP="004141D3">
                          <w:pPr>
                            <w:spacing w:after="0"/>
                            <w:rPr>
                              <w:rFonts w:ascii="Calibri" w:hAnsi="Calibri" w:cs="Calibri"/>
                              <w:noProof/>
                              <w:color w:val="000000"/>
                              <w:szCs w:val="20"/>
                            </w:rPr>
                          </w:pPr>
                          <w:r w:rsidRPr="004141D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54E6E1" id="_x0000_t202" coordsize="21600,21600" o:spt="202" path="m,l,21600r21600,l21600,xe">
              <v:stroke joinstyle="miter"/>
              <v:path gradientshapeok="t" o:connecttype="rect"/>
            </v:shapetype>
            <v:shape id="Text Box 5"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5E861D0" w14:textId="5EFD2075" w:rsidR="004141D3" w:rsidRPr="004141D3" w:rsidRDefault="004141D3" w:rsidP="004141D3">
                    <w:pPr>
                      <w:spacing w:after="0"/>
                      <w:rPr>
                        <w:rFonts w:ascii="Calibri" w:hAnsi="Calibri" w:cs="Calibri"/>
                        <w:noProof/>
                        <w:color w:val="000000"/>
                        <w:szCs w:val="20"/>
                      </w:rPr>
                    </w:pPr>
                    <w:r w:rsidRPr="004141D3">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78DF" w14:textId="499E1C08" w:rsidR="004141D3" w:rsidRDefault="004141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9D53" w14:textId="02084EB9" w:rsidR="004141D3" w:rsidRDefault="004141D3">
    <w:pPr>
      <w:pStyle w:val="Header"/>
    </w:pPr>
    <w:r>
      <w:rPr>
        <w:noProof/>
      </w:rPr>
      <mc:AlternateContent>
        <mc:Choice Requires="wps">
          <w:drawing>
            <wp:anchor distT="0" distB="0" distL="0" distR="0" simplePos="0" relativeHeight="251661312" behindDoc="0" locked="0" layoutInCell="1" allowOverlap="1" wp14:anchorId="13C0B799" wp14:editId="2E1F60A4">
              <wp:simplePos x="635" y="635"/>
              <wp:positionH relativeFrom="page">
                <wp:align>center</wp:align>
              </wp:positionH>
              <wp:positionV relativeFrom="page">
                <wp:align>top</wp:align>
              </wp:positionV>
              <wp:extent cx="443865" cy="443865"/>
              <wp:effectExtent l="0" t="0" r="8890" b="4445"/>
              <wp:wrapNone/>
              <wp:docPr id="341394080"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ADB4F" w14:textId="4DDC2264" w:rsidR="004141D3" w:rsidRPr="004141D3" w:rsidRDefault="004141D3" w:rsidP="004141D3">
                          <w:pPr>
                            <w:spacing w:after="0"/>
                            <w:rPr>
                              <w:rFonts w:ascii="Calibri" w:hAnsi="Calibri" w:cs="Calibri"/>
                              <w:noProof/>
                              <w:color w:val="000000"/>
                              <w:szCs w:val="20"/>
                            </w:rPr>
                          </w:pPr>
                          <w:r w:rsidRPr="004141D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C0B799"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69ADB4F" w14:textId="4DDC2264" w:rsidR="004141D3" w:rsidRPr="004141D3" w:rsidRDefault="004141D3" w:rsidP="004141D3">
                    <w:pPr>
                      <w:spacing w:after="0"/>
                      <w:rPr>
                        <w:rFonts w:ascii="Calibri" w:hAnsi="Calibri" w:cs="Calibri"/>
                        <w:noProof/>
                        <w:color w:val="000000"/>
                        <w:szCs w:val="20"/>
                      </w:rPr>
                    </w:pPr>
                    <w:r w:rsidRPr="004141D3">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B6FC3"/>
    <w:multiLevelType w:val="hybridMultilevel"/>
    <w:tmpl w:val="97C84B82"/>
    <w:lvl w:ilvl="0" w:tplc="DB725732">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441D4"/>
    <w:multiLevelType w:val="hybridMultilevel"/>
    <w:tmpl w:val="5C82630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8" w15:restartNumberingAfterBreak="0">
    <w:nsid w:val="187872E6"/>
    <w:multiLevelType w:val="hybridMultilevel"/>
    <w:tmpl w:val="466E66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DF2029F"/>
    <w:multiLevelType w:val="multilevel"/>
    <w:tmpl w:val="8F98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23C1894"/>
    <w:multiLevelType w:val="hybridMultilevel"/>
    <w:tmpl w:val="CBFE5A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1515FA"/>
    <w:multiLevelType w:val="hybridMultilevel"/>
    <w:tmpl w:val="D7D23C0A"/>
    <w:lvl w:ilvl="0" w:tplc="04090001">
      <w:start w:val="1"/>
      <w:numFmt w:val="bullet"/>
      <w:lvlText w:val=""/>
      <w:lvlJc w:val="left"/>
      <w:pPr>
        <w:tabs>
          <w:tab w:val="num" w:pos="720"/>
        </w:tabs>
        <w:ind w:left="720" w:hanging="360"/>
      </w:pPr>
      <w:rPr>
        <w:rFonts w:ascii="Symbol" w:hAnsi="Symbol" w:hint="default"/>
      </w:rPr>
    </w:lvl>
    <w:lvl w:ilvl="1" w:tplc="DB725732">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935F5"/>
    <w:multiLevelType w:val="hybridMultilevel"/>
    <w:tmpl w:val="76D075E4"/>
    <w:lvl w:ilvl="0" w:tplc="8B0E1C3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CF1353"/>
    <w:multiLevelType w:val="hybridMultilevel"/>
    <w:tmpl w:val="F908338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7" w15:restartNumberingAfterBreak="0">
    <w:nsid w:val="3E2F457F"/>
    <w:multiLevelType w:val="hybridMultilevel"/>
    <w:tmpl w:val="CDF26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3030050"/>
    <w:multiLevelType w:val="hybridMultilevel"/>
    <w:tmpl w:val="4E48AB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2A7A20"/>
    <w:multiLevelType w:val="hybridMultilevel"/>
    <w:tmpl w:val="D5B2A3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7F1373E"/>
    <w:multiLevelType w:val="multilevel"/>
    <w:tmpl w:val="F976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2" w15:restartNumberingAfterBreak="0">
    <w:nsid w:val="57DE2A59"/>
    <w:multiLevelType w:val="hybridMultilevel"/>
    <w:tmpl w:val="ABDE15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45A0ACD"/>
    <w:multiLevelType w:val="hybridMultilevel"/>
    <w:tmpl w:val="490235F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E6EB6"/>
    <w:multiLevelType w:val="hybridMultilevel"/>
    <w:tmpl w:val="0914A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2D242F2"/>
    <w:multiLevelType w:val="hybridMultilevel"/>
    <w:tmpl w:val="E090A196"/>
    <w:lvl w:ilvl="0" w:tplc="36885940">
      <w:start w:val="1"/>
      <w:numFmt w:val="bullet"/>
      <w:lvlText w:val="­"/>
      <w:lvlJc w:val="left"/>
      <w:pPr>
        <w:ind w:left="720" w:hanging="360"/>
      </w:pPr>
      <w:rPr>
        <w:rFonts w:ascii="Courier New" w:hAnsi="Courier New" w:hint="default"/>
      </w:rPr>
    </w:lvl>
    <w:lvl w:ilvl="1" w:tplc="36885940">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3D74796"/>
    <w:multiLevelType w:val="multilevel"/>
    <w:tmpl w:val="1DFA6B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8605829"/>
    <w:multiLevelType w:val="hybridMultilevel"/>
    <w:tmpl w:val="E2E894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122847006">
    <w:abstractNumId w:val="9"/>
  </w:num>
  <w:num w:numId="2" w16cid:durableId="1590233226">
    <w:abstractNumId w:val="1"/>
  </w:num>
  <w:num w:numId="3" w16cid:durableId="89354741">
    <w:abstractNumId w:val="0"/>
  </w:num>
  <w:num w:numId="4" w16cid:durableId="911084419">
    <w:abstractNumId w:val="4"/>
  </w:num>
  <w:num w:numId="5" w16cid:durableId="596449904">
    <w:abstractNumId w:val="6"/>
  </w:num>
  <w:num w:numId="6" w16cid:durableId="858811943">
    <w:abstractNumId w:val="21"/>
  </w:num>
  <w:num w:numId="7" w16cid:durableId="1238175751">
    <w:abstractNumId w:val="15"/>
  </w:num>
  <w:num w:numId="8" w16cid:durableId="374163308">
    <w:abstractNumId w:val="3"/>
  </w:num>
  <w:num w:numId="9" w16cid:durableId="78328769">
    <w:abstractNumId w:val="11"/>
  </w:num>
  <w:num w:numId="10" w16cid:durableId="1989743648">
    <w:abstractNumId w:val="23"/>
  </w:num>
  <w:num w:numId="11" w16cid:durableId="576476702">
    <w:abstractNumId w:val="13"/>
  </w:num>
  <w:num w:numId="12" w16cid:durableId="1328485852">
    <w:abstractNumId w:val="2"/>
  </w:num>
  <w:num w:numId="13" w16cid:durableId="1339189596">
    <w:abstractNumId w:val="12"/>
  </w:num>
  <w:num w:numId="14" w16cid:durableId="220793676">
    <w:abstractNumId w:val="24"/>
  </w:num>
  <w:num w:numId="15" w16cid:durableId="313263456">
    <w:abstractNumId w:val="21"/>
  </w:num>
  <w:num w:numId="16" w16cid:durableId="1678967198">
    <w:abstractNumId w:val="21"/>
  </w:num>
  <w:num w:numId="17" w16cid:durableId="668408719">
    <w:abstractNumId w:val="21"/>
  </w:num>
  <w:num w:numId="18" w16cid:durableId="1654724875">
    <w:abstractNumId w:val="21"/>
  </w:num>
  <w:num w:numId="19" w16cid:durableId="745765239">
    <w:abstractNumId w:val="21"/>
  </w:num>
  <w:num w:numId="20" w16cid:durableId="995501098">
    <w:abstractNumId w:val="21"/>
  </w:num>
  <w:num w:numId="21" w16cid:durableId="938951546">
    <w:abstractNumId w:val="21"/>
  </w:num>
  <w:num w:numId="22" w16cid:durableId="830489830">
    <w:abstractNumId w:val="21"/>
  </w:num>
  <w:num w:numId="23" w16cid:durableId="1428043858">
    <w:abstractNumId w:val="21"/>
  </w:num>
  <w:num w:numId="24" w16cid:durableId="1930307668">
    <w:abstractNumId w:val="25"/>
  </w:num>
  <w:num w:numId="25" w16cid:durableId="1668747250">
    <w:abstractNumId w:val="21"/>
  </w:num>
  <w:num w:numId="26" w16cid:durableId="1153838701">
    <w:abstractNumId w:val="5"/>
  </w:num>
  <w:num w:numId="27" w16cid:durableId="1951207094">
    <w:abstractNumId w:val="26"/>
  </w:num>
  <w:num w:numId="28" w16cid:durableId="2026245741">
    <w:abstractNumId w:val="22"/>
  </w:num>
  <w:num w:numId="29" w16cid:durableId="20199165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0892291">
    <w:abstractNumId w:val="18"/>
  </w:num>
  <w:num w:numId="31" w16cid:durableId="768352348">
    <w:abstractNumId w:val="8"/>
  </w:num>
  <w:num w:numId="32" w16cid:durableId="1440562810">
    <w:abstractNumId w:val="17"/>
  </w:num>
  <w:num w:numId="33" w16cid:durableId="1331567677">
    <w:abstractNumId w:val="1"/>
  </w:num>
  <w:num w:numId="34" w16cid:durableId="1602713073">
    <w:abstractNumId w:val="21"/>
  </w:num>
  <w:num w:numId="35" w16cid:durableId="972249035">
    <w:abstractNumId w:val="21"/>
  </w:num>
  <w:num w:numId="36" w16cid:durableId="295139398">
    <w:abstractNumId w:val="21"/>
  </w:num>
  <w:num w:numId="37" w16cid:durableId="1667243135">
    <w:abstractNumId w:val="21"/>
  </w:num>
  <w:num w:numId="38" w16cid:durableId="1584028975">
    <w:abstractNumId w:val="14"/>
  </w:num>
  <w:num w:numId="39" w16cid:durableId="219488433">
    <w:abstractNumId w:val="27"/>
  </w:num>
  <w:num w:numId="40" w16cid:durableId="2074884438">
    <w:abstractNumId w:val="7"/>
  </w:num>
  <w:num w:numId="41" w16cid:durableId="1663654020">
    <w:abstractNumId w:val="16"/>
  </w:num>
  <w:num w:numId="42" w16cid:durableId="1753814679">
    <w:abstractNumId w:val="20"/>
  </w:num>
  <w:num w:numId="43" w16cid:durableId="853225936">
    <w:abstractNumId w:val="10"/>
  </w:num>
  <w:num w:numId="44" w16cid:durableId="1894466567">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2CC2"/>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225DF"/>
    <w:rsid w:val="00196957"/>
    <w:rsid w:val="001A3C41"/>
    <w:rsid w:val="001A4CA6"/>
    <w:rsid w:val="001B360A"/>
    <w:rsid w:val="001D3744"/>
    <w:rsid w:val="001E38E7"/>
    <w:rsid w:val="001E3AAD"/>
    <w:rsid w:val="00213DA6"/>
    <w:rsid w:val="00216302"/>
    <w:rsid w:val="00233BCC"/>
    <w:rsid w:val="00236D2D"/>
    <w:rsid w:val="00245A2B"/>
    <w:rsid w:val="00252382"/>
    <w:rsid w:val="002D1C62"/>
    <w:rsid w:val="002D367B"/>
    <w:rsid w:val="0030348A"/>
    <w:rsid w:val="00327384"/>
    <w:rsid w:val="00354EC2"/>
    <w:rsid w:val="003718C1"/>
    <w:rsid w:val="00387FAC"/>
    <w:rsid w:val="00397220"/>
    <w:rsid w:val="003B0A38"/>
    <w:rsid w:val="003C04EE"/>
    <w:rsid w:val="003D35A3"/>
    <w:rsid w:val="003D6E13"/>
    <w:rsid w:val="003E2869"/>
    <w:rsid w:val="003E3722"/>
    <w:rsid w:val="003F320E"/>
    <w:rsid w:val="004141D3"/>
    <w:rsid w:val="004227ED"/>
    <w:rsid w:val="00424602"/>
    <w:rsid w:val="00445BCE"/>
    <w:rsid w:val="00447DD8"/>
    <w:rsid w:val="00454F25"/>
    <w:rsid w:val="004710B8"/>
    <w:rsid w:val="004779CF"/>
    <w:rsid w:val="004957D3"/>
    <w:rsid w:val="00495E9D"/>
    <w:rsid w:val="004B66D9"/>
    <w:rsid w:val="004D1E30"/>
    <w:rsid w:val="004E2E5B"/>
    <w:rsid w:val="00533E65"/>
    <w:rsid w:val="005425C2"/>
    <w:rsid w:val="0055724C"/>
    <w:rsid w:val="0056681E"/>
    <w:rsid w:val="00572AA9"/>
    <w:rsid w:val="0058291A"/>
    <w:rsid w:val="00595906"/>
    <w:rsid w:val="005A3A48"/>
    <w:rsid w:val="005A4594"/>
    <w:rsid w:val="005B11F9"/>
    <w:rsid w:val="005C7313"/>
    <w:rsid w:val="005D0E4C"/>
    <w:rsid w:val="005D3A00"/>
    <w:rsid w:val="00631D73"/>
    <w:rsid w:val="006B19BD"/>
    <w:rsid w:val="006D1E1B"/>
    <w:rsid w:val="006F7866"/>
    <w:rsid w:val="00705ABC"/>
    <w:rsid w:val="007101D5"/>
    <w:rsid w:val="00717B64"/>
    <w:rsid w:val="007603B1"/>
    <w:rsid w:val="0077711D"/>
    <w:rsid w:val="007A047E"/>
    <w:rsid w:val="007A64FD"/>
    <w:rsid w:val="007B201A"/>
    <w:rsid w:val="007C2143"/>
    <w:rsid w:val="007F3ACD"/>
    <w:rsid w:val="0080061F"/>
    <w:rsid w:val="0080133F"/>
    <w:rsid w:val="00803002"/>
    <w:rsid w:val="0080498F"/>
    <w:rsid w:val="0082165F"/>
    <w:rsid w:val="00860654"/>
    <w:rsid w:val="008855D0"/>
    <w:rsid w:val="00896E10"/>
    <w:rsid w:val="008B5857"/>
    <w:rsid w:val="008C20D5"/>
    <w:rsid w:val="00903467"/>
    <w:rsid w:val="00906EAA"/>
    <w:rsid w:val="0092508D"/>
    <w:rsid w:val="00965C35"/>
    <w:rsid w:val="00970DD2"/>
    <w:rsid w:val="009A077C"/>
    <w:rsid w:val="009B5DE5"/>
    <w:rsid w:val="009D15F1"/>
    <w:rsid w:val="009D2B10"/>
    <w:rsid w:val="00A2199C"/>
    <w:rsid w:val="00A43896"/>
    <w:rsid w:val="00A43F21"/>
    <w:rsid w:val="00A6244E"/>
    <w:rsid w:val="00A678E1"/>
    <w:rsid w:val="00B41635"/>
    <w:rsid w:val="00B4283F"/>
    <w:rsid w:val="00B52748"/>
    <w:rsid w:val="00B5357A"/>
    <w:rsid w:val="00B643B6"/>
    <w:rsid w:val="00BB3D8D"/>
    <w:rsid w:val="00BD6483"/>
    <w:rsid w:val="00C503A7"/>
    <w:rsid w:val="00C5215F"/>
    <w:rsid w:val="00C57F6C"/>
    <w:rsid w:val="00CB4A28"/>
    <w:rsid w:val="00CF2CAB"/>
    <w:rsid w:val="00D34EA0"/>
    <w:rsid w:val="00D709B4"/>
    <w:rsid w:val="00DB06D7"/>
    <w:rsid w:val="00DD3676"/>
    <w:rsid w:val="00DD62A5"/>
    <w:rsid w:val="00DD6907"/>
    <w:rsid w:val="00DD7526"/>
    <w:rsid w:val="00DE3537"/>
    <w:rsid w:val="00E22E32"/>
    <w:rsid w:val="00E43B69"/>
    <w:rsid w:val="00E4584F"/>
    <w:rsid w:val="00E671C3"/>
    <w:rsid w:val="00E90142"/>
    <w:rsid w:val="00E9269E"/>
    <w:rsid w:val="00EE2C85"/>
    <w:rsid w:val="00EE3034"/>
    <w:rsid w:val="00EF3676"/>
    <w:rsid w:val="00F05841"/>
    <w:rsid w:val="00F06EE8"/>
    <w:rsid w:val="00F071B6"/>
    <w:rsid w:val="00F07349"/>
    <w:rsid w:val="00F113EF"/>
    <w:rsid w:val="00F12474"/>
    <w:rsid w:val="00F126F3"/>
    <w:rsid w:val="00F22AE5"/>
    <w:rsid w:val="00F25CB6"/>
    <w:rsid w:val="00F829C0"/>
    <w:rsid w:val="00F829F6"/>
    <w:rsid w:val="00F85A3C"/>
    <w:rsid w:val="00FA3A08"/>
    <w:rsid w:val="00FA72F5"/>
    <w:rsid w:val="00FC4D90"/>
    <w:rsid w:val="00FD13BE"/>
    <w:rsid w:val="00FF7482"/>
    <w:rsid w:val="00FF7A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4618">
      <w:bodyDiv w:val="1"/>
      <w:marLeft w:val="0"/>
      <w:marRight w:val="0"/>
      <w:marTop w:val="0"/>
      <w:marBottom w:val="0"/>
      <w:divBdr>
        <w:top w:val="none" w:sz="0" w:space="0" w:color="auto"/>
        <w:left w:val="none" w:sz="0" w:space="0" w:color="auto"/>
        <w:bottom w:val="none" w:sz="0" w:space="0" w:color="auto"/>
        <w:right w:val="none" w:sz="0" w:space="0" w:color="auto"/>
      </w:divBdr>
    </w:div>
    <w:div w:id="394552547">
      <w:bodyDiv w:val="1"/>
      <w:marLeft w:val="0"/>
      <w:marRight w:val="0"/>
      <w:marTop w:val="0"/>
      <w:marBottom w:val="0"/>
      <w:divBdr>
        <w:top w:val="none" w:sz="0" w:space="0" w:color="auto"/>
        <w:left w:val="none" w:sz="0" w:space="0" w:color="auto"/>
        <w:bottom w:val="none" w:sz="0" w:space="0" w:color="auto"/>
        <w:right w:val="none" w:sz="0" w:space="0" w:color="auto"/>
      </w:divBdr>
    </w:div>
    <w:div w:id="1100443509">
      <w:bodyDiv w:val="1"/>
      <w:marLeft w:val="0"/>
      <w:marRight w:val="0"/>
      <w:marTop w:val="0"/>
      <w:marBottom w:val="0"/>
      <w:divBdr>
        <w:top w:val="none" w:sz="0" w:space="0" w:color="auto"/>
        <w:left w:val="none" w:sz="0" w:space="0" w:color="auto"/>
        <w:bottom w:val="none" w:sz="0" w:space="0" w:color="auto"/>
        <w:right w:val="none" w:sz="0" w:space="0" w:color="auto"/>
      </w:divBdr>
    </w:div>
    <w:div w:id="16433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sd.govt.nz/about-msd-and-our-work/about-msd/strategies/pacific-strategy/index.html" TargetMode="Externa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sd.govt.nz/documents/about-msd-and-our-work/about-msd/strategies/te-pae-tata/te-pae-tata-maori-strategy-and-action-plan-sing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6</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Sacha Robinson</cp:lastModifiedBy>
  <cp:revision>7</cp:revision>
  <dcterms:created xsi:type="dcterms:W3CDTF">2025-05-08T01:24:00Z</dcterms:created>
  <dcterms:modified xsi:type="dcterms:W3CDTF">2025-05-27T22:15:00Z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11ad0b93,631bff7e,18ecf5e8,145942a0,7aaf5b0,75d13d82</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2025-05-08T01:24:46Z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d52a4f65-4bd2-4d6d-b880-bbf77f89f4a8</vt:lpwstr>
  </property>
  <property fmtid="{D5CDD505-2E9C-101B-9397-08002B2CF9AE}" pid="11" name="MSIP_Label_f43e46a9-9901-46e9-bfae-bb6189d4cb66_ContentBits">
    <vt:lpwstr>1</vt:lpwstr>
  </property>
</Properties>
</file>