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D7D" w14:textId="30A64F58" w:rsidR="00F05C09" w:rsidRDefault="00C7317E" w:rsidP="00F113EF">
      <w:r>
        <w:rPr>
          <w:noProof/>
        </w:rPr>
        <w:drawing>
          <wp:inline distT="0" distB="0" distL="0" distR="0" wp14:anchorId="3108DDDD" wp14:editId="5F743B27">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241B10D9" w:rsidR="00F05C09" w:rsidRDefault="00F2628D" w:rsidP="00F27D60">
      <w:pPr>
        <w:pStyle w:val="Heading1"/>
        <w:spacing w:before="360"/>
        <w:rPr>
          <w:color w:val="121F6B"/>
        </w:rPr>
      </w:pPr>
      <w:r>
        <w:rPr>
          <w:color w:val="121F6B"/>
        </w:rPr>
        <w:t>FinOps Platform Specialist</w:t>
      </w:r>
      <w:r w:rsidR="007631D9">
        <w:rPr>
          <w:color w:val="121F6B"/>
        </w:rPr>
        <w:t xml:space="preserve">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9106E6">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9106E6">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9106E6">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9106E6">
            <w:pPr>
              <w:pStyle w:val="Valuesintables"/>
              <w:rPr>
                <w:sz w:val="22"/>
                <w:szCs w:val="18"/>
                <w:lang w:val="mi-NZ"/>
              </w:rPr>
            </w:pPr>
            <w:r w:rsidRPr="00BB6450">
              <w:rPr>
                <w:sz w:val="22"/>
                <w:szCs w:val="18"/>
                <w:lang w:val="mi-NZ"/>
              </w:rPr>
              <w:t>Kotahitanga</w:t>
            </w:r>
          </w:p>
          <w:p w14:paraId="0FA91589" w14:textId="77777777" w:rsidR="00F05C09" w:rsidRPr="003B2B0B" w:rsidRDefault="00F05C09" w:rsidP="009106E6">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9106E6">
            <w:pPr>
              <w:ind w:left="-109"/>
            </w:pPr>
            <w:r>
              <w:rPr>
                <w:noProof/>
              </w:rPr>
              <w:drawing>
                <wp:anchor distT="0" distB="0" distL="114300" distR="114300" simplePos="0" relativeHeight="251658240"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9106E6">
            <w:pPr>
              <w:pStyle w:val="Valuesintables"/>
              <w:rPr>
                <w:sz w:val="22"/>
                <w:szCs w:val="18"/>
                <w:lang w:val="mi-NZ"/>
              </w:rPr>
            </w:pPr>
            <w:r w:rsidRPr="00BB6450">
              <w:rPr>
                <w:sz w:val="22"/>
                <w:szCs w:val="18"/>
                <w:lang w:val="mi-NZ"/>
              </w:rPr>
              <w:t xml:space="preserve">Kia takatū </w:t>
            </w:r>
            <w:proofErr w:type="spellStart"/>
            <w:r w:rsidRPr="00BB6450">
              <w:rPr>
                <w:sz w:val="22"/>
                <w:szCs w:val="18"/>
                <w:lang w:val="mi-NZ"/>
              </w:rPr>
              <w:t>tatou</w:t>
            </w:r>
            <w:proofErr w:type="spellEnd"/>
          </w:p>
          <w:p w14:paraId="20C8CA19" w14:textId="489D538A" w:rsidR="00F05C09" w:rsidRPr="003B2B0B" w:rsidRDefault="00F05C09" w:rsidP="009106E6">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9106E6">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9106E6">
            <w:pPr>
              <w:pStyle w:val="Valuesintables"/>
              <w:rPr>
                <w:sz w:val="22"/>
                <w:szCs w:val="18"/>
                <w:lang w:val="mi-NZ"/>
              </w:rPr>
            </w:pPr>
            <w:r w:rsidRPr="00BB6450">
              <w:rPr>
                <w:sz w:val="22"/>
                <w:szCs w:val="18"/>
                <w:lang w:val="mi-NZ"/>
              </w:rPr>
              <w:t>Manaaki</w:t>
            </w:r>
          </w:p>
          <w:p w14:paraId="042D2A7B" w14:textId="77777777" w:rsidR="00E42617" w:rsidRPr="00582BA4" w:rsidRDefault="00E42617" w:rsidP="009106E6">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9106E6">
            <w:pPr>
              <w:pStyle w:val="Valuesintables"/>
              <w:rPr>
                <w:sz w:val="22"/>
                <w:szCs w:val="18"/>
                <w:lang w:val="mi-NZ"/>
              </w:rPr>
            </w:pPr>
            <w:r w:rsidRPr="00BB6450">
              <w:rPr>
                <w:sz w:val="22"/>
                <w:szCs w:val="18"/>
                <w:lang w:val="mi-NZ"/>
              </w:rPr>
              <w:t>Whānau</w:t>
            </w:r>
          </w:p>
          <w:p w14:paraId="081A5F43" w14:textId="77777777" w:rsidR="00E42617" w:rsidRPr="00582BA4" w:rsidRDefault="00E42617" w:rsidP="009106E6">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9106E6">
            <w:pPr>
              <w:pStyle w:val="Valuesintables"/>
              <w:rPr>
                <w:sz w:val="22"/>
                <w:szCs w:val="18"/>
                <w:lang w:val="mi-NZ"/>
              </w:rPr>
            </w:pPr>
            <w:r w:rsidRPr="00BB6450">
              <w:rPr>
                <w:sz w:val="22"/>
                <w:szCs w:val="18"/>
                <w:lang w:val="mi-NZ"/>
              </w:rPr>
              <w:t>Mahi tahi</w:t>
            </w:r>
          </w:p>
          <w:p w14:paraId="095717F6" w14:textId="09720316" w:rsidR="00E42617" w:rsidRPr="00582BA4" w:rsidRDefault="00E42617" w:rsidP="009106E6">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9106E6">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9106E6">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9106E6">
            <w:pPr>
              <w:pStyle w:val="Valuesintables"/>
              <w:rPr>
                <w:szCs w:val="18"/>
                <w:lang w:val="mi-NZ"/>
              </w:rPr>
            </w:pPr>
          </w:p>
        </w:tc>
        <w:tc>
          <w:tcPr>
            <w:tcW w:w="1123" w:type="pct"/>
          </w:tcPr>
          <w:p w14:paraId="24310D56" w14:textId="77777777" w:rsidR="00BF3B63" w:rsidRPr="00BB6450" w:rsidRDefault="00BF3B63" w:rsidP="009106E6">
            <w:pPr>
              <w:pStyle w:val="Valuesintables"/>
              <w:rPr>
                <w:szCs w:val="18"/>
                <w:lang w:val="mi-NZ"/>
              </w:rPr>
            </w:pPr>
          </w:p>
        </w:tc>
        <w:tc>
          <w:tcPr>
            <w:tcW w:w="1415" w:type="pct"/>
          </w:tcPr>
          <w:p w14:paraId="08D95D22" w14:textId="77777777" w:rsidR="00BF3B63" w:rsidRPr="00BB6450" w:rsidRDefault="00BF3B63" w:rsidP="009106E6">
            <w:pPr>
              <w:pStyle w:val="Valuesintables"/>
              <w:rPr>
                <w:szCs w:val="18"/>
                <w:lang w:val="mi-NZ"/>
              </w:rPr>
            </w:pPr>
          </w:p>
        </w:tc>
        <w:tc>
          <w:tcPr>
            <w:tcW w:w="1375" w:type="pct"/>
          </w:tcPr>
          <w:p w14:paraId="15D6A05F" w14:textId="77777777" w:rsidR="00BF3B63" w:rsidRPr="00BB6450" w:rsidRDefault="00BF3B63" w:rsidP="009106E6">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t>
      </w:r>
      <w:proofErr w:type="spellStart"/>
      <w:r w:rsidRPr="00BB6450">
        <w:rPr>
          <w:szCs w:val="18"/>
          <w:lang w:val="mi-NZ" w:eastAsia="en-NZ"/>
        </w:rPr>
        <w:t>whakakotahingia</w:t>
      </w:r>
      <w:proofErr w:type="spellEnd"/>
      <w:r w:rsidRPr="00BB6450">
        <w:rPr>
          <w:szCs w:val="18"/>
          <w:lang w:val="mi-NZ" w:eastAsia="en-NZ"/>
        </w:rPr>
        <w:t xml:space="preserve">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C35AE">
      <w:pPr>
        <w:pStyle w:val="Bulletsstyle"/>
        <w:rPr>
          <w:szCs w:val="18"/>
          <w:lang w:val="en"/>
        </w:rPr>
      </w:pPr>
      <w:r w:rsidRPr="00582BA4">
        <w:rPr>
          <w:szCs w:val="18"/>
        </w:rPr>
        <w:t>New Zealanders get the support they require</w:t>
      </w:r>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C35AE">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9106E6">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9106E6">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C35AE" w:rsidRPr="00582BA4" w14:paraId="77F52F0C" w14:textId="77777777" w:rsidTr="00B02A8F">
        <w:trPr>
          <w:trHeight w:val="110"/>
        </w:trPr>
        <w:tc>
          <w:tcPr>
            <w:tcW w:w="3828" w:type="dxa"/>
          </w:tcPr>
          <w:p w14:paraId="4FFFCA4E" w14:textId="77777777" w:rsidR="00BC35AE" w:rsidRPr="00001691" w:rsidRDefault="00BC35AE" w:rsidP="009106E6">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9106E6">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9106E6">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9106E6">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9106E6">
            <w:pPr>
              <w:rPr>
                <w:sz w:val="22"/>
                <w:szCs w:val="18"/>
                <w:lang w:val="mi-NZ"/>
              </w:rPr>
            </w:pPr>
            <w:r w:rsidRPr="00001691">
              <w:rPr>
                <w:sz w:val="22"/>
                <w:szCs w:val="18"/>
                <w:lang w:val="mi-NZ"/>
              </w:rPr>
              <w:t xml:space="preserve">Ui mai ki </w:t>
            </w:r>
            <w:proofErr w:type="spellStart"/>
            <w:r w:rsidRPr="00001691">
              <w:rPr>
                <w:sz w:val="22"/>
                <w:szCs w:val="18"/>
                <w:lang w:val="mi-NZ"/>
              </w:rPr>
              <w:t>ahau</w:t>
            </w:r>
            <w:proofErr w:type="spellEnd"/>
            <w:r w:rsidRPr="00001691">
              <w:rPr>
                <w:sz w:val="22"/>
                <w:szCs w:val="18"/>
                <w:lang w:val="mi-NZ"/>
              </w:rPr>
              <w:t>,</w:t>
            </w:r>
          </w:p>
        </w:tc>
        <w:tc>
          <w:tcPr>
            <w:tcW w:w="5913" w:type="dxa"/>
          </w:tcPr>
          <w:p w14:paraId="1BA41B72" w14:textId="77777777" w:rsidR="00BC35AE" w:rsidRPr="00582BA4" w:rsidRDefault="00BC35AE" w:rsidP="009106E6">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9106E6">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9106E6">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9106E6">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9106E6">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9106E6">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9106E6">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1FC7BCCB" w:rsidR="00241016" w:rsidRPr="003945DE" w:rsidRDefault="00241016" w:rsidP="00241016">
      <w:pPr>
        <w:pStyle w:val="Heading3"/>
      </w:pPr>
      <w:r w:rsidRPr="003945DE">
        <w:t>Overview of position</w:t>
      </w:r>
    </w:p>
    <w:p w14:paraId="3CBD1476" w14:textId="77777777" w:rsidR="00F2628D" w:rsidRDefault="00F2628D" w:rsidP="000D5803">
      <w:r w:rsidRPr="00F2628D">
        <w:t xml:space="preserve">The FinOps Platform Specialist </w:t>
      </w:r>
      <w:r>
        <w:t xml:space="preserve">delivers </w:t>
      </w:r>
      <w:r w:rsidRPr="00F2628D">
        <w:t xml:space="preserve">a </w:t>
      </w:r>
      <w:r>
        <w:t>critical</w:t>
      </w:r>
      <w:r w:rsidRPr="00F2628D">
        <w:t xml:space="preserve"> </w:t>
      </w:r>
      <w:r>
        <w:t xml:space="preserve">function </w:t>
      </w:r>
      <w:r w:rsidRPr="00F2628D">
        <w:t>in bridging traditional IT capacity planning</w:t>
      </w:r>
      <w:r>
        <w:t xml:space="preserve"> together</w:t>
      </w:r>
      <w:r w:rsidRPr="00F2628D">
        <w:t xml:space="preserve"> with modern cloud financial operations. </w:t>
      </w:r>
    </w:p>
    <w:p w14:paraId="31A52D8E" w14:textId="77777777" w:rsidR="00F2628D" w:rsidRDefault="00F2628D" w:rsidP="000D5803">
      <w:r w:rsidRPr="00F2628D">
        <w:t xml:space="preserve">This position is responsible for driving visibility and accountability across teams, optimizing cloud platform usage and spend. The FinOps Platform Specialist ensures alignment between engineering, finance, and operations teams, facilitating cost management practices that enhance cloud cost transparency and efficiency. </w:t>
      </w:r>
    </w:p>
    <w:p w14:paraId="07DF52F0" w14:textId="77777777" w:rsidR="00F2628D" w:rsidRDefault="00F2628D" w:rsidP="000D5803">
      <w:r w:rsidRPr="00F2628D">
        <w:t>By implementing best practices for cost optimization, this role supports the business in maximizing cloud investments while maintaining strong financial governance and cost control.</w:t>
      </w:r>
    </w:p>
    <w:p w14:paraId="40696B6C" w14:textId="28D17E19" w:rsidR="000D5803" w:rsidRPr="00F2628D" w:rsidRDefault="000D5803" w:rsidP="00F2628D">
      <w:r w:rsidRPr="00F2628D">
        <w:t xml:space="preserve">The role is responsible for: </w:t>
      </w:r>
    </w:p>
    <w:p w14:paraId="26373E58" w14:textId="563D516F" w:rsidR="005370B4" w:rsidRPr="005370B4" w:rsidRDefault="005370B4" w:rsidP="00672657">
      <w:pPr>
        <w:pStyle w:val="ListParagraph"/>
        <w:numPr>
          <w:ilvl w:val="0"/>
          <w:numId w:val="22"/>
        </w:numPr>
        <w:ind w:left="360"/>
      </w:pPr>
      <w:r w:rsidRPr="005370B4">
        <w:t>Continuously track</w:t>
      </w:r>
      <w:r w:rsidR="004F6150">
        <w:t>ing</w:t>
      </w:r>
      <w:r w:rsidRPr="005370B4">
        <w:t xml:space="preserve"> and analys</w:t>
      </w:r>
      <w:r w:rsidR="004F6150">
        <w:t>ing</w:t>
      </w:r>
      <w:r w:rsidRPr="005370B4">
        <w:t xml:space="preserve"> platform usage patterns to ensure they align with financial forecasts. This includes identifying usage trends, forecasting future consumption, and adjusting budgets accordingly to maintain cost efficiency. </w:t>
      </w:r>
    </w:p>
    <w:p w14:paraId="5911F86D" w14:textId="05E8FAAE" w:rsidR="005370B4" w:rsidRPr="005370B4" w:rsidRDefault="005370B4" w:rsidP="00672657">
      <w:pPr>
        <w:pStyle w:val="ListParagraph"/>
        <w:numPr>
          <w:ilvl w:val="0"/>
          <w:numId w:val="22"/>
        </w:numPr>
        <w:ind w:left="360"/>
      </w:pPr>
      <w:r w:rsidRPr="005370B4">
        <w:t>Work</w:t>
      </w:r>
      <w:r w:rsidR="004F6150">
        <w:t>ing</w:t>
      </w:r>
      <w:r w:rsidRPr="005370B4">
        <w:t xml:space="preserve"> closely with platform and cloud engineers to uncover inefficiencies and implement cost-saving measures including rightsizing resources, eliminating unused assets, and leveraging cloud provider reservation offerings. </w:t>
      </w:r>
    </w:p>
    <w:p w14:paraId="08B0F9A7" w14:textId="5F9F3A8F" w:rsidR="005370B4" w:rsidRPr="005370B4" w:rsidRDefault="005370B4" w:rsidP="00672657">
      <w:pPr>
        <w:pStyle w:val="ListParagraph"/>
        <w:numPr>
          <w:ilvl w:val="0"/>
          <w:numId w:val="22"/>
        </w:numPr>
        <w:ind w:left="360"/>
      </w:pPr>
      <w:r w:rsidRPr="005370B4">
        <w:t>Generat</w:t>
      </w:r>
      <w:r w:rsidR="004F6150">
        <w:t>ing</w:t>
      </w:r>
      <w:r w:rsidRPr="005370B4">
        <w:t xml:space="preserve"> detailed reports that break down spending and usage metrics to provide stakeholders with clear, actionable insights to guide budgeting decisions and optimize resource utilisation. </w:t>
      </w:r>
    </w:p>
    <w:p w14:paraId="51540552" w14:textId="37BB6EF6" w:rsidR="005370B4" w:rsidRPr="005370B4" w:rsidRDefault="005370B4" w:rsidP="00672657">
      <w:pPr>
        <w:pStyle w:val="ListParagraph"/>
        <w:numPr>
          <w:ilvl w:val="0"/>
          <w:numId w:val="22"/>
        </w:numPr>
        <w:ind w:left="360"/>
      </w:pPr>
      <w:r w:rsidRPr="005370B4">
        <w:t>Ensur</w:t>
      </w:r>
      <w:r w:rsidR="004F6150">
        <w:t>ing</w:t>
      </w:r>
      <w:r w:rsidRPr="005370B4">
        <w:t xml:space="preserve"> that capacity planning strategies are compatible with modern architectures and dynamic scaling patterns. This includes leveraging auto-scaling, serverless technologies, and container orchestration to match demand efficiently. </w:t>
      </w:r>
    </w:p>
    <w:p w14:paraId="2E24D90A" w14:textId="4FA2A5F7" w:rsidR="005370B4" w:rsidRPr="005370B4" w:rsidRDefault="005370B4" w:rsidP="00672657">
      <w:pPr>
        <w:pStyle w:val="ListParagraph"/>
        <w:numPr>
          <w:ilvl w:val="0"/>
          <w:numId w:val="22"/>
        </w:numPr>
        <w:ind w:left="360"/>
      </w:pPr>
      <w:r w:rsidRPr="005370B4">
        <w:t>Assist</w:t>
      </w:r>
      <w:r w:rsidR="004F6150">
        <w:t>ing</w:t>
      </w:r>
      <w:r w:rsidRPr="005370B4">
        <w:t xml:space="preserve"> with the implementation of robust tagging frameworks to attribute costs accurately to teams, projects, or departments. </w:t>
      </w:r>
    </w:p>
    <w:p w14:paraId="366616C8" w14:textId="20EC8E89" w:rsidR="00481590" w:rsidRDefault="00481590" w:rsidP="005370B4">
      <w:pPr>
        <w:pStyle w:val="Heading3"/>
      </w:pPr>
      <w:r>
        <w:t>Location</w:t>
      </w:r>
    </w:p>
    <w:p w14:paraId="0584CF13" w14:textId="1D9E3939" w:rsidR="00481590" w:rsidRPr="009357ED" w:rsidRDefault="00481590" w:rsidP="00481590">
      <w:pPr>
        <w:pStyle w:val="Paragraphstyleinsidetables"/>
        <w:rPr>
          <w:b/>
          <w:bCs/>
        </w:rPr>
      </w:pPr>
      <w:r w:rsidRPr="000A03A0">
        <w:t>National Office, Wellington</w:t>
      </w:r>
      <w:r>
        <w:t xml:space="preserve"> and Aucklan</w:t>
      </w:r>
      <w:r w:rsidR="00CC5FDE">
        <w:t>d</w:t>
      </w:r>
      <w:r w:rsidRPr="000A03A0">
        <w:t xml:space="preserve">. </w:t>
      </w:r>
    </w:p>
    <w:p w14:paraId="5308CC44" w14:textId="77777777" w:rsidR="00481590" w:rsidRPr="00E10E05" w:rsidRDefault="00481590" w:rsidP="00481590">
      <w:pPr>
        <w:pStyle w:val="Heading3"/>
      </w:pPr>
      <w:r w:rsidRPr="00E10E05">
        <w:t>Reports to</w:t>
      </w:r>
    </w:p>
    <w:p w14:paraId="260321A5" w14:textId="00179AEE" w:rsidR="0098130A" w:rsidRDefault="00EF3859" w:rsidP="00481590">
      <w:r>
        <w:t>Manager Infrastructure</w:t>
      </w:r>
    </w:p>
    <w:p w14:paraId="249F4F57" w14:textId="77777777" w:rsidR="0098130A" w:rsidRDefault="0098130A" w:rsidP="0098130A">
      <w:pPr>
        <w:pStyle w:val="Heading4"/>
      </w:pPr>
      <w:r>
        <w:br w:type="page"/>
      </w:r>
    </w:p>
    <w:p w14:paraId="5661E589" w14:textId="3BFD020D" w:rsidR="009357ED" w:rsidRDefault="009357ED" w:rsidP="009357ED">
      <w:pPr>
        <w:pStyle w:val="Heading2"/>
      </w:pPr>
      <w:r>
        <w:lastRenderedPageBreak/>
        <w:t>Key responsibilities</w:t>
      </w:r>
    </w:p>
    <w:p w14:paraId="478003EF" w14:textId="77777777" w:rsidR="00AD6305" w:rsidRDefault="00AD6305" w:rsidP="00AD6305">
      <w:r>
        <w:t>MSD uses the current version of Skills Framework for the Information Age (SFIA) to describe the skills required for roles. Each skill description is made up of an overall definition of the skill and a description of the skill at each of up to seven levels.</w:t>
      </w:r>
    </w:p>
    <w:p w14:paraId="1523D0F4" w14:textId="77777777" w:rsidR="00AD6305" w:rsidRPr="00D4766F" w:rsidRDefault="00AD6305" w:rsidP="00AD6305">
      <w: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733A8D42" w14:textId="656C7961" w:rsidR="009357ED" w:rsidRPr="00365EBF" w:rsidRDefault="009357ED" w:rsidP="009357ED">
      <w:pPr>
        <w:pStyle w:val="Heading3"/>
      </w:pPr>
      <w:bookmarkStart w:id="0" w:name="_Hlk198713694"/>
      <w:r w:rsidRPr="00365EBF">
        <w:t>Required skills</w:t>
      </w:r>
    </w:p>
    <w:bookmarkEnd w:id="0"/>
    <w:p w14:paraId="183232DD" w14:textId="77777777" w:rsidR="006017F1" w:rsidRPr="00365EBF" w:rsidRDefault="006017F1" w:rsidP="006017F1">
      <w:pPr>
        <w:spacing w:after="120"/>
        <w:rPr>
          <w:rFonts w:asciiTheme="majorHAnsi" w:hAnsiTheme="majorHAnsi"/>
          <w:b/>
          <w:color w:val="002060"/>
          <w:szCs w:val="24"/>
        </w:rPr>
      </w:pPr>
      <w:r w:rsidRPr="00365EBF">
        <w:rPr>
          <w:rFonts w:asciiTheme="majorHAnsi" w:hAnsiTheme="majorHAnsi"/>
          <w:color w:val="002060"/>
          <w:szCs w:val="24"/>
        </w:rPr>
        <w:fldChar w:fldCharType="begin"/>
      </w:r>
      <w:r w:rsidRPr="00365EBF">
        <w:rPr>
          <w:rFonts w:asciiTheme="majorHAnsi" w:hAnsiTheme="majorHAnsi"/>
          <w:color w:val="002060"/>
          <w:szCs w:val="24"/>
        </w:rPr>
        <w:instrText>HYPERLINK "https://sfia.nz/sfia9/rlmt" \o "Stakeholder Relationship Management (RLMT) on SFIA.NZ"</w:instrText>
      </w:r>
      <w:r w:rsidRPr="00365EBF">
        <w:rPr>
          <w:rFonts w:asciiTheme="majorHAnsi" w:hAnsiTheme="majorHAnsi"/>
          <w:color w:val="002060"/>
          <w:szCs w:val="24"/>
        </w:rPr>
      </w:r>
      <w:r w:rsidRPr="00365EBF">
        <w:rPr>
          <w:rFonts w:asciiTheme="majorHAnsi" w:hAnsiTheme="majorHAnsi"/>
          <w:color w:val="002060"/>
          <w:szCs w:val="24"/>
        </w:rPr>
        <w:fldChar w:fldCharType="separate"/>
      </w:r>
      <w:r w:rsidRPr="00365EBF">
        <w:rPr>
          <w:rStyle w:val="Hyperlink"/>
          <w:rFonts w:asciiTheme="majorHAnsi" w:hAnsiTheme="majorHAnsi"/>
          <w:b/>
          <w:color w:val="002060"/>
          <w:szCs w:val="24"/>
          <w:u w:val="none"/>
        </w:rPr>
        <w:t>Stakeholder Relationship Management (RLMT) Level 4</w:t>
      </w:r>
      <w:r w:rsidRPr="00365EBF">
        <w:rPr>
          <w:rFonts w:asciiTheme="majorHAnsi" w:hAnsiTheme="majorHAnsi"/>
          <w:color w:val="002060"/>
          <w:szCs w:val="24"/>
        </w:rPr>
        <w:fldChar w:fldCharType="end"/>
      </w:r>
    </w:p>
    <w:p w14:paraId="58D6122A" w14:textId="77777777" w:rsidR="006017F1" w:rsidRPr="00365EBF" w:rsidRDefault="006017F1" w:rsidP="006017F1">
      <w:pPr>
        <w:spacing w:after="120"/>
        <w:rPr>
          <w:iCs/>
          <w:szCs w:val="24"/>
        </w:rPr>
      </w:pPr>
      <w:r w:rsidRPr="00365EBF">
        <w:rPr>
          <w:iCs/>
          <w:szCs w:val="24"/>
        </w:rPr>
        <w:t>Systematically analysing, managing and influencing stakeholder relationships to achieve mutually beneficial outcomes through structured engagement.</w:t>
      </w:r>
    </w:p>
    <w:p w14:paraId="2783B2D8" w14:textId="77777777" w:rsidR="006017F1" w:rsidRPr="00365EBF" w:rsidRDefault="006017F1" w:rsidP="00672657">
      <w:pPr>
        <w:pStyle w:val="ListParagraph"/>
        <w:numPr>
          <w:ilvl w:val="0"/>
          <w:numId w:val="14"/>
        </w:numPr>
        <w:spacing w:after="200" w:line="256" w:lineRule="auto"/>
        <w:ind w:left="360"/>
        <w:rPr>
          <w:szCs w:val="24"/>
        </w:rPr>
      </w:pPr>
      <w:r w:rsidRPr="00365EBF">
        <w:rPr>
          <w:szCs w:val="24"/>
        </w:rPr>
        <w:t>Deals with problems and issues, managing resolutions, corrective actions, lessons learned and the collection and dissemination of relevant information.</w:t>
      </w:r>
    </w:p>
    <w:p w14:paraId="0270DD4B" w14:textId="77777777" w:rsidR="006017F1" w:rsidRPr="00365EBF" w:rsidRDefault="006017F1" w:rsidP="00672657">
      <w:pPr>
        <w:pStyle w:val="ListParagraph"/>
        <w:numPr>
          <w:ilvl w:val="0"/>
          <w:numId w:val="14"/>
        </w:numPr>
        <w:spacing w:after="200" w:line="256" w:lineRule="auto"/>
        <w:ind w:left="360"/>
        <w:rPr>
          <w:szCs w:val="24"/>
        </w:rPr>
      </w:pPr>
      <w:r w:rsidRPr="00365EBF">
        <w:rPr>
          <w:szCs w:val="24"/>
        </w:rPr>
        <w:t>Implements stakeholder engagement/communications plans.</w:t>
      </w:r>
    </w:p>
    <w:p w14:paraId="3EE62B09" w14:textId="77777777" w:rsidR="006017F1" w:rsidRPr="00365EBF" w:rsidRDefault="006017F1" w:rsidP="00672657">
      <w:pPr>
        <w:pStyle w:val="ListParagraph"/>
        <w:numPr>
          <w:ilvl w:val="0"/>
          <w:numId w:val="14"/>
        </w:numPr>
        <w:spacing w:after="200" w:line="256" w:lineRule="auto"/>
        <w:ind w:left="360"/>
        <w:rPr>
          <w:szCs w:val="24"/>
        </w:rPr>
      </w:pPr>
      <w:r w:rsidRPr="00365EBF">
        <w:rPr>
          <w:szCs w:val="24"/>
        </w:rPr>
        <w:t>Collects and uses feedback from customers and stakeholders to help measure the effectiveness of stakeholder management.</w:t>
      </w:r>
    </w:p>
    <w:p w14:paraId="1F0DD93B" w14:textId="77777777" w:rsidR="006017F1" w:rsidRPr="00365EBF" w:rsidRDefault="006017F1" w:rsidP="00672657">
      <w:pPr>
        <w:pStyle w:val="ListParagraph"/>
        <w:numPr>
          <w:ilvl w:val="0"/>
          <w:numId w:val="14"/>
        </w:numPr>
        <w:spacing w:after="200" w:line="256" w:lineRule="auto"/>
        <w:ind w:left="360"/>
        <w:rPr>
          <w:szCs w:val="24"/>
        </w:rPr>
      </w:pPr>
      <w:r w:rsidRPr="00365EBF">
        <w:rPr>
          <w:szCs w:val="24"/>
        </w:rPr>
        <w:t>Helps develop and enhance customer and stakeholder relationships.</w:t>
      </w:r>
    </w:p>
    <w:p w14:paraId="7153788F" w14:textId="77777777" w:rsidR="006017F1" w:rsidRPr="00365EBF" w:rsidRDefault="006017F1" w:rsidP="006017F1">
      <w:pPr>
        <w:spacing w:after="120"/>
        <w:rPr>
          <w:rFonts w:asciiTheme="majorHAnsi" w:hAnsiTheme="majorHAnsi"/>
          <w:b/>
          <w:color w:val="002060"/>
          <w:szCs w:val="24"/>
        </w:rPr>
      </w:pPr>
      <w:hyperlink r:id="rId16" w:tooltip="Demand Management (DEMM) on SFIA.NZ" w:history="1">
        <w:r w:rsidRPr="00365EBF">
          <w:rPr>
            <w:rStyle w:val="Hyperlink"/>
            <w:rFonts w:asciiTheme="majorHAnsi" w:hAnsiTheme="majorHAnsi"/>
            <w:b/>
            <w:color w:val="002060"/>
            <w:szCs w:val="24"/>
            <w:u w:val="none"/>
          </w:rPr>
          <w:t>Demand Management (DEMM) Level 4</w:t>
        </w:r>
      </w:hyperlink>
    </w:p>
    <w:p w14:paraId="2A44F4C5" w14:textId="77777777" w:rsidR="006017F1" w:rsidRPr="00365EBF" w:rsidRDefault="006017F1" w:rsidP="006017F1">
      <w:pPr>
        <w:spacing w:after="120"/>
        <w:rPr>
          <w:iCs/>
          <w:szCs w:val="24"/>
        </w:rPr>
      </w:pPr>
      <w:r w:rsidRPr="00365EBF">
        <w:rPr>
          <w:iCs/>
          <w:szCs w:val="24"/>
        </w:rPr>
        <w:t>Analysing and proactively managing business demand for new services or modifications to existing service features or volumes.</w:t>
      </w:r>
    </w:p>
    <w:p w14:paraId="326EF5EB" w14:textId="77777777" w:rsidR="006017F1" w:rsidRPr="00365EBF" w:rsidRDefault="006017F1" w:rsidP="00672657">
      <w:pPr>
        <w:pStyle w:val="ListParagraph"/>
        <w:numPr>
          <w:ilvl w:val="0"/>
          <w:numId w:val="15"/>
        </w:numPr>
        <w:spacing w:after="200" w:line="256" w:lineRule="auto"/>
        <w:ind w:left="360"/>
        <w:rPr>
          <w:szCs w:val="24"/>
        </w:rPr>
      </w:pPr>
      <w:r w:rsidRPr="00365EBF">
        <w:rPr>
          <w:szCs w:val="24"/>
        </w:rPr>
        <w:t>Performs demand management analysis and planning activities within a specific business or operational area.</w:t>
      </w:r>
    </w:p>
    <w:p w14:paraId="65DD15BB" w14:textId="77777777" w:rsidR="006017F1" w:rsidRPr="00365EBF" w:rsidRDefault="006017F1" w:rsidP="00672657">
      <w:pPr>
        <w:pStyle w:val="ListParagraph"/>
        <w:numPr>
          <w:ilvl w:val="0"/>
          <w:numId w:val="15"/>
        </w:numPr>
        <w:spacing w:after="200" w:line="256" w:lineRule="auto"/>
        <w:ind w:left="360"/>
        <w:rPr>
          <w:szCs w:val="24"/>
        </w:rPr>
      </w:pPr>
      <w:r w:rsidRPr="00365EBF">
        <w:rPr>
          <w:szCs w:val="24"/>
        </w:rPr>
        <w:t>Monitors patterns of demand and identifies insights and proposals to improve business value.</w:t>
      </w:r>
    </w:p>
    <w:p w14:paraId="6D978D35" w14:textId="77777777" w:rsidR="006017F1" w:rsidRPr="00365EBF" w:rsidRDefault="006017F1" w:rsidP="00672657">
      <w:pPr>
        <w:pStyle w:val="ListParagraph"/>
        <w:numPr>
          <w:ilvl w:val="0"/>
          <w:numId w:val="15"/>
        </w:numPr>
        <w:spacing w:after="200" w:line="256" w:lineRule="auto"/>
        <w:ind w:left="360"/>
        <w:rPr>
          <w:szCs w:val="24"/>
        </w:rPr>
      </w:pPr>
      <w:r w:rsidRPr="00365EBF">
        <w:rPr>
          <w:szCs w:val="24"/>
        </w:rPr>
        <w:t>Identifies and assesses opportunities to prioritise or improve alignment between business demand and capacity to deliver.</w:t>
      </w:r>
    </w:p>
    <w:p w14:paraId="6A112822" w14:textId="77777777" w:rsidR="006017F1" w:rsidRPr="00365EBF" w:rsidRDefault="006017F1" w:rsidP="00672657">
      <w:pPr>
        <w:pStyle w:val="ListParagraph"/>
        <w:numPr>
          <w:ilvl w:val="0"/>
          <w:numId w:val="15"/>
        </w:numPr>
        <w:spacing w:after="200" w:line="256" w:lineRule="auto"/>
        <w:ind w:left="360"/>
        <w:rPr>
          <w:szCs w:val="24"/>
        </w:rPr>
      </w:pPr>
      <w:r w:rsidRPr="00365EBF">
        <w:rPr>
          <w:szCs w:val="24"/>
        </w:rPr>
        <w:t>Engages stakeholders to communicate insights, plans and decisions regarding business demand.</w:t>
      </w:r>
    </w:p>
    <w:p w14:paraId="2F3D8030" w14:textId="77777777" w:rsidR="006017F1" w:rsidRPr="00365EBF" w:rsidRDefault="006017F1" w:rsidP="006017F1">
      <w:pPr>
        <w:spacing w:after="120"/>
        <w:rPr>
          <w:rFonts w:asciiTheme="majorHAnsi" w:hAnsiTheme="majorHAnsi"/>
          <w:b/>
          <w:color w:val="002060"/>
          <w:szCs w:val="24"/>
        </w:rPr>
      </w:pPr>
      <w:hyperlink r:id="rId17" w:tooltip="Measurement (MEAS) on SFIA.NZ" w:history="1">
        <w:r w:rsidRPr="00365EBF">
          <w:rPr>
            <w:rStyle w:val="Hyperlink"/>
            <w:rFonts w:asciiTheme="majorHAnsi" w:hAnsiTheme="majorHAnsi"/>
            <w:b/>
            <w:color w:val="002060"/>
            <w:szCs w:val="24"/>
            <w:u w:val="none"/>
          </w:rPr>
          <w:t>Measurement (MEAS) Level 4</w:t>
        </w:r>
      </w:hyperlink>
    </w:p>
    <w:p w14:paraId="656B7120" w14:textId="77777777" w:rsidR="006017F1" w:rsidRPr="00365EBF" w:rsidRDefault="006017F1" w:rsidP="006017F1">
      <w:pPr>
        <w:spacing w:after="120"/>
        <w:rPr>
          <w:iCs/>
          <w:szCs w:val="24"/>
        </w:rPr>
      </w:pPr>
      <w:r w:rsidRPr="00365EBF">
        <w:rPr>
          <w:iCs/>
          <w:szCs w:val="24"/>
        </w:rPr>
        <w:t>Developing and operating a measurement capability to support agreed organisational information needs.</w:t>
      </w:r>
    </w:p>
    <w:p w14:paraId="65DFC199" w14:textId="77777777" w:rsidR="006017F1" w:rsidRPr="00365EBF" w:rsidRDefault="006017F1" w:rsidP="00672657">
      <w:pPr>
        <w:pStyle w:val="ListParagraph"/>
        <w:numPr>
          <w:ilvl w:val="0"/>
          <w:numId w:val="16"/>
        </w:numPr>
        <w:spacing w:after="200" w:line="256" w:lineRule="auto"/>
        <w:ind w:left="360"/>
        <w:rPr>
          <w:szCs w:val="24"/>
        </w:rPr>
      </w:pPr>
      <w:r w:rsidRPr="00365EBF">
        <w:rPr>
          <w:szCs w:val="24"/>
        </w:rPr>
        <w:t>Identifies and prioritises appropriate measures, scales and targets.</w:t>
      </w:r>
    </w:p>
    <w:p w14:paraId="5412F6C7" w14:textId="77777777" w:rsidR="006017F1" w:rsidRPr="00365EBF" w:rsidRDefault="006017F1" w:rsidP="00672657">
      <w:pPr>
        <w:pStyle w:val="ListParagraph"/>
        <w:numPr>
          <w:ilvl w:val="0"/>
          <w:numId w:val="16"/>
        </w:numPr>
        <w:spacing w:after="200" w:line="256" w:lineRule="auto"/>
        <w:ind w:left="360"/>
        <w:rPr>
          <w:szCs w:val="24"/>
        </w:rPr>
      </w:pPr>
      <w:r w:rsidRPr="00365EBF">
        <w:rPr>
          <w:szCs w:val="24"/>
        </w:rPr>
        <w:t>Supports projects, functions or teams in the development of measurement methods.</w:t>
      </w:r>
    </w:p>
    <w:p w14:paraId="76921538" w14:textId="77777777" w:rsidR="006017F1" w:rsidRPr="00365EBF" w:rsidRDefault="006017F1" w:rsidP="00672657">
      <w:pPr>
        <w:pStyle w:val="ListParagraph"/>
        <w:numPr>
          <w:ilvl w:val="0"/>
          <w:numId w:val="16"/>
        </w:numPr>
        <w:spacing w:after="200" w:line="256" w:lineRule="auto"/>
        <w:ind w:left="360"/>
        <w:rPr>
          <w:szCs w:val="24"/>
        </w:rPr>
      </w:pPr>
      <w:r w:rsidRPr="00365EBF">
        <w:rPr>
          <w:szCs w:val="24"/>
        </w:rPr>
        <w:lastRenderedPageBreak/>
        <w:t>Specifies base and derived measures which support agreed information needs.</w:t>
      </w:r>
    </w:p>
    <w:p w14:paraId="5D44F8E2" w14:textId="77777777" w:rsidR="006017F1" w:rsidRPr="00365EBF" w:rsidRDefault="006017F1" w:rsidP="00672657">
      <w:pPr>
        <w:pStyle w:val="ListParagraph"/>
        <w:numPr>
          <w:ilvl w:val="0"/>
          <w:numId w:val="16"/>
        </w:numPr>
        <w:spacing w:after="200" w:line="256" w:lineRule="auto"/>
        <w:ind w:left="360"/>
        <w:rPr>
          <w:szCs w:val="24"/>
        </w:rPr>
      </w:pPr>
      <w:r w:rsidRPr="00365EBF">
        <w:rPr>
          <w:szCs w:val="24"/>
        </w:rPr>
        <w:t>Specifies how to collect and store the data for each required measure.</w:t>
      </w:r>
    </w:p>
    <w:p w14:paraId="3A0CD38A" w14:textId="77777777" w:rsidR="006017F1" w:rsidRPr="00365EBF" w:rsidRDefault="006017F1" w:rsidP="00672657">
      <w:pPr>
        <w:pStyle w:val="ListParagraph"/>
        <w:numPr>
          <w:ilvl w:val="0"/>
          <w:numId w:val="16"/>
        </w:numPr>
        <w:spacing w:after="200" w:line="256" w:lineRule="auto"/>
        <w:ind w:left="360"/>
        <w:rPr>
          <w:szCs w:val="24"/>
        </w:rPr>
      </w:pPr>
      <w:r w:rsidRPr="00365EBF">
        <w:rPr>
          <w:szCs w:val="24"/>
        </w:rPr>
        <w:t>Provides guidance on collection of data.</w:t>
      </w:r>
    </w:p>
    <w:p w14:paraId="191C1C05" w14:textId="77777777" w:rsidR="006017F1" w:rsidRPr="00365EBF" w:rsidRDefault="006017F1" w:rsidP="00672657">
      <w:pPr>
        <w:pStyle w:val="ListParagraph"/>
        <w:numPr>
          <w:ilvl w:val="0"/>
          <w:numId w:val="16"/>
        </w:numPr>
        <w:spacing w:after="200" w:line="256" w:lineRule="auto"/>
        <w:ind w:left="360"/>
        <w:rPr>
          <w:szCs w:val="24"/>
        </w:rPr>
      </w:pPr>
      <w:r w:rsidRPr="00365EBF">
        <w:rPr>
          <w:szCs w:val="24"/>
        </w:rPr>
        <w:t>Designs reports and reporting formats.</w:t>
      </w:r>
    </w:p>
    <w:p w14:paraId="666B98D9" w14:textId="77777777" w:rsidR="006017F1" w:rsidRPr="000D5781" w:rsidRDefault="006017F1" w:rsidP="006017F1">
      <w:pPr>
        <w:spacing w:after="120"/>
        <w:rPr>
          <w:rFonts w:asciiTheme="majorHAnsi" w:hAnsiTheme="majorHAnsi"/>
          <w:b/>
          <w:color w:val="002060"/>
          <w:szCs w:val="24"/>
        </w:rPr>
      </w:pPr>
      <w:hyperlink r:id="rId18" w:tooltip="Capacity Management (CPMG) on SFIA.NZ" w:history="1">
        <w:r w:rsidRPr="000D5781">
          <w:rPr>
            <w:rStyle w:val="Hyperlink"/>
            <w:rFonts w:asciiTheme="majorHAnsi" w:hAnsiTheme="majorHAnsi"/>
            <w:b/>
            <w:color w:val="002060"/>
            <w:szCs w:val="24"/>
            <w:u w:val="none"/>
          </w:rPr>
          <w:t>Capacity Management (CPMG) Level 4</w:t>
        </w:r>
      </w:hyperlink>
    </w:p>
    <w:p w14:paraId="48D39D0A" w14:textId="77777777" w:rsidR="006017F1" w:rsidRPr="00E10E05" w:rsidRDefault="006017F1" w:rsidP="006017F1">
      <w:pPr>
        <w:spacing w:after="120"/>
        <w:rPr>
          <w:szCs w:val="24"/>
        </w:rPr>
      </w:pPr>
      <w:r w:rsidRPr="00E10E05">
        <w:rPr>
          <w:szCs w:val="24"/>
        </w:rPr>
        <w:t>Ensuring service components have the capacity and performance to meet current and planned business needs.</w:t>
      </w:r>
    </w:p>
    <w:p w14:paraId="793C6B29" w14:textId="77777777" w:rsidR="006017F1" w:rsidRPr="00365EBF" w:rsidRDefault="006017F1" w:rsidP="00672657">
      <w:pPr>
        <w:pStyle w:val="ListParagraph"/>
        <w:numPr>
          <w:ilvl w:val="0"/>
          <w:numId w:val="17"/>
        </w:numPr>
        <w:spacing w:after="200" w:line="256" w:lineRule="auto"/>
        <w:ind w:left="360"/>
        <w:rPr>
          <w:szCs w:val="24"/>
        </w:rPr>
      </w:pPr>
      <w:r w:rsidRPr="00365EBF">
        <w:rPr>
          <w:szCs w:val="24"/>
        </w:rPr>
        <w:t>Monitors service component capacity and initiates actions to resolve any shortfalls according to agreed procedures.</w:t>
      </w:r>
    </w:p>
    <w:p w14:paraId="1DE7FEA1" w14:textId="77777777" w:rsidR="006017F1" w:rsidRPr="00365EBF" w:rsidRDefault="006017F1" w:rsidP="00672657">
      <w:pPr>
        <w:pStyle w:val="ListParagraph"/>
        <w:numPr>
          <w:ilvl w:val="0"/>
          <w:numId w:val="17"/>
        </w:numPr>
        <w:spacing w:after="200" w:line="256" w:lineRule="auto"/>
        <w:ind w:left="360"/>
        <w:rPr>
          <w:szCs w:val="24"/>
        </w:rPr>
      </w:pPr>
      <w:r w:rsidRPr="00365EBF">
        <w:rPr>
          <w:szCs w:val="24"/>
        </w:rPr>
        <w:t>Applies techniques to control the demand upon a particular resource or service.</w:t>
      </w:r>
    </w:p>
    <w:p w14:paraId="68202E58" w14:textId="77777777" w:rsidR="006017F1" w:rsidRPr="00365EBF" w:rsidRDefault="006017F1" w:rsidP="00672657">
      <w:pPr>
        <w:pStyle w:val="ListParagraph"/>
        <w:numPr>
          <w:ilvl w:val="0"/>
          <w:numId w:val="17"/>
        </w:numPr>
        <w:spacing w:after="200" w:line="256" w:lineRule="auto"/>
        <w:ind w:left="360"/>
        <w:rPr>
          <w:szCs w:val="24"/>
        </w:rPr>
      </w:pPr>
      <w:r w:rsidRPr="00365EBF">
        <w:rPr>
          <w:szCs w:val="24"/>
        </w:rPr>
        <w:t>Contributes to capacity modelling and planning using data-driven insights.</w:t>
      </w:r>
    </w:p>
    <w:p w14:paraId="359EC73A" w14:textId="77777777" w:rsidR="006017F1" w:rsidRPr="00365EBF" w:rsidRDefault="006017F1" w:rsidP="00672657">
      <w:pPr>
        <w:pStyle w:val="ListParagraph"/>
        <w:numPr>
          <w:ilvl w:val="0"/>
          <w:numId w:val="17"/>
        </w:numPr>
        <w:spacing w:after="200" w:line="256" w:lineRule="auto"/>
        <w:ind w:left="360"/>
        <w:rPr>
          <w:szCs w:val="24"/>
        </w:rPr>
      </w:pPr>
      <w:r w:rsidRPr="00365EBF">
        <w:rPr>
          <w:szCs w:val="24"/>
        </w:rPr>
        <w:t>Supports the design of service component capacity.</w:t>
      </w:r>
    </w:p>
    <w:p w14:paraId="274DCD12" w14:textId="77777777" w:rsidR="006017F1" w:rsidRPr="00365EBF" w:rsidRDefault="006017F1" w:rsidP="006017F1">
      <w:pPr>
        <w:spacing w:after="120"/>
        <w:rPr>
          <w:rFonts w:asciiTheme="majorHAnsi" w:hAnsiTheme="majorHAnsi"/>
          <w:b/>
          <w:color w:val="002060"/>
          <w:szCs w:val="24"/>
        </w:rPr>
      </w:pPr>
      <w:hyperlink r:id="rId19" w:tooltip="Specialist Advice (TECH) on SFIA.NZ" w:history="1">
        <w:r w:rsidRPr="00365EBF">
          <w:rPr>
            <w:rStyle w:val="Hyperlink"/>
            <w:rFonts w:asciiTheme="majorHAnsi" w:hAnsiTheme="majorHAnsi"/>
            <w:b/>
            <w:color w:val="002060"/>
            <w:szCs w:val="24"/>
            <w:u w:val="none"/>
          </w:rPr>
          <w:t>Specialist Advice (TECH) Level 4</w:t>
        </w:r>
      </w:hyperlink>
    </w:p>
    <w:p w14:paraId="6EC0EC93" w14:textId="77777777" w:rsidR="006017F1" w:rsidRPr="00365EBF" w:rsidRDefault="006017F1" w:rsidP="006017F1">
      <w:pPr>
        <w:spacing w:after="120"/>
        <w:rPr>
          <w:iCs/>
          <w:szCs w:val="24"/>
        </w:rPr>
      </w:pPr>
      <w:r w:rsidRPr="00365EBF">
        <w:rPr>
          <w:iCs/>
          <w:szCs w:val="24"/>
        </w:rPr>
        <w:t>Providing authoritative, professional advice and direction in a specialist area.</w:t>
      </w:r>
    </w:p>
    <w:p w14:paraId="7A40B6B7" w14:textId="77777777" w:rsidR="006017F1" w:rsidRPr="00365EBF" w:rsidRDefault="006017F1" w:rsidP="00672657">
      <w:pPr>
        <w:pStyle w:val="ListParagraph"/>
        <w:numPr>
          <w:ilvl w:val="0"/>
          <w:numId w:val="18"/>
        </w:numPr>
        <w:spacing w:after="200" w:line="256" w:lineRule="auto"/>
        <w:ind w:left="360"/>
        <w:rPr>
          <w:szCs w:val="24"/>
        </w:rPr>
      </w:pPr>
      <w:r w:rsidRPr="00365EBF">
        <w:rPr>
          <w:szCs w:val="24"/>
        </w:rPr>
        <w:t>Provides detailed and specific advice to support the organisation's planning and operations, typically related to the immediate area of responsibility.</w:t>
      </w:r>
    </w:p>
    <w:p w14:paraId="1FAE794D" w14:textId="77777777" w:rsidR="006017F1" w:rsidRPr="00365EBF" w:rsidRDefault="006017F1" w:rsidP="00672657">
      <w:pPr>
        <w:pStyle w:val="ListParagraph"/>
        <w:numPr>
          <w:ilvl w:val="0"/>
          <w:numId w:val="18"/>
        </w:numPr>
        <w:spacing w:after="200" w:line="256" w:lineRule="auto"/>
        <w:ind w:left="360"/>
        <w:rPr>
          <w:szCs w:val="24"/>
        </w:rPr>
      </w:pPr>
      <w:r w:rsidRPr="00365EBF">
        <w:rPr>
          <w:szCs w:val="24"/>
        </w:rPr>
        <w:t>Actively maintains recognised expert level knowledge in one or more identifiable specialisms.</w:t>
      </w:r>
    </w:p>
    <w:p w14:paraId="03704B54" w14:textId="77777777" w:rsidR="006017F1" w:rsidRPr="00365EBF" w:rsidRDefault="006017F1" w:rsidP="00672657">
      <w:pPr>
        <w:pStyle w:val="ListParagraph"/>
        <w:numPr>
          <w:ilvl w:val="0"/>
          <w:numId w:val="18"/>
        </w:numPr>
        <w:spacing w:after="200" w:line="256" w:lineRule="auto"/>
        <w:ind w:left="360"/>
        <w:rPr>
          <w:szCs w:val="24"/>
        </w:rPr>
      </w:pPr>
      <w:r w:rsidRPr="00365EBF">
        <w:rPr>
          <w:szCs w:val="24"/>
        </w:rPr>
        <w:t>Recognises and identifies the boundaries of their own specialist knowledge.</w:t>
      </w:r>
    </w:p>
    <w:p w14:paraId="06068C84" w14:textId="77777777" w:rsidR="006017F1" w:rsidRPr="00365EBF" w:rsidRDefault="006017F1" w:rsidP="00672657">
      <w:pPr>
        <w:pStyle w:val="ListParagraph"/>
        <w:numPr>
          <w:ilvl w:val="0"/>
          <w:numId w:val="18"/>
        </w:numPr>
        <w:spacing w:after="200" w:line="256" w:lineRule="auto"/>
        <w:ind w:left="360"/>
        <w:rPr>
          <w:szCs w:val="24"/>
        </w:rPr>
      </w:pPr>
      <w:r w:rsidRPr="00365EBF">
        <w:rPr>
          <w:szCs w:val="24"/>
        </w:rPr>
        <w:t>Where appropriate, collaborates with other specialists to ensure advice given is professionally sound and appropriate to the organisation's needs.</w:t>
      </w:r>
    </w:p>
    <w:p w14:paraId="444963DE" w14:textId="77777777" w:rsidR="006017F1" w:rsidRPr="00365EBF" w:rsidRDefault="006017F1" w:rsidP="006017F1">
      <w:pPr>
        <w:spacing w:after="120"/>
        <w:rPr>
          <w:rFonts w:asciiTheme="majorHAnsi" w:hAnsiTheme="majorHAnsi"/>
          <w:b/>
          <w:color w:val="002060"/>
          <w:szCs w:val="24"/>
        </w:rPr>
      </w:pPr>
      <w:hyperlink r:id="rId20" w:tooltip="Financial Analysis (FIAN) on SFIA.NZ" w:history="1">
        <w:r w:rsidRPr="00365EBF">
          <w:rPr>
            <w:rStyle w:val="Hyperlink"/>
            <w:rFonts w:asciiTheme="majorHAnsi" w:hAnsiTheme="majorHAnsi"/>
            <w:b/>
            <w:color w:val="002060"/>
            <w:szCs w:val="24"/>
            <w:u w:val="none"/>
          </w:rPr>
          <w:t>Financial Analysis (FIAN) Level 3</w:t>
        </w:r>
      </w:hyperlink>
    </w:p>
    <w:p w14:paraId="4E89132A" w14:textId="77777777" w:rsidR="006017F1" w:rsidRPr="004F6150" w:rsidRDefault="006017F1" w:rsidP="006017F1">
      <w:pPr>
        <w:spacing w:after="120"/>
        <w:rPr>
          <w:iCs/>
          <w:szCs w:val="24"/>
        </w:rPr>
      </w:pPr>
      <w:r w:rsidRPr="004F6150">
        <w:rPr>
          <w:iCs/>
          <w:szCs w:val="24"/>
        </w:rPr>
        <w:t>Conducting in-depth analysis of financial data to derive insights and support decision-making.</w:t>
      </w:r>
    </w:p>
    <w:p w14:paraId="7BB11216" w14:textId="77777777" w:rsidR="006017F1" w:rsidRPr="00365EBF" w:rsidRDefault="006017F1" w:rsidP="00672657">
      <w:pPr>
        <w:pStyle w:val="ListParagraph"/>
        <w:numPr>
          <w:ilvl w:val="0"/>
          <w:numId w:val="19"/>
        </w:numPr>
        <w:spacing w:after="200" w:line="256" w:lineRule="auto"/>
        <w:ind w:left="360"/>
        <w:rPr>
          <w:szCs w:val="24"/>
        </w:rPr>
      </w:pPr>
      <w:r w:rsidRPr="00365EBF">
        <w:rPr>
          <w:szCs w:val="24"/>
        </w:rPr>
        <w:t>Applies established financial analysis techniques and processes to carry out specific tasks such as detailed data analysis, report generation and interpretation of financial metrics.</w:t>
      </w:r>
    </w:p>
    <w:p w14:paraId="530FE268" w14:textId="5F865C00" w:rsidR="006017F1" w:rsidRPr="00365EBF" w:rsidRDefault="006017F1" w:rsidP="00672657">
      <w:pPr>
        <w:pStyle w:val="ListParagraph"/>
        <w:numPr>
          <w:ilvl w:val="0"/>
          <w:numId w:val="19"/>
        </w:numPr>
        <w:spacing w:after="200" w:line="256" w:lineRule="auto"/>
        <w:ind w:left="360"/>
        <w:rPr>
          <w:szCs w:val="24"/>
        </w:rPr>
      </w:pPr>
      <w:r w:rsidRPr="00365EBF">
        <w:rPr>
          <w:szCs w:val="24"/>
        </w:rPr>
        <w:t>Contributes to the development of actionable insights for decision-making.</w:t>
      </w:r>
    </w:p>
    <w:p w14:paraId="236D98E8" w14:textId="77777777" w:rsidR="006017F1" w:rsidRDefault="006017F1" w:rsidP="00672657">
      <w:pPr>
        <w:pStyle w:val="ListParagraph"/>
        <w:numPr>
          <w:ilvl w:val="0"/>
          <w:numId w:val="19"/>
        </w:numPr>
        <w:spacing w:after="200" w:line="256" w:lineRule="auto"/>
        <w:ind w:left="360"/>
        <w:rPr>
          <w:szCs w:val="24"/>
        </w:rPr>
      </w:pPr>
      <w:r w:rsidRPr="00365EBF">
        <w:rPr>
          <w:szCs w:val="24"/>
        </w:rPr>
        <w:t>Communicates financial analysis findings to relevant stakeholders.</w:t>
      </w:r>
    </w:p>
    <w:p w14:paraId="7DBC7E8E" w14:textId="685542B2" w:rsidR="00365EBF" w:rsidRDefault="00365EBF" w:rsidP="00F75768">
      <w:pPr>
        <w:pStyle w:val="Heading3"/>
      </w:pPr>
      <w:r>
        <w:t>Desired</w:t>
      </w:r>
      <w:r w:rsidRPr="00365EBF">
        <w:t xml:space="preserve"> skills</w:t>
      </w:r>
    </w:p>
    <w:p w14:paraId="6FB270FB" w14:textId="77777777" w:rsidR="00F75768" w:rsidRPr="004F6150" w:rsidRDefault="00F75768" w:rsidP="00F75768">
      <w:pPr>
        <w:spacing w:after="120"/>
        <w:rPr>
          <w:b/>
          <w:bCs/>
          <w:color w:val="002060"/>
          <w:szCs w:val="24"/>
        </w:rPr>
      </w:pPr>
      <w:hyperlink r:id="rId21" w:tooltip="Financial Analysis (FIAN) on SFIA.NZ" w:history="1">
        <w:r w:rsidRPr="004F6150">
          <w:rPr>
            <w:rStyle w:val="Hyperlink"/>
            <w:b/>
            <w:bCs/>
            <w:color w:val="002060"/>
            <w:szCs w:val="24"/>
            <w:u w:val="none"/>
          </w:rPr>
          <w:t>Financial Analysis (FIAN) Level 4</w:t>
        </w:r>
      </w:hyperlink>
    </w:p>
    <w:p w14:paraId="2BA53EA0" w14:textId="77777777" w:rsidR="00F75768" w:rsidRPr="004F6150" w:rsidRDefault="00F75768" w:rsidP="00F75768">
      <w:pPr>
        <w:spacing w:after="120"/>
        <w:rPr>
          <w:szCs w:val="28"/>
        </w:rPr>
      </w:pPr>
      <w:r w:rsidRPr="004F6150">
        <w:rPr>
          <w:szCs w:val="28"/>
        </w:rPr>
        <w:lastRenderedPageBreak/>
        <w:t>Conducting in-depth analysis of financial data to derive insights and support decision-making.</w:t>
      </w:r>
    </w:p>
    <w:p w14:paraId="7D605A43" w14:textId="77777777" w:rsidR="00F75768" w:rsidRPr="004F6150" w:rsidRDefault="00F75768" w:rsidP="00672657">
      <w:pPr>
        <w:pStyle w:val="ListParagraph"/>
        <w:numPr>
          <w:ilvl w:val="0"/>
          <w:numId w:val="20"/>
        </w:numPr>
        <w:spacing w:after="200" w:line="256" w:lineRule="auto"/>
        <w:ind w:left="360"/>
        <w:rPr>
          <w:szCs w:val="28"/>
        </w:rPr>
      </w:pPr>
      <w:r w:rsidRPr="004F6150">
        <w:rPr>
          <w:szCs w:val="28"/>
        </w:rPr>
        <w:t>Performs financial analysis for specific areas, using standard techniques and tools.</w:t>
      </w:r>
    </w:p>
    <w:p w14:paraId="7473A9E2" w14:textId="77777777" w:rsidR="00F75768" w:rsidRPr="004F6150" w:rsidRDefault="00F75768" w:rsidP="00672657">
      <w:pPr>
        <w:pStyle w:val="ListParagraph"/>
        <w:numPr>
          <w:ilvl w:val="0"/>
          <w:numId w:val="20"/>
        </w:numPr>
        <w:spacing w:after="200" w:line="256" w:lineRule="auto"/>
        <w:ind w:left="360"/>
        <w:rPr>
          <w:szCs w:val="28"/>
        </w:rPr>
      </w:pPr>
      <w:r w:rsidRPr="004F6150">
        <w:rPr>
          <w:szCs w:val="28"/>
        </w:rPr>
        <w:t>Prepares reports and provides insights to support decision-making.</w:t>
      </w:r>
    </w:p>
    <w:p w14:paraId="14493286" w14:textId="77777777" w:rsidR="00F75768" w:rsidRPr="004F6150" w:rsidRDefault="00F75768" w:rsidP="00672657">
      <w:pPr>
        <w:pStyle w:val="ListParagraph"/>
        <w:numPr>
          <w:ilvl w:val="0"/>
          <w:numId w:val="20"/>
        </w:numPr>
        <w:spacing w:after="200" w:line="256" w:lineRule="auto"/>
        <w:ind w:left="360"/>
        <w:rPr>
          <w:szCs w:val="28"/>
        </w:rPr>
      </w:pPr>
      <w:r w:rsidRPr="004F6150">
        <w:rPr>
          <w:szCs w:val="28"/>
        </w:rPr>
        <w:t>Conducts cost-benefit analyses and supports stakeholder collaboration in the cost management process.</w:t>
      </w:r>
    </w:p>
    <w:p w14:paraId="5723F60D" w14:textId="77777777" w:rsidR="00F75768" w:rsidRPr="004F6150" w:rsidRDefault="00F75768" w:rsidP="00672657">
      <w:pPr>
        <w:pStyle w:val="ListParagraph"/>
        <w:numPr>
          <w:ilvl w:val="0"/>
          <w:numId w:val="20"/>
        </w:numPr>
        <w:spacing w:after="200" w:line="256" w:lineRule="auto"/>
        <w:ind w:left="360"/>
        <w:rPr>
          <w:szCs w:val="28"/>
        </w:rPr>
      </w:pPr>
      <w:r w:rsidRPr="004F6150">
        <w:rPr>
          <w:szCs w:val="28"/>
        </w:rPr>
        <w:t>Collaborates with stakeholders to understand requirements and deliver relevant analysis.</w:t>
      </w:r>
    </w:p>
    <w:p w14:paraId="19A3337B" w14:textId="77777777" w:rsidR="00F75768" w:rsidRPr="004F6150" w:rsidRDefault="00F75768" w:rsidP="00672657">
      <w:pPr>
        <w:pStyle w:val="ListParagraph"/>
        <w:numPr>
          <w:ilvl w:val="0"/>
          <w:numId w:val="20"/>
        </w:numPr>
        <w:spacing w:after="200" w:line="256" w:lineRule="auto"/>
        <w:ind w:left="360"/>
        <w:rPr>
          <w:sz w:val="28"/>
          <w:szCs w:val="28"/>
        </w:rPr>
      </w:pPr>
      <w:r w:rsidRPr="004F6150">
        <w:rPr>
          <w:szCs w:val="28"/>
        </w:rPr>
        <w:t>Supports the development and maintenance of financial models.</w:t>
      </w:r>
    </w:p>
    <w:p w14:paraId="71F37C0F" w14:textId="77777777" w:rsidR="00F75768" w:rsidRPr="00F75768" w:rsidRDefault="00F75768" w:rsidP="00F75768"/>
    <w:p w14:paraId="33DCE9D0" w14:textId="00C58F0D" w:rsidR="001C711B" w:rsidRPr="00E3355F" w:rsidRDefault="001C711B" w:rsidP="00641AED">
      <w:pPr>
        <w:pStyle w:val="Heading3"/>
        <w:rPr>
          <w:highlight w:val="yellow"/>
        </w:rPr>
      </w:pPr>
      <w:r>
        <w:t>Levels of responsibility</w:t>
      </w:r>
    </w:p>
    <w:p w14:paraId="78C3208D" w14:textId="77777777" w:rsidR="008849E0" w:rsidRPr="008849E0" w:rsidRDefault="008849E0" w:rsidP="008849E0">
      <w:pPr>
        <w:keepNext/>
        <w:keepLines/>
        <w:spacing w:before="120" w:after="0" w:line="360" w:lineRule="auto"/>
        <w:outlineLvl w:val="3"/>
        <w:rPr>
          <w:rFonts w:asciiTheme="majorHAnsi" w:eastAsiaTheme="majorEastAsia" w:hAnsiTheme="majorHAnsi" w:cstheme="majorBidi"/>
          <w:b/>
          <w:bCs/>
          <w:color w:val="2F5496" w:themeColor="accent1" w:themeShade="BF"/>
          <w:szCs w:val="24"/>
          <w:lang w:val="en-GB"/>
        </w:rPr>
      </w:pPr>
      <w:r w:rsidRPr="008849E0">
        <w:rPr>
          <w:rFonts w:asciiTheme="majorHAnsi" w:eastAsiaTheme="majorEastAsia" w:hAnsiTheme="majorHAnsi" w:cstheme="majorBidi"/>
          <w:b/>
          <w:bCs/>
          <w:color w:val="2F5496" w:themeColor="accent1" w:themeShade="BF"/>
          <w:szCs w:val="24"/>
          <w:lang w:val="en-GB"/>
        </w:rPr>
        <w:t xml:space="preserve">Autonomy – Level 4 </w:t>
      </w:r>
    </w:p>
    <w:p w14:paraId="70C4B236" w14:textId="77777777" w:rsidR="008849E0" w:rsidRPr="008849E0" w:rsidRDefault="008849E0" w:rsidP="00672657">
      <w:pPr>
        <w:numPr>
          <w:ilvl w:val="0"/>
          <w:numId w:val="9"/>
        </w:numPr>
        <w:spacing w:after="0" w:line="276" w:lineRule="auto"/>
        <w:rPr>
          <w:rFonts w:ascii="Verdana Pro" w:eastAsia="Calibri" w:hAnsi="Verdana Pro" w:cs="Arial"/>
          <w:kern w:val="28"/>
          <w:szCs w:val="20"/>
        </w:rPr>
      </w:pPr>
      <w:r w:rsidRPr="008849E0">
        <w:rPr>
          <w:rFonts w:ascii="Verdana Pro" w:eastAsia="Calibri" w:hAnsi="Verdana Pro" w:cs="Arial"/>
          <w:kern w:val="28"/>
          <w:szCs w:val="20"/>
        </w:rPr>
        <w:t>Works under general direction within a clear framework of accountability.</w:t>
      </w:r>
    </w:p>
    <w:p w14:paraId="44F5BE86" w14:textId="77777777" w:rsidR="008849E0" w:rsidRPr="008849E0" w:rsidRDefault="008849E0" w:rsidP="00672657">
      <w:pPr>
        <w:numPr>
          <w:ilvl w:val="0"/>
          <w:numId w:val="9"/>
        </w:numPr>
        <w:contextualSpacing/>
        <w:rPr>
          <w:szCs w:val="24"/>
        </w:rPr>
      </w:pPr>
      <w:r w:rsidRPr="008849E0">
        <w:t>Exercises considerable personal responsibility and autonomy.</w:t>
      </w:r>
    </w:p>
    <w:p w14:paraId="2C787171" w14:textId="2BB0BF03" w:rsidR="008849E0" w:rsidRPr="000D5781" w:rsidRDefault="008849E0" w:rsidP="00672657">
      <w:pPr>
        <w:numPr>
          <w:ilvl w:val="0"/>
          <w:numId w:val="9"/>
        </w:numPr>
        <w:contextualSpacing/>
        <w:rPr>
          <w:szCs w:val="24"/>
        </w:rPr>
      </w:pPr>
      <w:r w:rsidRPr="008849E0">
        <w:t>When required, plans, schedules, and delegates work to others, typically within own team.</w:t>
      </w:r>
    </w:p>
    <w:p w14:paraId="23A4B5AC" w14:textId="77777777" w:rsidR="008849E0" w:rsidRPr="008849E0" w:rsidRDefault="008849E0" w:rsidP="008849E0">
      <w:pPr>
        <w:keepNext/>
        <w:keepLines/>
        <w:spacing w:before="120" w:after="0" w:line="360" w:lineRule="auto"/>
        <w:outlineLvl w:val="3"/>
        <w:rPr>
          <w:rFonts w:asciiTheme="majorHAnsi" w:eastAsiaTheme="majorEastAsia" w:hAnsiTheme="majorHAnsi" w:cstheme="majorBidi"/>
          <w:b/>
          <w:bCs/>
          <w:color w:val="2F5496" w:themeColor="accent1" w:themeShade="BF"/>
          <w:szCs w:val="24"/>
          <w:lang w:val="en-GB"/>
        </w:rPr>
      </w:pPr>
      <w:r w:rsidRPr="008849E0">
        <w:rPr>
          <w:rFonts w:asciiTheme="majorHAnsi" w:eastAsiaTheme="majorEastAsia" w:hAnsiTheme="majorHAnsi" w:cstheme="majorBidi"/>
          <w:b/>
          <w:bCs/>
          <w:color w:val="2F5496" w:themeColor="accent1" w:themeShade="BF"/>
          <w:szCs w:val="24"/>
          <w:lang w:val="en-GB"/>
        </w:rPr>
        <w:t xml:space="preserve">Influence – Level 4 </w:t>
      </w:r>
    </w:p>
    <w:p w14:paraId="00DA551D" w14:textId="77777777" w:rsidR="008849E0" w:rsidRPr="008849E0" w:rsidRDefault="008849E0" w:rsidP="00672657">
      <w:pPr>
        <w:numPr>
          <w:ilvl w:val="0"/>
          <w:numId w:val="10"/>
        </w:numPr>
        <w:spacing w:after="0" w:line="276" w:lineRule="auto"/>
        <w:rPr>
          <w:rFonts w:ascii="Verdana Pro" w:eastAsia="Calibri" w:hAnsi="Verdana Pro" w:cs="Arial"/>
          <w:kern w:val="28"/>
          <w:szCs w:val="20"/>
        </w:rPr>
      </w:pPr>
      <w:r w:rsidRPr="008849E0">
        <w:rPr>
          <w:rFonts w:ascii="Verdana Pro" w:eastAsia="Calibri" w:hAnsi="Verdana Pro" w:cs="Arial"/>
          <w:kern w:val="28"/>
          <w:szCs w:val="20"/>
        </w:rPr>
        <w:t>Influences projects and team objectives.</w:t>
      </w:r>
    </w:p>
    <w:p w14:paraId="403CD1DD" w14:textId="553BA2E1" w:rsidR="008849E0" w:rsidRPr="000D5781" w:rsidRDefault="008849E0" w:rsidP="00672657">
      <w:pPr>
        <w:numPr>
          <w:ilvl w:val="0"/>
          <w:numId w:val="10"/>
        </w:numPr>
        <w:contextualSpacing/>
        <w:rPr>
          <w:szCs w:val="24"/>
        </w:rPr>
      </w:pPr>
      <w:r w:rsidRPr="008849E0">
        <w:t>Has a tactical level of contact with people outside their team, including internal colleagues and external contacts.</w:t>
      </w:r>
    </w:p>
    <w:p w14:paraId="1740D04F" w14:textId="77777777" w:rsidR="00E27928" w:rsidRPr="008849E0" w:rsidRDefault="00E27928" w:rsidP="00E27928">
      <w:pPr>
        <w:keepNext/>
        <w:keepLines/>
        <w:spacing w:before="120" w:after="0" w:line="360" w:lineRule="auto"/>
        <w:outlineLvl w:val="3"/>
        <w:rPr>
          <w:rFonts w:asciiTheme="majorHAnsi" w:eastAsiaTheme="majorEastAsia" w:hAnsiTheme="majorHAnsi" w:cstheme="majorBidi"/>
          <w:b/>
          <w:bCs/>
          <w:color w:val="2F5496" w:themeColor="accent1" w:themeShade="BF"/>
          <w:szCs w:val="24"/>
          <w:lang w:val="en-GB"/>
        </w:rPr>
      </w:pPr>
      <w:r w:rsidRPr="008849E0">
        <w:rPr>
          <w:rFonts w:asciiTheme="majorHAnsi" w:eastAsiaTheme="majorEastAsia" w:hAnsiTheme="majorHAnsi" w:cstheme="majorBidi"/>
          <w:b/>
          <w:bCs/>
          <w:color w:val="2F5496" w:themeColor="accent1" w:themeShade="BF"/>
          <w:szCs w:val="24"/>
          <w:lang w:val="en-GB"/>
        </w:rPr>
        <w:t xml:space="preserve">Complexity – Level </w:t>
      </w:r>
      <w:r>
        <w:rPr>
          <w:rFonts w:asciiTheme="majorHAnsi" w:eastAsiaTheme="majorEastAsia" w:hAnsiTheme="majorHAnsi" w:cstheme="majorBidi"/>
          <w:b/>
          <w:bCs/>
          <w:color w:val="2F5496" w:themeColor="accent1" w:themeShade="BF"/>
          <w:szCs w:val="24"/>
          <w:lang w:val="en-GB"/>
        </w:rPr>
        <w:t>5</w:t>
      </w:r>
      <w:r w:rsidRPr="008849E0">
        <w:rPr>
          <w:rFonts w:asciiTheme="majorHAnsi" w:eastAsiaTheme="majorEastAsia" w:hAnsiTheme="majorHAnsi" w:cstheme="majorBidi"/>
          <w:b/>
          <w:bCs/>
          <w:color w:val="2F5496" w:themeColor="accent1" w:themeShade="BF"/>
          <w:szCs w:val="24"/>
          <w:lang w:val="en-GB"/>
        </w:rPr>
        <w:t xml:space="preserve"> </w:t>
      </w:r>
    </w:p>
    <w:p w14:paraId="2C841ED2" w14:textId="77777777" w:rsidR="00E27928" w:rsidRPr="00632134" w:rsidRDefault="00E27928" w:rsidP="00E27928">
      <w:pPr>
        <w:pStyle w:val="ListParagraph"/>
        <w:numPr>
          <w:ilvl w:val="0"/>
          <w:numId w:val="26"/>
        </w:numPr>
      </w:pPr>
      <w:r w:rsidRPr="00D46085">
        <w:t>Performs an extensive range of complex technical and/or professional work activities, requiring the application of fundamental principles in a range of unpredictable contexts.</w:t>
      </w:r>
    </w:p>
    <w:p w14:paraId="2D88B0A6" w14:textId="77777777" w:rsidR="00136535" w:rsidRPr="008849E0" w:rsidRDefault="00136535" w:rsidP="00136535">
      <w:pPr>
        <w:keepNext/>
        <w:keepLines/>
        <w:spacing w:before="120" w:after="0" w:line="360" w:lineRule="auto"/>
        <w:outlineLvl w:val="3"/>
        <w:rPr>
          <w:rFonts w:asciiTheme="majorHAnsi" w:eastAsiaTheme="majorEastAsia" w:hAnsiTheme="majorHAnsi" w:cstheme="majorBidi"/>
          <w:b/>
          <w:bCs/>
          <w:color w:val="2F5496" w:themeColor="accent1" w:themeShade="BF"/>
          <w:szCs w:val="24"/>
          <w:lang w:val="en-GB"/>
        </w:rPr>
      </w:pPr>
      <w:r w:rsidRPr="008849E0">
        <w:rPr>
          <w:rFonts w:asciiTheme="majorHAnsi" w:eastAsiaTheme="majorEastAsia" w:hAnsiTheme="majorHAnsi" w:cstheme="majorBidi"/>
          <w:b/>
          <w:bCs/>
          <w:color w:val="2F5496" w:themeColor="accent1" w:themeShade="BF"/>
          <w:szCs w:val="24"/>
          <w:lang w:val="en-GB"/>
        </w:rPr>
        <w:t xml:space="preserve">Business skills – Level </w:t>
      </w:r>
      <w:r>
        <w:rPr>
          <w:rFonts w:asciiTheme="majorHAnsi" w:eastAsiaTheme="majorEastAsia" w:hAnsiTheme="majorHAnsi" w:cstheme="majorBidi"/>
          <w:b/>
          <w:bCs/>
          <w:color w:val="2F5496" w:themeColor="accent1" w:themeShade="BF"/>
          <w:szCs w:val="24"/>
          <w:lang w:val="en-GB"/>
        </w:rPr>
        <w:t>5</w:t>
      </w:r>
    </w:p>
    <w:p w14:paraId="6FEDAC64"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Uses judgement to make informed decisions on actions to achieve organisational outcomes such as meeting targets, deadlines, and budget. Raises issues when objectives are at risk.</w:t>
      </w:r>
    </w:p>
    <w:p w14:paraId="0BFB5B3D"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Analyses, designs, plans, establishes milestones, and executes and evaluates work to time, cost and quality targets.</w:t>
      </w:r>
    </w:p>
    <w:p w14:paraId="44E7DDA5"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Facilitates collaboration between stakeholders who have diverse objectives. Ensures collaborative ways of working throughout all stages of work to meet user/customer needs. Builds effective relationships across the organisation and with customers, suppliers and partners.</w:t>
      </w:r>
    </w:p>
    <w:p w14:paraId="0E2EDC69"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Investigates complex issues to identify the root causes and impacts, assesses a range of solutions, and makes informed decisions on the best course of action, often in collaboration with other experts.</w:t>
      </w:r>
    </w:p>
    <w:p w14:paraId="36CA56FA"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lastRenderedPageBreak/>
        <w:t>Identifies and evaluates potential improvements to products, practices, or services. Leads implementation of enhancements within own area of responsibility. Assesses effectiveness of implemented changes.</w:t>
      </w:r>
    </w:p>
    <w:p w14:paraId="0B777C75"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Creatively applies innovative thinking and design practices in identifying solutions that will deliver value for the benefit of the customer/stakeholder.</w:t>
      </w:r>
    </w:p>
    <w:p w14:paraId="01EE3A7F"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Communicates clearly with impact, articulating complex information and ideas to broad audiences with different viewpoints. Leads and encourages conversations to share ideas and build consensus on actions to be taken.</w:t>
      </w:r>
    </w:p>
    <w:p w14:paraId="2B46D123"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Provides leadership at an operational level. Implements and executes policies aligned to strategic plans. Assesses and evaluates risk. Takes all requirements into account when considering proposals.</w:t>
      </w:r>
    </w:p>
    <w:p w14:paraId="56D1EBA1"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Leads adaptations to changing business environments. Guides teams through transitions, maintaining focus on organisational objectives.</w:t>
      </w:r>
    </w:p>
    <w:p w14:paraId="4E496E02"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Uses their skills and knowledge to help establish the standards that others in the organisation will apply. Takes the initiative to develop a wider breadth of knowledge across industry and/or business and identify and manage development opportunities in area of responsibility.</w:t>
      </w:r>
    </w:p>
    <w:p w14:paraId="720E197E" w14:textId="77777777" w:rsidR="00136535" w:rsidRPr="00D46085" w:rsidRDefault="00136535" w:rsidP="00136535">
      <w:pPr>
        <w:numPr>
          <w:ilvl w:val="0"/>
          <w:numId w:val="11"/>
        </w:numPr>
        <w:contextualSpacing/>
        <w:rPr>
          <w:rFonts w:ascii="Verdana Pro" w:eastAsia="Calibri" w:hAnsi="Verdana Pro" w:cs="Arial"/>
          <w:kern w:val="28"/>
          <w:szCs w:val="20"/>
        </w:rPr>
      </w:pPr>
      <w:r w:rsidRPr="00D46085">
        <w:rPr>
          <w:rFonts w:ascii="Verdana Pro" w:eastAsia="Calibri" w:hAnsi="Verdana Pro" w:cs="Arial"/>
          <w:kern w:val="28"/>
          <w:szCs w:val="20"/>
        </w:rPr>
        <w:t>Recognises and evaluates the organisational impact of new technologies and digital services. Implements new and effective practices. Advises on available standards, methods, tools, applications and processes relevant to group specialism(s) and can make appropriate choices from alternatives.</w:t>
      </w:r>
    </w:p>
    <w:p w14:paraId="2E709147" w14:textId="18DDB1E8" w:rsidR="000D5781" w:rsidRPr="000D5781" w:rsidRDefault="00136535" w:rsidP="00672657">
      <w:pPr>
        <w:numPr>
          <w:ilvl w:val="0"/>
          <w:numId w:val="11"/>
        </w:numPr>
        <w:contextualSpacing/>
      </w:pPr>
      <w:r w:rsidRPr="00D46085">
        <w:rPr>
          <w:rFonts w:ascii="Verdana Pro" w:eastAsia="Calibri" w:hAnsi="Verdana Pro" w:cs="Arial"/>
          <w:kern w:val="28"/>
          <w:szCs w:val="20"/>
        </w:rPr>
        <w:t>Contributes proactively to the implementation of professional working practices and helps promote a supportive organisational culture.</w:t>
      </w:r>
    </w:p>
    <w:p w14:paraId="1C2A04BC" w14:textId="77777777" w:rsidR="007D18C4" w:rsidRPr="008849E0" w:rsidRDefault="007D18C4" w:rsidP="007D18C4">
      <w:pPr>
        <w:keepNext/>
        <w:keepLines/>
        <w:spacing w:before="120" w:after="0" w:line="360" w:lineRule="auto"/>
        <w:outlineLvl w:val="3"/>
        <w:rPr>
          <w:rFonts w:asciiTheme="majorHAnsi" w:eastAsiaTheme="majorEastAsia" w:hAnsiTheme="majorHAnsi" w:cstheme="majorBidi"/>
          <w:b/>
          <w:bCs/>
          <w:color w:val="2F5496" w:themeColor="accent1" w:themeShade="BF"/>
          <w:szCs w:val="24"/>
          <w:lang w:val="en-GB"/>
        </w:rPr>
      </w:pPr>
      <w:r w:rsidRPr="008849E0">
        <w:rPr>
          <w:rFonts w:asciiTheme="majorHAnsi" w:eastAsiaTheme="majorEastAsia" w:hAnsiTheme="majorHAnsi" w:cstheme="majorBidi"/>
          <w:b/>
          <w:bCs/>
          <w:color w:val="2F5496" w:themeColor="accent1" w:themeShade="BF"/>
          <w:szCs w:val="24"/>
          <w:lang w:val="en-GB"/>
        </w:rPr>
        <w:t xml:space="preserve">Knowledge – Level 4 </w:t>
      </w:r>
    </w:p>
    <w:p w14:paraId="13044EE8" w14:textId="77777777" w:rsidR="007D18C4" w:rsidRPr="008849E0" w:rsidRDefault="007D18C4" w:rsidP="007D18C4">
      <w:pPr>
        <w:numPr>
          <w:ilvl w:val="0"/>
          <w:numId w:val="25"/>
        </w:numPr>
        <w:spacing w:after="0" w:line="276" w:lineRule="auto"/>
        <w:rPr>
          <w:rFonts w:ascii="Verdana Pro" w:eastAsia="Calibri" w:hAnsi="Verdana Pro" w:cs="Arial"/>
          <w:kern w:val="28"/>
          <w:szCs w:val="20"/>
        </w:rPr>
      </w:pPr>
      <w:r w:rsidRPr="008849E0">
        <w:rPr>
          <w:rFonts w:ascii="Verdana Pro" w:eastAsia="Calibri" w:hAnsi="Verdana Pro" w:cs="Arial"/>
          <w:kern w:val="28"/>
          <w:szCs w:val="20"/>
        </w:rPr>
        <w:t>Applies knowledge across different areas in their field, integrating this knowledge to perform complex and diverse tasks.</w:t>
      </w:r>
    </w:p>
    <w:p w14:paraId="2753CD02" w14:textId="77777777" w:rsidR="007D18C4" w:rsidRPr="008849E0" w:rsidRDefault="007D18C4" w:rsidP="007D18C4">
      <w:pPr>
        <w:numPr>
          <w:ilvl w:val="0"/>
          <w:numId w:val="25"/>
        </w:numPr>
        <w:contextualSpacing/>
        <w:rPr>
          <w:szCs w:val="24"/>
        </w:rPr>
      </w:pPr>
      <w:r w:rsidRPr="008849E0">
        <w:t>Applies a working knowledge of the organisation's domain.</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1"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1"/>
    </w:p>
    <w:p w14:paraId="07A0AAFE" w14:textId="77777777" w:rsidR="00FC5A23" w:rsidRPr="00BE6537" w:rsidRDefault="00FC5A23" w:rsidP="004F6150">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BE6537">
        <w:rPr>
          <w:rFonts w:eastAsia="Times New Roman" w:cs="Arial"/>
          <w:kern w:val="28"/>
          <w:lang w:val="en-US"/>
        </w:rPr>
        <w:t xml:space="preserve">Embedding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Ao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reo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tikanga</w:t>
      </w:r>
      <w:r w:rsidRPr="00BE6537">
        <w:rPr>
          <w:rFonts w:eastAsia="Times New Roman" w:cs="Arial"/>
          <w:kern w:val="28"/>
          <w:lang w:val="en-US"/>
        </w:rPr>
        <w:t xml:space="preserve">, </w:t>
      </w:r>
      <w:r w:rsidRPr="00820255">
        <w:rPr>
          <w:rFonts w:eastAsia="Times New Roman" w:cs="Arial"/>
          <w:kern w:val="28"/>
          <w:lang w:val="mi-NZ"/>
        </w:rPr>
        <w:t>kawa</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Tiriti</w:t>
      </w:r>
      <w:r w:rsidRPr="00BE6537">
        <w:rPr>
          <w:rFonts w:eastAsia="Times New Roman" w:cs="Arial"/>
          <w:kern w:val="28"/>
          <w:lang w:val="en-US"/>
        </w:rPr>
        <w:t xml:space="preserve"> </w:t>
      </w:r>
      <w:r w:rsidRPr="00820255">
        <w:rPr>
          <w:rFonts w:eastAsia="Times New Roman" w:cs="Arial"/>
          <w:kern w:val="28"/>
          <w:lang w:val="mi-NZ"/>
        </w:rPr>
        <w:t>o</w:t>
      </w:r>
      <w:r w:rsidRPr="00BE6537">
        <w:rPr>
          <w:rFonts w:eastAsia="Times New Roman" w:cs="Arial"/>
          <w:kern w:val="28"/>
          <w:lang w:val="en-US"/>
        </w:rPr>
        <w:t xml:space="preserve"> </w:t>
      </w:r>
      <w:r w:rsidRPr="00820255">
        <w:rPr>
          <w:rFonts w:eastAsia="Times New Roman" w:cs="Arial"/>
          <w:kern w:val="28"/>
          <w:lang w:val="mi-NZ"/>
        </w:rPr>
        <w:t>Waitangi</w:t>
      </w:r>
      <w:r w:rsidRPr="00BE6537">
        <w:rPr>
          <w:rFonts w:eastAsia="Times New Roman" w:cs="Arial"/>
          <w:kern w:val="28"/>
          <w:lang w:val="en-US"/>
        </w:rPr>
        <w:t xml:space="preserve">) into the way we do things at MSD. </w:t>
      </w:r>
    </w:p>
    <w:p w14:paraId="39CC8C58" w14:textId="77777777" w:rsidR="00FC5A23" w:rsidRPr="00BE6537" w:rsidRDefault="00FC5A23" w:rsidP="004F6150">
      <w:pPr>
        <w:numPr>
          <w:ilvl w:val="0"/>
          <w:numId w:val="2"/>
        </w:numPr>
        <w:tabs>
          <w:tab w:val="clear" w:pos="360"/>
          <w:tab w:val="num" w:pos="-3"/>
        </w:tabs>
        <w:suppressAutoHyphens/>
        <w:autoSpaceDE w:val="0"/>
        <w:autoSpaceDN w:val="0"/>
        <w:adjustRightInd w:val="0"/>
        <w:spacing w:before="60" w:after="60" w:line="240" w:lineRule="auto"/>
        <w:textAlignment w:val="center"/>
        <w:rPr>
          <w:rFonts w:eastAsia="Times New Roman" w:cs="Arial"/>
          <w:kern w:val="28"/>
          <w:lang w:val="en-US"/>
        </w:rPr>
      </w:pPr>
      <w:r w:rsidRPr="00BE6537">
        <w:rPr>
          <w:rFonts w:eastAsia="Times New Roman" w:cs="Arial"/>
          <w:kern w:val="28"/>
          <w:lang w:val="en-US"/>
        </w:rPr>
        <w:t xml:space="preserve">Building more experience, knowledge, skills and capabilities to confidently engage with </w:t>
      </w:r>
      <w:r w:rsidRPr="00820255">
        <w:rPr>
          <w:rFonts w:eastAsia="Times New Roman" w:cs="Arial"/>
          <w:kern w:val="28"/>
          <w:lang w:val="mi-NZ"/>
        </w:rPr>
        <w:t>whānau</w:t>
      </w:r>
      <w:r w:rsidRPr="00BE6537">
        <w:rPr>
          <w:rFonts w:eastAsia="Times New Roman" w:cs="Arial"/>
          <w:kern w:val="28"/>
          <w:lang w:val="en-US"/>
        </w:rPr>
        <w:t xml:space="preserve">, </w:t>
      </w:r>
      <w:r w:rsidRPr="00820255">
        <w:rPr>
          <w:rFonts w:eastAsia="Times New Roman" w:cs="Arial"/>
          <w:kern w:val="28"/>
          <w:lang w:val="mi-NZ"/>
        </w:rPr>
        <w:t>hapū</w:t>
      </w:r>
      <w:r w:rsidRPr="00BE6537">
        <w:rPr>
          <w:rFonts w:eastAsia="Times New Roman" w:cs="Arial"/>
          <w:kern w:val="28"/>
          <w:lang w:val="en-US"/>
        </w:rPr>
        <w:t xml:space="preserve"> and </w:t>
      </w:r>
      <w:r w:rsidRPr="00820255">
        <w:rPr>
          <w:rFonts w:eastAsia="Times New Roman" w:cs="Arial"/>
          <w:kern w:val="28"/>
          <w:lang w:val="mi-NZ"/>
        </w:rPr>
        <w:t>iwi</w:t>
      </w:r>
      <w:r w:rsidRPr="00BE6537">
        <w:rPr>
          <w:rFonts w:eastAsia="Times New Roman" w:cs="Arial"/>
          <w:kern w:val="28"/>
          <w:lang w:val="en-US"/>
        </w:rPr>
        <w:t>.</w:t>
      </w:r>
    </w:p>
    <w:p w14:paraId="7730DD0A" w14:textId="77777777" w:rsidR="00FC5A23" w:rsidRPr="00BE6537" w:rsidRDefault="00FC5A23" w:rsidP="00FC5A23">
      <w:pPr>
        <w:pStyle w:val="Heading3"/>
        <w:rPr>
          <w:sz w:val="28"/>
          <w:szCs w:val="28"/>
        </w:rPr>
      </w:pPr>
      <w:r w:rsidRPr="00BE6537">
        <w:rPr>
          <w:sz w:val="28"/>
          <w:szCs w:val="28"/>
        </w:rPr>
        <w:t>Health, Safety and Security</w:t>
      </w:r>
    </w:p>
    <w:p w14:paraId="29048EA1" w14:textId="77777777" w:rsidR="00FC5A23" w:rsidRPr="00141BC1" w:rsidRDefault="00FC5A23" w:rsidP="004F6150">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Understand and implement your Health, Safety and Security (HSS) accountabilities as outlined in the HSS Accountability Framework.</w:t>
      </w:r>
    </w:p>
    <w:p w14:paraId="2EE08D2F" w14:textId="77777777" w:rsidR="00FC5A23" w:rsidRPr="00141BC1" w:rsidRDefault="00FC5A23" w:rsidP="004F6150">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Ensure you understand, follow and implement all Health, Safety and Security and wellbeing policies and procedures.</w:t>
      </w:r>
    </w:p>
    <w:p w14:paraId="7794FD9E" w14:textId="77777777" w:rsidR="00FC5A23" w:rsidRPr="00BE6537" w:rsidRDefault="00FC5A23" w:rsidP="00FC5A23">
      <w:pPr>
        <w:pStyle w:val="Heading3"/>
        <w:rPr>
          <w:sz w:val="28"/>
          <w:szCs w:val="28"/>
        </w:rPr>
      </w:pPr>
      <w:r w:rsidRPr="00BE6537">
        <w:rPr>
          <w:sz w:val="28"/>
          <w:szCs w:val="28"/>
        </w:rPr>
        <w:lastRenderedPageBreak/>
        <w:t>Emergency Management and Business Continuity</w:t>
      </w:r>
    </w:p>
    <w:p w14:paraId="52F468E5" w14:textId="77777777" w:rsidR="00FC5A23" w:rsidRPr="004F6150" w:rsidRDefault="00FC5A23" w:rsidP="004F6150">
      <w:pPr>
        <w:pStyle w:val="ListParagraph"/>
        <w:numPr>
          <w:ilvl w:val="0"/>
          <w:numId w:val="21"/>
        </w:numPr>
      </w:pPr>
      <w:r w:rsidRPr="004F6150">
        <w:t>Remain familiar with the relevant provisions of the Emergency Management and Business Continuity Plans that impact your business group/team.</w:t>
      </w:r>
    </w:p>
    <w:p w14:paraId="0568F8BB" w14:textId="77777777" w:rsidR="00FC5A23" w:rsidRPr="004F6150" w:rsidRDefault="00FC5A23" w:rsidP="004F6150">
      <w:pPr>
        <w:pStyle w:val="ListParagraph"/>
        <w:numPr>
          <w:ilvl w:val="0"/>
          <w:numId w:val="21"/>
        </w:numPr>
      </w:pPr>
      <w:r w:rsidRPr="004F6150">
        <w:t>Participate in periodic training, reviews and tests of the established Business Continuity Plans and operating procedures.</w:t>
      </w:r>
    </w:p>
    <w:p w14:paraId="22B2B74A" w14:textId="557F9BA2" w:rsidR="009A73F0" w:rsidRPr="003945DE" w:rsidRDefault="009A73F0" w:rsidP="009A73F0">
      <w:pPr>
        <w:pStyle w:val="Heading3"/>
        <w:rPr>
          <w:sz w:val="28"/>
          <w:szCs w:val="28"/>
        </w:rPr>
      </w:pPr>
      <w:r w:rsidRPr="003945DE">
        <w:rPr>
          <w:sz w:val="28"/>
          <w:szCs w:val="28"/>
        </w:rPr>
        <w:t>Know-how</w:t>
      </w:r>
    </w:p>
    <w:p w14:paraId="5BAD28CE" w14:textId="77777777" w:rsidR="002118F5" w:rsidRPr="002545D9" w:rsidRDefault="002118F5" w:rsidP="002118F5">
      <w:pPr>
        <w:pStyle w:val="ListParagraph"/>
        <w:numPr>
          <w:ilvl w:val="0"/>
          <w:numId w:val="13"/>
        </w:numPr>
      </w:pPr>
      <w:r w:rsidRPr="002545D9">
        <w:t xml:space="preserve">Relevant tertiary qualification or equivalent professional experience. </w:t>
      </w:r>
    </w:p>
    <w:p w14:paraId="6450CB63" w14:textId="4F23C6C0" w:rsidR="00F2628D" w:rsidRPr="00F2628D" w:rsidRDefault="00F2628D" w:rsidP="00672657">
      <w:pPr>
        <w:pStyle w:val="ListParagraph"/>
        <w:numPr>
          <w:ilvl w:val="0"/>
          <w:numId w:val="13"/>
        </w:numPr>
      </w:pPr>
      <w:r w:rsidRPr="00F2628D">
        <w:t>Strong</w:t>
      </w:r>
      <w:r w:rsidR="002118F5">
        <w:t>, in-depth</w:t>
      </w:r>
      <w:r w:rsidRPr="00F2628D">
        <w:t xml:space="preserve"> understanding of cloud financial operations and capacity management, with the ability to bridge traditional IT planning with modern cloud spend optimization.</w:t>
      </w:r>
    </w:p>
    <w:p w14:paraId="0A976EBC" w14:textId="76360A44" w:rsidR="00F2628D" w:rsidRPr="00F2628D" w:rsidRDefault="00136535" w:rsidP="00672657">
      <w:pPr>
        <w:pStyle w:val="ListParagraph"/>
        <w:numPr>
          <w:ilvl w:val="0"/>
          <w:numId w:val="13"/>
        </w:numPr>
      </w:pPr>
      <w:r>
        <w:t>Extensive e</w:t>
      </w:r>
      <w:r w:rsidR="00F2628D" w:rsidRPr="00F2628D">
        <w:t>xperience in managing and planning cloud infrastructure usage and costs, including forecasting and capacity planning for cloud resources.</w:t>
      </w:r>
    </w:p>
    <w:p w14:paraId="6E7FC6A2" w14:textId="1234D6CE" w:rsidR="00F2628D" w:rsidRPr="00F2628D" w:rsidRDefault="002118F5" w:rsidP="00672657">
      <w:pPr>
        <w:pStyle w:val="ListParagraph"/>
        <w:numPr>
          <w:ilvl w:val="0"/>
          <w:numId w:val="13"/>
        </w:numPr>
      </w:pPr>
      <w:r>
        <w:t>Extensive k</w:t>
      </w:r>
      <w:r w:rsidR="00F2628D" w:rsidRPr="00F2628D">
        <w:t>nowledge of ITIL Service Management frameworks, with an understanding of how they can be applied to cloud financial management and cost optimization processes.</w:t>
      </w:r>
    </w:p>
    <w:p w14:paraId="36F438BA" w14:textId="1021594E" w:rsidR="00F2628D" w:rsidRPr="00F2628D" w:rsidRDefault="009E47B6" w:rsidP="00672657">
      <w:pPr>
        <w:pStyle w:val="ListParagraph"/>
        <w:numPr>
          <w:ilvl w:val="0"/>
          <w:numId w:val="13"/>
        </w:numPr>
      </w:pPr>
      <w:r>
        <w:t>Strong u</w:t>
      </w:r>
      <w:r w:rsidR="00F2628D" w:rsidRPr="00F2628D">
        <w:t xml:space="preserve">nderstanding of common technology solutions, particularly in virtualisation, and how these technologies impact cloud </w:t>
      </w:r>
      <w:proofErr w:type="gramStart"/>
      <w:r w:rsidR="00F2628D" w:rsidRPr="00F2628D">
        <w:t>spend</w:t>
      </w:r>
      <w:proofErr w:type="gramEnd"/>
      <w:r w:rsidR="00F2628D" w:rsidRPr="00F2628D">
        <w:t xml:space="preserve"> and usage across platforms.</w:t>
      </w:r>
    </w:p>
    <w:p w14:paraId="5231056C" w14:textId="6A6BCF37" w:rsidR="00F2628D" w:rsidRPr="00F2628D" w:rsidRDefault="00527D5A" w:rsidP="00672657">
      <w:pPr>
        <w:pStyle w:val="ListParagraph"/>
        <w:numPr>
          <w:ilvl w:val="0"/>
          <w:numId w:val="13"/>
        </w:numPr>
      </w:pPr>
      <w:r>
        <w:t>Hands-on e</w:t>
      </w:r>
      <w:r w:rsidR="00F2628D" w:rsidRPr="00F2628D">
        <w:t>xperience with performance monitoring tools and techniques to track cloud resource consumption and optimize cost efficiency.</w:t>
      </w:r>
    </w:p>
    <w:p w14:paraId="3DA9CF82" w14:textId="2B47E57F" w:rsidR="00F2628D" w:rsidRPr="00F2628D" w:rsidRDefault="009F5B63" w:rsidP="00672657">
      <w:pPr>
        <w:pStyle w:val="ListParagraph"/>
        <w:numPr>
          <w:ilvl w:val="0"/>
          <w:numId w:val="13"/>
        </w:numPr>
      </w:pPr>
      <w:r>
        <w:t xml:space="preserve">Proven capability in </w:t>
      </w:r>
      <w:r w:rsidR="00F2628D" w:rsidRPr="00F2628D">
        <w:t>manag</w:t>
      </w:r>
      <w:r>
        <w:t>ing</w:t>
      </w:r>
      <w:r w:rsidR="00F2628D" w:rsidRPr="00F2628D">
        <w:t xml:space="preserve"> relationships with cloud vendors, contractors, and third-party services, including the negotiation and management of SLAs to ensure cost-effectiveness.</w:t>
      </w:r>
    </w:p>
    <w:p w14:paraId="368A8ECF" w14:textId="003C044B" w:rsidR="00F2628D" w:rsidRPr="00F2628D" w:rsidRDefault="009F5B63" w:rsidP="00672657">
      <w:pPr>
        <w:pStyle w:val="ListParagraph"/>
        <w:numPr>
          <w:ilvl w:val="0"/>
          <w:numId w:val="13"/>
        </w:numPr>
      </w:pPr>
      <w:r>
        <w:t xml:space="preserve">Demonstrated </w:t>
      </w:r>
      <w:r w:rsidR="00F2628D" w:rsidRPr="00F2628D">
        <w:t>ability to create and maintain business and process documentation, reporting on cloud cost optimization, and setting standards for platform usage across teams.</w:t>
      </w:r>
    </w:p>
    <w:p w14:paraId="7C957A34" w14:textId="6AF4FAF4" w:rsidR="00F2628D" w:rsidRPr="00F2628D" w:rsidRDefault="00F2628D" w:rsidP="00672657">
      <w:pPr>
        <w:pStyle w:val="ListParagraph"/>
        <w:numPr>
          <w:ilvl w:val="0"/>
          <w:numId w:val="13"/>
        </w:numPr>
      </w:pPr>
      <w:r w:rsidRPr="00F2628D">
        <w:t>Familiarity with common enterprise systems (e.g., Oracle, HPE, and EMC systems) and their integration into cloud environments, with a focus on cost and resource management.</w:t>
      </w:r>
    </w:p>
    <w:p w14:paraId="42C6DDF3" w14:textId="3FCF8915" w:rsidR="00F2628D" w:rsidRPr="00F2628D" w:rsidRDefault="00F2628D" w:rsidP="00672657">
      <w:pPr>
        <w:pStyle w:val="ListParagraph"/>
        <w:numPr>
          <w:ilvl w:val="0"/>
          <w:numId w:val="13"/>
        </w:numPr>
      </w:pPr>
      <w:r w:rsidRPr="00F2628D">
        <w:t>Experience in implementing cloud cost visibility tools, generating reports, and driving accountability for cloud spending across engineering, operations, and finance teams.</w:t>
      </w:r>
    </w:p>
    <w:p w14:paraId="5BD2C50A" w14:textId="5EB437A0" w:rsidR="00F46859" w:rsidRPr="000D5781" w:rsidRDefault="00F46859" w:rsidP="00F2628D">
      <w:pPr>
        <w:pStyle w:val="Heading3"/>
        <w:rPr>
          <w:sz w:val="28"/>
          <w:szCs w:val="28"/>
        </w:rPr>
      </w:pPr>
      <w:r w:rsidRPr="000D5781">
        <w:rPr>
          <w:sz w:val="28"/>
          <w:szCs w:val="28"/>
        </w:rPr>
        <w:t xml:space="preserve">Key relationships </w:t>
      </w:r>
    </w:p>
    <w:p w14:paraId="642F6028" w14:textId="77777777" w:rsidR="00C64969" w:rsidRPr="002E33AA" w:rsidRDefault="00C64969" w:rsidP="00C64969">
      <w:pPr>
        <w:pStyle w:val="PDHeading4"/>
        <w:tabs>
          <w:tab w:val="left" w:pos="3505"/>
        </w:tabs>
      </w:pPr>
      <w:r w:rsidRPr="002E33AA">
        <w:t>Internal</w:t>
      </w:r>
    </w:p>
    <w:p w14:paraId="739EF10A" w14:textId="77777777" w:rsidR="00672657" w:rsidRPr="00672657" w:rsidRDefault="00672657" w:rsidP="00672657">
      <w:pPr>
        <w:pStyle w:val="ListParagraph"/>
        <w:numPr>
          <w:ilvl w:val="0"/>
          <w:numId w:val="24"/>
        </w:numPr>
      </w:pPr>
      <w:r w:rsidRPr="00672657">
        <w:t xml:space="preserve">Finance teams </w:t>
      </w:r>
    </w:p>
    <w:p w14:paraId="3391F682" w14:textId="77777777" w:rsidR="00672657" w:rsidRPr="00672657" w:rsidRDefault="00672657" w:rsidP="00672657">
      <w:pPr>
        <w:pStyle w:val="ListParagraph"/>
        <w:numPr>
          <w:ilvl w:val="0"/>
          <w:numId w:val="24"/>
        </w:numPr>
      </w:pPr>
      <w:r w:rsidRPr="00672657">
        <w:t xml:space="preserve">Platform and infrastructure teams </w:t>
      </w:r>
    </w:p>
    <w:p w14:paraId="01AAA608" w14:textId="77777777" w:rsidR="00672657" w:rsidRPr="00672657" w:rsidRDefault="00672657" w:rsidP="00672657">
      <w:pPr>
        <w:pStyle w:val="ListParagraph"/>
        <w:numPr>
          <w:ilvl w:val="0"/>
          <w:numId w:val="24"/>
        </w:numPr>
      </w:pPr>
      <w:r w:rsidRPr="00672657">
        <w:t xml:space="preserve">Engineering teams </w:t>
      </w:r>
    </w:p>
    <w:p w14:paraId="0AB03B5B" w14:textId="77777777" w:rsidR="00672657" w:rsidRPr="00672657" w:rsidRDefault="00672657" w:rsidP="00672657">
      <w:pPr>
        <w:pStyle w:val="ListParagraph"/>
        <w:numPr>
          <w:ilvl w:val="0"/>
          <w:numId w:val="24"/>
        </w:numPr>
      </w:pPr>
      <w:r w:rsidRPr="00672657">
        <w:t xml:space="preserve">Platform and delivery leaders </w:t>
      </w:r>
    </w:p>
    <w:p w14:paraId="25E1B940" w14:textId="77777777" w:rsidR="00672657" w:rsidRPr="00672657" w:rsidRDefault="00672657" w:rsidP="00672657">
      <w:pPr>
        <w:pStyle w:val="ListParagraph"/>
        <w:numPr>
          <w:ilvl w:val="0"/>
          <w:numId w:val="24"/>
        </w:numPr>
      </w:pPr>
      <w:r w:rsidRPr="00672657">
        <w:lastRenderedPageBreak/>
        <w:t xml:space="preserve">Leadership teams </w:t>
      </w:r>
    </w:p>
    <w:p w14:paraId="5C665E84" w14:textId="77777777" w:rsidR="00C64969" w:rsidRPr="002E33AA" w:rsidRDefault="00C64969" w:rsidP="00C64969">
      <w:pPr>
        <w:pStyle w:val="PDHeading4"/>
        <w:tabs>
          <w:tab w:val="left" w:pos="3505"/>
        </w:tabs>
      </w:pPr>
      <w:r w:rsidRPr="002E33AA">
        <w:t>External</w:t>
      </w:r>
    </w:p>
    <w:p w14:paraId="5E44E636" w14:textId="77777777" w:rsidR="00C64969" w:rsidRPr="00952BEB" w:rsidRDefault="00C64969" w:rsidP="00672657">
      <w:pPr>
        <w:pStyle w:val="ListParagraph"/>
        <w:numPr>
          <w:ilvl w:val="0"/>
          <w:numId w:val="23"/>
        </w:numPr>
      </w:pPr>
      <w:r w:rsidRPr="00952BEB">
        <w:t xml:space="preserve">Cloud service providers </w:t>
      </w:r>
    </w:p>
    <w:p w14:paraId="144093EA" w14:textId="77777777" w:rsidR="00C64969" w:rsidRPr="00952BEB" w:rsidRDefault="00C64969" w:rsidP="00672657">
      <w:pPr>
        <w:pStyle w:val="ListParagraph"/>
        <w:numPr>
          <w:ilvl w:val="0"/>
          <w:numId w:val="23"/>
        </w:numPr>
      </w:pPr>
      <w:r w:rsidRPr="00952BEB">
        <w:t xml:space="preserve">Third-party vendors </w:t>
      </w:r>
    </w:p>
    <w:p w14:paraId="0C7739E0" w14:textId="791B5B46" w:rsidR="00C64969" w:rsidRPr="00952BEB" w:rsidRDefault="00672657" w:rsidP="00672657">
      <w:pPr>
        <w:pStyle w:val="ListParagraph"/>
        <w:numPr>
          <w:ilvl w:val="0"/>
          <w:numId w:val="23"/>
        </w:numPr>
      </w:pPr>
      <w:r>
        <w:t>Compliance partners</w:t>
      </w:r>
    </w:p>
    <w:p w14:paraId="631E78F6" w14:textId="175F8422" w:rsidR="00F46859" w:rsidRPr="00BE6537" w:rsidRDefault="004B0A86" w:rsidP="004B0A86">
      <w:pPr>
        <w:pStyle w:val="Heading3"/>
        <w:rPr>
          <w:sz w:val="28"/>
          <w:szCs w:val="28"/>
        </w:rPr>
      </w:pPr>
      <w:r w:rsidRPr="00BE6537">
        <w:rPr>
          <w:sz w:val="28"/>
          <w:szCs w:val="28"/>
        </w:rPr>
        <w:t>Other</w:t>
      </w:r>
    </w:p>
    <w:p w14:paraId="465CD661" w14:textId="09E1EAD2" w:rsidR="004B0A86" w:rsidRDefault="004B0A86" w:rsidP="004B0A86">
      <w:pPr>
        <w:pStyle w:val="PDHeading4"/>
        <w:tabs>
          <w:tab w:val="left" w:pos="3505"/>
        </w:tabs>
      </w:pPr>
      <w:r w:rsidRPr="004B0A86">
        <w:t>Delegations</w:t>
      </w:r>
    </w:p>
    <w:p w14:paraId="471A1269" w14:textId="09C66750" w:rsidR="0029741C" w:rsidRPr="006F3E61" w:rsidRDefault="0029741C" w:rsidP="00672657">
      <w:pPr>
        <w:pStyle w:val="ListParagraph"/>
        <w:numPr>
          <w:ilvl w:val="0"/>
          <w:numId w:val="7"/>
        </w:numPr>
        <w:spacing w:before="60" w:after="60" w:line="288" w:lineRule="auto"/>
      </w:pPr>
      <w:r w:rsidRPr="006F3E61">
        <w:t xml:space="preserve">Financial – </w:t>
      </w:r>
      <w:r w:rsidR="000D5803">
        <w:t>No</w:t>
      </w:r>
    </w:p>
    <w:p w14:paraId="4E411DCF" w14:textId="2CC13B31" w:rsidR="0029741C" w:rsidRPr="006F3E61" w:rsidRDefault="0029741C" w:rsidP="00672657">
      <w:pPr>
        <w:pStyle w:val="ListParagraph"/>
        <w:numPr>
          <w:ilvl w:val="0"/>
          <w:numId w:val="7"/>
        </w:numPr>
        <w:spacing w:before="60" w:after="60" w:line="288" w:lineRule="auto"/>
      </w:pPr>
      <w:r w:rsidRPr="006F3E61">
        <w:t xml:space="preserve">Human Resources – </w:t>
      </w:r>
      <w:r w:rsidR="000D5803">
        <w:t>No</w:t>
      </w:r>
    </w:p>
    <w:p w14:paraId="503BB234" w14:textId="1C429C4B" w:rsidR="00CA08C4" w:rsidRDefault="00CA08C4" w:rsidP="00CA08C4">
      <w:pPr>
        <w:pStyle w:val="PDHeading4"/>
        <w:tabs>
          <w:tab w:val="left" w:pos="3505"/>
        </w:tabs>
      </w:pPr>
      <w:r>
        <w:t xml:space="preserve">Direct reports </w:t>
      </w:r>
    </w:p>
    <w:p w14:paraId="1D304F8E" w14:textId="58BF2950" w:rsidR="00CA08C4" w:rsidRPr="003945DE" w:rsidRDefault="000D5803" w:rsidP="00672657">
      <w:pPr>
        <w:pStyle w:val="ListParagraph"/>
        <w:numPr>
          <w:ilvl w:val="0"/>
          <w:numId w:val="7"/>
        </w:numPr>
        <w:spacing w:before="60" w:after="60" w:line="288" w:lineRule="auto"/>
      </w:pPr>
      <w:r w:rsidRPr="003945DE">
        <w:t>No</w:t>
      </w:r>
    </w:p>
    <w:p w14:paraId="3AFA27EC" w14:textId="166957AD" w:rsidR="004B0A86" w:rsidRPr="003945DE" w:rsidRDefault="004B0A86" w:rsidP="004B0A86">
      <w:pPr>
        <w:pStyle w:val="PDHeading4"/>
        <w:tabs>
          <w:tab w:val="left" w:pos="3505"/>
        </w:tabs>
      </w:pPr>
      <w:r w:rsidRPr="003945DE">
        <w:t>Security clearance</w:t>
      </w:r>
    </w:p>
    <w:p w14:paraId="625557B8" w14:textId="364D6695" w:rsidR="004B0A86" w:rsidRPr="003945DE" w:rsidRDefault="000D5803" w:rsidP="00672657">
      <w:pPr>
        <w:pStyle w:val="ListParagraph"/>
        <w:numPr>
          <w:ilvl w:val="0"/>
          <w:numId w:val="7"/>
        </w:numPr>
        <w:spacing w:before="60" w:after="60" w:line="288" w:lineRule="auto"/>
      </w:pPr>
      <w:r w:rsidRPr="003945DE">
        <w:t>No</w:t>
      </w:r>
    </w:p>
    <w:p w14:paraId="66D0C368" w14:textId="77777777" w:rsidR="004B0A86" w:rsidRDefault="004B0A86" w:rsidP="004B0A86">
      <w:pPr>
        <w:pStyle w:val="PDHeading4"/>
        <w:tabs>
          <w:tab w:val="left" w:pos="3505"/>
        </w:tabs>
      </w:pPr>
      <w:r w:rsidRPr="00E72987">
        <w:t>Children’s worker</w:t>
      </w:r>
    </w:p>
    <w:p w14:paraId="098ED350" w14:textId="7524D61D" w:rsidR="004B0A86" w:rsidRPr="006F3E61" w:rsidRDefault="008879FF" w:rsidP="00672657">
      <w:pPr>
        <w:pStyle w:val="ListParagraph"/>
        <w:numPr>
          <w:ilvl w:val="0"/>
          <w:numId w:val="7"/>
        </w:numPr>
        <w:spacing w:before="60" w:after="60" w:line="288" w:lineRule="auto"/>
      </w:pPr>
      <w:r>
        <w:t>Not a children’s worker</w:t>
      </w:r>
    </w:p>
    <w:p w14:paraId="5EE2BFD4" w14:textId="16E7E2B4" w:rsidR="004B0A86" w:rsidRDefault="004B0A86" w:rsidP="004B0A86">
      <w:pPr>
        <w:pStyle w:val="PDHeading4"/>
        <w:tabs>
          <w:tab w:val="left" w:pos="3505"/>
        </w:tabs>
      </w:pPr>
      <w:r>
        <w:t>Travel</w:t>
      </w:r>
    </w:p>
    <w:p w14:paraId="51E8B0BA" w14:textId="1871C1EB" w:rsidR="004B0A86" w:rsidRPr="006F3E61" w:rsidRDefault="008879FF" w:rsidP="00672657">
      <w:pPr>
        <w:pStyle w:val="ListParagraph"/>
        <w:numPr>
          <w:ilvl w:val="0"/>
          <w:numId w:val="7"/>
        </w:numPr>
        <w:spacing w:before="60" w:after="60" w:line="288" w:lineRule="auto"/>
      </w:pPr>
      <w:r w:rsidRPr="006F3E61">
        <w:t xml:space="preserve">Limited </w:t>
      </w:r>
      <w:proofErr w:type="spellStart"/>
      <w:r w:rsidRPr="006F3E61">
        <w:t>adhoc</w:t>
      </w:r>
      <w:proofErr w:type="spellEnd"/>
      <w:r w:rsidRPr="006F3E61">
        <w:t xml:space="preserve"> travel may be required</w:t>
      </w:r>
    </w:p>
    <w:sectPr w:rsidR="004B0A86" w:rsidRPr="006F3E61" w:rsidSect="0067336C">
      <w:headerReference w:type="even" r:id="rId22"/>
      <w:footerReference w:type="default" r:id="rId23"/>
      <w:headerReference w:type="first" r:id="rId24"/>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3F1F" w14:textId="77777777" w:rsidR="00BC3617" w:rsidRDefault="00BC3617" w:rsidP="00F05C09">
      <w:pPr>
        <w:spacing w:after="0" w:line="240" w:lineRule="auto"/>
      </w:pPr>
      <w:r>
        <w:separator/>
      </w:r>
    </w:p>
  </w:endnote>
  <w:endnote w:type="continuationSeparator" w:id="0">
    <w:p w14:paraId="722B5973" w14:textId="77777777" w:rsidR="00BC3617" w:rsidRDefault="00BC3617" w:rsidP="00F05C09">
      <w:pPr>
        <w:spacing w:after="0" w:line="240" w:lineRule="auto"/>
      </w:pPr>
      <w:r>
        <w:continuationSeparator/>
      </w:r>
    </w:p>
  </w:endnote>
  <w:endnote w:type="continuationNotice" w:id="1">
    <w:p w14:paraId="79D3CB36" w14:textId="77777777" w:rsidR="00BC3617" w:rsidRDefault="00BC3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rPr>
    </w:sdtEndPr>
    <w:sdtContent>
      <w:p w14:paraId="06780ABF" w14:textId="49700819" w:rsidR="00C7317E" w:rsidRDefault="00C7317E" w:rsidP="006A5C63">
        <w:pPr>
          <w:pStyle w:val="Footer"/>
        </w:pPr>
        <w:r>
          <w:rPr>
            <w:noProof/>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gray [1629]" strokeweight=".5pt" from="-14.25pt,-9.6pt" to="446.55pt,-9.6pt" w14:anchorId="081E6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v:stroke joinstyle="miter"/>
                </v:line>
              </w:pict>
            </mc:Fallback>
          </mc:AlternateContent>
        </w:r>
        <w:r>
          <w:t xml:space="preserve">Position Description – </w:t>
        </w:r>
        <w:r w:rsidR="000D5781">
          <w:t>FinOps Platform Specialist</w:t>
        </w:r>
        <w:r w:rsidR="00DF2C85">
          <w:tab/>
        </w:r>
        <w:r w:rsidR="0097024E">
          <w:t xml:space="preserve"> </w:t>
        </w:r>
        <w:r w:rsidR="000D5781">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00E7" w14:textId="77777777" w:rsidR="00BC3617" w:rsidRDefault="00BC3617" w:rsidP="00F05C09">
      <w:pPr>
        <w:spacing w:after="0" w:line="240" w:lineRule="auto"/>
      </w:pPr>
      <w:r>
        <w:separator/>
      </w:r>
    </w:p>
  </w:footnote>
  <w:footnote w:type="continuationSeparator" w:id="0">
    <w:p w14:paraId="67A67224" w14:textId="77777777" w:rsidR="00BC3617" w:rsidRDefault="00BC3617" w:rsidP="00F05C09">
      <w:pPr>
        <w:spacing w:after="0" w:line="240" w:lineRule="auto"/>
      </w:pPr>
      <w:r>
        <w:continuationSeparator/>
      </w:r>
    </w:p>
  </w:footnote>
  <w:footnote w:type="continuationNotice" w:id="1">
    <w:p w14:paraId="7B5928F3" w14:textId="77777777" w:rsidR="00BC3617" w:rsidRDefault="00BC36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C701" w14:textId="5366CF52" w:rsidR="00C53480" w:rsidRDefault="00C53480">
    <w:pPr>
      <w:pStyle w:val="Header"/>
    </w:pPr>
    <w:r>
      <w:rPr>
        <w:noProof/>
      </w:rPr>
      <mc:AlternateContent>
        <mc:Choice Requires="wps">
          <w:drawing>
            <wp:anchor distT="0" distB="0" distL="0" distR="0" simplePos="0" relativeHeight="251658242" behindDoc="0" locked="0" layoutInCell="1" allowOverlap="1" wp14:anchorId="2A2C5907" wp14:editId="4C96ECBA">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C590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D2DD" w14:textId="662C10D5" w:rsidR="00C53480" w:rsidRDefault="00C53480">
    <w:pPr>
      <w:pStyle w:val="Header"/>
    </w:pPr>
    <w:r>
      <w:rPr>
        <w:noProof/>
      </w:rPr>
      <mc:AlternateContent>
        <mc:Choice Requires="wps">
          <w:drawing>
            <wp:anchor distT="0" distB="0" distL="0" distR="0" simplePos="0" relativeHeight="251658241" behindDoc="0" locked="0" layoutInCell="1" allowOverlap="1" wp14:anchorId="438E9658" wp14:editId="454B47CA">
              <wp:simplePos x="914400" y="44767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A98BC" w14:textId="0C3247F4"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E9658"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B2A98BC" w14:textId="0C3247F4"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D01254"/>
    <w:multiLevelType w:val="singleLevel"/>
    <w:tmpl w:val="14090001"/>
    <w:lvl w:ilvl="0">
      <w:start w:val="1"/>
      <w:numFmt w:val="bullet"/>
      <w:lvlText w:val=""/>
      <w:lvlJc w:val="left"/>
      <w:pPr>
        <w:ind w:left="720" w:hanging="360"/>
      </w:pPr>
      <w:rPr>
        <w:rFonts w:ascii="Symbol" w:hAnsi="Symbol" w:hint="default"/>
      </w:rPr>
    </w:lvl>
  </w:abstractNum>
  <w:abstractNum w:abstractNumId="3" w15:restartNumberingAfterBreak="0">
    <w:nsid w:val="07B54C8D"/>
    <w:multiLevelType w:val="hybridMultilevel"/>
    <w:tmpl w:val="1DF834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C0D104D"/>
    <w:multiLevelType w:val="singleLevel"/>
    <w:tmpl w:val="14090001"/>
    <w:lvl w:ilvl="0">
      <w:start w:val="1"/>
      <w:numFmt w:val="bullet"/>
      <w:lvlText w:val=""/>
      <w:lvlJc w:val="left"/>
      <w:pPr>
        <w:ind w:left="720" w:hanging="360"/>
      </w:pPr>
      <w:rPr>
        <w:rFonts w:ascii="Symbol" w:hAnsi="Symbol" w:hint="default"/>
      </w:rPr>
    </w:lvl>
  </w:abstractNum>
  <w:abstractNum w:abstractNumId="5" w15:restartNumberingAfterBreak="0">
    <w:nsid w:val="11801741"/>
    <w:multiLevelType w:val="singleLevel"/>
    <w:tmpl w:val="14090001"/>
    <w:lvl w:ilvl="0">
      <w:start w:val="1"/>
      <w:numFmt w:val="bullet"/>
      <w:lvlText w:val=""/>
      <w:lvlJc w:val="left"/>
      <w:pPr>
        <w:ind w:left="720" w:hanging="360"/>
      </w:pPr>
      <w:rPr>
        <w:rFonts w:ascii="Symbol" w:hAnsi="Symbol"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A8168C"/>
    <w:multiLevelType w:val="hybridMultilevel"/>
    <w:tmpl w:val="764A73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7414F4B"/>
    <w:multiLevelType w:val="hybridMultilevel"/>
    <w:tmpl w:val="53F202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BC637DD"/>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211133AA"/>
    <w:multiLevelType w:val="hybridMultilevel"/>
    <w:tmpl w:val="741CE2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8086F50"/>
    <w:multiLevelType w:val="hybridMultilevel"/>
    <w:tmpl w:val="4BEAB8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9CC3AE0"/>
    <w:multiLevelType w:val="hybridMultilevel"/>
    <w:tmpl w:val="BCA6B8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9FA252C"/>
    <w:multiLevelType w:val="hybridMultilevel"/>
    <w:tmpl w:val="764CB8F2"/>
    <w:lvl w:ilvl="0" w:tplc="14090001">
      <w:start w:val="1"/>
      <w:numFmt w:val="bullet"/>
      <w:lvlText w:val=""/>
      <w:lvlJc w:val="left"/>
      <w:pPr>
        <w:ind w:left="-729" w:hanging="360"/>
      </w:pPr>
      <w:rPr>
        <w:rFonts w:ascii="Symbol" w:hAnsi="Symbol" w:hint="default"/>
      </w:rPr>
    </w:lvl>
    <w:lvl w:ilvl="1" w:tplc="14090003" w:tentative="1">
      <w:start w:val="1"/>
      <w:numFmt w:val="bullet"/>
      <w:lvlText w:val="o"/>
      <w:lvlJc w:val="left"/>
      <w:pPr>
        <w:ind w:left="-9" w:hanging="360"/>
      </w:pPr>
      <w:rPr>
        <w:rFonts w:ascii="Courier New" w:hAnsi="Courier New" w:cs="Courier New" w:hint="default"/>
      </w:rPr>
    </w:lvl>
    <w:lvl w:ilvl="2" w:tplc="14090005" w:tentative="1">
      <w:start w:val="1"/>
      <w:numFmt w:val="bullet"/>
      <w:lvlText w:val=""/>
      <w:lvlJc w:val="left"/>
      <w:pPr>
        <w:ind w:left="711" w:hanging="360"/>
      </w:pPr>
      <w:rPr>
        <w:rFonts w:ascii="Wingdings" w:hAnsi="Wingdings" w:hint="default"/>
      </w:rPr>
    </w:lvl>
    <w:lvl w:ilvl="3" w:tplc="14090001" w:tentative="1">
      <w:start w:val="1"/>
      <w:numFmt w:val="bullet"/>
      <w:lvlText w:val=""/>
      <w:lvlJc w:val="left"/>
      <w:pPr>
        <w:ind w:left="1431" w:hanging="360"/>
      </w:pPr>
      <w:rPr>
        <w:rFonts w:ascii="Symbol" w:hAnsi="Symbol" w:hint="default"/>
      </w:rPr>
    </w:lvl>
    <w:lvl w:ilvl="4" w:tplc="14090003" w:tentative="1">
      <w:start w:val="1"/>
      <w:numFmt w:val="bullet"/>
      <w:lvlText w:val="o"/>
      <w:lvlJc w:val="left"/>
      <w:pPr>
        <w:ind w:left="2151" w:hanging="360"/>
      </w:pPr>
      <w:rPr>
        <w:rFonts w:ascii="Courier New" w:hAnsi="Courier New" w:cs="Courier New" w:hint="default"/>
      </w:rPr>
    </w:lvl>
    <w:lvl w:ilvl="5" w:tplc="14090005" w:tentative="1">
      <w:start w:val="1"/>
      <w:numFmt w:val="bullet"/>
      <w:lvlText w:val=""/>
      <w:lvlJc w:val="left"/>
      <w:pPr>
        <w:ind w:left="2871" w:hanging="360"/>
      </w:pPr>
      <w:rPr>
        <w:rFonts w:ascii="Wingdings" w:hAnsi="Wingdings" w:hint="default"/>
      </w:rPr>
    </w:lvl>
    <w:lvl w:ilvl="6" w:tplc="14090001" w:tentative="1">
      <w:start w:val="1"/>
      <w:numFmt w:val="bullet"/>
      <w:lvlText w:val=""/>
      <w:lvlJc w:val="left"/>
      <w:pPr>
        <w:ind w:left="3591" w:hanging="360"/>
      </w:pPr>
      <w:rPr>
        <w:rFonts w:ascii="Symbol" w:hAnsi="Symbol" w:hint="default"/>
      </w:rPr>
    </w:lvl>
    <w:lvl w:ilvl="7" w:tplc="14090003" w:tentative="1">
      <w:start w:val="1"/>
      <w:numFmt w:val="bullet"/>
      <w:lvlText w:val="o"/>
      <w:lvlJc w:val="left"/>
      <w:pPr>
        <w:ind w:left="4311" w:hanging="360"/>
      </w:pPr>
      <w:rPr>
        <w:rFonts w:ascii="Courier New" w:hAnsi="Courier New" w:cs="Courier New" w:hint="default"/>
      </w:rPr>
    </w:lvl>
    <w:lvl w:ilvl="8" w:tplc="14090005" w:tentative="1">
      <w:start w:val="1"/>
      <w:numFmt w:val="bullet"/>
      <w:lvlText w:val=""/>
      <w:lvlJc w:val="left"/>
      <w:pPr>
        <w:ind w:left="5031" w:hanging="360"/>
      </w:pPr>
      <w:rPr>
        <w:rFonts w:ascii="Wingdings" w:hAnsi="Wingdings" w:hint="default"/>
      </w:rPr>
    </w:lvl>
  </w:abstractNum>
  <w:abstractNum w:abstractNumId="15" w15:restartNumberingAfterBreak="0">
    <w:nsid w:val="36A928AF"/>
    <w:multiLevelType w:val="hybridMultilevel"/>
    <w:tmpl w:val="0EBC9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A45CC5"/>
    <w:multiLevelType w:val="hybridMultilevel"/>
    <w:tmpl w:val="80E2DD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2A856AC"/>
    <w:multiLevelType w:val="hybridMultilevel"/>
    <w:tmpl w:val="9CA6F524"/>
    <w:lvl w:ilvl="0" w:tplc="F9F61228">
      <w:numFmt w:val="bullet"/>
      <w:lvlText w:val="•"/>
      <w:lvlJc w:val="left"/>
      <w:pPr>
        <w:ind w:left="360" w:hanging="36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6F3237B"/>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1FB55D7"/>
    <w:multiLevelType w:val="hybridMultilevel"/>
    <w:tmpl w:val="B39269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9C5E73"/>
    <w:multiLevelType w:val="hybridMultilevel"/>
    <w:tmpl w:val="799CBF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E860A0D"/>
    <w:multiLevelType w:val="hybridMultilevel"/>
    <w:tmpl w:val="A18862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2EE68C9"/>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7B2A5294"/>
    <w:multiLevelType w:val="hybridMultilevel"/>
    <w:tmpl w:val="79484B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EAE4049"/>
    <w:multiLevelType w:val="singleLevel"/>
    <w:tmpl w:val="14090001"/>
    <w:lvl w:ilvl="0">
      <w:start w:val="1"/>
      <w:numFmt w:val="bullet"/>
      <w:lvlText w:val=""/>
      <w:lvlJc w:val="left"/>
      <w:pPr>
        <w:ind w:left="720" w:hanging="360"/>
      </w:pPr>
      <w:rPr>
        <w:rFonts w:ascii="Symbol" w:hAnsi="Symbol" w:hint="default"/>
      </w:rPr>
    </w:lvl>
  </w:abstractNum>
  <w:num w:numId="1" w16cid:durableId="1459833965">
    <w:abstractNumId w:val="9"/>
  </w:num>
  <w:num w:numId="2" w16cid:durableId="460002760">
    <w:abstractNumId w:val="1"/>
  </w:num>
  <w:num w:numId="3" w16cid:durableId="1067068734">
    <w:abstractNumId w:val="0"/>
  </w:num>
  <w:num w:numId="4" w16cid:durableId="808520144">
    <w:abstractNumId w:val="6"/>
  </w:num>
  <w:num w:numId="5" w16cid:durableId="1341010801">
    <w:abstractNumId w:val="19"/>
  </w:num>
  <w:num w:numId="6" w16cid:durableId="1864854123">
    <w:abstractNumId w:val="21"/>
  </w:num>
  <w:num w:numId="7" w16cid:durableId="1146584851">
    <w:abstractNumId w:val="25"/>
  </w:num>
  <w:num w:numId="8" w16cid:durableId="1671786130">
    <w:abstractNumId w:val="14"/>
  </w:num>
  <w:num w:numId="9" w16cid:durableId="2059745778">
    <w:abstractNumId w:val="12"/>
  </w:num>
  <w:num w:numId="10" w16cid:durableId="122358651">
    <w:abstractNumId w:val="13"/>
  </w:num>
  <w:num w:numId="11" w16cid:durableId="1900240930">
    <w:abstractNumId w:val="20"/>
  </w:num>
  <w:num w:numId="12" w16cid:durableId="685450743">
    <w:abstractNumId w:val="16"/>
  </w:num>
  <w:num w:numId="13" w16cid:durableId="445320073">
    <w:abstractNumId w:val="17"/>
  </w:num>
  <w:num w:numId="14" w16cid:durableId="872380915">
    <w:abstractNumId w:val="4"/>
  </w:num>
  <w:num w:numId="15" w16cid:durableId="602614478">
    <w:abstractNumId w:val="2"/>
  </w:num>
  <w:num w:numId="16" w16cid:durableId="545989754">
    <w:abstractNumId w:val="26"/>
  </w:num>
  <w:num w:numId="17" w16cid:durableId="2038315441">
    <w:abstractNumId w:val="18"/>
  </w:num>
  <w:num w:numId="18" w16cid:durableId="1638679969">
    <w:abstractNumId w:val="5"/>
  </w:num>
  <w:num w:numId="19" w16cid:durableId="131220285">
    <w:abstractNumId w:val="10"/>
  </w:num>
  <w:num w:numId="20" w16cid:durableId="1698312189">
    <w:abstractNumId w:val="24"/>
  </w:num>
  <w:num w:numId="21" w16cid:durableId="152261117">
    <w:abstractNumId w:val="7"/>
  </w:num>
  <w:num w:numId="22" w16cid:durableId="949094137">
    <w:abstractNumId w:val="15"/>
  </w:num>
  <w:num w:numId="23" w16cid:durableId="844052198">
    <w:abstractNumId w:val="22"/>
  </w:num>
  <w:num w:numId="24" w16cid:durableId="392966074">
    <w:abstractNumId w:val="11"/>
  </w:num>
  <w:num w:numId="25" w16cid:durableId="2117554500">
    <w:abstractNumId w:val="23"/>
  </w:num>
  <w:num w:numId="26" w16cid:durableId="990795608">
    <w:abstractNumId w:val="8"/>
  </w:num>
  <w:num w:numId="27" w16cid:durableId="63845778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AE8"/>
    <w:rsid w:val="00030E00"/>
    <w:rsid w:val="00034336"/>
    <w:rsid w:val="00037CB0"/>
    <w:rsid w:val="00045765"/>
    <w:rsid w:val="0005481A"/>
    <w:rsid w:val="0008363E"/>
    <w:rsid w:val="0008710B"/>
    <w:rsid w:val="000A576B"/>
    <w:rsid w:val="000A6009"/>
    <w:rsid w:val="000B6D09"/>
    <w:rsid w:val="000D28A7"/>
    <w:rsid w:val="000D5781"/>
    <w:rsid w:val="000D5803"/>
    <w:rsid w:val="000E3BB9"/>
    <w:rsid w:val="00106AED"/>
    <w:rsid w:val="00130581"/>
    <w:rsid w:val="0013109B"/>
    <w:rsid w:val="00136535"/>
    <w:rsid w:val="00136C27"/>
    <w:rsid w:val="00141BC1"/>
    <w:rsid w:val="00164E58"/>
    <w:rsid w:val="0017378B"/>
    <w:rsid w:val="001C711B"/>
    <w:rsid w:val="001D3744"/>
    <w:rsid w:val="001D45B8"/>
    <w:rsid w:val="002118F5"/>
    <w:rsid w:val="00213AFF"/>
    <w:rsid w:val="00213DA6"/>
    <w:rsid w:val="00216302"/>
    <w:rsid w:val="00235BC4"/>
    <w:rsid w:val="00236D2D"/>
    <w:rsid w:val="00240D7E"/>
    <w:rsid w:val="00241016"/>
    <w:rsid w:val="00242200"/>
    <w:rsid w:val="00245A2B"/>
    <w:rsid w:val="0027186A"/>
    <w:rsid w:val="0029741C"/>
    <w:rsid w:val="00297FEB"/>
    <w:rsid w:val="002A673A"/>
    <w:rsid w:val="002D14AF"/>
    <w:rsid w:val="002D1C62"/>
    <w:rsid w:val="002D367B"/>
    <w:rsid w:val="00310872"/>
    <w:rsid w:val="00313A09"/>
    <w:rsid w:val="00354EC2"/>
    <w:rsid w:val="00361559"/>
    <w:rsid w:val="00365EBF"/>
    <w:rsid w:val="0039174E"/>
    <w:rsid w:val="00393058"/>
    <w:rsid w:val="003945DE"/>
    <w:rsid w:val="00397220"/>
    <w:rsid w:val="003A18EC"/>
    <w:rsid w:val="003B0A38"/>
    <w:rsid w:val="003B6C49"/>
    <w:rsid w:val="003E2869"/>
    <w:rsid w:val="003E3722"/>
    <w:rsid w:val="003E655B"/>
    <w:rsid w:val="003F551B"/>
    <w:rsid w:val="0040673E"/>
    <w:rsid w:val="00421BDD"/>
    <w:rsid w:val="004227ED"/>
    <w:rsid w:val="0042772B"/>
    <w:rsid w:val="00445BCE"/>
    <w:rsid w:val="00454F25"/>
    <w:rsid w:val="0047088C"/>
    <w:rsid w:val="004710B8"/>
    <w:rsid w:val="00481590"/>
    <w:rsid w:val="0048775E"/>
    <w:rsid w:val="004B0A86"/>
    <w:rsid w:val="004C1902"/>
    <w:rsid w:val="004F2EE1"/>
    <w:rsid w:val="004F6150"/>
    <w:rsid w:val="005113F1"/>
    <w:rsid w:val="00515156"/>
    <w:rsid w:val="00527D5A"/>
    <w:rsid w:val="0053221B"/>
    <w:rsid w:val="00533E65"/>
    <w:rsid w:val="005370B4"/>
    <w:rsid w:val="0056681E"/>
    <w:rsid w:val="005671A5"/>
    <w:rsid w:val="00572AA9"/>
    <w:rsid w:val="00572ACC"/>
    <w:rsid w:val="00595906"/>
    <w:rsid w:val="00596B81"/>
    <w:rsid w:val="005B11F9"/>
    <w:rsid w:val="005D56AA"/>
    <w:rsid w:val="005E0875"/>
    <w:rsid w:val="0060148C"/>
    <w:rsid w:val="006017F1"/>
    <w:rsid w:val="00631D73"/>
    <w:rsid w:val="00641AED"/>
    <w:rsid w:val="00672657"/>
    <w:rsid w:val="0067336C"/>
    <w:rsid w:val="006930FB"/>
    <w:rsid w:val="006A5C63"/>
    <w:rsid w:val="006B19BD"/>
    <w:rsid w:val="006D5226"/>
    <w:rsid w:val="006D6117"/>
    <w:rsid w:val="006F3E61"/>
    <w:rsid w:val="006F3FBA"/>
    <w:rsid w:val="00713229"/>
    <w:rsid w:val="00714E12"/>
    <w:rsid w:val="00737C9E"/>
    <w:rsid w:val="007631D9"/>
    <w:rsid w:val="00766795"/>
    <w:rsid w:val="00766FB5"/>
    <w:rsid w:val="007721C0"/>
    <w:rsid w:val="00774817"/>
    <w:rsid w:val="007A1210"/>
    <w:rsid w:val="007B201A"/>
    <w:rsid w:val="007C2143"/>
    <w:rsid w:val="007D18C4"/>
    <w:rsid w:val="007D5256"/>
    <w:rsid w:val="007D6B4C"/>
    <w:rsid w:val="007D7B9D"/>
    <w:rsid w:val="007E508C"/>
    <w:rsid w:val="007F172C"/>
    <w:rsid w:val="007F31F9"/>
    <w:rsid w:val="007F3ACD"/>
    <w:rsid w:val="0080133F"/>
    <w:rsid w:val="00802A08"/>
    <w:rsid w:val="0080498F"/>
    <w:rsid w:val="00820255"/>
    <w:rsid w:val="008339D0"/>
    <w:rsid w:val="008414B1"/>
    <w:rsid w:val="00842706"/>
    <w:rsid w:val="00860654"/>
    <w:rsid w:val="008849E0"/>
    <w:rsid w:val="008879FF"/>
    <w:rsid w:val="008B2E4F"/>
    <w:rsid w:val="00903467"/>
    <w:rsid w:val="00906EAA"/>
    <w:rsid w:val="009106E6"/>
    <w:rsid w:val="009349DB"/>
    <w:rsid w:val="009357ED"/>
    <w:rsid w:val="0097024E"/>
    <w:rsid w:val="00970DD2"/>
    <w:rsid w:val="009716E5"/>
    <w:rsid w:val="0098130A"/>
    <w:rsid w:val="009A312D"/>
    <w:rsid w:val="009A73F0"/>
    <w:rsid w:val="009D0F50"/>
    <w:rsid w:val="009D15F1"/>
    <w:rsid w:val="009D2B10"/>
    <w:rsid w:val="009E0F71"/>
    <w:rsid w:val="009E47B6"/>
    <w:rsid w:val="009F5B63"/>
    <w:rsid w:val="00A173FC"/>
    <w:rsid w:val="00A2199C"/>
    <w:rsid w:val="00A246A5"/>
    <w:rsid w:val="00A25335"/>
    <w:rsid w:val="00A43896"/>
    <w:rsid w:val="00A4711F"/>
    <w:rsid w:val="00A549F5"/>
    <w:rsid w:val="00A6244E"/>
    <w:rsid w:val="00AB062A"/>
    <w:rsid w:val="00AC0512"/>
    <w:rsid w:val="00AD5DF4"/>
    <w:rsid w:val="00AD6305"/>
    <w:rsid w:val="00AE5335"/>
    <w:rsid w:val="00B02A8F"/>
    <w:rsid w:val="00B04D1D"/>
    <w:rsid w:val="00B407D6"/>
    <w:rsid w:val="00B41635"/>
    <w:rsid w:val="00B5357A"/>
    <w:rsid w:val="00B542E4"/>
    <w:rsid w:val="00B5634E"/>
    <w:rsid w:val="00B626AE"/>
    <w:rsid w:val="00B8332D"/>
    <w:rsid w:val="00B84E48"/>
    <w:rsid w:val="00B87C6B"/>
    <w:rsid w:val="00B9125F"/>
    <w:rsid w:val="00BB6450"/>
    <w:rsid w:val="00BC35AE"/>
    <w:rsid w:val="00BC3617"/>
    <w:rsid w:val="00BE6537"/>
    <w:rsid w:val="00BF3B63"/>
    <w:rsid w:val="00C12F94"/>
    <w:rsid w:val="00C24180"/>
    <w:rsid w:val="00C4358C"/>
    <w:rsid w:val="00C503A7"/>
    <w:rsid w:val="00C5215F"/>
    <w:rsid w:val="00C53480"/>
    <w:rsid w:val="00C64549"/>
    <w:rsid w:val="00C64969"/>
    <w:rsid w:val="00C7317E"/>
    <w:rsid w:val="00C865D6"/>
    <w:rsid w:val="00CA08C4"/>
    <w:rsid w:val="00CB4A28"/>
    <w:rsid w:val="00CC5FDE"/>
    <w:rsid w:val="00CC78E1"/>
    <w:rsid w:val="00CE6C53"/>
    <w:rsid w:val="00CF04CE"/>
    <w:rsid w:val="00D20B97"/>
    <w:rsid w:val="00D34EA0"/>
    <w:rsid w:val="00DA31FF"/>
    <w:rsid w:val="00DB1FC9"/>
    <w:rsid w:val="00DD6907"/>
    <w:rsid w:val="00DD7526"/>
    <w:rsid w:val="00DE09CA"/>
    <w:rsid w:val="00DE22DC"/>
    <w:rsid w:val="00DE43C3"/>
    <w:rsid w:val="00DF2C85"/>
    <w:rsid w:val="00DF513A"/>
    <w:rsid w:val="00E10E05"/>
    <w:rsid w:val="00E27928"/>
    <w:rsid w:val="00E3355F"/>
    <w:rsid w:val="00E42617"/>
    <w:rsid w:val="00E500FB"/>
    <w:rsid w:val="00E671C3"/>
    <w:rsid w:val="00E90142"/>
    <w:rsid w:val="00E9269E"/>
    <w:rsid w:val="00EB4EBB"/>
    <w:rsid w:val="00EC52B6"/>
    <w:rsid w:val="00ED23DA"/>
    <w:rsid w:val="00EF3859"/>
    <w:rsid w:val="00F050D6"/>
    <w:rsid w:val="00F05C09"/>
    <w:rsid w:val="00F06EE8"/>
    <w:rsid w:val="00F07349"/>
    <w:rsid w:val="00F10091"/>
    <w:rsid w:val="00F10EE9"/>
    <w:rsid w:val="00F113EF"/>
    <w:rsid w:val="00F126F3"/>
    <w:rsid w:val="00F15934"/>
    <w:rsid w:val="00F22AE5"/>
    <w:rsid w:val="00F2628D"/>
    <w:rsid w:val="00F27D60"/>
    <w:rsid w:val="00F46859"/>
    <w:rsid w:val="00F63C9F"/>
    <w:rsid w:val="00F75768"/>
    <w:rsid w:val="00F829C0"/>
    <w:rsid w:val="00F829F6"/>
    <w:rsid w:val="00F9356E"/>
    <w:rsid w:val="00F96FEE"/>
    <w:rsid w:val="00FB675F"/>
    <w:rsid w:val="00FC5A23"/>
    <w:rsid w:val="00FD2534"/>
    <w:rsid w:val="00FE1317"/>
    <w:rsid w:val="04345CF1"/>
    <w:rsid w:val="34645C54"/>
    <w:rsid w:val="4419414D"/>
    <w:rsid w:val="66B402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1BEB7859-4736-46E5-AEFD-76AC9432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character" w:styleId="Hyperlink">
    <w:name w:val="Hyperlink"/>
    <w:basedOn w:val="DefaultParagraphFont"/>
    <w:uiPriority w:val="99"/>
    <w:semiHidden/>
    <w:unhideWhenUsed/>
    <w:rsid w:val="006017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87766">
      <w:bodyDiv w:val="1"/>
      <w:marLeft w:val="0"/>
      <w:marRight w:val="0"/>
      <w:marTop w:val="0"/>
      <w:marBottom w:val="0"/>
      <w:divBdr>
        <w:top w:val="none" w:sz="0" w:space="0" w:color="auto"/>
        <w:left w:val="none" w:sz="0" w:space="0" w:color="auto"/>
        <w:bottom w:val="none" w:sz="0" w:space="0" w:color="auto"/>
        <w:right w:val="none" w:sz="0" w:space="0" w:color="auto"/>
      </w:divBdr>
    </w:div>
    <w:div w:id="1217082170">
      <w:bodyDiv w:val="1"/>
      <w:marLeft w:val="0"/>
      <w:marRight w:val="0"/>
      <w:marTop w:val="0"/>
      <w:marBottom w:val="0"/>
      <w:divBdr>
        <w:top w:val="none" w:sz="0" w:space="0" w:color="auto"/>
        <w:left w:val="none" w:sz="0" w:space="0" w:color="auto"/>
        <w:bottom w:val="none" w:sz="0" w:space="0" w:color="auto"/>
        <w:right w:val="none" w:sz="0" w:space="0" w:color="auto"/>
      </w:divBdr>
    </w:div>
    <w:div w:id="123524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fia.nz/sfia9/cpm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fia.nz/sfia9/fia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fia.nz/sfia9/me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fia.nz/sfia9/demm" TargetMode="External"/><Relationship Id="rId20" Type="http://schemas.openxmlformats.org/officeDocument/2006/relationships/hyperlink" Target="https://sfia.nz/sfia9/fia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fia.nz/sfia9/te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e45e50b-28c5-4ad1-8944-563280409058" xsi:nil="true"/>
    <lcf76f155ced4ddcb4097134ff3c332f xmlns="ee45e50b-28c5-4ad1-8944-563280409058">
      <Terms xmlns="http://schemas.microsoft.com/office/infopath/2007/PartnerControls"/>
    </lcf76f155ced4ddcb4097134ff3c332f>
    <Status xmlns="ee45e50b-28c5-4ad1-8944-563280409058" xsi:nil="true"/>
    <_dlc_DocId xmlns="82f80cf7-16dd-4e04-97bc-8f5aede6754b">INFO-1592680732-2587</_dlc_DocId>
    <_dlc_DocIdUrl xmlns="82f80cf7-16dd-4e04-97bc-8f5aede6754b">
      <Url>https://msdgovtnz.sharepoint.com/sites/WRK-PLATFORMS-CONSULTATION/_layouts/15/DocIdRedir.aspx?ID=INFO-1592680732-2587</Url>
      <Description>INFO-1592680732-2587</Description>
    </_dlc_DocIdUrl>
    <TaxCatchAll xmlns="24a4208d-6389-4ccf-93db-5bf6e7a6c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91FF1-1E78-433E-968F-D68D69F3A5A8}">
  <ds:schemaRefs>
    <ds:schemaRef ds:uri="http://schemas.microsoft.com/office/2006/metadata/properties"/>
    <ds:schemaRef ds:uri="http://schemas.microsoft.com/office/infopath/2007/PartnerControls"/>
    <ds:schemaRef ds:uri="ee45e50b-28c5-4ad1-8944-563280409058"/>
    <ds:schemaRef ds:uri="82f80cf7-16dd-4e04-97bc-8f5aede6754b"/>
    <ds:schemaRef ds:uri="24a4208d-6389-4ccf-93db-5bf6e7a6ca4d"/>
  </ds:schemaRefs>
</ds:datastoreItem>
</file>

<file path=customXml/itemProps2.xml><?xml version="1.0" encoding="utf-8"?>
<ds:datastoreItem xmlns:ds="http://schemas.openxmlformats.org/officeDocument/2006/customXml" ds:itemID="{B1071DD4-A84F-4E3E-963E-E481E7AC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6DEB8-644F-495E-A77D-F16E5772712B}">
  <ds:schemaRefs>
    <ds:schemaRef ds:uri="http://schemas.microsoft.com/sharepoint/event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6D10418A-6AF9-47FD-A268-085D9E96E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2341</Words>
  <Characters>13349</Characters>
  <Application>Microsoft Office Word</Application>
  <DocSecurity>0</DocSecurity>
  <Lines>111</Lines>
  <Paragraphs>31</Paragraphs>
  <ScaleCrop>false</ScaleCrop>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Will Wiseman</cp:lastModifiedBy>
  <cp:revision>2</cp:revision>
  <dcterms:created xsi:type="dcterms:W3CDTF">2025-12-10T01:21:00Z</dcterms:created>
  <dcterms:modified xsi:type="dcterms:W3CDTF">2025-12-10T01:21:00Z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0x01010022B66515D4ACF9448017B3512668A588</vt:lpwstr>
  </property>
  <property fmtid="{D5CDD505-2E9C-101B-9397-08002B2CF9AE}" pid="13" name="_dlc_DocIdItemGuid">
    <vt:lpwstr>d3c6b5a3-b333-4551-8ab3-282b05025fc9</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