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03CA1899" w:rsidR="5204AFC9" w:rsidRDefault="0087725F" w:rsidP="00353CA5">
      <w:pPr>
        <w:pStyle w:val="Heading3"/>
        <w:spacing w:before="1600" w:after="900"/>
        <w:rPr>
          <w:rStyle w:val="Heading1Char"/>
        </w:rPr>
      </w:pPr>
      <w:r w:rsidRPr="42B6289E">
        <w:rPr>
          <w:rStyle w:val="Heading1Char"/>
          <w:b/>
        </w:rPr>
        <w:t xml:space="preserve">Director </w:t>
      </w:r>
      <w:r w:rsidR="007C7CD0" w:rsidRPr="42B6289E">
        <w:rPr>
          <w:rStyle w:val="Heading1Char"/>
          <w:b/>
        </w:rPr>
        <w:t>Transformation and Transition</w:t>
      </w:r>
      <w:r w:rsidRPr="42B6289E">
        <w:rPr>
          <w:rStyle w:val="Heading1Char"/>
          <w:b/>
        </w:rPr>
        <w:t xml:space="preserve"> </w:t>
      </w:r>
      <w:r w:rsidR="0079100E" w:rsidRPr="42B6289E">
        <w:rPr>
          <w:rStyle w:val="Heading1Char"/>
        </w:rPr>
        <w:t>Technology</w:t>
      </w:r>
      <w:r w:rsidR="00BC75F3">
        <w:rPr>
          <w:rStyle w:val="Heading1Char"/>
        </w:rPr>
        <w:t xml:space="preserve"> Group</w:t>
      </w:r>
    </w:p>
    <w:p w14:paraId="150F12FA" w14:textId="77777777" w:rsidR="0087725F" w:rsidRPr="0087725F" w:rsidRDefault="0087725F" w:rsidP="0087725F"/>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te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36850EEE"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tai;</w:t>
      </w:r>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Will it fly inland, fly out to sea, or fly aimlessly;</w:t>
      </w:r>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Te Rūnanga Nui o Te Aupōuri Trust for their permission to use this whakataukī </w:t>
      </w:r>
    </w:p>
    <w:p w14:paraId="70EA2CBC" w14:textId="77777777" w:rsidR="00BC35AE" w:rsidRDefault="00241016" w:rsidP="00C4259B">
      <w:pPr>
        <w:pStyle w:val="Heading2"/>
      </w:pPr>
      <w:r>
        <w:lastRenderedPageBreak/>
        <w:t>Position Detail</w:t>
      </w:r>
    </w:p>
    <w:p w14:paraId="62C309B4" w14:textId="77777777" w:rsidR="00241016" w:rsidRPr="003B2B69" w:rsidRDefault="00241016" w:rsidP="002A6600">
      <w:pPr>
        <w:pStyle w:val="Heading3"/>
      </w:pPr>
      <w:r w:rsidRPr="003B2B69">
        <w:t>Overview of position</w:t>
      </w:r>
    </w:p>
    <w:p w14:paraId="528F07E2" w14:textId="3870B924" w:rsidR="007C7CD0" w:rsidRPr="007C7CD0" w:rsidRDefault="007C7CD0" w:rsidP="007C7CD0">
      <w:r w:rsidRPr="007C7CD0">
        <w:t>The Director Transformation and Transition is a senior leadership role within Platforms and Infrastructure, responsible for ensuring MSD’s Platform and Infrastructure function is fully integrated, aligned, and prepared to deliver on the Services for the Future transformation programme. The role acts as the primary connection point between Platforms and Infrastructure in Technology and the wider transformation, ensuring a coordinated, consistent, and future-focused approach across delivery, transition, and long-term operating model evolution.</w:t>
      </w:r>
    </w:p>
    <w:p w14:paraId="0CF632CC" w14:textId="217C4BB2" w:rsidR="007C7CD0" w:rsidRPr="007C7CD0" w:rsidRDefault="007C7CD0" w:rsidP="007C7CD0">
      <w:r w:rsidRPr="007C7CD0">
        <w:t>This role provides strategic leadership across the transformation scope relating to platforms and infrastructure, including run ahead design, coexistence planning, transition planning, and the safe and sequenced exit from heritage systems. It ensures that platform-related delivery is synchronised, risks are understood and managed, and Technology is positioned to successfully operate both current and future platforms throughout the transformation.</w:t>
      </w:r>
    </w:p>
    <w:p w14:paraId="23F4A34E" w14:textId="0B3A68BF" w:rsidR="007C7CD0" w:rsidRPr="007C7CD0" w:rsidRDefault="007C7CD0" w:rsidP="007C7CD0">
      <w:r>
        <w:t xml:space="preserve">A critical component of the role is leading the transition of the Platforms and Infrastructure operating model to support a staged move from delivery to run/operate for new digital platforms, while maintaining stability of existing systems. The Director works closely with the Platforms and Capabilities function to synchronise transition activities with platform operating model </w:t>
      </w:r>
      <w:r w:rsidR="00B22FA5">
        <w:t>improvements</w:t>
      </w:r>
      <w:r>
        <w:t>, ensuring MSD has the capability, capacity, and practices required as systems evolve.</w:t>
      </w:r>
    </w:p>
    <w:p w14:paraId="675C0DDD" w14:textId="2DCE3BA3" w:rsidR="007C7CD0" w:rsidRPr="007C7CD0" w:rsidRDefault="007C7CD0" w:rsidP="007C7CD0">
      <w:r w:rsidRPr="007C7CD0">
        <w:t>The role represents the IST leadership team</w:t>
      </w:r>
      <w:r w:rsidR="007932B3">
        <w:t xml:space="preserve"> across platform and infrastructure activities in</w:t>
      </w:r>
      <w:r w:rsidRPr="007C7CD0">
        <w:t xml:space="preserve"> transformation, driving alignment, ensuring Technology responsibilities are well understood, and supporting decision-making across coexistence, sequencing, risk, readiness, and transition planning. </w:t>
      </w:r>
    </w:p>
    <w:p w14:paraId="2269D850" w14:textId="39F0D65A" w:rsidR="005C0C81" w:rsidRPr="00015D5E" w:rsidRDefault="005C0C81" w:rsidP="007C7CD0">
      <w:pPr>
        <w:pStyle w:val="Heading4"/>
      </w:pPr>
      <w:r w:rsidRPr="00015D5E">
        <w:t>Location</w:t>
      </w:r>
    </w:p>
    <w:p w14:paraId="519C42EA" w14:textId="07D99580" w:rsidR="005C0C81" w:rsidRPr="0079100E" w:rsidRDefault="0079100E" w:rsidP="005C0C81">
      <w:pPr>
        <w:spacing w:line="240" w:lineRule="auto"/>
      </w:pPr>
      <w:r w:rsidRPr="0079100E">
        <w:t>National Office</w:t>
      </w:r>
    </w:p>
    <w:p w14:paraId="72BFDA47" w14:textId="77777777" w:rsidR="005C0C81" w:rsidRPr="00015D5E" w:rsidRDefault="005C0C81" w:rsidP="00353CA5">
      <w:pPr>
        <w:pStyle w:val="Heading4"/>
      </w:pPr>
      <w:r w:rsidRPr="00015D5E">
        <w:t>Reports to</w:t>
      </w:r>
    </w:p>
    <w:p w14:paraId="4525DCBD" w14:textId="5F348C7B" w:rsidR="005C0C81" w:rsidRPr="0079100E" w:rsidRDefault="0087725F" w:rsidP="005C0C81">
      <w:pPr>
        <w:spacing w:line="240" w:lineRule="auto"/>
      </w:pPr>
      <w:r>
        <w:t>General Manager Platforms and Infrastructure</w:t>
      </w:r>
    </w:p>
    <w:p w14:paraId="58921DBE" w14:textId="77777777" w:rsidR="009357ED" w:rsidRDefault="00CB3BB8" w:rsidP="002A6600">
      <w:pPr>
        <w:pStyle w:val="Heading3"/>
      </w:pPr>
      <w:r>
        <w:t>R</w:t>
      </w:r>
      <w:r w:rsidR="009357ED">
        <w:t>esponsibilities</w:t>
      </w:r>
    </w:p>
    <w:p w14:paraId="5179DE8B" w14:textId="6C83BBA2" w:rsidR="007C7CD0" w:rsidRPr="007C7CD0" w:rsidRDefault="007C7CD0" w:rsidP="0ED8C077">
      <w:pPr>
        <w:pStyle w:val="ListParagraph"/>
      </w:pPr>
      <w:r>
        <w:t>Lead the integration of Platforms and Infrastructure into the Services for the Future transformation, ensuring a coordinated, consistent, and future</w:t>
      </w:r>
      <w:r w:rsidR="060C5C32">
        <w:t xml:space="preserve"> </w:t>
      </w:r>
      <w:r>
        <w:t xml:space="preserve">focused approach across delivery, transition, and operating model evolution. </w:t>
      </w:r>
    </w:p>
    <w:p w14:paraId="4B5B6B6A" w14:textId="241B5FC5" w:rsidR="007C7CD0" w:rsidRPr="007C7CD0" w:rsidRDefault="007C7CD0" w:rsidP="00E23A25">
      <w:pPr>
        <w:pStyle w:val="ListParagraph"/>
        <w:numPr>
          <w:ilvl w:val="0"/>
          <w:numId w:val="11"/>
        </w:numPr>
      </w:pPr>
      <w:r w:rsidRPr="007C7CD0">
        <w:t xml:space="preserve">Act as the primary connection point between Platforms and Infrastructure and the wider transformation programme, ensuring alignment of priorities, decisions, and implementation pathways. </w:t>
      </w:r>
    </w:p>
    <w:p w14:paraId="0D349116" w14:textId="3AA3B5C4" w:rsidR="007C7CD0" w:rsidRPr="007C7CD0" w:rsidRDefault="007C7CD0" w:rsidP="00E23A25">
      <w:pPr>
        <w:pStyle w:val="ListParagraph"/>
        <w:numPr>
          <w:ilvl w:val="0"/>
          <w:numId w:val="11"/>
        </w:numPr>
      </w:pPr>
      <w:r w:rsidRPr="007C7CD0">
        <w:lastRenderedPageBreak/>
        <w:t>Provide strategic leadership across platform and infrastructure transformation activities, including run</w:t>
      </w:r>
      <w:r w:rsidRPr="007C7CD0">
        <w:noBreakHyphen/>
        <w:t xml:space="preserve">ahead design, coexistence planning, transition planning, and sequenced exit from heritage systems. </w:t>
      </w:r>
    </w:p>
    <w:p w14:paraId="34AEA8B9" w14:textId="2083C910" w:rsidR="007C7CD0" w:rsidRPr="007C7CD0" w:rsidRDefault="007C7CD0" w:rsidP="00E23A25">
      <w:pPr>
        <w:pStyle w:val="ListParagraph"/>
        <w:numPr>
          <w:ilvl w:val="0"/>
          <w:numId w:val="11"/>
        </w:numPr>
      </w:pPr>
      <w:r w:rsidRPr="007C7CD0">
        <w:t>Ensure platform</w:t>
      </w:r>
      <w:r w:rsidRPr="007C7CD0">
        <w:noBreakHyphen/>
        <w:t xml:space="preserve">related delivery is synchronised across Technology, with clear visibility of risks, dependencies, readiness, and the ability to operate both current and future platforms safely during transformation. </w:t>
      </w:r>
    </w:p>
    <w:p w14:paraId="2B8B8FBC" w14:textId="51EFCB52" w:rsidR="007C7CD0" w:rsidRPr="007C7CD0" w:rsidRDefault="007C7CD0" w:rsidP="00E23A25">
      <w:pPr>
        <w:pStyle w:val="ListParagraph"/>
        <w:numPr>
          <w:ilvl w:val="0"/>
          <w:numId w:val="11"/>
        </w:numPr>
      </w:pPr>
      <w:r w:rsidRPr="007C7CD0">
        <w:t xml:space="preserve">Lead the transition of the Platforms and Infrastructure operating model to support staged movement from delivery to run/operate for new digital platforms while maintaining stability of existing environments. </w:t>
      </w:r>
    </w:p>
    <w:p w14:paraId="2415E090" w14:textId="296B9D62" w:rsidR="007C7CD0" w:rsidRPr="007C7CD0" w:rsidRDefault="007C7CD0" w:rsidP="00E23A25">
      <w:pPr>
        <w:pStyle w:val="ListParagraph"/>
        <w:numPr>
          <w:ilvl w:val="0"/>
          <w:numId w:val="11"/>
        </w:numPr>
      </w:pPr>
      <w:r w:rsidRPr="007C7CD0">
        <w:t xml:space="preserve">Work closely with the Platforms and Capabilities function to coordinate transition activities with platform operating model </w:t>
      </w:r>
      <w:r w:rsidR="00F70B37">
        <w:t>improvements</w:t>
      </w:r>
      <w:r w:rsidRPr="007C7CD0">
        <w:t xml:space="preserve">, ensuring capability, capacity, and practices evolve in line with programme needs. </w:t>
      </w:r>
    </w:p>
    <w:p w14:paraId="7654AFCD" w14:textId="6DA42AF2" w:rsidR="007C7CD0" w:rsidRPr="007C7CD0" w:rsidRDefault="007C7CD0" w:rsidP="00E23A25">
      <w:pPr>
        <w:pStyle w:val="ListParagraph"/>
        <w:numPr>
          <w:ilvl w:val="0"/>
          <w:numId w:val="11"/>
        </w:numPr>
      </w:pPr>
      <w:r w:rsidRPr="007C7CD0">
        <w:t xml:space="preserve">Represent the IST leadership team </w:t>
      </w:r>
      <w:r w:rsidR="007932B3">
        <w:t>across platform and infrastructure activities in</w:t>
      </w:r>
      <w:r w:rsidR="007932B3" w:rsidRPr="007C7CD0">
        <w:t xml:space="preserve"> transformation</w:t>
      </w:r>
      <w:r w:rsidRPr="007C7CD0">
        <w:t xml:space="preserve">, ensuring Technology’s roles, responsibilities, and constraints are understood and embedded in programme decisions. </w:t>
      </w:r>
    </w:p>
    <w:p w14:paraId="29E95438" w14:textId="1B9BA68D" w:rsidR="007C7CD0" w:rsidRPr="007C7CD0" w:rsidRDefault="007C7CD0" w:rsidP="6726F21A">
      <w:pPr>
        <w:pStyle w:val="ListParagraph"/>
      </w:pPr>
      <w:r>
        <w:t>Drive alignment and support decision</w:t>
      </w:r>
      <w:r w:rsidR="3AD35F57">
        <w:t xml:space="preserve"> </w:t>
      </w:r>
      <w:r>
        <w:t>making across coexistence, sequencing, risk management, readiness, and transition planning to ensure a safe and successful transformation journey.</w:t>
      </w:r>
    </w:p>
    <w:p w14:paraId="0E48B73C" w14:textId="5C1B87F0" w:rsidR="005C0C81" w:rsidRDefault="005C0C81" w:rsidP="005C0C81">
      <w:pPr>
        <w:pStyle w:val="Heading3"/>
      </w:pPr>
      <w:r>
        <w:t>Additional Responsibilities</w:t>
      </w:r>
    </w:p>
    <w:p w14:paraId="16AA22AF" w14:textId="634BD147" w:rsidR="005C0C81" w:rsidRDefault="005C0C81" w:rsidP="002A6600">
      <w:pPr>
        <w:pStyle w:val="Heading4"/>
      </w:pPr>
      <w:r>
        <w:t xml:space="preserve">Embedding </w:t>
      </w:r>
      <w:r w:rsidR="7313443C">
        <w:t>T</w:t>
      </w:r>
      <w:r>
        <w:t xml:space="preserve">e </w:t>
      </w:r>
      <w:proofErr w:type="spellStart"/>
      <w:r>
        <w:t>ao</w:t>
      </w:r>
      <w:proofErr w:type="spellEnd"/>
      <w:r>
        <w:t xml:space="preserve"> Māori </w:t>
      </w:r>
    </w:p>
    <w:p w14:paraId="794B9521" w14:textId="2C5C70D5" w:rsidR="733B6208" w:rsidRDefault="733B6208" w:rsidP="6726F21A">
      <w:pPr>
        <w:pStyle w:val="ListParagraph"/>
        <w:rPr>
          <w:lang w:val="en-NZ"/>
        </w:rPr>
      </w:pPr>
      <w:r>
        <w:t>Embedding and building on Te ao Māori within their leadership role.</w:t>
      </w:r>
    </w:p>
    <w:p w14:paraId="42102FAF" w14:textId="2E581AC5" w:rsidR="733B6208" w:rsidRDefault="733B6208" w:rsidP="6726F21A">
      <w:pPr>
        <w:pStyle w:val="ListParagraph"/>
        <w:rPr>
          <w:lang w:val="en-NZ"/>
        </w:rPr>
      </w:pPr>
      <w:r>
        <w:t>Create the conditions for Te ao Māori and Te Tiriti o Waitangi in all decisions to ensure Te Pae Tata is delivered and embedded in your business group.</w:t>
      </w:r>
    </w:p>
    <w:p w14:paraId="2E32115A" w14:textId="463C2D81" w:rsidR="733B6208" w:rsidRDefault="733B6208" w:rsidP="6726F21A">
      <w:pPr>
        <w:pStyle w:val="ListParagraph"/>
        <w:rPr>
          <w:lang w:val="en-US"/>
        </w:rPr>
      </w:pPr>
      <w:r w:rsidRPr="6726F21A">
        <w:rPr>
          <w:lang w:val="en-NZ"/>
        </w:rPr>
        <w:t>Embedding Te ao Māori (Te Reo Māori, Tikanga, Kawa, Te Tiriti o Waitangi) into the way we do things at MSD.</w:t>
      </w:r>
    </w:p>
    <w:p w14:paraId="7B0F96F3" w14:textId="49966797" w:rsidR="77D84CBC" w:rsidRPr="00CC16CD" w:rsidRDefault="733B6208" w:rsidP="6726F21A">
      <w:pPr>
        <w:pStyle w:val="ListParagraph"/>
        <w:rPr>
          <w:lang w:val="en-US"/>
        </w:rPr>
      </w:pPr>
      <w:r w:rsidRPr="6726F21A">
        <w:rPr>
          <w:lang w:val="en-NZ"/>
        </w:rPr>
        <w:t>Building more experience, knowledge, skills, and capabilities to confidently engage with whānau, hapū and iwi.</w:t>
      </w:r>
    </w:p>
    <w:p w14:paraId="59A0AF03" w14:textId="77777777" w:rsidR="005C0C81" w:rsidRDefault="005C0C81" w:rsidP="002A6600">
      <w:pPr>
        <w:pStyle w:val="Heading4"/>
      </w:pPr>
      <w:r w:rsidRPr="00ED7955">
        <w:t>Health, safety, and security</w:t>
      </w:r>
    </w:p>
    <w:p w14:paraId="13671BFD" w14:textId="6A3147AC" w:rsidR="0065019F" w:rsidRPr="0065019F" w:rsidRDefault="0065019F" w:rsidP="00E23A25">
      <w:pPr>
        <w:pStyle w:val="ListParagraph"/>
        <w:numPr>
          <w:ilvl w:val="0"/>
          <w:numId w:val="4"/>
        </w:numPr>
        <w:spacing w:line="240" w:lineRule="auto"/>
        <w:ind w:left="714" w:hanging="357"/>
        <w:contextualSpacing w:val="0"/>
        <w:jc w:val="both"/>
      </w:pPr>
      <w:r w:rsidRPr="0065019F">
        <w:t>Understand and implement your manager accountabilities as outlined in the HSS Accountability Framework.</w:t>
      </w:r>
    </w:p>
    <w:p w14:paraId="5B0D872A" w14:textId="4D710527" w:rsidR="0065019F" w:rsidRDefault="0065019F" w:rsidP="00E23A25">
      <w:pPr>
        <w:pStyle w:val="ListParagraph"/>
        <w:numPr>
          <w:ilvl w:val="0"/>
          <w:numId w:val="4"/>
        </w:numPr>
        <w:spacing w:line="240" w:lineRule="auto"/>
        <w:ind w:left="714" w:hanging="357"/>
        <w:contextualSpacing w:val="0"/>
        <w:jc w:val="both"/>
      </w:pPr>
      <w:r w:rsidRPr="0065019F">
        <w:t>Ensure health, safety, security and wellbeing policies and procedures are understood, followed and implemented by all employees.</w:t>
      </w:r>
    </w:p>
    <w:p w14:paraId="6468274F" w14:textId="77777777" w:rsidR="005C0C81" w:rsidRDefault="005C0C81" w:rsidP="002A6600">
      <w:pPr>
        <w:pStyle w:val="Heading4"/>
      </w:pPr>
      <w:r w:rsidRPr="00ED7955">
        <w:t>Emergency management and business continuity</w:t>
      </w:r>
    </w:p>
    <w:p w14:paraId="04754116" w14:textId="77777777" w:rsidR="0065019F" w:rsidRPr="0065019F" w:rsidRDefault="0065019F" w:rsidP="00E23A25">
      <w:pPr>
        <w:pStyle w:val="ListParagraph"/>
        <w:numPr>
          <w:ilvl w:val="0"/>
          <w:numId w:val="4"/>
        </w:numPr>
        <w:spacing w:line="240" w:lineRule="auto"/>
        <w:ind w:left="714" w:hanging="357"/>
        <w:contextualSpacing w:val="0"/>
        <w:jc w:val="both"/>
      </w:pPr>
      <w:r w:rsidRPr="0065019F">
        <w:t>Take responsibility for emergency management and business continuity confirming management of the critical functions that satisfy legislative, regulatory and client obligations are in place during and after a disruptive event.</w:t>
      </w:r>
    </w:p>
    <w:p w14:paraId="4FEF9ADA" w14:textId="4D2A0576" w:rsidR="007A61A9" w:rsidRPr="00F33EE3" w:rsidRDefault="0065019F" w:rsidP="007A61A9">
      <w:pPr>
        <w:pStyle w:val="ListParagraph"/>
        <w:numPr>
          <w:ilvl w:val="0"/>
          <w:numId w:val="4"/>
        </w:numPr>
        <w:spacing w:line="240" w:lineRule="auto"/>
        <w:ind w:left="714" w:hanging="357"/>
        <w:contextualSpacing w:val="0"/>
        <w:jc w:val="both"/>
        <w:rPr>
          <w:szCs w:val="26"/>
        </w:rPr>
      </w:pPr>
      <w:r w:rsidRPr="0065019F">
        <w:t>Ensure that policies and procedures encompassing emergency management, business continuity and crisis management arrangements are understood, followed and implemented by employees.</w:t>
      </w:r>
    </w:p>
    <w:p w14:paraId="4D010F07" w14:textId="2A10E219" w:rsidR="00306EFC" w:rsidRDefault="00B305AE" w:rsidP="002C3D7A">
      <w:pPr>
        <w:spacing w:line="240" w:lineRule="auto"/>
        <w:rPr>
          <w:highlight w:val="yellow"/>
        </w:rPr>
      </w:pPr>
      <w:r w:rsidRPr="00205B82">
        <w:rPr>
          <w:rFonts w:eastAsiaTheme="majorEastAsia" w:cstheme="majorBidi"/>
          <w:b/>
          <w:bCs/>
          <w:color w:val="002060"/>
          <w:sz w:val="28"/>
          <w:szCs w:val="26"/>
        </w:rPr>
        <w:lastRenderedPageBreak/>
        <w:t>Skills</w:t>
      </w:r>
    </w:p>
    <w:p w14:paraId="7374E439" w14:textId="77777777" w:rsidR="007C7CD0" w:rsidRDefault="007C7CD0" w:rsidP="007C7CD0">
      <w:pPr>
        <w:rPr>
          <w:rFonts w:ascii="Aptos" w:hAnsi="Aptos"/>
          <w:b/>
          <w:bCs/>
        </w:rPr>
      </w:pPr>
      <w:r>
        <w:rPr>
          <w:b/>
          <w:bCs/>
        </w:rPr>
        <w:t>Transformation Leadership and Alignment</w:t>
      </w:r>
    </w:p>
    <w:p w14:paraId="666451B8" w14:textId="4301485C" w:rsidR="007C7CD0" w:rsidRPr="007C7CD0" w:rsidRDefault="007C7CD0" w:rsidP="00E23A25">
      <w:pPr>
        <w:pStyle w:val="ListParagraph"/>
        <w:numPr>
          <w:ilvl w:val="0"/>
          <w:numId w:val="5"/>
        </w:numPr>
        <w:spacing w:after="0" w:line="240" w:lineRule="auto"/>
        <w:rPr>
          <w:rFonts w:eastAsia="Times New Roman"/>
        </w:rPr>
      </w:pPr>
      <w:r w:rsidRPr="007C7CD0">
        <w:rPr>
          <w:rFonts w:eastAsia="Times New Roman"/>
        </w:rPr>
        <w:t xml:space="preserve">Represent Platforms and Infrastructure across </w:t>
      </w:r>
      <w:r w:rsidR="007932B3">
        <w:rPr>
          <w:rFonts w:eastAsia="Times New Roman"/>
        </w:rPr>
        <w:t>run ahead and delivery</w:t>
      </w:r>
      <w:r w:rsidRPr="007C7CD0">
        <w:rPr>
          <w:rFonts w:eastAsia="Times New Roman"/>
        </w:rPr>
        <w:t xml:space="preserve"> scope of the Services for the Future transformation, ensuring alignment between programme delivery and Technology’s platform responsibilities.</w:t>
      </w:r>
    </w:p>
    <w:p w14:paraId="319FF927" w14:textId="77777777" w:rsidR="007C7CD0" w:rsidRPr="007C7CD0" w:rsidRDefault="007C7CD0" w:rsidP="00E23A25">
      <w:pPr>
        <w:pStyle w:val="ListParagraph"/>
        <w:numPr>
          <w:ilvl w:val="0"/>
          <w:numId w:val="5"/>
        </w:numPr>
        <w:spacing w:after="0" w:line="240" w:lineRule="auto"/>
        <w:rPr>
          <w:rFonts w:eastAsia="Times New Roman"/>
        </w:rPr>
      </w:pPr>
      <w:r w:rsidRPr="007C7CD0">
        <w:rPr>
          <w:rFonts w:eastAsia="Times New Roman"/>
        </w:rPr>
        <w:t>Provide leadership across platform-related run-ahead design, service evolution planning, and dependencies between heritage environments and future platforms.</w:t>
      </w:r>
    </w:p>
    <w:p w14:paraId="612629ED" w14:textId="7B014982" w:rsidR="007C7CD0" w:rsidRPr="007C7CD0" w:rsidRDefault="007C7CD0" w:rsidP="00E23A25">
      <w:pPr>
        <w:pStyle w:val="ListParagraph"/>
        <w:numPr>
          <w:ilvl w:val="0"/>
          <w:numId w:val="5"/>
        </w:numPr>
        <w:spacing w:after="0" w:line="240" w:lineRule="auto"/>
        <w:rPr>
          <w:rFonts w:eastAsia="Times New Roman"/>
        </w:rPr>
      </w:pPr>
      <w:r w:rsidRPr="007C7CD0">
        <w:rPr>
          <w:rFonts w:eastAsia="Times New Roman"/>
        </w:rPr>
        <w:t>Ensure Technology, especially Platforms, is consistently and accurately represented in transformation</w:t>
      </w:r>
      <w:r w:rsidR="007932B3">
        <w:rPr>
          <w:rFonts w:eastAsia="Times New Roman"/>
        </w:rPr>
        <w:t xml:space="preserve">, </w:t>
      </w:r>
      <w:r w:rsidRPr="007C7CD0">
        <w:rPr>
          <w:rFonts w:eastAsia="Times New Roman"/>
        </w:rPr>
        <w:t>design forums, and delivery planning processes.</w:t>
      </w:r>
    </w:p>
    <w:p w14:paraId="1023645C" w14:textId="77777777" w:rsidR="007C7CD0" w:rsidRPr="007C7CD0" w:rsidRDefault="007C7CD0" w:rsidP="00E23A25">
      <w:pPr>
        <w:pStyle w:val="ListParagraph"/>
        <w:numPr>
          <w:ilvl w:val="0"/>
          <w:numId w:val="5"/>
        </w:numPr>
        <w:spacing w:after="0" w:line="240" w:lineRule="auto"/>
        <w:rPr>
          <w:rFonts w:eastAsia="Times New Roman"/>
        </w:rPr>
      </w:pPr>
      <w:r w:rsidRPr="007C7CD0">
        <w:rPr>
          <w:rFonts w:eastAsia="Times New Roman"/>
        </w:rPr>
        <w:t>Drive clarity, coordination, and alignment between Technology delivery teams, platform owners, and transformation programme workstreams.</w:t>
      </w:r>
    </w:p>
    <w:p w14:paraId="19C2F962" w14:textId="77777777" w:rsidR="007C7CD0" w:rsidRDefault="007C7CD0" w:rsidP="007C7CD0">
      <w:pPr>
        <w:spacing w:after="0" w:line="240" w:lineRule="auto"/>
        <w:rPr>
          <w:rFonts w:eastAsia="Times New Roman"/>
        </w:rPr>
      </w:pPr>
    </w:p>
    <w:p w14:paraId="38CDC92E" w14:textId="77777777" w:rsidR="007C7CD0" w:rsidRDefault="007C7CD0" w:rsidP="007C7CD0">
      <w:pPr>
        <w:rPr>
          <w:b/>
          <w:bCs/>
        </w:rPr>
      </w:pPr>
      <w:r>
        <w:rPr>
          <w:b/>
          <w:bCs/>
        </w:rPr>
        <w:t>Coexistence, Heritage Exit, and Future Platform Readiness</w:t>
      </w:r>
    </w:p>
    <w:p w14:paraId="49ABC68C" w14:textId="6387493F" w:rsidR="007C7CD0" w:rsidRPr="007C7CD0" w:rsidRDefault="007932B3" w:rsidP="00E23A25">
      <w:pPr>
        <w:pStyle w:val="ListParagraph"/>
        <w:numPr>
          <w:ilvl w:val="0"/>
          <w:numId w:val="6"/>
        </w:numPr>
        <w:spacing w:after="0" w:line="240" w:lineRule="auto"/>
        <w:rPr>
          <w:rFonts w:eastAsia="Times New Roman"/>
        </w:rPr>
      </w:pPr>
      <w:r>
        <w:rPr>
          <w:rFonts w:eastAsia="Times New Roman"/>
        </w:rPr>
        <w:t>Part</w:t>
      </w:r>
      <w:r w:rsidR="005B7A2E">
        <w:rPr>
          <w:rFonts w:eastAsia="Times New Roman"/>
        </w:rPr>
        <w:t xml:space="preserve">ner with </w:t>
      </w:r>
      <w:r w:rsidR="0036132B">
        <w:rPr>
          <w:rFonts w:eastAsia="Times New Roman"/>
        </w:rPr>
        <w:t>Enterprise Design on</w:t>
      </w:r>
      <w:r w:rsidR="007C7CD0" w:rsidRPr="007C7CD0">
        <w:rPr>
          <w:rFonts w:eastAsia="Times New Roman"/>
        </w:rPr>
        <w:t xml:space="preserve"> the development and coordination of coexistence strategies, ensuring safe and effective operation of heritage and modern digital platforms throughout transition.</w:t>
      </w:r>
    </w:p>
    <w:p w14:paraId="5DECC4B8" w14:textId="77777777" w:rsidR="007C7CD0" w:rsidRPr="007C7CD0" w:rsidRDefault="007C7CD0" w:rsidP="00E23A25">
      <w:pPr>
        <w:pStyle w:val="ListParagraph"/>
        <w:numPr>
          <w:ilvl w:val="0"/>
          <w:numId w:val="6"/>
        </w:numPr>
        <w:spacing w:after="0" w:line="240" w:lineRule="auto"/>
        <w:rPr>
          <w:rFonts w:eastAsia="Times New Roman"/>
        </w:rPr>
      </w:pPr>
      <w:r w:rsidRPr="007C7CD0">
        <w:rPr>
          <w:rFonts w:eastAsia="Times New Roman"/>
        </w:rPr>
        <w:t>Oversee planning for the staged exit of heritage systems, ensuring risk is managed and operational continuity is maintained.</w:t>
      </w:r>
    </w:p>
    <w:p w14:paraId="5F43BB35" w14:textId="77777777" w:rsidR="007C7CD0" w:rsidRPr="007C7CD0" w:rsidRDefault="007C7CD0" w:rsidP="00E23A25">
      <w:pPr>
        <w:pStyle w:val="ListParagraph"/>
        <w:numPr>
          <w:ilvl w:val="0"/>
          <w:numId w:val="6"/>
        </w:numPr>
        <w:spacing w:after="0" w:line="240" w:lineRule="auto"/>
        <w:rPr>
          <w:rFonts w:eastAsia="Times New Roman"/>
        </w:rPr>
      </w:pPr>
      <w:r w:rsidRPr="007C7CD0">
        <w:rPr>
          <w:rFonts w:eastAsia="Times New Roman"/>
        </w:rPr>
        <w:t>Partner with delivery teams to ensure new platform designs incorporate operational readiness, support models, resilience, and lifecycle management from inception.</w:t>
      </w:r>
    </w:p>
    <w:p w14:paraId="4471BD77" w14:textId="77777777" w:rsidR="007C7CD0" w:rsidRPr="007C7CD0" w:rsidRDefault="007C7CD0" w:rsidP="00E23A25">
      <w:pPr>
        <w:pStyle w:val="ListParagraph"/>
        <w:numPr>
          <w:ilvl w:val="0"/>
          <w:numId w:val="6"/>
        </w:numPr>
        <w:spacing w:after="0" w:line="240" w:lineRule="auto"/>
        <w:rPr>
          <w:rFonts w:eastAsia="Times New Roman"/>
        </w:rPr>
      </w:pPr>
      <w:r w:rsidRPr="007C7CD0">
        <w:rPr>
          <w:rFonts w:eastAsia="Times New Roman"/>
        </w:rPr>
        <w:t>Ensure sequencing and dependency management across heritage applications, infrastructure, and new digital platforms.</w:t>
      </w:r>
    </w:p>
    <w:p w14:paraId="782C2299" w14:textId="77777777" w:rsidR="007C7CD0" w:rsidRDefault="007C7CD0" w:rsidP="007C7CD0">
      <w:pPr>
        <w:spacing w:after="0" w:line="240" w:lineRule="auto"/>
        <w:rPr>
          <w:rFonts w:eastAsia="Times New Roman"/>
        </w:rPr>
      </w:pPr>
    </w:p>
    <w:p w14:paraId="5A7E5692" w14:textId="77777777" w:rsidR="007C7CD0" w:rsidRDefault="007C7CD0" w:rsidP="007C7CD0">
      <w:pPr>
        <w:rPr>
          <w:b/>
          <w:bCs/>
        </w:rPr>
      </w:pPr>
      <w:r>
        <w:rPr>
          <w:b/>
          <w:bCs/>
        </w:rPr>
        <w:t>Transition of Platform Operating Model</w:t>
      </w:r>
    </w:p>
    <w:p w14:paraId="3BCBFECC" w14:textId="77777777" w:rsidR="007C7CD0" w:rsidRPr="007C7CD0" w:rsidRDefault="007C7CD0" w:rsidP="00E23A25">
      <w:pPr>
        <w:pStyle w:val="ListParagraph"/>
        <w:numPr>
          <w:ilvl w:val="0"/>
          <w:numId w:val="7"/>
        </w:numPr>
        <w:spacing w:after="0" w:line="240" w:lineRule="auto"/>
        <w:rPr>
          <w:rFonts w:eastAsia="Times New Roman"/>
        </w:rPr>
      </w:pPr>
      <w:r w:rsidRPr="007C7CD0">
        <w:rPr>
          <w:rFonts w:eastAsia="Times New Roman"/>
        </w:rPr>
        <w:t>Lead the evolution of the Platforms and Infrastructure operating model to support the transition from project delivery into stable run-and-operate functions for new platforms.</w:t>
      </w:r>
    </w:p>
    <w:p w14:paraId="1BFAB732" w14:textId="77777777" w:rsidR="007C7CD0" w:rsidRPr="007C7CD0" w:rsidRDefault="007C7CD0" w:rsidP="00E23A25">
      <w:pPr>
        <w:pStyle w:val="ListParagraph"/>
        <w:numPr>
          <w:ilvl w:val="0"/>
          <w:numId w:val="7"/>
        </w:numPr>
        <w:spacing w:after="0" w:line="240" w:lineRule="auto"/>
        <w:rPr>
          <w:rFonts w:eastAsia="Times New Roman"/>
        </w:rPr>
      </w:pPr>
      <w:r w:rsidRPr="007C7CD0">
        <w:rPr>
          <w:rFonts w:eastAsia="Times New Roman"/>
        </w:rPr>
        <w:t>Ensure processes, ownership models, service boundaries, and accountability structures evolve to support the future-state platform landscape.</w:t>
      </w:r>
    </w:p>
    <w:p w14:paraId="7C52BFE5" w14:textId="474507D3" w:rsidR="007C7CD0" w:rsidRPr="007C7CD0" w:rsidRDefault="007C7CD0" w:rsidP="00E23A25">
      <w:pPr>
        <w:pStyle w:val="ListParagraph"/>
        <w:numPr>
          <w:ilvl w:val="0"/>
          <w:numId w:val="7"/>
        </w:numPr>
        <w:spacing w:after="0" w:line="240" w:lineRule="auto"/>
        <w:rPr>
          <w:rFonts w:eastAsia="Times New Roman"/>
        </w:rPr>
      </w:pPr>
      <w:r w:rsidRPr="007C7CD0">
        <w:rPr>
          <w:rFonts w:eastAsia="Times New Roman"/>
        </w:rPr>
        <w:t>Work closely with the Platforms and Capabilities function to synchronise transition activities with operating model</w:t>
      </w:r>
      <w:r w:rsidR="00B77873">
        <w:rPr>
          <w:rFonts w:eastAsia="Times New Roman"/>
        </w:rPr>
        <w:t xml:space="preserve"> improvements</w:t>
      </w:r>
      <w:r w:rsidRPr="007C7CD0">
        <w:rPr>
          <w:rFonts w:eastAsia="Times New Roman"/>
        </w:rPr>
        <w:t>.</w:t>
      </w:r>
    </w:p>
    <w:p w14:paraId="0D98A004" w14:textId="77777777" w:rsidR="007C7CD0" w:rsidRPr="007C7CD0" w:rsidRDefault="007C7CD0" w:rsidP="00E23A25">
      <w:pPr>
        <w:pStyle w:val="ListParagraph"/>
        <w:numPr>
          <w:ilvl w:val="0"/>
          <w:numId w:val="7"/>
        </w:numPr>
        <w:spacing w:after="0" w:line="240" w:lineRule="auto"/>
        <w:rPr>
          <w:rFonts w:eastAsia="Times New Roman"/>
        </w:rPr>
      </w:pPr>
      <w:r w:rsidRPr="007C7CD0">
        <w:rPr>
          <w:rFonts w:eastAsia="Times New Roman"/>
        </w:rPr>
        <w:t>Ensure integration of future support models, site reliability practices, automation, and platform engineering principles.</w:t>
      </w:r>
    </w:p>
    <w:p w14:paraId="18916E14" w14:textId="77777777" w:rsidR="007C7CD0" w:rsidRDefault="007C7CD0" w:rsidP="007C7CD0">
      <w:pPr>
        <w:spacing w:after="0" w:line="240" w:lineRule="auto"/>
        <w:rPr>
          <w:rFonts w:eastAsia="Times New Roman"/>
        </w:rPr>
      </w:pPr>
    </w:p>
    <w:p w14:paraId="333F7B9E" w14:textId="77777777" w:rsidR="007C7CD0" w:rsidRDefault="007C7CD0" w:rsidP="007C7CD0">
      <w:pPr>
        <w:rPr>
          <w:b/>
          <w:bCs/>
        </w:rPr>
      </w:pPr>
      <w:r>
        <w:rPr>
          <w:b/>
          <w:bCs/>
        </w:rPr>
        <w:t>Risk Management, Readiness, and Assurance</w:t>
      </w:r>
    </w:p>
    <w:p w14:paraId="25761EC9" w14:textId="77777777" w:rsidR="007C7CD0" w:rsidRPr="007C7CD0" w:rsidRDefault="007C7CD0" w:rsidP="00E23A25">
      <w:pPr>
        <w:pStyle w:val="ListParagraph"/>
        <w:numPr>
          <w:ilvl w:val="0"/>
          <w:numId w:val="8"/>
        </w:numPr>
        <w:spacing w:after="0" w:line="240" w:lineRule="auto"/>
        <w:rPr>
          <w:rFonts w:eastAsia="Times New Roman"/>
        </w:rPr>
      </w:pPr>
      <w:r w:rsidRPr="007C7CD0">
        <w:rPr>
          <w:rFonts w:eastAsia="Times New Roman"/>
        </w:rPr>
        <w:t>Provide oversight and leadership on platform-related risks across the transformation, ensuring clear mitigation plans and strong visibility for the ISTLT and programme leadership.</w:t>
      </w:r>
    </w:p>
    <w:p w14:paraId="3F87DC50" w14:textId="77777777" w:rsidR="007C7CD0" w:rsidRPr="007C7CD0" w:rsidRDefault="007C7CD0" w:rsidP="00E23A25">
      <w:pPr>
        <w:pStyle w:val="ListParagraph"/>
        <w:numPr>
          <w:ilvl w:val="0"/>
          <w:numId w:val="8"/>
        </w:numPr>
        <w:spacing w:after="0" w:line="240" w:lineRule="auto"/>
        <w:rPr>
          <w:rFonts w:eastAsia="Times New Roman"/>
        </w:rPr>
      </w:pPr>
      <w:r w:rsidRPr="007C7CD0">
        <w:rPr>
          <w:rFonts w:eastAsia="Times New Roman"/>
        </w:rPr>
        <w:t>Lead readiness assessments for transition events, platform handovers, and support model changes.</w:t>
      </w:r>
    </w:p>
    <w:p w14:paraId="5A1BB3FD" w14:textId="2326EF32" w:rsidR="007C7CD0" w:rsidRPr="007C7CD0" w:rsidRDefault="007C7CD0" w:rsidP="00E23A25">
      <w:pPr>
        <w:pStyle w:val="ListParagraph"/>
        <w:numPr>
          <w:ilvl w:val="0"/>
          <w:numId w:val="8"/>
        </w:numPr>
        <w:spacing w:after="0" w:line="240" w:lineRule="auto"/>
        <w:rPr>
          <w:rFonts w:eastAsia="Times New Roman"/>
        </w:rPr>
      </w:pPr>
      <w:r w:rsidRPr="007C7CD0">
        <w:rPr>
          <w:rFonts w:eastAsia="Times New Roman"/>
        </w:rPr>
        <w:t xml:space="preserve">Ensure Platform and Infrastructure functions have the right frameworks, information, and plans to support transformation implementation at pace </w:t>
      </w:r>
      <w:r w:rsidRPr="007C7CD0">
        <w:rPr>
          <w:rFonts w:eastAsia="Times New Roman"/>
        </w:rPr>
        <w:lastRenderedPageBreak/>
        <w:t>while maintaining safety and stability.</w:t>
      </w:r>
      <w:r w:rsidRPr="007C7CD0">
        <w:rPr>
          <w:rFonts w:eastAsia="Times New Roman"/>
        </w:rPr>
        <w:br/>
      </w:r>
    </w:p>
    <w:p w14:paraId="73D4E353" w14:textId="77777777" w:rsidR="007C7CD0" w:rsidRDefault="007C7CD0" w:rsidP="007C7CD0">
      <w:pPr>
        <w:rPr>
          <w:b/>
          <w:bCs/>
        </w:rPr>
      </w:pPr>
      <w:r>
        <w:rPr>
          <w:b/>
          <w:bCs/>
        </w:rPr>
        <w:t>Stakeholder, Programme, and Partnership Management</w:t>
      </w:r>
    </w:p>
    <w:p w14:paraId="4921CF01" w14:textId="77777777" w:rsidR="007C7CD0" w:rsidRPr="007C7CD0" w:rsidRDefault="007C7CD0" w:rsidP="00E23A25">
      <w:pPr>
        <w:pStyle w:val="ListParagraph"/>
        <w:numPr>
          <w:ilvl w:val="0"/>
          <w:numId w:val="9"/>
        </w:numPr>
        <w:spacing w:after="0" w:line="240" w:lineRule="auto"/>
        <w:rPr>
          <w:rFonts w:eastAsia="Times New Roman"/>
        </w:rPr>
      </w:pPr>
      <w:r w:rsidRPr="007C7CD0">
        <w:rPr>
          <w:rFonts w:eastAsia="Times New Roman"/>
        </w:rPr>
        <w:t>Build strong relationships with transformation programme leaders, enterprise design functions, platform owners, and Technology delivery teams to ensure coherence and alignment.</w:t>
      </w:r>
    </w:p>
    <w:p w14:paraId="310F29EA" w14:textId="77777777" w:rsidR="007C7CD0" w:rsidRPr="007C7CD0" w:rsidRDefault="007C7CD0" w:rsidP="00E23A25">
      <w:pPr>
        <w:pStyle w:val="ListParagraph"/>
        <w:numPr>
          <w:ilvl w:val="0"/>
          <w:numId w:val="9"/>
        </w:numPr>
        <w:spacing w:after="0" w:line="240" w:lineRule="auto"/>
        <w:rPr>
          <w:rFonts w:eastAsia="Times New Roman"/>
        </w:rPr>
      </w:pPr>
      <w:r w:rsidRPr="007C7CD0">
        <w:rPr>
          <w:rFonts w:eastAsia="Times New Roman"/>
        </w:rPr>
        <w:t>Partner with the GM Supplier Relationship Management and platform leads to ensure external vendors are aligned with transformation sequencing, coexistence requirements, and future-state operating models.</w:t>
      </w:r>
    </w:p>
    <w:p w14:paraId="2DC7B39A" w14:textId="0D76B0A0" w:rsidR="007C7CD0" w:rsidRPr="007C7CD0" w:rsidRDefault="007C7CD0" w:rsidP="00E23A25">
      <w:pPr>
        <w:pStyle w:val="ListParagraph"/>
        <w:numPr>
          <w:ilvl w:val="0"/>
          <w:numId w:val="9"/>
        </w:numPr>
        <w:spacing w:after="0" w:line="240" w:lineRule="auto"/>
        <w:rPr>
          <w:rFonts w:eastAsia="Times New Roman"/>
        </w:rPr>
      </w:pPr>
      <w:r w:rsidRPr="007C7CD0">
        <w:rPr>
          <w:rFonts w:eastAsia="Times New Roman"/>
        </w:rPr>
        <w:t>Influence programme planning, decision-making, and prioritisation to ensure platform stability, risk management, and operational readiness are appropriately balanced with delivery pace.</w:t>
      </w:r>
      <w:r w:rsidRPr="007C7CD0">
        <w:rPr>
          <w:rFonts w:eastAsia="Times New Roman"/>
        </w:rPr>
        <w:br/>
      </w:r>
    </w:p>
    <w:p w14:paraId="253C0746" w14:textId="77777777" w:rsidR="007C7CD0" w:rsidRDefault="007C7CD0" w:rsidP="007C7CD0">
      <w:pPr>
        <w:rPr>
          <w:b/>
          <w:bCs/>
        </w:rPr>
      </w:pPr>
      <w:r>
        <w:rPr>
          <w:b/>
          <w:bCs/>
        </w:rPr>
        <w:t>Continuous Improvement and Strategic Integration</w:t>
      </w:r>
    </w:p>
    <w:p w14:paraId="365F0279" w14:textId="6ACF13EB" w:rsidR="007C7CD0" w:rsidRPr="007C7CD0" w:rsidRDefault="007C7CD0" w:rsidP="00E23A25">
      <w:pPr>
        <w:pStyle w:val="ListParagraph"/>
        <w:numPr>
          <w:ilvl w:val="0"/>
          <w:numId w:val="10"/>
        </w:numPr>
        <w:rPr>
          <w:b/>
          <w:bCs/>
        </w:rPr>
      </w:pPr>
      <w:r w:rsidRPr="007C7CD0">
        <w:rPr>
          <w:rFonts w:eastAsia="Times New Roman"/>
        </w:rPr>
        <w:t>Drive continuous improvement across transformation-aligned platform practices, ensuring learnings are captured and applied.</w:t>
      </w:r>
    </w:p>
    <w:p w14:paraId="75EEB664" w14:textId="77777777" w:rsidR="007C7CD0" w:rsidRPr="007C7CD0" w:rsidRDefault="007C7CD0" w:rsidP="00E23A25">
      <w:pPr>
        <w:pStyle w:val="ListParagraph"/>
        <w:numPr>
          <w:ilvl w:val="0"/>
          <w:numId w:val="10"/>
        </w:numPr>
        <w:spacing w:after="0" w:line="240" w:lineRule="auto"/>
        <w:rPr>
          <w:rFonts w:eastAsia="Times New Roman"/>
        </w:rPr>
      </w:pPr>
      <w:r w:rsidRPr="007C7CD0">
        <w:rPr>
          <w:rFonts w:eastAsia="Times New Roman"/>
        </w:rPr>
        <w:t>Support the development of a unified technology vision for future platforms, ensuring alignment across engineering, operations, architecture, and delivery.</w:t>
      </w:r>
    </w:p>
    <w:p w14:paraId="61D823BF" w14:textId="77777777" w:rsidR="007C7CD0" w:rsidRPr="007C7CD0" w:rsidRDefault="007C7CD0" w:rsidP="00E23A25">
      <w:pPr>
        <w:pStyle w:val="ListParagraph"/>
        <w:numPr>
          <w:ilvl w:val="0"/>
          <w:numId w:val="10"/>
        </w:numPr>
        <w:spacing w:after="0" w:line="240" w:lineRule="auto"/>
        <w:rPr>
          <w:rFonts w:eastAsia="Times New Roman"/>
        </w:rPr>
      </w:pPr>
      <w:r w:rsidRPr="007C7CD0">
        <w:rPr>
          <w:rFonts w:eastAsia="Times New Roman"/>
        </w:rPr>
        <w:t>Embed transformation-aligned ways of working, ensuring the ongoing maturity uplift of planning, integration, coordination, and delivery practices.</w:t>
      </w:r>
    </w:p>
    <w:p w14:paraId="2BBD714C" w14:textId="77777777" w:rsidR="007C7CD0" w:rsidRDefault="007C7CD0" w:rsidP="007C7CD0">
      <w:pPr>
        <w:spacing w:after="0" w:line="240" w:lineRule="auto"/>
        <w:rPr>
          <w:rFonts w:eastAsia="Times New Roman"/>
        </w:rPr>
      </w:pPr>
    </w:p>
    <w:p w14:paraId="0D30C5F5" w14:textId="77777777" w:rsidR="007C7CD0" w:rsidRDefault="007C7CD0" w:rsidP="007C7CD0">
      <w:pPr>
        <w:spacing w:after="0" w:line="240" w:lineRule="auto"/>
        <w:rPr>
          <w:rFonts w:eastAsia="Times New Roman"/>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0"/>
        <w:gridCol w:w="2061"/>
        <w:gridCol w:w="1765"/>
      </w:tblGrid>
      <w:tr w:rsidR="00306EFC" w14:paraId="6F6DE2DD" w14:textId="77777777">
        <w:trPr>
          <w:trHeight w:val="540"/>
        </w:trPr>
        <w:tc>
          <w:tcPr>
            <w:tcW w:w="5190" w:type="dxa"/>
            <w:shd w:val="clear" w:color="auto" w:fill="002060"/>
            <w:vAlign w:val="center"/>
          </w:tcPr>
          <w:p w14:paraId="3CAA684B" w14:textId="77777777" w:rsidR="00306EFC" w:rsidRPr="00BB28B0" w:rsidRDefault="00306EFC">
            <w:pPr>
              <w:rPr>
                <w:b/>
                <w:bCs/>
                <w:color w:val="FFFFFF" w:themeColor="background1"/>
                <w:sz w:val="22"/>
                <w:lang w:val="en-US"/>
              </w:rPr>
            </w:pPr>
            <w:r w:rsidRPr="00BB28B0">
              <w:rPr>
                <w:b/>
                <w:bCs/>
                <w:color w:val="FFFFFF" w:themeColor="background1"/>
                <w:sz w:val="22"/>
                <w:lang w:val="en-US"/>
              </w:rPr>
              <w:t>SFIA Skill</w:t>
            </w:r>
          </w:p>
        </w:tc>
        <w:tc>
          <w:tcPr>
            <w:tcW w:w="2061" w:type="dxa"/>
            <w:shd w:val="clear" w:color="auto" w:fill="002060"/>
            <w:vAlign w:val="center"/>
          </w:tcPr>
          <w:p w14:paraId="706FDC89" w14:textId="77777777" w:rsidR="00306EFC" w:rsidRPr="00BB28B0" w:rsidRDefault="00306EFC">
            <w:pPr>
              <w:rPr>
                <w:b/>
                <w:bCs/>
                <w:color w:val="FFFFFF" w:themeColor="background1"/>
                <w:sz w:val="22"/>
                <w:lang w:val="en-US"/>
              </w:rPr>
            </w:pPr>
            <w:r w:rsidRPr="00BB28B0">
              <w:rPr>
                <w:b/>
                <w:bCs/>
                <w:color w:val="FFFFFF" w:themeColor="background1"/>
                <w:sz w:val="22"/>
                <w:lang w:val="en-US"/>
              </w:rPr>
              <w:t>Code</w:t>
            </w:r>
          </w:p>
        </w:tc>
        <w:tc>
          <w:tcPr>
            <w:tcW w:w="1765" w:type="dxa"/>
            <w:shd w:val="clear" w:color="auto" w:fill="002060"/>
            <w:vAlign w:val="center"/>
          </w:tcPr>
          <w:p w14:paraId="0E6C6511" w14:textId="77777777" w:rsidR="00306EFC" w:rsidRPr="00BB28B0" w:rsidRDefault="00306EFC">
            <w:pPr>
              <w:rPr>
                <w:b/>
                <w:bCs/>
                <w:color w:val="FFFFFF" w:themeColor="background1"/>
                <w:sz w:val="22"/>
                <w:lang w:val="en-US"/>
              </w:rPr>
            </w:pPr>
            <w:r w:rsidRPr="00BB28B0">
              <w:rPr>
                <w:b/>
                <w:bCs/>
                <w:color w:val="FFFFFF" w:themeColor="background1"/>
                <w:sz w:val="22"/>
                <w:lang w:val="en-US"/>
              </w:rPr>
              <w:t>Level</w:t>
            </w:r>
          </w:p>
        </w:tc>
      </w:tr>
      <w:tr w:rsidR="00306EFC" w14:paraId="7E3AFFEC" w14:textId="77777777">
        <w:tc>
          <w:tcPr>
            <w:tcW w:w="5190" w:type="dxa"/>
          </w:tcPr>
          <w:p w14:paraId="65A52022" w14:textId="2338A828" w:rsidR="00306EFC" w:rsidRPr="00E14D61" w:rsidRDefault="00306EFC">
            <w:pPr>
              <w:spacing w:before="120"/>
              <w:rPr>
                <w:rFonts w:asciiTheme="minorHAnsi" w:hAnsiTheme="minorHAnsi"/>
                <w:sz w:val="22"/>
                <w:lang w:eastAsia="en-GB"/>
              </w:rPr>
            </w:pPr>
            <w:r>
              <w:rPr>
                <w:rFonts w:asciiTheme="minorHAnsi" w:hAnsiTheme="minorHAnsi"/>
                <w:sz w:val="22"/>
              </w:rPr>
              <w:t xml:space="preserve">Performance Management </w:t>
            </w:r>
          </w:p>
        </w:tc>
        <w:tc>
          <w:tcPr>
            <w:tcW w:w="2061" w:type="dxa"/>
          </w:tcPr>
          <w:p w14:paraId="0ACEAF44" w14:textId="0FFB0A18" w:rsidR="00306EFC" w:rsidRPr="00E14D61" w:rsidRDefault="00306EFC">
            <w:pPr>
              <w:spacing w:before="120"/>
              <w:rPr>
                <w:rFonts w:asciiTheme="minorHAnsi" w:hAnsiTheme="minorHAnsi"/>
                <w:sz w:val="22"/>
                <w:lang w:eastAsia="en-GB"/>
              </w:rPr>
            </w:pPr>
            <w:hyperlink r:id="rId12" w:history="1">
              <w:r w:rsidRPr="00306EFC">
                <w:rPr>
                  <w:rStyle w:val="Hyperlink"/>
                  <w:rFonts w:asciiTheme="minorHAnsi" w:hAnsiTheme="minorHAnsi"/>
                  <w:sz w:val="22"/>
                  <w:lang w:eastAsia="en-GB"/>
                </w:rPr>
                <w:t>PEMT</w:t>
              </w:r>
            </w:hyperlink>
          </w:p>
        </w:tc>
        <w:tc>
          <w:tcPr>
            <w:tcW w:w="1765" w:type="dxa"/>
          </w:tcPr>
          <w:p w14:paraId="3626814C" w14:textId="0D8D631F" w:rsidR="00306EFC" w:rsidRPr="00E14D61" w:rsidRDefault="00306EFC">
            <w:pPr>
              <w:spacing w:before="120"/>
              <w:rPr>
                <w:rFonts w:asciiTheme="minorHAnsi" w:hAnsiTheme="minorHAnsi"/>
                <w:sz w:val="22"/>
                <w:lang w:eastAsia="en-GB"/>
              </w:rPr>
            </w:pPr>
            <w:r w:rsidRPr="00E14D61">
              <w:rPr>
                <w:rFonts w:asciiTheme="minorHAnsi" w:hAnsiTheme="minorHAnsi"/>
                <w:sz w:val="22"/>
                <w:lang w:eastAsia="en-GB"/>
              </w:rPr>
              <w:t xml:space="preserve">Level </w:t>
            </w:r>
            <w:r w:rsidR="0087725F">
              <w:rPr>
                <w:rFonts w:asciiTheme="minorHAnsi" w:hAnsiTheme="minorHAnsi"/>
                <w:sz w:val="22"/>
                <w:lang w:eastAsia="en-GB"/>
              </w:rPr>
              <w:t>5</w:t>
            </w:r>
          </w:p>
        </w:tc>
      </w:tr>
      <w:tr w:rsidR="00306EFC" w14:paraId="1BAF5AF6" w14:textId="77777777">
        <w:tc>
          <w:tcPr>
            <w:tcW w:w="5190" w:type="dxa"/>
          </w:tcPr>
          <w:p w14:paraId="3878ED3B" w14:textId="0751F351" w:rsidR="00306EFC" w:rsidRPr="00E14D61" w:rsidRDefault="00AB23DD">
            <w:pPr>
              <w:spacing w:before="120"/>
              <w:rPr>
                <w:rFonts w:asciiTheme="minorHAnsi" w:hAnsiTheme="minorHAnsi"/>
                <w:sz w:val="22"/>
                <w:lang w:eastAsia="en-GB"/>
              </w:rPr>
            </w:pPr>
            <w:r>
              <w:rPr>
                <w:rFonts w:asciiTheme="minorHAnsi" w:hAnsiTheme="minorHAnsi"/>
                <w:sz w:val="22"/>
                <w:lang w:eastAsia="en-GB"/>
              </w:rPr>
              <w:t>Organisation Design and Implementation</w:t>
            </w:r>
          </w:p>
        </w:tc>
        <w:tc>
          <w:tcPr>
            <w:tcW w:w="2061" w:type="dxa"/>
          </w:tcPr>
          <w:p w14:paraId="1231CAE0" w14:textId="28C73658" w:rsidR="00306EFC" w:rsidRPr="00E14D61" w:rsidRDefault="00AB23DD">
            <w:pPr>
              <w:spacing w:before="120"/>
              <w:rPr>
                <w:rFonts w:asciiTheme="minorHAnsi" w:hAnsiTheme="minorHAnsi"/>
                <w:sz w:val="22"/>
                <w:lang w:eastAsia="en-GB"/>
              </w:rPr>
            </w:pPr>
            <w:hyperlink r:id="rId13" w:history="1">
              <w:r w:rsidRPr="00AB23DD">
                <w:rPr>
                  <w:rStyle w:val="Hyperlink"/>
                  <w:rFonts w:asciiTheme="minorHAnsi" w:hAnsiTheme="minorHAnsi"/>
                  <w:sz w:val="22"/>
                  <w:lang w:eastAsia="en-GB"/>
                </w:rPr>
                <w:t>ORDI</w:t>
              </w:r>
            </w:hyperlink>
          </w:p>
        </w:tc>
        <w:tc>
          <w:tcPr>
            <w:tcW w:w="1765" w:type="dxa"/>
          </w:tcPr>
          <w:p w14:paraId="1B40B012" w14:textId="64C86C8A" w:rsidR="00306EFC" w:rsidRPr="00E14D61" w:rsidRDefault="00306EFC">
            <w:pPr>
              <w:spacing w:before="120"/>
              <w:rPr>
                <w:rFonts w:asciiTheme="minorHAnsi" w:hAnsiTheme="minorHAnsi"/>
                <w:sz w:val="22"/>
                <w:lang w:eastAsia="en-GB"/>
              </w:rPr>
            </w:pPr>
            <w:r w:rsidRPr="00E14D61">
              <w:rPr>
                <w:rFonts w:asciiTheme="minorHAnsi" w:hAnsiTheme="minorHAnsi"/>
                <w:sz w:val="22"/>
                <w:lang w:eastAsia="en-GB"/>
              </w:rPr>
              <w:t xml:space="preserve">Level </w:t>
            </w:r>
            <w:r w:rsidR="0087725F">
              <w:rPr>
                <w:rFonts w:asciiTheme="minorHAnsi" w:hAnsiTheme="minorHAnsi"/>
                <w:sz w:val="22"/>
                <w:lang w:eastAsia="en-GB"/>
              </w:rPr>
              <w:t>5</w:t>
            </w:r>
          </w:p>
        </w:tc>
      </w:tr>
      <w:tr w:rsidR="00306EFC" w14:paraId="1E0CAA52" w14:textId="77777777">
        <w:tc>
          <w:tcPr>
            <w:tcW w:w="5190" w:type="dxa"/>
          </w:tcPr>
          <w:p w14:paraId="31416097" w14:textId="1F62810B" w:rsidR="00306EFC" w:rsidRPr="00E14D61" w:rsidRDefault="00AB23DD">
            <w:pPr>
              <w:spacing w:before="120"/>
              <w:rPr>
                <w:rFonts w:asciiTheme="minorHAnsi" w:hAnsiTheme="minorHAnsi"/>
                <w:sz w:val="22"/>
                <w:lang w:eastAsia="en-GB"/>
              </w:rPr>
            </w:pPr>
            <w:r>
              <w:rPr>
                <w:rFonts w:asciiTheme="minorHAnsi" w:hAnsiTheme="minorHAnsi"/>
                <w:sz w:val="22"/>
                <w:lang w:eastAsia="en-GB"/>
              </w:rPr>
              <w:t>Organisational Change Enablement</w:t>
            </w:r>
          </w:p>
        </w:tc>
        <w:tc>
          <w:tcPr>
            <w:tcW w:w="2061" w:type="dxa"/>
          </w:tcPr>
          <w:p w14:paraId="342356CD" w14:textId="3773CBCA" w:rsidR="00306EFC" w:rsidRPr="00E14D61" w:rsidRDefault="00AB23DD">
            <w:pPr>
              <w:spacing w:before="120"/>
              <w:rPr>
                <w:rFonts w:asciiTheme="minorHAnsi" w:hAnsiTheme="minorHAnsi"/>
                <w:sz w:val="22"/>
                <w:lang w:eastAsia="en-GB"/>
              </w:rPr>
            </w:pPr>
            <w:hyperlink r:id="rId14" w:history="1">
              <w:r w:rsidRPr="00AB23DD">
                <w:rPr>
                  <w:rStyle w:val="Hyperlink"/>
                  <w:rFonts w:asciiTheme="minorHAnsi" w:hAnsiTheme="minorHAnsi"/>
                  <w:sz w:val="22"/>
                  <w:lang w:eastAsia="en-GB"/>
                </w:rPr>
                <w:t>OCEN</w:t>
              </w:r>
            </w:hyperlink>
          </w:p>
        </w:tc>
        <w:tc>
          <w:tcPr>
            <w:tcW w:w="1765" w:type="dxa"/>
          </w:tcPr>
          <w:p w14:paraId="4AC5B70F" w14:textId="20FE110A" w:rsidR="00306EFC" w:rsidRPr="00E14D61" w:rsidRDefault="00306EFC">
            <w:pPr>
              <w:spacing w:before="120"/>
              <w:rPr>
                <w:rFonts w:asciiTheme="minorHAnsi" w:hAnsiTheme="minorHAnsi"/>
                <w:sz w:val="22"/>
                <w:lang w:eastAsia="en-GB"/>
              </w:rPr>
            </w:pPr>
            <w:r w:rsidRPr="00E14D61">
              <w:rPr>
                <w:rFonts w:asciiTheme="minorHAnsi" w:hAnsiTheme="minorHAnsi"/>
                <w:sz w:val="22"/>
                <w:lang w:eastAsia="en-GB"/>
              </w:rPr>
              <w:t xml:space="preserve">Level </w:t>
            </w:r>
            <w:r w:rsidR="0087725F">
              <w:rPr>
                <w:rFonts w:asciiTheme="minorHAnsi" w:hAnsiTheme="minorHAnsi"/>
                <w:sz w:val="22"/>
                <w:lang w:eastAsia="en-GB"/>
              </w:rPr>
              <w:t>5</w:t>
            </w:r>
          </w:p>
        </w:tc>
      </w:tr>
      <w:tr w:rsidR="00306EFC" w14:paraId="733A7BBE" w14:textId="77777777">
        <w:tc>
          <w:tcPr>
            <w:tcW w:w="5190" w:type="dxa"/>
          </w:tcPr>
          <w:p w14:paraId="66EEC688" w14:textId="5A32DAA9" w:rsidR="00306EFC" w:rsidRPr="00E14D61" w:rsidRDefault="00AB23DD">
            <w:pPr>
              <w:spacing w:before="120"/>
              <w:rPr>
                <w:rFonts w:asciiTheme="minorHAnsi" w:hAnsiTheme="minorHAnsi"/>
                <w:sz w:val="22"/>
                <w:lang w:eastAsia="en-GB"/>
              </w:rPr>
            </w:pPr>
            <w:r>
              <w:rPr>
                <w:rFonts w:asciiTheme="minorHAnsi" w:hAnsiTheme="minorHAnsi"/>
                <w:sz w:val="22"/>
                <w:lang w:eastAsia="en-GB"/>
              </w:rPr>
              <w:t>Enterprise and Business Architecture</w:t>
            </w:r>
          </w:p>
        </w:tc>
        <w:tc>
          <w:tcPr>
            <w:tcW w:w="2061" w:type="dxa"/>
          </w:tcPr>
          <w:p w14:paraId="714338D4" w14:textId="48838C50" w:rsidR="00306EFC" w:rsidRPr="00E14D61" w:rsidRDefault="00334B8F">
            <w:pPr>
              <w:spacing w:before="120"/>
              <w:rPr>
                <w:rFonts w:asciiTheme="minorHAnsi" w:hAnsiTheme="minorHAnsi"/>
                <w:sz w:val="22"/>
                <w:lang w:eastAsia="en-GB"/>
              </w:rPr>
            </w:pPr>
            <w:hyperlink r:id="rId15" w:history="1">
              <w:r w:rsidRPr="00334B8F">
                <w:rPr>
                  <w:rStyle w:val="Hyperlink"/>
                  <w:rFonts w:asciiTheme="minorHAnsi" w:hAnsiTheme="minorHAnsi"/>
                  <w:sz w:val="22"/>
                  <w:lang w:eastAsia="en-GB"/>
                </w:rPr>
                <w:t>ITMG</w:t>
              </w:r>
            </w:hyperlink>
          </w:p>
        </w:tc>
        <w:tc>
          <w:tcPr>
            <w:tcW w:w="1765" w:type="dxa"/>
          </w:tcPr>
          <w:p w14:paraId="3AE80CA9" w14:textId="38F37322" w:rsidR="00306EFC" w:rsidRPr="00E14D61" w:rsidRDefault="00306EFC">
            <w:pPr>
              <w:spacing w:before="120"/>
              <w:rPr>
                <w:rFonts w:asciiTheme="minorHAnsi" w:hAnsiTheme="minorHAnsi"/>
                <w:sz w:val="22"/>
                <w:lang w:eastAsia="en-GB"/>
              </w:rPr>
            </w:pPr>
            <w:r w:rsidRPr="00E14D61">
              <w:rPr>
                <w:rFonts w:asciiTheme="minorHAnsi" w:hAnsiTheme="minorHAnsi"/>
                <w:sz w:val="22"/>
                <w:lang w:eastAsia="en-GB"/>
              </w:rPr>
              <w:t xml:space="preserve">Level </w:t>
            </w:r>
            <w:r>
              <w:rPr>
                <w:rFonts w:asciiTheme="minorHAnsi" w:hAnsiTheme="minorHAnsi"/>
                <w:sz w:val="22"/>
                <w:lang w:eastAsia="en-GB"/>
              </w:rPr>
              <w:t>6</w:t>
            </w:r>
          </w:p>
        </w:tc>
      </w:tr>
      <w:tr w:rsidR="00306EFC" w14:paraId="594AE20B" w14:textId="77777777">
        <w:tc>
          <w:tcPr>
            <w:tcW w:w="5190" w:type="dxa"/>
          </w:tcPr>
          <w:p w14:paraId="25AA2BC0" w14:textId="6CC001E6" w:rsidR="00306EFC" w:rsidRPr="00E14D61" w:rsidRDefault="00AB23DD">
            <w:pPr>
              <w:spacing w:before="120"/>
              <w:rPr>
                <w:rFonts w:asciiTheme="minorHAnsi" w:hAnsiTheme="minorHAnsi"/>
                <w:sz w:val="22"/>
                <w:lang w:eastAsia="en-GB"/>
              </w:rPr>
            </w:pPr>
            <w:r>
              <w:rPr>
                <w:rFonts w:asciiTheme="minorHAnsi" w:hAnsiTheme="minorHAnsi"/>
                <w:sz w:val="22"/>
                <w:lang w:eastAsia="en-GB"/>
              </w:rPr>
              <w:t>Technology Service Management</w:t>
            </w:r>
          </w:p>
        </w:tc>
        <w:tc>
          <w:tcPr>
            <w:tcW w:w="2061" w:type="dxa"/>
          </w:tcPr>
          <w:p w14:paraId="0C5D24D1" w14:textId="59C43737" w:rsidR="00306EFC" w:rsidRPr="00E14D61" w:rsidRDefault="00AB23DD">
            <w:pPr>
              <w:spacing w:before="120"/>
              <w:rPr>
                <w:rFonts w:asciiTheme="minorHAnsi" w:hAnsiTheme="minorHAnsi"/>
                <w:sz w:val="22"/>
                <w:lang w:eastAsia="en-GB"/>
              </w:rPr>
            </w:pPr>
            <w:hyperlink r:id="rId16" w:history="1">
              <w:r w:rsidRPr="00AB23DD">
                <w:rPr>
                  <w:rStyle w:val="Hyperlink"/>
                  <w:rFonts w:asciiTheme="minorHAnsi" w:hAnsiTheme="minorHAnsi"/>
                  <w:sz w:val="22"/>
                  <w:lang w:eastAsia="en-GB"/>
                </w:rPr>
                <w:t>ITMG</w:t>
              </w:r>
            </w:hyperlink>
          </w:p>
        </w:tc>
        <w:tc>
          <w:tcPr>
            <w:tcW w:w="1765" w:type="dxa"/>
          </w:tcPr>
          <w:p w14:paraId="6C5A2503" w14:textId="652EDAA9" w:rsidR="00306EFC" w:rsidRPr="00E14D61" w:rsidRDefault="00306EFC">
            <w:pPr>
              <w:spacing w:before="120"/>
              <w:rPr>
                <w:rFonts w:asciiTheme="minorHAnsi" w:hAnsiTheme="minorHAnsi"/>
                <w:sz w:val="22"/>
                <w:lang w:eastAsia="en-GB"/>
              </w:rPr>
            </w:pPr>
            <w:r w:rsidRPr="00E14D61">
              <w:rPr>
                <w:rFonts w:asciiTheme="minorHAnsi" w:hAnsiTheme="minorHAnsi"/>
                <w:sz w:val="22"/>
                <w:lang w:eastAsia="en-GB"/>
              </w:rPr>
              <w:t xml:space="preserve">Level </w:t>
            </w:r>
            <w:r w:rsidR="00AB23DD">
              <w:rPr>
                <w:rFonts w:asciiTheme="minorHAnsi" w:hAnsiTheme="minorHAnsi"/>
                <w:sz w:val="22"/>
                <w:lang w:eastAsia="en-GB"/>
              </w:rPr>
              <w:t>6</w:t>
            </w:r>
          </w:p>
        </w:tc>
      </w:tr>
    </w:tbl>
    <w:p w14:paraId="0B022888" w14:textId="77777777" w:rsidR="00B206A0" w:rsidRDefault="00B206A0" w:rsidP="00205B82">
      <w:pPr>
        <w:spacing w:line="240" w:lineRule="auto"/>
        <w:rPr>
          <w:i/>
          <w:i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0"/>
        <w:gridCol w:w="2035"/>
      </w:tblGrid>
      <w:tr w:rsidR="00B206A0" w14:paraId="7B40D4A8" w14:textId="77777777" w:rsidTr="00CC16CD">
        <w:trPr>
          <w:trHeight w:val="540"/>
        </w:trPr>
        <w:tc>
          <w:tcPr>
            <w:tcW w:w="5190" w:type="dxa"/>
            <w:shd w:val="clear" w:color="auto" w:fill="002060"/>
            <w:vAlign w:val="center"/>
          </w:tcPr>
          <w:p w14:paraId="6698DB7C" w14:textId="7EBBB7BA" w:rsidR="00B206A0" w:rsidRPr="00BB28B0" w:rsidRDefault="00B206A0">
            <w:pPr>
              <w:rPr>
                <w:b/>
                <w:bCs/>
                <w:color w:val="FFFFFF" w:themeColor="background1"/>
                <w:sz w:val="22"/>
                <w:lang w:val="en-US"/>
              </w:rPr>
            </w:pPr>
            <w:r w:rsidRPr="00BB28B0">
              <w:rPr>
                <w:b/>
                <w:bCs/>
                <w:color w:val="FFFFFF" w:themeColor="background1"/>
                <w:sz w:val="22"/>
                <w:lang w:val="en-US"/>
              </w:rPr>
              <w:t xml:space="preserve">SFIA </w:t>
            </w:r>
            <w:r>
              <w:rPr>
                <w:b/>
                <w:bCs/>
                <w:color w:val="FFFFFF" w:themeColor="background1"/>
                <w:sz w:val="22"/>
                <w:lang w:val="en-US"/>
              </w:rPr>
              <w:t xml:space="preserve">Level of Responsibility </w:t>
            </w:r>
          </w:p>
        </w:tc>
        <w:tc>
          <w:tcPr>
            <w:tcW w:w="2035" w:type="dxa"/>
            <w:shd w:val="clear" w:color="auto" w:fill="002060"/>
            <w:vAlign w:val="center"/>
          </w:tcPr>
          <w:p w14:paraId="6EBA46F3" w14:textId="77777777" w:rsidR="00B206A0" w:rsidRPr="00BB28B0" w:rsidRDefault="00B206A0">
            <w:pPr>
              <w:rPr>
                <w:b/>
                <w:bCs/>
                <w:color w:val="FFFFFF" w:themeColor="background1"/>
                <w:sz w:val="22"/>
                <w:lang w:val="en-US"/>
              </w:rPr>
            </w:pPr>
            <w:r w:rsidRPr="00BB28B0">
              <w:rPr>
                <w:b/>
                <w:bCs/>
                <w:color w:val="FFFFFF" w:themeColor="background1"/>
                <w:sz w:val="22"/>
                <w:lang w:val="en-US"/>
              </w:rPr>
              <w:t>Level</w:t>
            </w:r>
          </w:p>
        </w:tc>
      </w:tr>
      <w:tr w:rsidR="00B206A0" w14:paraId="487A15BA" w14:textId="77777777" w:rsidTr="00CC16CD">
        <w:tc>
          <w:tcPr>
            <w:tcW w:w="5190" w:type="dxa"/>
          </w:tcPr>
          <w:p w14:paraId="012B1EF5" w14:textId="77C01264" w:rsidR="00B206A0" w:rsidRPr="00E14D61" w:rsidRDefault="00B206A0">
            <w:pPr>
              <w:spacing w:before="120"/>
              <w:rPr>
                <w:rFonts w:asciiTheme="minorHAnsi" w:hAnsiTheme="minorHAnsi"/>
                <w:sz w:val="22"/>
                <w:lang w:eastAsia="en-GB"/>
              </w:rPr>
            </w:pPr>
            <w:r>
              <w:rPr>
                <w:rFonts w:asciiTheme="minorHAnsi" w:hAnsiTheme="minorHAnsi"/>
                <w:sz w:val="22"/>
              </w:rPr>
              <w:t xml:space="preserve">Autonomy </w:t>
            </w:r>
          </w:p>
        </w:tc>
        <w:tc>
          <w:tcPr>
            <w:tcW w:w="2035" w:type="dxa"/>
          </w:tcPr>
          <w:p w14:paraId="70C17388" w14:textId="332757D0" w:rsidR="00B206A0" w:rsidRPr="00E14D61" w:rsidRDefault="00B206A0">
            <w:pPr>
              <w:spacing w:before="120"/>
              <w:rPr>
                <w:rFonts w:asciiTheme="minorHAnsi" w:hAnsiTheme="minorHAnsi"/>
                <w:sz w:val="22"/>
                <w:lang w:eastAsia="en-GB"/>
              </w:rPr>
            </w:pPr>
            <w:hyperlink r:id="rId17" w:history="1">
              <w:r w:rsidRPr="00B206A0">
                <w:rPr>
                  <w:rStyle w:val="Hyperlink"/>
                  <w:rFonts w:asciiTheme="minorHAnsi" w:hAnsiTheme="minorHAnsi"/>
                  <w:sz w:val="22"/>
                  <w:lang w:eastAsia="en-GB"/>
                </w:rPr>
                <w:t>Level 6</w:t>
              </w:r>
            </w:hyperlink>
          </w:p>
        </w:tc>
      </w:tr>
      <w:tr w:rsidR="00B206A0" w14:paraId="70DE8945" w14:textId="77777777" w:rsidTr="00CC16CD">
        <w:tc>
          <w:tcPr>
            <w:tcW w:w="5190" w:type="dxa"/>
          </w:tcPr>
          <w:p w14:paraId="0EA05B03" w14:textId="2709BF09" w:rsidR="00B206A0" w:rsidRPr="00E14D61" w:rsidRDefault="00B206A0">
            <w:pPr>
              <w:spacing w:before="120"/>
              <w:rPr>
                <w:rFonts w:asciiTheme="minorHAnsi" w:hAnsiTheme="minorHAnsi"/>
                <w:sz w:val="22"/>
                <w:lang w:eastAsia="en-GB"/>
              </w:rPr>
            </w:pPr>
            <w:r>
              <w:rPr>
                <w:rFonts w:asciiTheme="minorHAnsi" w:hAnsiTheme="minorHAnsi"/>
                <w:sz w:val="22"/>
                <w:lang w:eastAsia="en-GB"/>
              </w:rPr>
              <w:t>Influence</w:t>
            </w:r>
          </w:p>
        </w:tc>
        <w:tc>
          <w:tcPr>
            <w:tcW w:w="2035" w:type="dxa"/>
          </w:tcPr>
          <w:p w14:paraId="28055D71" w14:textId="6E5A559B" w:rsidR="00B206A0" w:rsidRPr="00E14D61" w:rsidRDefault="00B206A0">
            <w:pPr>
              <w:spacing w:before="120"/>
              <w:rPr>
                <w:rFonts w:asciiTheme="minorHAnsi" w:hAnsiTheme="minorHAnsi"/>
                <w:sz w:val="22"/>
                <w:lang w:eastAsia="en-GB"/>
              </w:rPr>
            </w:pPr>
            <w:hyperlink r:id="rId18" w:history="1">
              <w:r w:rsidRPr="00B206A0">
                <w:rPr>
                  <w:rStyle w:val="Hyperlink"/>
                  <w:rFonts w:asciiTheme="minorHAnsi" w:hAnsiTheme="minorHAnsi"/>
                  <w:sz w:val="22"/>
                  <w:lang w:eastAsia="en-GB"/>
                </w:rPr>
                <w:t>Level 6</w:t>
              </w:r>
            </w:hyperlink>
          </w:p>
        </w:tc>
      </w:tr>
      <w:tr w:rsidR="00B206A0" w14:paraId="5541D04B" w14:textId="77777777" w:rsidTr="00CC16CD">
        <w:tc>
          <w:tcPr>
            <w:tcW w:w="5190" w:type="dxa"/>
          </w:tcPr>
          <w:p w14:paraId="24451860" w14:textId="7784F9F4" w:rsidR="00B206A0" w:rsidRPr="00E14D61" w:rsidRDefault="00B206A0">
            <w:pPr>
              <w:spacing w:before="120"/>
              <w:rPr>
                <w:rFonts w:asciiTheme="minorHAnsi" w:hAnsiTheme="minorHAnsi"/>
                <w:sz w:val="22"/>
                <w:lang w:eastAsia="en-GB"/>
              </w:rPr>
            </w:pPr>
            <w:r>
              <w:rPr>
                <w:rFonts w:asciiTheme="minorHAnsi" w:hAnsiTheme="minorHAnsi"/>
                <w:sz w:val="22"/>
                <w:lang w:eastAsia="en-GB"/>
              </w:rPr>
              <w:t>Complexity</w:t>
            </w:r>
          </w:p>
        </w:tc>
        <w:tc>
          <w:tcPr>
            <w:tcW w:w="2035" w:type="dxa"/>
          </w:tcPr>
          <w:p w14:paraId="60270D9B" w14:textId="579402DA" w:rsidR="00B206A0" w:rsidRPr="00E14D61" w:rsidRDefault="0065626F">
            <w:pPr>
              <w:spacing w:before="120"/>
              <w:rPr>
                <w:rFonts w:asciiTheme="minorHAnsi" w:hAnsiTheme="minorHAnsi"/>
                <w:sz w:val="22"/>
                <w:lang w:eastAsia="en-GB"/>
              </w:rPr>
            </w:pPr>
            <w:hyperlink r:id="rId19" w:history="1">
              <w:r w:rsidRPr="0065626F">
                <w:rPr>
                  <w:rStyle w:val="Hyperlink"/>
                  <w:rFonts w:asciiTheme="minorHAnsi" w:hAnsiTheme="minorHAnsi"/>
                  <w:sz w:val="22"/>
                  <w:lang w:eastAsia="en-GB"/>
                </w:rPr>
                <w:t>Level 5</w:t>
              </w:r>
            </w:hyperlink>
          </w:p>
        </w:tc>
      </w:tr>
      <w:tr w:rsidR="00B206A0" w14:paraId="12BA6A39" w14:textId="77777777" w:rsidTr="00CC16CD">
        <w:tc>
          <w:tcPr>
            <w:tcW w:w="5190" w:type="dxa"/>
          </w:tcPr>
          <w:p w14:paraId="58E0B70B" w14:textId="1BA52A36" w:rsidR="00B206A0" w:rsidRPr="00E14D61" w:rsidRDefault="00B206A0">
            <w:pPr>
              <w:spacing w:before="120"/>
              <w:rPr>
                <w:rFonts w:asciiTheme="minorHAnsi" w:hAnsiTheme="minorHAnsi"/>
                <w:sz w:val="22"/>
                <w:lang w:eastAsia="en-GB"/>
              </w:rPr>
            </w:pPr>
            <w:r>
              <w:rPr>
                <w:rFonts w:asciiTheme="minorHAnsi" w:hAnsiTheme="minorHAnsi"/>
                <w:sz w:val="22"/>
                <w:lang w:eastAsia="en-GB"/>
              </w:rPr>
              <w:t>Business Skills</w:t>
            </w:r>
          </w:p>
        </w:tc>
        <w:tc>
          <w:tcPr>
            <w:tcW w:w="2035" w:type="dxa"/>
          </w:tcPr>
          <w:p w14:paraId="519315DC" w14:textId="62B33987" w:rsidR="00B206A0" w:rsidRPr="00E14D61" w:rsidRDefault="00B206A0">
            <w:pPr>
              <w:spacing w:before="120"/>
              <w:rPr>
                <w:rFonts w:asciiTheme="minorHAnsi" w:hAnsiTheme="minorHAnsi"/>
                <w:sz w:val="22"/>
                <w:lang w:eastAsia="en-GB"/>
              </w:rPr>
            </w:pPr>
            <w:hyperlink r:id="rId20" w:history="1">
              <w:r w:rsidRPr="00B206A0">
                <w:rPr>
                  <w:rStyle w:val="Hyperlink"/>
                  <w:rFonts w:asciiTheme="minorHAnsi" w:hAnsiTheme="minorHAnsi"/>
                  <w:sz w:val="22"/>
                  <w:lang w:eastAsia="en-GB"/>
                </w:rPr>
                <w:t>Level 6</w:t>
              </w:r>
            </w:hyperlink>
          </w:p>
        </w:tc>
      </w:tr>
      <w:tr w:rsidR="00B206A0" w14:paraId="7CF88CD4" w14:textId="77777777" w:rsidTr="00CC16CD">
        <w:tc>
          <w:tcPr>
            <w:tcW w:w="5190" w:type="dxa"/>
          </w:tcPr>
          <w:p w14:paraId="1489C342" w14:textId="2027C879" w:rsidR="00B206A0" w:rsidRPr="00E14D61" w:rsidRDefault="00B206A0">
            <w:pPr>
              <w:spacing w:before="120"/>
              <w:rPr>
                <w:rFonts w:asciiTheme="minorHAnsi" w:hAnsiTheme="minorHAnsi"/>
                <w:sz w:val="22"/>
                <w:lang w:eastAsia="en-GB"/>
              </w:rPr>
            </w:pPr>
            <w:r>
              <w:rPr>
                <w:rFonts w:asciiTheme="minorHAnsi" w:hAnsiTheme="minorHAnsi"/>
                <w:sz w:val="22"/>
                <w:lang w:eastAsia="en-GB"/>
              </w:rPr>
              <w:lastRenderedPageBreak/>
              <w:t>Knowledge</w:t>
            </w:r>
          </w:p>
        </w:tc>
        <w:tc>
          <w:tcPr>
            <w:tcW w:w="2035" w:type="dxa"/>
          </w:tcPr>
          <w:p w14:paraId="20371A4C" w14:textId="4125CF48" w:rsidR="00B206A0" w:rsidRPr="00E14D61" w:rsidRDefault="0065626F">
            <w:pPr>
              <w:spacing w:before="120"/>
              <w:rPr>
                <w:rFonts w:asciiTheme="minorHAnsi" w:hAnsiTheme="minorHAnsi"/>
                <w:sz w:val="22"/>
                <w:lang w:eastAsia="en-GB"/>
              </w:rPr>
            </w:pPr>
            <w:hyperlink r:id="rId21" w:history="1">
              <w:r w:rsidRPr="0065626F">
                <w:rPr>
                  <w:rStyle w:val="Hyperlink"/>
                  <w:rFonts w:asciiTheme="minorHAnsi" w:hAnsiTheme="minorHAnsi"/>
                  <w:sz w:val="22"/>
                  <w:lang w:eastAsia="en-GB"/>
                </w:rPr>
                <w:t>Level 5</w:t>
              </w:r>
            </w:hyperlink>
          </w:p>
        </w:tc>
      </w:tr>
    </w:tbl>
    <w:p w14:paraId="512882B5" w14:textId="3DD0B29A" w:rsidR="00205B82" w:rsidRDefault="00205B82" w:rsidP="00205B82">
      <w:pPr>
        <w:spacing w:line="240" w:lineRule="auto"/>
        <w:rPr>
          <w:rFonts w:eastAsiaTheme="majorEastAsia" w:cstheme="majorBidi"/>
          <w:b/>
          <w:bCs/>
          <w:color w:val="002060"/>
          <w:sz w:val="28"/>
          <w:szCs w:val="26"/>
        </w:rPr>
      </w:pPr>
      <w:r>
        <w:rPr>
          <w:i/>
          <w:iCs/>
        </w:rPr>
        <w:br/>
      </w:r>
      <w:r>
        <w:rPr>
          <w:i/>
          <w:iCs/>
        </w:rPr>
        <w:br/>
      </w:r>
      <w:r w:rsidR="005C0C81" w:rsidRPr="00205B82">
        <w:rPr>
          <w:rFonts w:eastAsiaTheme="majorEastAsia" w:cstheme="majorBidi"/>
          <w:b/>
          <w:bCs/>
          <w:color w:val="002060"/>
          <w:sz w:val="28"/>
          <w:szCs w:val="26"/>
        </w:rPr>
        <w:t>Education</w:t>
      </w:r>
      <w:r w:rsidR="00242051" w:rsidRPr="00205B82">
        <w:rPr>
          <w:rFonts w:eastAsiaTheme="majorEastAsia" w:cstheme="majorBidi"/>
          <w:b/>
          <w:bCs/>
          <w:color w:val="002060"/>
          <w:sz w:val="28"/>
          <w:szCs w:val="26"/>
        </w:rPr>
        <w:t xml:space="preserve"> and </w:t>
      </w:r>
      <w:r w:rsidR="25416B32" w:rsidRPr="00205B82">
        <w:rPr>
          <w:rFonts w:eastAsiaTheme="majorEastAsia" w:cstheme="majorBidi"/>
          <w:b/>
          <w:bCs/>
          <w:color w:val="002060"/>
          <w:sz w:val="28"/>
          <w:szCs w:val="26"/>
        </w:rPr>
        <w:t>Experience</w:t>
      </w:r>
    </w:p>
    <w:p w14:paraId="01D92BBC" w14:textId="77777777" w:rsidR="00AB23DD" w:rsidRPr="00AB23DD" w:rsidRDefault="00AB23DD" w:rsidP="00E23A25">
      <w:pPr>
        <w:pStyle w:val="ListParagraph"/>
        <w:numPr>
          <w:ilvl w:val="0"/>
          <w:numId w:val="12"/>
        </w:numPr>
        <w:spacing w:line="240" w:lineRule="auto"/>
      </w:pPr>
      <w:r w:rsidRPr="00AB23DD">
        <w:t>Master’s degree (e.g., Technology, Engineering, Business, Public Sector Management) or equivalent professional experience gained through significant senior leadership in large, complex technology or transformation</w:t>
      </w:r>
      <w:r w:rsidRPr="00AB23DD">
        <w:rPr>
          <w:rFonts w:ascii="Cambria Math" w:hAnsi="Cambria Math" w:cs="Cambria Math"/>
        </w:rPr>
        <w:t>‑</w:t>
      </w:r>
      <w:r w:rsidRPr="00AB23DD">
        <w:t>driven environments.</w:t>
      </w:r>
    </w:p>
    <w:p w14:paraId="036F6F0B" w14:textId="77777777" w:rsidR="00AB23DD" w:rsidRPr="00AB23DD" w:rsidRDefault="00AB23DD" w:rsidP="00E23A25">
      <w:pPr>
        <w:pStyle w:val="ListParagraph"/>
        <w:numPr>
          <w:ilvl w:val="0"/>
          <w:numId w:val="12"/>
        </w:numPr>
        <w:spacing w:line="240" w:lineRule="auto"/>
      </w:pPr>
      <w:r w:rsidRPr="00AB23DD">
        <w:t>Extensive experience leading major enterprise</w:t>
      </w:r>
      <w:r w:rsidRPr="00AB23DD">
        <w:rPr>
          <w:rFonts w:ascii="Cambria Math" w:hAnsi="Cambria Math" w:cs="Cambria Math"/>
        </w:rPr>
        <w:t>‑</w:t>
      </w:r>
      <w:r w:rsidRPr="00AB23DD">
        <w:t>scale transformation, transition, or coexistence programmes within platforms, infrastructure, or digital delivery environments (12 to 18+ years).</w:t>
      </w:r>
    </w:p>
    <w:p w14:paraId="65039EC3" w14:textId="77777777" w:rsidR="00AB23DD" w:rsidRPr="00AB23DD" w:rsidRDefault="00AB23DD" w:rsidP="00E23A25">
      <w:pPr>
        <w:pStyle w:val="ListParagraph"/>
        <w:numPr>
          <w:ilvl w:val="0"/>
          <w:numId w:val="12"/>
        </w:numPr>
        <w:spacing w:line="240" w:lineRule="auto"/>
      </w:pPr>
      <w:r w:rsidRPr="00AB23DD">
        <w:t>Significant senior and executive leadership experience, including leading senior leaders, influencing enterprise direction, shaping cross</w:t>
      </w:r>
      <w:r w:rsidRPr="00AB23DD">
        <w:rPr>
          <w:rFonts w:ascii="Cambria Math" w:hAnsi="Cambria Math" w:cs="Cambria Math"/>
        </w:rPr>
        <w:t>‑</w:t>
      </w:r>
      <w:r w:rsidRPr="00AB23DD">
        <w:t>functional relationships, and governing multi</w:t>
      </w:r>
      <w:r w:rsidRPr="00AB23DD">
        <w:rPr>
          <w:rFonts w:ascii="Cambria Math" w:hAnsi="Cambria Math" w:cs="Cambria Math"/>
        </w:rPr>
        <w:t>‑</w:t>
      </w:r>
      <w:r w:rsidRPr="00AB23DD">
        <w:t>year transformation portfolios (6 to 10+ years).</w:t>
      </w:r>
    </w:p>
    <w:p w14:paraId="56EE7E4A" w14:textId="77777777" w:rsidR="00AB23DD" w:rsidRPr="00AB23DD" w:rsidRDefault="00AB23DD" w:rsidP="00E23A25">
      <w:pPr>
        <w:pStyle w:val="ListParagraph"/>
        <w:numPr>
          <w:ilvl w:val="0"/>
          <w:numId w:val="12"/>
        </w:numPr>
        <w:spacing w:line="240" w:lineRule="auto"/>
      </w:pPr>
      <w:r w:rsidRPr="00AB23DD">
        <w:t>Proven experience directing platform and infrastructure transition activities, including run</w:t>
      </w:r>
      <w:r w:rsidRPr="00AB23DD">
        <w:rPr>
          <w:rFonts w:ascii="Cambria Math" w:hAnsi="Cambria Math" w:cs="Cambria Math"/>
        </w:rPr>
        <w:t>‑</w:t>
      </w:r>
      <w:r w:rsidRPr="00AB23DD">
        <w:t>ahead design, coexistence planning, heritage system exit, and staged transition to new digital platforms.</w:t>
      </w:r>
    </w:p>
    <w:p w14:paraId="166FB72D" w14:textId="77777777" w:rsidR="00AB23DD" w:rsidRPr="00AB23DD" w:rsidRDefault="00AB23DD" w:rsidP="00E23A25">
      <w:pPr>
        <w:pStyle w:val="ListParagraph"/>
        <w:numPr>
          <w:ilvl w:val="0"/>
          <w:numId w:val="12"/>
        </w:numPr>
        <w:spacing w:line="240" w:lineRule="auto"/>
      </w:pPr>
      <w:r w:rsidRPr="00AB23DD">
        <w:t>Demonstrated capability in evolving operating models, managing workforce capability and capacity shifts, and embedding new practices across technical teams during large</w:t>
      </w:r>
      <w:r w:rsidRPr="00AB23DD">
        <w:rPr>
          <w:rFonts w:ascii="Cambria Math" w:hAnsi="Cambria Math" w:cs="Cambria Math"/>
        </w:rPr>
        <w:t>‑</w:t>
      </w:r>
      <w:r w:rsidRPr="00AB23DD">
        <w:t>scale change.</w:t>
      </w:r>
    </w:p>
    <w:p w14:paraId="6E1A8334" w14:textId="77777777" w:rsidR="00AB23DD" w:rsidRPr="00AB23DD" w:rsidRDefault="00AB23DD" w:rsidP="00E23A25">
      <w:pPr>
        <w:pStyle w:val="ListParagraph"/>
        <w:numPr>
          <w:ilvl w:val="0"/>
          <w:numId w:val="12"/>
        </w:numPr>
        <w:spacing w:line="240" w:lineRule="auto"/>
        <w:rPr>
          <w:rFonts w:eastAsiaTheme="majorEastAsia" w:cstheme="majorBidi"/>
          <w:b/>
          <w:bCs/>
          <w:color w:val="002060"/>
          <w:sz w:val="28"/>
          <w:szCs w:val="26"/>
        </w:rPr>
      </w:pPr>
      <w:r w:rsidRPr="00AB23DD">
        <w:t>A strong track record representing technology functions in enterprise transformation forums, providing authoritative advice, managing risk and readiness, and supporting complex sequencing and decision</w:t>
      </w:r>
      <w:r w:rsidRPr="00AB23DD">
        <w:rPr>
          <w:rFonts w:ascii="Cambria Math" w:hAnsi="Cambria Math" w:cs="Cambria Math"/>
        </w:rPr>
        <w:t>‑</w:t>
      </w:r>
      <w:r w:rsidRPr="00AB23DD">
        <w:t>making</w:t>
      </w:r>
      <w:r w:rsidRPr="00AB23DD">
        <w:rPr>
          <w:rFonts w:eastAsiaTheme="majorEastAsia" w:cstheme="majorBidi"/>
          <w:b/>
          <w:bCs/>
          <w:color w:val="002060"/>
          <w:sz w:val="28"/>
          <w:szCs w:val="26"/>
        </w:rPr>
        <w:t xml:space="preserve"> </w:t>
      </w:r>
    </w:p>
    <w:p w14:paraId="74CAC7FA" w14:textId="6E9F3E00" w:rsidR="00306EFC" w:rsidRPr="00CC16CD" w:rsidRDefault="008E3B02" w:rsidP="00AB23DD">
      <w:pPr>
        <w:spacing w:line="240" w:lineRule="auto"/>
        <w:rPr>
          <w:rFonts w:eastAsiaTheme="majorEastAsia" w:cstheme="majorBidi"/>
          <w:b/>
          <w:bCs/>
          <w:color w:val="002060"/>
          <w:sz w:val="28"/>
          <w:szCs w:val="26"/>
        </w:rPr>
      </w:pPr>
      <w:r w:rsidRPr="00CC16CD">
        <w:rPr>
          <w:rFonts w:eastAsiaTheme="majorEastAsia" w:cstheme="majorBidi"/>
          <w:b/>
          <w:bCs/>
          <w:color w:val="002060"/>
          <w:sz w:val="28"/>
          <w:szCs w:val="26"/>
        </w:rPr>
        <w:t>Behavioural Competencies</w:t>
      </w:r>
      <w:r w:rsidR="00CC16CD">
        <w:rPr>
          <w:rFonts w:eastAsiaTheme="majorEastAsia" w:cstheme="majorBidi"/>
          <w:b/>
          <w:bCs/>
          <w:color w:val="002060"/>
          <w:sz w:val="28"/>
          <w:szCs w:val="26"/>
        </w:rPr>
        <w:br/>
      </w:r>
      <w:r w:rsidR="00205B82">
        <w:rPr>
          <w:szCs w:val="26"/>
        </w:rPr>
        <w:br/>
      </w:r>
      <w:r w:rsidR="00306EFC" w:rsidRPr="00824286">
        <w:rPr>
          <w:b/>
          <w:bCs/>
        </w:rPr>
        <w:t xml:space="preserve">Collaborates – </w:t>
      </w:r>
      <w:r w:rsidR="00306EFC" w:rsidRPr="005C1576">
        <w:t>Builds partnerships and works collaboratively with others to meet shared objectives.</w:t>
      </w:r>
    </w:p>
    <w:p w14:paraId="2266B955" w14:textId="77777777" w:rsidR="00306EFC" w:rsidRPr="00824286" w:rsidRDefault="00306EFC" w:rsidP="00306EFC">
      <w:pPr>
        <w:spacing w:line="288" w:lineRule="auto"/>
      </w:pPr>
      <w:r w:rsidRPr="00824286">
        <w:rPr>
          <w:b/>
          <w:bCs/>
        </w:rPr>
        <w:t xml:space="preserve">Builds rapport – </w:t>
      </w:r>
      <w:r w:rsidRPr="00155B47">
        <w:t>Relates openly and comfortably with diverse groups of people.</w:t>
      </w:r>
    </w:p>
    <w:p w14:paraId="59E0C0ED" w14:textId="77777777" w:rsidR="00306EFC" w:rsidRPr="00824286" w:rsidRDefault="00306EFC" w:rsidP="00306EFC">
      <w:pPr>
        <w:spacing w:line="288" w:lineRule="auto"/>
      </w:pPr>
      <w:r w:rsidRPr="00824286">
        <w:rPr>
          <w:b/>
          <w:bCs/>
        </w:rPr>
        <w:t xml:space="preserve">Values differences – </w:t>
      </w:r>
      <w:r w:rsidRPr="009C6CB3">
        <w:t>Recognises the value that different perspectives and cultures bring to MSD through skilfully identifying how cultural differences can lead to new opportunities and value. Creates an accepting, empowering environment that makes employees, of all backgrounds, feel motivated</w:t>
      </w:r>
      <w:r w:rsidRPr="00155B47">
        <w:t>.</w:t>
      </w:r>
    </w:p>
    <w:p w14:paraId="1E563624" w14:textId="77777777" w:rsidR="00306EFC" w:rsidRDefault="00306EFC" w:rsidP="00306EFC">
      <w:pPr>
        <w:spacing w:line="288" w:lineRule="auto"/>
      </w:pPr>
      <w:proofErr w:type="spellStart"/>
      <w:r w:rsidRPr="00824286">
        <w:rPr>
          <w:b/>
          <w:bCs/>
        </w:rPr>
        <w:t>Instills</w:t>
      </w:r>
      <w:proofErr w:type="spellEnd"/>
      <w:r w:rsidRPr="00824286">
        <w:rPr>
          <w:b/>
          <w:bCs/>
        </w:rPr>
        <w:t xml:space="preserve"> Trust – </w:t>
      </w:r>
      <w:r w:rsidRPr="00C45251">
        <w:t>Gains the confidence and trust of others through honesty, integrity, and authenticity. Develop strong trust in MSD and its leadership through open, honest, and transparent communication</w:t>
      </w:r>
      <w:r w:rsidRPr="00155B47">
        <w:t>.</w:t>
      </w:r>
    </w:p>
    <w:p w14:paraId="20143D01" w14:textId="77777777" w:rsidR="00F33EE3" w:rsidRDefault="00F33EE3" w:rsidP="00306EFC">
      <w:pPr>
        <w:spacing w:line="288" w:lineRule="auto"/>
      </w:pPr>
    </w:p>
    <w:p w14:paraId="7C64F37B" w14:textId="77777777" w:rsidR="00F33EE3" w:rsidRDefault="00F33EE3" w:rsidP="00306EFC">
      <w:pPr>
        <w:spacing w:line="288" w:lineRule="auto"/>
      </w:pPr>
    </w:p>
    <w:p w14:paraId="23BE9C89" w14:textId="77777777" w:rsidR="00CC16CD" w:rsidRDefault="00CC16CD" w:rsidP="00CC16CD">
      <w:pPr>
        <w:pStyle w:val="Heading3"/>
      </w:pPr>
      <w:r w:rsidRPr="00015D5E">
        <w:lastRenderedPageBreak/>
        <w:t xml:space="preserve">Delegations </w:t>
      </w:r>
    </w:p>
    <w:p w14:paraId="2778ADB8" w14:textId="1DB52C2A" w:rsidR="005C6B8C" w:rsidRPr="00CC16CD" w:rsidRDefault="007D7B1B" w:rsidP="007D7B1B">
      <w:r>
        <w:br/>
      </w:r>
      <w:r w:rsidR="005C0C81" w:rsidRPr="5A93E91F">
        <w:rPr>
          <w:rFonts w:eastAsiaTheme="majorEastAsia" w:cstheme="majorBidi"/>
          <w:b/>
          <w:bCs/>
          <w:color w:val="000000" w:themeColor="text1"/>
          <w:sz w:val="24"/>
          <w:szCs w:val="24"/>
        </w:rPr>
        <w:t xml:space="preserve">Direct reports </w:t>
      </w:r>
      <w:r w:rsidR="00CC16CD">
        <w:rPr>
          <w:rFonts w:eastAsiaTheme="majorEastAsia" w:cstheme="majorBidi"/>
          <w:b/>
          <w:bCs/>
          <w:color w:val="000000" w:themeColor="text1"/>
          <w:sz w:val="24"/>
          <w:szCs w:val="24"/>
        </w:rPr>
        <w:t xml:space="preserve">- </w:t>
      </w:r>
      <w:r w:rsidR="00CC16CD">
        <w:rPr>
          <w:rFonts w:eastAsiaTheme="majorEastAsia" w:cstheme="majorBidi"/>
          <w:color w:val="000000" w:themeColor="text1"/>
          <w:sz w:val="24"/>
          <w:szCs w:val="24"/>
        </w:rPr>
        <w:t>Yes</w:t>
      </w:r>
      <w:r>
        <w:br/>
      </w:r>
      <w:r>
        <w:br/>
      </w:r>
      <w:r w:rsidR="005C0C81" w:rsidRPr="5A93E91F">
        <w:rPr>
          <w:rFonts w:eastAsiaTheme="majorEastAsia" w:cstheme="majorBidi"/>
          <w:b/>
          <w:bCs/>
          <w:color w:val="000000" w:themeColor="text1"/>
          <w:sz w:val="24"/>
          <w:szCs w:val="24"/>
        </w:rPr>
        <w:t xml:space="preserve">Security </w:t>
      </w:r>
      <w:r w:rsidRPr="5A93E91F">
        <w:rPr>
          <w:rFonts w:eastAsiaTheme="majorEastAsia" w:cstheme="majorBidi"/>
          <w:b/>
          <w:bCs/>
          <w:color w:val="000000" w:themeColor="text1"/>
          <w:sz w:val="24"/>
          <w:szCs w:val="24"/>
        </w:rPr>
        <w:t>clearance</w:t>
      </w:r>
      <w:r w:rsidR="00CC16CD">
        <w:rPr>
          <w:rFonts w:eastAsiaTheme="majorEastAsia" w:cstheme="majorBidi"/>
          <w:b/>
          <w:bCs/>
          <w:color w:val="000000" w:themeColor="text1"/>
          <w:sz w:val="24"/>
          <w:szCs w:val="24"/>
        </w:rPr>
        <w:t xml:space="preserve"> - </w:t>
      </w:r>
      <w:r w:rsidR="00CC16CD">
        <w:rPr>
          <w:rFonts w:eastAsiaTheme="majorEastAsia" w:cstheme="majorBidi"/>
          <w:color w:val="000000" w:themeColor="text1"/>
          <w:sz w:val="24"/>
          <w:szCs w:val="24"/>
        </w:rPr>
        <w:t>No</w:t>
      </w:r>
      <w:r>
        <w:br/>
      </w:r>
      <w:r>
        <w:br/>
      </w:r>
      <w:r w:rsidR="005C0C81" w:rsidRPr="5A93E91F">
        <w:rPr>
          <w:rFonts w:eastAsiaTheme="majorEastAsia" w:cstheme="majorBidi"/>
          <w:b/>
          <w:bCs/>
          <w:color w:val="000000" w:themeColor="text1"/>
          <w:sz w:val="24"/>
          <w:szCs w:val="24"/>
        </w:rPr>
        <w:t>Children’s worker</w:t>
      </w:r>
      <w:r w:rsidR="00CC16CD">
        <w:rPr>
          <w:rFonts w:eastAsiaTheme="majorEastAsia" w:cstheme="majorBidi"/>
          <w:b/>
          <w:bCs/>
          <w:color w:val="000000" w:themeColor="text1"/>
          <w:sz w:val="24"/>
          <w:szCs w:val="24"/>
        </w:rPr>
        <w:t xml:space="preserve"> - </w:t>
      </w:r>
      <w:r w:rsidR="00CC16CD">
        <w:rPr>
          <w:rFonts w:eastAsiaTheme="majorEastAsia" w:cstheme="majorBidi"/>
          <w:color w:val="000000" w:themeColor="text1"/>
          <w:sz w:val="24"/>
          <w:szCs w:val="24"/>
        </w:rPr>
        <w:t>No</w:t>
      </w:r>
      <w:r>
        <w:br/>
      </w:r>
      <w:r>
        <w:br/>
      </w:r>
      <w:r w:rsidR="005C0C81" w:rsidRPr="5A93E91F">
        <w:rPr>
          <w:rFonts w:eastAsiaTheme="majorEastAsia" w:cstheme="majorBidi"/>
          <w:b/>
          <w:bCs/>
          <w:color w:val="000000" w:themeColor="text1"/>
          <w:sz w:val="24"/>
          <w:szCs w:val="24"/>
        </w:rPr>
        <w:t>Travel</w:t>
      </w:r>
      <w:r w:rsidR="00CC16CD">
        <w:rPr>
          <w:rFonts w:eastAsiaTheme="majorEastAsia" w:cstheme="majorBidi"/>
          <w:b/>
          <w:bCs/>
          <w:color w:val="000000" w:themeColor="text1"/>
          <w:sz w:val="24"/>
          <w:szCs w:val="24"/>
        </w:rPr>
        <w:t xml:space="preserve"> – </w:t>
      </w:r>
      <w:r w:rsidR="00CC16CD">
        <w:rPr>
          <w:rFonts w:eastAsiaTheme="majorEastAsia" w:cstheme="majorBidi"/>
          <w:color w:val="000000" w:themeColor="text1"/>
          <w:sz w:val="24"/>
          <w:szCs w:val="24"/>
        </w:rPr>
        <w:t>Limited ad-hoc travel may be required</w:t>
      </w:r>
      <w:r>
        <w:br/>
      </w:r>
      <w:r>
        <w:br/>
      </w:r>
      <w:r w:rsidR="00141ACE" w:rsidRPr="5A93E91F">
        <w:rPr>
          <w:rFonts w:eastAsiaTheme="majorEastAsia" w:cstheme="majorBidi"/>
          <w:b/>
          <w:bCs/>
          <w:color w:val="000000" w:themeColor="text1"/>
          <w:sz w:val="24"/>
          <w:szCs w:val="24"/>
        </w:rPr>
        <w:t xml:space="preserve">HR </w:t>
      </w:r>
      <w:r w:rsidR="005C6B8C" w:rsidRPr="5A93E91F">
        <w:rPr>
          <w:rFonts w:eastAsiaTheme="majorEastAsia" w:cstheme="majorBidi"/>
          <w:b/>
          <w:bCs/>
          <w:color w:val="000000" w:themeColor="text1"/>
          <w:sz w:val="24"/>
          <w:szCs w:val="24"/>
        </w:rPr>
        <w:t xml:space="preserve">Delegation Level </w:t>
      </w:r>
      <w:r w:rsidR="00CC16CD">
        <w:rPr>
          <w:rFonts w:eastAsiaTheme="majorEastAsia" w:cstheme="majorBidi"/>
          <w:b/>
          <w:bCs/>
          <w:color w:val="000000" w:themeColor="text1"/>
          <w:sz w:val="24"/>
          <w:szCs w:val="24"/>
        </w:rPr>
        <w:t>–</w:t>
      </w:r>
      <w:r w:rsidR="00CC16CD">
        <w:rPr>
          <w:rFonts w:eastAsiaTheme="majorEastAsia" w:cstheme="majorBidi"/>
          <w:color w:val="000000" w:themeColor="text1"/>
          <w:sz w:val="24"/>
          <w:szCs w:val="24"/>
        </w:rPr>
        <w:t xml:space="preserve"> </w:t>
      </w:r>
      <w:r w:rsidR="0065626F">
        <w:rPr>
          <w:rFonts w:eastAsiaTheme="majorEastAsia" w:cstheme="majorBidi"/>
          <w:color w:val="000000" w:themeColor="text1"/>
          <w:sz w:val="24"/>
          <w:szCs w:val="24"/>
        </w:rPr>
        <w:t>5</w:t>
      </w:r>
      <w:r>
        <w:br/>
      </w:r>
      <w:r>
        <w:br/>
      </w:r>
      <w:r w:rsidR="005C6B8C" w:rsidRPr="5A93E91F">
        <w:rPr>
          <w:rFonts w:eastAsiaTheme="majorEastAsia" w:cstheme="majorBidi"/>
          <w:b/>
          <w:bCs/>
          <w:color w:val="000000" w:themeColor="text1"/>
          <w:sz w:val="24"/>
          <w:szCs w:val="24"/>
        </w:rPr>
        <w:t xml:space="preserve">Financial Delegation </w:t>
      </w:r>
      <w:r w:rsidR="00CC16CD">
        <w:rPr>
          <w:rFonts w:eastAsiaTheme="majorEastAsia" w:cstheme="majorBidi"/>
          <w:b/>
          <w:bCs/>
          <w:color w:val="000000" w:themeColor="text1"/>
          <w:sz w:val="24"/>
          <w:szCs w:val="24"/>
        </w:rPr>
        <w:t>L</w:t>
      </w:r>
      <w:r w:rsidR="005C6B8C" w:rsidRPr="5A93E91F">
        <w:rPr>
          <w:rFonts w:eastAsiaTheme="majorEastAsia" w:cstheme="majorBidi"/>
          <w:b/>
          <w:bCs/>
          <w:color w:val="000000" w:themeColor="text1"/>
          <w:sz w:val="24"/>
          <w:szCs w:val="24"/>
        </w:rPr>
        <w:t>evel</w:t>
      </w:r>
      <w:r w:rsidR="00CC16CD">
        <w:rPr>
          <w:rFonts w:eastAsiaTheme="majorEastAsia" w:cstheme="majorBidi"/>
          <w:b/>
          <w:bCs/>
          <w:color w:val="000000" w:themeColor="text1"/>
          <w:sz w:val="24"/>
          <w:szCs w:val="24"/>
        </w:rPr>
        <w:t xml:space="preserve"> - </w:t>
      </w:r>
      <w:r w:rsidR="0065626F">
        <w:rPr>
          <w:rFonts w:eastAsiaTheme="majorEastAsia" w:cstheme="majorBidi"/>
          <w:color w:val="000000" w:themeColor="text1"/>
          <w:sz w:val="24"/>
          <w:szCs w:val="24"/>
        </w:rPr>
        <w:t>4</w:t>
      </w:r>
    </w:p>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22"/>
      <w:headerReference w:type="default" r:id="rId23"/>
      <w:footerReference w:type="default" r:id="rId24"/>
      <w:headerReference w:type="first" r:id="rId25"/>
      <w:footerReference w:type="first" r:id="rId26"/>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A8AC" w14:textId="77777777" w:rsidR="0044168B" w:rsidRDefault="0044168B" w:rsidP="00336686">
      <w:r>
        <w:separator/>
      </w:r>
    </w:p>
  </w:endnote>
  <w:endnote w:type="continuationSeparator" w:id="0">
    <w:p w14:paraId="78321C2F" w14:textId="77777777" w:rsidR="0044168B" w:rsidRDefault="0044168B" w:rsidP="00336686">
      <w:r>
        <w:continuationSeparator/>
      </w:r>
    </w:p>
  </w:endnote>
  <w:endnote w:type="continuationNotice" w:id="1">
    <w:p w14:paraId="2E69E081" w14:textId="77777777" w:rsidR="0044168B" w:rsidRDefault="0044168B"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D5ED" w14:textId="26AC4D47" w:rsidR="00F33EE3" w:rsidRDefault="00F33EE3" w:rsidP="56538A74">
    <w:pPr>
      <w:pStyle w:val="Footer"/>
      <w:tabs>
        <w:tab w:val="clear" w:pos="4513"/>
        <w:tab w:val="clear" w:pos="9026"/>
        <w:tab w:val="left" w:pos="3927"/>
      </w:tabs>
      <w:spacing w:before="100" w:beforeAutospacing="1"/>
    </w:pPr>
  </w:p>
  <w:p w14:paraId="15CB2B0A" w14:textId="3B1D5776" w:rsidR="007A61A9" w:rsidRDefault="00F33EE3" w:rsidP="56538A74">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243" behindDoc="1" locked="0" layoutInCell="1" allowOverlap="1" wp14:anchorId="663ACD51" wp14:editId="05F2C87E">
          <wp:simplePos x="0" y="0"/>
          <wp:positionH relativeFrom="page">
            <wp:align>right</wp:align>
          </wp:positionH>
          <wp:positionV relativeFrom="paragraph">
            <wp:posOffset>193040</wp:posOffset>
          </wp:positionV>
          <wp:extent cx="7636510" cy="108966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510" cy="1089660"/>
                  </a:xfrm>
                  <a:prstGeom prst="rect">
                    <a:avLst/>
                  </a:prstGeom>
                </pic:spPr>
              </pic:pic>
            </a:graphicData>
          </a:graphic>
          <wp14:sizeRelH relativeFrom="margin">
            <wp14:pctWidth>0</wp14:pctWidth>
          </wp14:sizeRelH>
          <wp14:sizeRelV relativeFrom="margin">
            <wp14:pctHeight>0</wp14:pctHeight>
          </wp14:sizeRelV>
        </wp:anchor>
      </w:drawing>
    </w:r>
    <w:r w:rsidR="56538A74">
      <w:t xml:space="preserve">Page </w:t>
    </w:r>
    <w:r w:rsidR="00C45EB5" w:rsidRPr="00C45EB5">
      <w:rPr>
        <w:noProof/>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56538A74"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56538A74">
      <w:t>Director Transformation and Transition</w:t>
    </w:r>
    <w:r w:rsidR="56538A74" w:rsidRPr="56538A74">
      <w:rPr>
        <w:sz w:val="20"/>
        <w:szCs w:val="20"/>
      </w:rPr>
      <w:t xml:space="preserve"> – March 2026</w:t>
    </w:r>
    <w:r w:rsidR="007A61A9">
      <w:rPr>
        <w:sz w:val="20"/>
        <w:szCs w:val="20"/>
      </w:rPr>
      <w:t xml:space="preserve"> – SM4</w:t>
    </w:r>
  </w:p>
  <w:p w14:paraId="32488283" w14:textId="30EE8B01" w:rsidR="00C7317E" w:rsidRPr="008A00F5" w:rsidRDefault="56538A74" w:rsidP="56538A74">
    <w:pPr>
      <w:pStyle w:val="Footer"/>
      <w:tabs>
        <w:tab w:val="clear" w:pos="4513"/>
        <w:tab w:val="clear" w:pos="9026"/>
        <w:tab w:val="left" w:pos="3927"/>
      </w:tabs>
      <w:spacing w:before="100" w:beforeAutospacing="1"/>
      <w:rPr>
        <w:sz w:val="20"/>
        <w:szCs w:val="20"/>
      </w:rPr>
    </w:pPr>
    <w:r w:rsidRPr="56538A74">
      <w:rPr>
        <w:noProof/>
        <w:sz w:val="20"/>
        <w:szCs w:val="20"/>
      </w:rPr>
      <w:t xml:space="preserve"> </w:t>
    </w:r>
    <w:r w:rsidR="00306EFC">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1165BEB0">
          <wp:simplePos x="0" y="0"/>
          <wp:positionH relativeFrom="margin">
            <wp:align>center</wp:align>
          </wp:positionH>
          <wp:positionV relativeFrom="paragraph">
            <wp:posOffset>-321835</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05A5D" w14:textId="77777777" w:rsidR="0044168B" w:rsidRDefault="0044168B" w:rsidP="00336686">
      <w:r>
        <w:separator/>
      </w:r>
    </w:p>
  </w:footnote>
  <w:footnote w:type="continuationSeparator" w:id="0">
    <w:p w14:paraId="04773B85" w14:textId="77777777" w:rsidR="0044168B" w:rsidRDefault="0044168B" w:rsidP="00336686">
      <w:r>
        <w:continuationSeparator/>
      </w:r>
    </w:p>
  </w:footnote>
  <w:footnote w:type="continuationNotice" w:id="1">
    <w:p w14:paraId="5C0C626D" w14:textId="77777777" w:rsidR="0044168B" w:rsidRDefault="0044168B"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423B87F7">
            <v:shapetype id="_x0000_t202" coordsize="21600,21600" o:spt="202" path="m,l,21600r21600,l21600,xe" w14:anchorId="424975AB">
              <v:stroke joinstyle="miter"/>
              <v:path gradientshapeok="t" o:connecttype="rect"/>
            </v:shapetype>
            <v:shape id="Text Box 2"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alt="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C53480" w:rsidR="00C53480" w:rsidP="00336686" w:rsidRDefault="00C53480" w14:paraId="0F7050F5" w14:textId="77777777">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44168B"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62D75675" w:rsidR="00C53480" w:rsidRDefault="00336686" w:rsidP="00336686">
    <w:pPr>
      <w:pStyle w:val="Header"/>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154"/>
    <w:multiLevelType w:val="hybridMultilevel"/>
    <w:tmpl w:val="0B340F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3404011"/>
    <w:multiLevelType w:val="hybridMultilevel"/>
    <w:tmpl w:val="20247E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3" w15:restartNumberingAfterBreak="0">
    <w:nsid w:val="1EE3299B"/>
    <w:multiLevelType w:val="hybridMultilevel"/>
    <w:tmpl w:val="77845D18"/>
    <w:lvl w:ilvl="0" w:tplc="D3D2BE9E">
      <w:start w:val="1"/>
      <w:numFmt w:val="bullet"/>
      <w:pStyle w:val="ListParagraph"/>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C0AAB4D"/>
    <w:multiLevelType w:val="hybridMultilevel"/>
    <w:tmpl w:val="FFFFFFFF"/>
    <w:lvl w:ilvl="0" w:tplc="D83AB94E">
      <w:start w:val="1"/>
      <w:numFmt w:val="bullet"/>
      <w:lvlText w:val=""/>
      <w:lvlJc w:val="left"/>
      <w:pPr>
        <w:ind w:left="720" w:hanging="360"/>
      </w:pPr>
      <w:rPr>
        <w:rFonts w:ascii="Symbol" w:hAnsi="Symbol" w:hint="default"/>
      </w:rPr>
    </w:lvl>
    <w:lvl w:ilvl="1" w:tplc="553408CA">
      <w:start w:val="1"/>
      <w:numFmt w:val="bullet"/>
      <w:lvlText w:val="o"/>
      <w:lvlJc w:val="left"/>
      <w:pPr>
        <w:ind w:left="1440" w:hanging="360"/>
      </w:pPr>
      <w:rPr>
        <w:rFonts w:ascii="Courier New" w:hAnsi="Courier New" w:hint="default"/>
      </w:rPr>
    </w:lvl>
    <w:lvl w:ilvl="2" w:tplc="752EEC20">
      <w:start w:val="1"/>
      <w:numFmt w:val="bullet"/>
      <w:lvlText w:val=""/>
      <w:lvlJc w:val="left"/>
      <w:pPr>
        <w:ind w:left="2160" w:hanging="360"/>
      </w:pPr>
      <w:rPr>
        <w:rFonts w:ascii="Wingdings" w:hAnsi="Wingdings" w:hint="default"/>
      </w:rPr>
    </w:lvl>
    <w:lvl w:ilvl="3" w:tplc="3E5CA150">
      <w:start w:val="1"/>
      <w:numFmt w:val="bullet"/>
      <w:lvlText w:val=""/>
      <w:lvlJc w:val="left"/>
      <w:pPr>
        <w:ind w:left="2880" w:hanging="360"/>
      </w:pPr>
      <w:rPr>
        <w:rFonts w:ascii="Symbol" w:hAnsi="Symbol" w:hint="default"/>
      </w:rPr>
    </w:lvl>
    <w:lvl w:ilvl="4" w:tplc="2154D918">
      <w:start w:val="1"/>
      <w:numFmt w:val="bullet"/>
      <w:lvlText w:val="o"/>
      <w:lvlJc w:val="left"/>
      <w:pPr>
        <w:ind w:left="3600" w:hanging="360"/>
      </w:pPr>
      <w:rPr>
        <w:rFonts w:ascii="Courier New" w:hAnsi="Courier New" w:hint="default"/>
      </w:rPr>
    </w:lvl>
    <w:lvl w:ilvl="5" w:tplc="0B32CD64">
      <w:start w:val="1"/>
      <w:numFmt w:val="bullet"/>
      <w:lvlText w:val=""/>
      <w:lvlJc w:val="left"/>
      <w:pPr>
        <w:ind w:left="4320" w:hanging="360"/>
      </w:pPr>
      <w:rPr>
        <w:rFonts w:ascii="Wingdings" w:hAnsi="Wingdings" w:hint="default"/>
      </w:rPr>
    </w:lvl>
    <w:lvl w:ilvl="6" w:tplc="20D01460">
      <w:start w:val="1"/>
      <w:numFmt w:val="bullet"/>
      <w:lvlText w:val=""/>
      <w:lvlJc w:val="left"/>
      <w:pPr>
        <w:ind w:left="5040" w:hanging="360"/>
      </w:pPr>
      <w:rPr>
        <w:rFonts w:ascii="Symbol" w:hAnsi="Symbol" w:hint="default"/>
      </w:rPr>
    </w:lvl>
    <w:lvl w:ilvl="7" w:tplc="158A9EAC">
      <w:start w:val="1"/>
      <w:numFmt w:val="bullet"/>
      <w:lvlText w:val="o"/>
      <w:lvlJc w:val="left"/>
      <w:pPr>
        <w:ind w:left="5760" w:hanging="360"/>
      </w:pPr>
      <w:rPr>
        <w:rFonts w:ascii="Courier New" w:hAnsi="Courier New" w:hint="default"/>
      </w:rPr>
    </w:lvl>
    <w:lvl w:ilvl="8" w:tplc="BF5E0A26">
      <w:start w:val="1"/>
      <w:numFmt w:val="bullet"/>
      <w:lvlText w:val=""/>
      <w:lvlJc w:val="left"/>
      <w:pPr>
        <w:ind w:left="6480" w:hanging="360"/>
      </w:pPr>
      <w:rPr>
        <w:rFonts w:ascii="Wingdings" w:hAnsi="Wingdings" w:hint="default"/>
      </w:rPr>
    </w:lvl>
  </w:abstractNum>
  <w:abstractNum w:abstractNumId="5" w15:restartNumberingAfterBreak="0">
    <w:nsid w:val="510E5036"/>
    <w:multiLevelType w:val="hybridMultilevel"/>
    <w:tmpl w:val="EE26E6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78E2DCB"/>
    <w:multiLevelType w:val="hybridMultilevel"/>
    <w:tmpl w:val="1E2007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7FE7DD4"/>
    <w:multiLevelType w:val="hybridMultilevel"/>
    <w:tmpl w:val="0DB898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8672BB4"/>
    <w:multiLevelType w:val="hybridMultilevel"/>
    <w:tmpl w:val="C0B691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BF06252"/>
    <w:multiLevelType w:val="hybridMultilevel"/>
    <w:tmpl w:val="6C8CCE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65A2F23"/>
    <w:multiLevelType w:val="hybridMultilevel"/>
    <w:tmpl w:val="D69C9F42"/>
    <w:lvl w:ilvl="0" w:tplc="14090001">
      <w:start w:val="1"/>
      <w:numFmt w:val="bullet"/>
      <w:lvlText w:val=""/>
      <w:lvlJc w:val="left"/>
      <w:pPr>
        <w:ind w:left="375" w:hanging="37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55941345">
    <w:abstractNumId w:val="4"/>
  </w:num>
  <w:num w:numId="2" w16cid:durableId="1459833965">
    <w:abstractNumId w:val="2"/>
  </w:num>
  <w:num w:numId="3" w16cid:durableId="1259213211">
    <w:abstractNumId w:val="3"/>
  </w:num>
  <w:num w:numId="4" w16cid:durableId="651564553">
    <w:abstractNumId w:val="11"/>
  </w:num>
  <w:num w:numId="5" w16cid:durableId="2024166394">
    <w:abstractNumId w:val="7"/>
  </w:num>
  <w:num w:numId="6" w16cid:durableId="1249536974">
    <w:abstractNumId w:val="0"/>
  </w:num>
  <w:num w:numId="7" w16cid:durableId="1659840709">
    <w:abstractNumId w:val="5"/>
  </w:num>
  <w:num w:numId="8" w16cid:durableId="1593049636">
    <w:abstractNumId w:val="9"/>
  </w:num>
  <w:num w:numId="9" w16cid:durableId="1798989180">
    <w:abstractNumId w:val="1"/>
  </w:num>
  <w:num w:numId="10" w16cid:durableId="1141144853">
    <w:abstractNumId w:val="6"/>
  </w:num>
  <w:num w:numId="11" w16cid:durableId="447627480">
    <w:abstractNumId w:val="10"/>
  </w:num>
  <w:num w:numId="12" w16cid:durableId="92137434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5B71"/>
    <w:rsid w:val="000664C2"/>
    <w:rsid w:val="0008363E"/>
    <w:rsid w:val="000862FF"/>
    <w:rsid w:val="000911E3"/>
    <w:rsid w:val="000A43F3"/>
    <w:rsid w:val="000A576B"/>
    <w:rsid w:val="000A6009"/>
    <w:rsid w:val="000A639A"/>
    <w:rsid w:val="000B4B5D"/>
    <w:rsid w:val="000B6D09"/>
    <w:rsid w:val="000B73DA"/>
    <w:rsid w:val="000D28A7"/>
    <w:rsid w:val="000D40CD"/>
    <w:rsid w:val="000E3BB9"/>
    <w:rsid w:val="000F068A"/>
    <w:rsid w:val="001027B0"/>
    <w:rsid w:val="00106AED"/>
    <w:rsid w:val="001173C6"/>
    <w:rsid w:val="00130581"/>
    <w:rsid w:val="0013109B"/>
    <w:rsid w:val="00136C27"/>
    <w:rsid w:val="00137794"/>
    <w:rsid w:val="00141ACE"/>
    <w:rsid w:val="00141BC1"/>
    <w:rsid w:val="001618D7"/>
    <w:rsid w:val="00163CD1"/>
    <w:rsid w:val="001665FF"/>
    <w:rsid w:val="0018334B"/>
    <w:rsid w:val="001C6113"/>
    <w:rsid w:val="001C711B"/>
    <w:rsid w:val="001D1546"/>
    <w:rsid w:val="001D3744"/>
    <w:rsid w:val="001D45B8"/>
    <w:rsid w:val="001D6DA4"/>
    <w:rsid w:val="001E2B3C"/>
    <w:rsid w:val="001E556E"/>
    <w:rsid w:val="001E6801"/>
    <w:rsid w:val="001E73B2"/>
    <w:rsid w:val="00205B82"/>
    <w:rsid w:val="00213AFF"/>
    <w:rsid w:val="00213DA6"/>
    <w:rsid w:val="00216302"/>
    <w:rsid w:val="002209AC"/>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7A33"/>
    <w:rsid w:val="002C3D7A"/>
    <w:rsid w:val="002D14AF"/>
    <w:rsid w:val="002D1C62"/>
    <w:rsid w:val="002D367B"/>
    <w:rsid w:val="002D3998"/>
    <w:rsid w:val="002D6645"/>
    <w:rsid w:val="002E7514"/>
    <w:rsid w:val="00306EFC"/>
    <w:rsid w:val="00310872"/>
    <w:rsid w:val="00313A09"/>
    <w:rsid w:val="003206C4"/>
    <w:rsid w:val="00331B43"/>
    <w:rsid w:val="00334B8F"/>
    <w:rsid w:val="00336686"/>
    <w:rsid w:val="00351A48"/>
    <w:rsid w:val="00353CA5"/>
    <w:rsid w:val="00354EC2"/>
    <w:rsid w:val="0036132B"/>
    <w:rsid w:val="00361559"/>
    <w:rsid w:val="0039174E"/>
    <w:rsid w:val="003964A7"/>
    <w:rsid w:val="00397220"/>
    <w:rsid w:val="00397DBD"/>
    <w:rsid w:val="003A18EC"/>
    <w:rsid w:val="003A6234"/>
    <w:rsid w:val="003B0A38"/>
    <w:rsid w:val="003B2B69"/>
    <w:rsid w:val="003B6C49"/>
    <w:rsid w:val="003C4607"/>
    <w:rsid w:val="003C68FE"/>
    <w:rsid w:val="003E2869"/>
    <w:rsid w:val="003E3722"/>
    <w:rsid w:val="003E655B"/>
    <w:rsid w:val="003F551B"/>
    <w:rsid w:val="00404284"/>
    <w:rsid w:val="0040673E"/>
    <w:rsid w:val="00421BDD"/>
    <w:rsid w:val="004227ED"/>
    <w:rsid w:val="0042486E"/>
    <w:rsid w:val="0042772B"/>
    <w:rsid w:val="00432A31"/>
    <w:rsid w:val="0043366F"/>
    <w:rsid w:val="004348D0"/>
    <w:rsid w:val="00436532"/>
    <w:rsid w:val="0044168B"/>
    <w:rsid w:val="004441E8"/>
    <w:rsid w:val="00445BCE"/>
    <w:rsid w:val="00454F25"/>
    <w:rsid w:val="00465072"/>
    <w:rsid w:val="004700FD"/>
    <w:rsid w:val="0047088C"/>
    <w:rsid w:val="004710B8"/>
    <w:rsid w:val="00481009"/>
    <w:rsid w:val="00481590"/>
    <w:rsid w:val="00484950"/>
    <w:rsid w:val="00490CE6"/>
    <w:rsid w:val="0049248B"/>
    <w:rsid w:val="004B09FD"/>
    <w:rsid w:val="004B0A86"/>
    <w:rsid w:val="004B4185"/>
    <w:rsid w:val="004B6F86"/>
    <w:rsid w:val="004B715F"/>
    <w:rsid w:val="004E21BD"/>
    <w:rsid w:val="004F2EE1"/>
    <w:rsid w:val="004F58F2"/>
    <w:rsid w:val="005007B5"/>
    <w:rsid w:val="0051374F"/>
    <w:rsid w:val="00515156"/>
    <w:rsid w:val="0053221B"/>
    <w:rsid w:val="00533E65"/>
    <w:rsid w:val="00536498"/>
    <w:rsid w:val="00551618"/>
    <w:rsid w:val="00560C59"/>
    <w:rsid w:val="0056681E"/>
    <w:rsid w:val="005671A5"/>
    <w:rsid w:val="00572AA9"/>
    <w:rsid w:val="00572ACC"/>
    <w:rsid w:val="00595906"/>
    <w:rsid w:val="00596B81"/>
    <w:rsid w:val="0059727D"/>
    <w:rsid w:val="005A37D0"/>
    <w:rsid w:val="005B11F9"/>
    <w:rsid w:val="005B7A2E"/>
    <w:rsid w:val="005C0C81"/>
    <w:rsid w:val="005C348A"/>
    <w:rsid w:val="005C6B8C"/>
    <w:rsid w:val="005D148E"/>
    <w:rsid w:val="005D1C73"/>
    <w:rsid w:val="005D56AA"/>
    <w:rsid w:val="005E0875"/>
    <w:rsid w:val="005F09BC"/>
    <w:rsid w:val="0060003B"/>
    <w:rsid w:val="0060148C"/>
    <w:rsid w:val="00631D73"/>
    <w:rsid w:val="00634AE8"/>
    <w:rsid w:val="00640CA3"/>
    <w:rsid w:val="0065019F"/>
    <w:rsid w:val="006514D5"/>
    <w:rsid w:val="0065626F"/>
    <w:rsid w:val="0067336C"/>
    <w:rsid w:val="00675AC6"/>
    <w:rsid w:val="006808C0"/>
    <w:rsid w:val="006930FB"/>
    <w:rsid w:val="006A5C63"/>
    <w:rsid w:val="006B19BD"/>
    <w:rsid w:val="006C40E7"/>
    <w:rsid w:val="006C4C8C"/>
    <w:rsid w:val="006D443F"/>
    <w:rsid w:val="006D6117"/>
    <w:rsid w:val="006E58C1"/>
    <w:rsid w:val="006F3E61"/>
    <w:rsid w:val="006F3FBA"/>
    <w:rsid w:val="006F5446"/>
    <w:rsid w:val="00707B47"/>
    <w:rsid w:val="00712E73"/>
    <w:rsid w:val="00714E12"/>
    <w:rsid w:val="00727F35"/>
    <w:rsid w:val="00736553"/>
    <w:rsid w:val="0075118C"/>
    <w:rsid w:val="0075331E"/>
    <w:rsid w:val="00762C88"/>
    <w:rsid w:val="007631D9"/>
    <w:rsid w:val="00766795"/>
    <w:rsid w:val="00766FB5"/>
    <w:rsid w:val="007721C0"/>
    <w:rsid w:val="00774817"/>
    <w:rsid w:val="0079100E"/>
    <w:rsid w:val="007932B3"/>
    <w:rsid w:val="00796649"/>
    <w:rsid w:val="007A61A9"/>
    <w:rsid w:val="007B201A"/>
    <w:rsid w:val="007C2143"/>
    <w:rsid w:val="007C40FA"/>
    <w:rsid w:val="007C7CD0"/>
    <w:rsid w:val="007D5256"/>
    <w:rsid w:val="007D6B4C"/>
    <w:rsid w:val="007D7B1B"/>
    <w:rsid w:val="007D7E69"/>
    <w:rsid w:val="007E40F7"/>
    <w:rsid w:val="007F172C"/>
    <w:rsid w:val="007F3ACD"/>
    <w:rsid w:val="007F4970"/>
    <w:rsid w:val="007F4ACF"/>
    <w:rsid w:val="0080133F"/>
    <w:rsid w:val="00802A08"/>
    <w:rsid w:val="0080498F"/>
    <w:rsid w:val="008121CE"/>
    <w:rsid w:val="0081624E"/>
    <w:rsid w:val="00820255"/>
    <w:rsid w:val="00823748"/>
    <w:rsid w:val="00831C28"/>
    <w:rsid w:val="008339D0"/>
    <w:rsid w:val="008414B1"/>
    <w:rsid w:val="00842FE0"/>
    <w:rsid w:val="008525AD"/>
    <w:rsid w:val="00860654"/>
    <w:rsid w:val="0087517C"/>
    <w:rsid w:val="0087725F"/>
    <w:rsid w:val="00880DE8"/>
    <w:rsid w:val="008879FF"/>
    <w:rsid w:val="008951EE"/>
    <w:rsid w:val="008A00F5"/>
    <w:rsid w:val="008B0A66"/>
    <w:rsid w:val="008B2E4F"/>
    <w:rsid w:val="008B41B5"/>
    <w:rsid w:val="008E3B02"/>
    <w:rsid w:val="008E4BE7"/>
    <w:rsid w:val="008F47A0"/>
    <w:rsid w:val="008F7774"/>
    <w:rsid w:val="00902888"/>
    <w:rsid w:val="00903467"/>
    <w:rsid w:val="00906EAA"/>
    <w:rsid w:val="009349DB"/>
    <w:rsid w:val="009357ED"/>
    <w:rsid w:val="0094214B"/>
    <w:rsid w:val="0094396A"/>
    <w:rsid w:val="009604E6"/>
    <w:rsid w:val="00970DD2"/>
    <w:rsid w:val="00987EA2"/>
    <w:rsid w:val="009A312D"/>
    <w:rsid w:val="009A73F0"/>
    <w:rsid w:val="009C662A"/>
    <w:rsid w:val="009D0F50"/>
    <w:rsid w:val="009D15F1"/>
    <w:rsid w:val="009D2B10"/>
    <w:rsid w:val="009E36A5"/>
    <w:rsid w:val="00A02A16"/>
    <w:rsid w:val="00A12715"/>
    <w:rsid w:val="00A173FC"/>
    <w:rsid w:val="00A2199C"/>
    <w:rsid w:val="00A25335"/>
    <w:rsid w:val="00A27A48"/>
    <w:rsid w:val="00A315C5"/>
    <w:rsid w:val="00A36957"/>
    <w:rsid w:val="00A36AB8"/>
    <w:rsid w:val="00A4071B"/>
    <w:rsid w:val="00A43896"/>
    <w:rsid w:val="00A4711F"/>
    <w:rsid w:val="00A52367"/>
    <w:rsid w:val="00A524CC"/>
    <w:rsid w:val="00A54E38"/>
    <w:rsid w:val="00A6244E"/>
    <w:rsid w:val="00A94789"/>
    <w:rsid w:val="00AA0A5A"/>
    <w:rsid w:val="00AA10B3"/>
    <w:rsid w:val="00AA743C"/>
    <w:rsid w:val="00AB062A"/>
    <w:rsid w:val="00AB23DD"/>
    <w:rsid w:val="00AB5895"/>
    <w:rsid w:val="00AD16A6"/>
    <w:rsid w:val="00AD2BF2"/>
    <w:rsid w:val="00AD5DF4"/>
    <w:rsid w:val="00AD6305"/>
    <w:rsid w:val="00B02A8F"/>
    <w:rsid w:val="00B04D1D"/>
    <w:rsid w:val="00B14D81"/>
    <w:rsid w:val="00B206A0"/>
    <w:rsid w:val="00B22FA5"/>
    <w:rsid w:val="00B305AE"/>
    <w:rsid w:val="00B407D6"/>
    <w:rsid w:val="00B41635"/>
    <w:rsid w:val="00B5357A"/>
    <w:rsid w:val="00B542E4"/>
    <w:rsid w:val="00B5634E"/>
    <w:rsid w:val="00B626AE"/>
    <w:rsid w:val="00B62FE8"/>
    <w:rsid w:val="00B77873"/>
    <w:rsid w:val="00B8332D"/>
    <w:rsid w:val="00B84E48"/>
    <w:rsid w:val="00B86B79"/>
    <w:rsid w:val="00BA2526"/>
    <w:rsid w:val="00BB6450"/>
    <w:rsid w:val="00BC35AE"/>
    <w:rsid w:val="00BC75F3"/>
    <w:rsid w:val="00BD5D20"/>
    <w:rsid w:val="00BE6537"/>
    <w:rsid w:val="00BF0186"/>
    <w:rsid w:val="00BF3B63"/>
    <w:rsid w:val="00BF47A8"/>
    <w:rsid w:val="00BF67C6"/>
    <w:rsid w:val="00C041FA"/>
    <w:rsid w:val="00C100F0"/>
    <w:rsid w:val="00C12F94"/>
    <w:rsid w:val="00C161A3"/>
    <w:rsid w:val="00C24180"/>
    <w:rsid w:val="00C24337"/>
    <w:rsid w:val="00C3580B"/>
    <w:rsid w:val="00C4259B"/>
    <w:rsid w:val="00C4358C"/>
    <w:rsid w:val="00C45EB5"/>
    <w:rsid w:val="00C47DF4"/>
    <w:rsid w:val="00C503A7"/>
    <w:rsid w:val="00C5215F"/>
    <w:rsid w:val="00C53458"/>
    <w:rsid w:val="00C53480"/>
    <w:rsid w:val="00C54D3C"/>
    <w:rsid w:val="00C64549"/>
    <w:rsid w:val="00C64ABC"/>
    <w:rsid w:val="00C7317E"/>
    <w:rsid w:val="00C865D6"/>
    <w:rsid w:val="00CA08C4"/>
    <w:rsid w:val="00CA42DB"/>
    <w:rsid w:val="00CB25D8"/>
    <w:rsid w:val="00CB3BB8"/>
    <w:rsid w:val="00CB4A28"/>
    <w:rsid w:val="00CB68A8"/>
    <w:rsid w:val="00CC16CD"/>
    <w:rsid w:val="00CC5FDE"/>
    <w:rsid w:val="00CD6A6A"/>
    <w:rsid w:val="00CE6800"/>
    <w:rsid w:val="00CE6C53"/>
    <w:rsid w:val="00CF090D"/>
    <w:rsid w:val="00CF6B2D"/>
    <w:rsid w:val="00D13D05"/>
    <w:rsid w:val="00D178C3"/>
    <w:rsid w:val="00D20B97"/>
    <w:rsid w:val="00D23F6F"/>
    <w:rsid w:val="00D30CE7"/>
    <w:rsid w:val="00D34EA0"/>
    <w:rsid w:val="00D3587B"/>
    <w:rsid w:val="00D52EB5"/>
    <w:rsid w:val="00D74603"/>
    <w:rsid w:val="00D843A4"/>
    <w:rsid w:val="00D8674C"/>
    <w:rsid w:val="00DA31FF"/>
    <w:rsid w:val="00DB1FC9"/>
    <w:rsid w:val="00DD3E6B"/>
    <w:rsid w:val="00DD6907"/>
    <w:rsid w:val="00DD7526"/>
    <w:rsid w:val="00DE22DC"/>
    <w:rsid w:val="00DF513A"/>
    <w:rsid w:val="00E03EF3"/>
    <w:rsid w:val="00E23A25"/>
    <w:rsid w:val="00E31E8F"/>
    <w:rsid w:val="00E32536"/>
    <w:rsid w:val="00E3355F"/>
    <w:rsid w:val="00E37056"/>
    <w:rsid w:val="00E42617"/>
    <w:rsid w:val="00E45D7F"/>
    <w:rsid w:val="00E47D04"/>
    <w:rsid w:val="00E671C3"/>
    <w:rsid w:val="00E67C5E"/>
    <w:rsid w:val="00E82A81"/>
    <w:rsid w:val="00E830D0"/>
    <w:rsid w:val="00E90142"/>
    <w:rsid w:val="00E9269E"/>
    <w:rsid w:val="00EB63E4"/>
    <w:rsid w:val="00EC012D"/>
    <w:rsid w:val="00EC52B6"/>
    <w:rsid w:val="00ED23DA"/>
    <w:rsid w:val="00ED776D"/>
    <w:rsid w:val="00EF3CF1"/>
    <w:rsid w:val="00F050D6"/>
    <w:rsid w:val="00F05C09"/>
    <w:rsid w:val="00F06EE8"/>
    <w:rsid w:val="00F07349"/>
    <w:rsid w:val="00F10AC2"/>
    <w:rsid w:val="00F10EE9"/>
    <w:rsid w:val="00F113EF"/>
    <w:rsid w:val="00F126F3"/>
    <w:rsid w:val="00F16443"/>
    <w:rsid w:val="00F22AE5"/>
    <w:rsid w:val="00F27D60"/>
    <w:rsid w:val="00F33EE3"/>
    <w:rsid w:val="00F35322"/>
    <w:rsid w:val="00F46859"/>
    <w:rsid w:val="00F63C9F"/>
    <w:rsid w:val="00F705C7"/>
    <w:rsid w:val="00F70B37"/>
    <w:rsid w:val="00F829C0"/>
    <w:rsid w:val="00F829F6"/>
    <w:rsid w:val="00F85064"/>
    <w:rsid w:val="00F9356E"/>
    <w:rsid w:val="00F96FEE"/>
    <w:rsid w:val="00FB675F"/>
    <w:rsid w:val="00FC5A23"/>
    <w:rsid w:val="00FD2534"/>
    <w:rsid w:val="00FE1317"/>
    <w:rsid w:val="00FF4F8E"/>
    <w:rsid w:val="00FF64E0"/>
    <w:rsid w:val="049AAAA2"/>
    <w:rsid w:val="05D56DAB"/>
    <w:rsid w:val="060C5C32"/>
    <w:rsid w:val="09644348"/>
    <w:rsid w:val="0D8C6053"/>
    <w:rsid w:val="0D99AB38"/>
    <w:rsid w:val="0ED8C077"/>
    <w:rsid w:val="0FD0C869"/>
    <w:rsid w:val="1B301802"/>
    <w:rsid w:val="1E1770F6"/>
    <w:rsid w:val="25416B32"/>
    <w:rsid w:val="26657468"/>
    <w:rsid w:val="26925853"/>
    <w:rsid w:val="29233FB8"/>
    <w:rsid w:val="2947613E"/>
    <w:rsid w:val="2BB36439"/>
    <w:rsid w:val="3AD35F57"/>
    <w:rsid w:val="3C1941E9"/>
    <w:rsid w:val="3CCA052B"/>
    <w:rsid w:val="3D34B620"/>
    <w:rsid w:val="42B6289E"/>
    <w:rsid w:val="5204AFC9"/>
    <w:rsid w:val="5216CC2C"/>
    <w:rsid w:val="56538A74"/>
    <w:rsid w:val="56D4A28C"/>
    <w:rsid w:val="5A93E91F"/>
    <w:rsid w:val="5DE77A91"/>
    <w:rsid w:val="656D5030"/>
    <w:rsid w:val="6726F21A"/>
    <w:rsid w:val="7313443C"/>
    <w:rsid w:val="733B6208"/>
    <w:rsid w:val="77D84CBC"/>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DB4D0359-CC8F-4C6E-BD8A-D10714D8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3"/>
      </w:numPr>
      <w:contextualSpacing/>
    </w:pPr>
    <w:rPr>
      <w:lang w:val="en-GB"/>
    </w:rPr>
  </w:style>
  <w:style w:type="paragraph" w:styleId="List5">
    <w:name w:val="List 5"/>
    <w:basedOn w:val="Normal"/>
    <w:uiPriority w:val="99"/>
    <w:semiHidden/>
    <w:rsid w:val="00C5215F"/>
    <w:pPr>
      <w:numPr>
        <w:ilvl w:val="4"/>
        <w:numId w:val="2"/>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character" w:styleId="Hyperlink">
    <w:name w:val="Hyperlink"/>
    <w:basedOn w:val="DefaultParagraphFont"/>
    <w:uiPriority w:val="99"/>
    <w:unhideWhenUsed/>
    <w:rsid w:val="00306EFC"/>
    <w:rPr>
      <w:color w:val="0563C1" w:themeColor="hyperlink"/>
      <w:u w:val="single"/>
    </w:rPr>
  </w:style>
  <w:style w:type="character" w:styleId="UnresolvedMention">
    <w:name w:val="Unresolved Mention"/>
    <w:basedOn w:val="DefaultParagraphFont"/>
    <w:uiPriority w:val="99"/>
    <w:semiHidden/>
    <w:unhideWhenUsed/>
    <w:rsid w:val="00306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156650397">
      <w:bodyDiv w:val="1"/>
      <w:marLeft w:val="0"/>
      <w:marRight w:val="0"/>
      <w:marTop w:val="0"/>
      <w:marBottom w:val="0"/>
      <w:divBdr>
        <w:top w:val="none" w:sz="0" w:space="0" w:color="auto"/>
        <w:left w:val="none" w:sz="0" w:space="0" w:color="auto"/>
        <w:bottom w:val="none" w:sz="0" w:space="0" w:color="auto"/>
        <w:right w:val="none" w:sz="0" w:space="0" w:color="auto"/>
      </w:divBdr>
      <w:divsChild>
        <w:div w:id="34817973">
          <w:marLeft w:val="0"/>
          <w:marRight w:val="0"/>
          <w:marTop w:val="0"/>
          <w:marBottom w:val="0"/>
          <w:divBdr>
            <w:top w:val="none" w:sz="0" w:space="0" w:color="auto"/>
            <w:left w:val="none" w:sz="0" w:space="0" w:color="auto"/>
            <w:bottom w:val="none" w:sz="0" w:space="0" w:color="auto"/>
            <w:right w:val="none" w:sz="0" w:space="0" w:color="auto"/>
          </w:divBdr>
        </w:div>
      </w:divsChild>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758865166">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0939864">
      <w:bodyDiv w:val="1"/>
      <w:marLeft w:val="0"/>
      <w:marRight w:val="0"/>
      <w:marTop w:val="0"/>
      <w:marBottom w:val="0"/>
      <w:divBdr>
        <w:top w:val="none" w:sz="0" w:space="0" w:color="auto"/>
        <w:left w:val="none" w:sz="0" w:space="0" w:color="auto"/>
        <w:bottom w:val="none" w:sz="0" w:space="0" w:color="auto"/>
        <w:right w:val="none" w:sz="0" w:space="0" w:color="auto"/>
      </w:divBdr>
      <w:divsChild>
        <w:div w:id="1898272496">
          <w:marLeft w:val="0"/>
          <w:marRight w:val="0"/>
          <w:marTop w:val="0"/>
          <w:marBottom w:val="0"/>
          <w:divBdr>
            <w:top w:val="none" w:sz="0" w:space="0" w:color="auto"/>
            <w:left w:val="none" w:sz="0" w:space="0" w:color="auto"/>
            <w:bottom w:val="none" w:sz="0" w:space="0" w:color="auto"/>
            <w:right w:val="none" w:sz="0" w:space="0" w:color="auto"/>
          </w:divBdr>
        </w:div>
      </w:divsChild>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00686427">
      <w:bodyDiv w:val="1"/>
      <w:marLeft w:val="0"/>
      <w:marRight w:val="0"/>
      <w:marTop w:val="0"/>
      <w:marBottom w:val="0"/>
      <w:divBdr>
        <w:top w:val="none" w:sz="0" w:space="0" w:color="auto"/>
        <w:left w:val="none" w:sz="0" w:space="0" w:color="auto"/>
        <w:bottom w:val="none" w:sz="0" w:space="0" w:color="auto"/>
        <w:right w:val="none" w:sz="0" w:space="0" w:color="auto"/>
      </w:divBdr>
      <w:divsChild>
        <w:div w:id="2061830344">
          <w:marLeft w:val="0"/>
          <w:marRight w:val="0"/>
          <w:marTop w:val="0"/>
          <w:marBottom w:val="0"/>
          <w:divBdr>
            <w:top w:val="none" w:sz="0" w:space="0" w:color="auto"/>
            <w:left w:val="none" w:sz="0" w:space="0" w:color="auto"/>
            <w:bottom w:val="none" w:sz="0" w:space="0" w:color="auto"/>
            <w:right w:val="none" w:sz="0" w:space="0" w:color="auto"/>
          </w:divBdr>
        </w:div>
      </w:divsChild>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fia-online.org/en/sfia-9/skills/organisation-design-and-implementation" TargetMode="External"/><Relationship Id="rId18" Type="http://schemas.openxmlformats.org/officeDocument/2006/relationships/hyperlink" Target="https://sfia-online.org/en/sfia-9/responsibilities/level-6"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sfia-online.org/en/sfia-9/responsibilities/level-5" TargetMode="External"/><Relationship Id="rId7" Type="http://schemas.openxmlformats.org/officeDocument/2006/relationships/styles" Target="styles.xml"/><Relationship Id="rId12" Type="http://schemas.openxmlformats.org/officeDocument/2006/relationships/hyperlink" Target="https://sfia-online.org/en/sfia-9/skills/performance-management" TargetMode="External"/><Relationship Id="rId17" Type="http://schemas.openxmlformats.org/officeDocument/2006/relationships/hyperlink" Target="https://sfia-online.org/en/sfia-9/responsibilities/level-6"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sfia-online.org/en/sfia-9/skills/technology-service-management" TargetMode="External"/><Relationship Id="rId20" Type="http://schemas.openxmlformats.org/officeDocument/2006/relationships/hyperlink" Target="https://sfia-online.org/en/sfia-9/responsibilities/level-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sfia-online.org/en/sfia-9/skills/technology-service-management"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sfia-online.org/en/sfia-9/responsibilities/level-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fia-online.org/en/sfia-9/skills/organisational-change-enablement"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7" ma:contentTypeDescription="Create a new document." ma:contentTypeScope="" ma:versionID="2ee20b785b29a7bd2bdac305c38c4ccc">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3f1e49c1714679bd8f681dee444c963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2:i0f84bba906045b4af568ee102a52dcb" minOccurs="0"/>
                <xsd:element ref="ns1:_ip_UnifiedCompliancePolicyProperties" minOccurs="0"/>
                <xsd:element ref="ns1:_ip_UnifiedCompliancePolicyUIAction" minOccurs="0"/>
                <xsd:element ref="ns3:Script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3" nillable="true" ma:taxonomy="true" ma:internalName="i0f84bba906045b4af568ee102a52dcb" ma:taxonomyFieldName="RevIMBCS" ma:displayName="AvePoint Classification" ma:indexed="true" ma:default="5;#Administration|ab083b9c-0a84-4592-bd7a-546ef51980a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Scriptsent" ma:index="26" nillable="true" ma:displayName="Script sent" ma:format="RadioButtons" ma:internalName="Scriptsent">
      <xsd:simpleType>
        <xsd:union memberTypes="dms:Text">
          <xsd:simpleType>
            <xsd:restriction base="dms:Choice">
              <xsd:enumeration value="Yes"/>
              <xsd:enumeration value="N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4a4208d-6389-4ccf-93db-5bf6e7a6ca4d">
      <Value>4</Value>
    </TaxCatchAll>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lcf76f155ced4ddcb4097134ff3c332f xmlns="ea7f3347-cc1f-4827-9798-b3543c6f111f">
      <Terms xmlns="http://schemas.microsoft.com/office/infopath/2007/PartnerControls"/>
    </lcf76f155ced4ddcb4097134ff3c332f>
    <Scriptsent xmlns="ea7f3347-cc1f-4827-9798-b3543c6f111f" xsi:nil="true"/>
    <_dlc_DocId xmlns="f5655c14-143d-4812-9d48-85cb4e9489a4">INFO-1382905582-14891</_dlc_DocId>
    <_dlc_DocIdUrl xmlns="f5655c14-143d-4812-9d48-85cb4e9489a4">
      <Url>https://msdgovtnz.sharepoint.com/sites/COP-People-Group-Change-Practice/_layouts/15/DocIdRedir.aspx?ID=INFO-1382905582-14891</Url>
      <Description>INFO-1382905582-14891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2.xml><?xml version="1.0" encoding="utf-8"?>
<ds:datastoreItem xmlns:ds="http://schemas.openxmlformats.org/officeDocument/2006/customXml" ds:itemID="{89581E2E-26B6-4ABA-9D58-778052C2A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24a4208d-6389-4ccf-93db-5bf6e7a6ca4d"/>
    <ds:schemaRef ds:uri="f5655c14-143d-4812-9d48-85cb4e9489a4"/>
    <ds:schemaRef ds:uri="ea7f3347-cc1f-4827-9798-b3543c6f111f"/>
  </ds:schemaRefs>
</ds:datastoreItem>
</file>

<file path=customXml/itemProps5.xml><?xml version="1.0" encoding="utf-8"?>
<ds:datastoreItem xmlns:ds="http://schemas.openxmlformats.org/officeDocument/2006/customXml" ds:itemID="{E50DB320-5239-4E39-9B89-C0B0018CD3D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2059</Words>
  <Characters>11740</Characters>
  <Application>Microsoft Office Word</Application>
  <DocSecurity>0</DocSecurity>
  <Lines>97</Lines>
  <Paragraphs>27</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Janhavi Joshi</cp:lastModifiedBy>
  <cp:revision>6</cp:revision>
  <cp:lastPrinted>2025-09-13T17:32:00Z</cp:lastPrinted>
  <dcterms:created xsi:type="dcterms:W3CDTF">2026-06-09T01:35:00Z</dcterms:created>
  <dcterms:modified xsi:type="dcterms:W3CDTF">2026-06-09T22:57:00Z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4;#BUSINESS UNIT MANAGEMENT|78593d4a-e474-4f8c-9c40-8861e4397df9</vt:lpwstr>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xd_Signature">
    <vt:bool>false</vt:bool>
  </property>
  <property fmtid="{D5CDD505-2E9C-101B-9397-08002B2CF9AE}" pid="31" name="_dlc_DocIdItemGuid">
    <vt:lpwstr>e5163fe3-7416-4572-b7dd-b459dde5fac1</vt:lpwstr>
  </property>
  <property fmtid="{D5CDD505-2E9C-101B-9397-08002B2CF9AE}" pid="32" name="TriggerFlowInfo">
    <vt:lpwstr/>
  </property>
</Properties>
</file>