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7A46" w14:textId="77777777" w:rsidR="00CD574A" w:rsidRPr="000C42EA" w:rsidRDefault="00CD574A" w:rsidP="00CD574A">
      <w:r w:rsidRPr="000C42EA">
        <w:rPr>
          <w:noProof/>
        </w:rPr>
        <w:drawing>
          <wp:inline distT="0" distB="0" distL="0" distR="0" wp14:anchorId="17BBB6A9" wp14:editId="3904EC4B">
            <wp:extent cx="2427668" cy="1334869"/>
            <wp:effectExtent l="0" t="0" r="0" b="0"/>
            <wp:docPr id="3" name="Picture 3"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370490FE" w14:textId="77777777" w:rsidR="00CD574A" w:rsidRPr="000C42EA" w:rsidRDefault="00CD574A" w:rsidP="00CD574A">
      <w:pPr>
        <w:pStyle w:val="Heading1"/>
        <w:spacing w:before="360"/>
        <w:rPr>
          <w:color w:val="121F6B"/>
        </w:rPr>
      </w:pPr>
      <w:r w:rsidRPr="000C42EA">
        <w:rPr>
          <w:color w:val="121F6B"/>
        </w:rPr>
        <w:t>Delivery Methods and Tools Lead – Improvement, Systems and Technology</w:t>
      </w:r>
    </w:p>
    <w:p w14:paraId="453B37A4" w14:textId="77777777" w:rsidR="00CD574A" w:rsidRPr="000C42EA" w:rsidRDefault="00CD574A" w:rsidP="00CD574A">
      <w:pPr>
        <w:pStyle w:val="Heading2"/>
        <w:spacing w:before="100" w:beforeAutospacing="1"/>
      </w:pPr>
      <w:r w:rsidRPr="000C42EA">
        <w:t>About MSD</w:t>
      </w:r>
    </w:p>
    <w:p w14:paraId="0BD2607A" w14:textId="77777777" w:rsidR="00CD574A" w:rsidRPr="000C42EA" w:rsidRDefault="00CD574A" w:rsidP="00CD574A">
      <w:pPr>
        <w:pStyle w:val="Heading3"/>
      </w:pPr>
      <w:r w:rsidRPr="000C42EA">
        <w:t>Our purpose</w:t>
      </w:r>
    </w:p>
    <w:p w14:paraId="20CBF041" w14:textId="77777777" w:rsidR="00CD574A" w:rsidRPr="000C42EA" w:rsidRDefault="00CD574A" w:rsidP="00CD574A">
      <w:pPr>
        <w:spacing w:line="240" w:lineRule="auto"/>
        <w:rPr>
          <w:rStyle w:val="ValuesChar"/>
          <w:lang w:val="mi-NZ"/>
        </w:rPr>
      </w:pPr>
      <w:r w:rsidRPr="000C42EA">
        <w:rPr>
          <w:rStyle w:val="ValuesChar"/>
          <w:lang w:val="mi-NZ"/>
        </w:rPr>
        <w:t>Manaaki tangata, Manaaki whānau</w:t>
      </w:r>
    </w:p>
    <w:p w14:paraId="4ACCAF7A" w14:textId="77777777" w:rsidR="00CD574A" w:rsidRPr="000C42EA" w:rsidRDefault="00CD574A" w:rsidP="00CD574A">
      <w:pPr>
        <w:spacing w:after="320" w:line="240" w:lineRule="auto"/>
      </w:pPr>
      <w:r w:rsidRPr="000C42EA">
        <w:t>We help New Zealanders to be safe, strong, and independent.</w:t>
      </w:r>
    </w:p>
    <w:p w14:paraId="2974A833" w14:textId="77777777" w:rsidR="00CD574A" w:rsidRPr="000C42EA" w:rsidRDefault="00CD574A" w:rsidP="00CD574A">
      <w:pPr>
        <w:pStyle w:val="Heading3"/>
      </w:pPr>
      <w:r w:rsidRPr="000C42EA">
        <w:t xml:space="preserve">Our commitment to </w:t>
      </w:r>
      <w:r w:rsidRPr="000C42EA">
        <w:rPr>
          <w:lang w:val="mi-NZ"/>
        </w:rPr>
        <w:t>Māori</w:t>
      </w:r>
    </w:p>
    <w:p w14:paraId="7B656DF0" w14:textId="77777777" w:rsidR="00CD574A" w:rsidRPr="000C42EA" w:rsidRDefault="00CD574A" w:rsidP="00CD574A">
      <w:pPr>
        <w:spacing w:after="320"/>
      </w:pPr>
      <w:r w:rsidRPr="000C42EA">
        <w:t xml:space="preserve">As a </w:t>
      </w:r>
      <w:r w:rsidRPr="000C42EA">
        <w:rPr>
          <w:lang w:val="mi-NZ"/>
        </w:rPr>
        <w:t>Te</w:t>
      </w:r>
      <w:r w:rsidRPr="000C42EA">
        <w:t xml:space="preserve"> </w:t>
      </w:r>
      <w:r w:rsidRPr="000C42EA">
        <w:rPr>
          <w:lang w:val="mi-NZ"/>
        </w:rPr>
        <w:t>Tiriti</w:t>
      </w:r>
      <w:r w:rsidRPr="000C42EA">
        <w:t xml:space="preserve"> </w:t>
      </w:r>
      <w:r w:rsidRPr="000C42EA">
        <w:rPr>
          <w:lang w:val="mi-NZ"/>
        </w:rPr>
        <w:t>o</w:t>
      </w:r>
      <w:r w:rsidRPr="000C42EA">
        <w:t xml:space="preserve"> </w:t>
      </w:r>
      <w:r w:rsidRPr="000C42EA">
        <w:rPr>
          <w:lang w:val="mi-NZ"/>
        </w:rPr>
        <w:t>Waitangi</w:t>
      </w:r>
      <w:r w:rsidRPr="000C42EA">
        <w:t xml:space="preserve"> </w:t>
      </w:r>
      <w:proofErr w:type="gramStart"/>
      <w:r w:rsidRPr="000C42EA">
        <w:t>partner</w:t>
      </w:r>
      <w:proofErr w:type="gramEnd"/>
      <w:r w:rsidRPr="000C42EA">
        <w:t xml:space="preserve"> we are committed to supporting and enabling </w:t>
      </w:r>
      <w:r w:rsidRPr="000C42EA">
        <w:rPr>
          <w:lang w:val="mi-NZ"/>
        </w:rPr>
        <w:t>Māori, whānau, hapū, Iwi</w:t>
      </w:r>
      <w:r w:rsidRPr="000C42EA">
        <w:t xml:space="preserve"> and communities to realise their own potential and aspirations.</w:t>
      </w:r>
    </w:p>
    <w:p w14:paraId="7D377FFA" w14:textId="77777777" w:rsidR="00CD574A" w:rsidRPr="000C42EA" w:rsidRDefault="00CD574A" w:rsidP="00CD574A">
      <w:pPr>
        <w:pStyle w:val="Heading3"/>
      </w:pPr>
      <w:r w:rsidRPr="000C42EA">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CD574A" w:rsidRPr="000C42EA" w14:paraId="19D90517" w14:textId="77777777" w:rsidTr="002215BA">
        <w:trPr>
          <w:trHeight w:val="2761"/>
        </w:trPr>
        <w:tc>
          <w:tcPr>
            <w:tcW w:w="1503" w:type="pct"/>
          </w:tcPr>
          <w:p w14:paraId="55359A52" w14:textId="77777777" w:rsidR="00CD574A" w:rsidRPr="000C42EA" w:rsidRDefault="00CD574A" w:rsidP="002215BA">
            <w:pPr>
              <w:pStyle w:val="Valuesintables"/>
              <w:rPr>
                <w:sz w:val="22"/>
                <w:szCs w:val="18"/>
                <w:lang w:val="mi-NZ"/>
              </w:rPr>
            </w:pPr>
            <w:r w:rsidRPr="000C42EA">
              <w:rPr>
                <w:sz w:val="22"/>
                <w:szCs w:val="18"/>
                <w:lang w:val="mi-NZ"/>
              </w:rPr>
              <w:t>Mana manaaki</w:t>
            </w:r>
          </w:p>
          <w:p w14:paraId="046E296A" w14:textId="77777777" w:rsidR="00CD574A" w:rsidRPr="000C42EA" w:rsidRDefault="00CD574A" w:rsidP="002215BA">
            <w:pPr>
              <w:pStyle w:val="Paragraphstyleinsidetables"/>
              <w:rPr>
                <w:sz w:val="22"/>
                <w:szCs w:val="18"/>
                <w:lang w:val="en-US"/>
              </w:rPr>
            </w:pPr>
            <w:r w:rsidRPr="000C42EA">
              <w:rPr>
                <w:sz w:val="22"/>
                <w:szCs w:val="18"/>
                <w:lang w:val="en-US"/>
              </w:rPr>
              <w:t>A positive experience every time</w:t>
            </w:r>
          </w:p>
          <w:p w14:paraId="11377105" w14:textId="77777777" w:rsidR="00CD574A" w:rsidRPr="000C42EA" w:rsidRDefault="00CD574A" w:rsidP="002215BA">
            <w:pPr>
              <w:pStyle w:val="Values"/>
              <w:ind w:hanging="380"/>
            </w:pPr>
            <w:r w:rsidRPr="000C42EA">
              <w:rPr>
                <w:noProof/>
              </w:rPr>
              <w:drawing>
                <wp:inline distT="0" distB="0" distL="0" distR="0" wp14:anchorId="1F6E6781" wp14:editId="69858133">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16F7986C" w14:textId="77777777" w:rsidR="00CD574A" w:rsidRPr="000C42EA" w:rsidRDefault="00CD574A" w:rsidP="002215BA">
            <w:pPr>
              <w:pStyle w:val="Valuesintables"/>
              <w:rPr>
                <w:sz w:val="22"/>
                <w:szCs w:val="18"/>
                <w:lang w:val="mi-NZ"/>
              </w:rPr>
            </w:pPr>
            <w:r w:rsidRPr="000C42EA">
              <w:rPr>
                <w:sz w:val="22"/>
                <w:szCs w:val="18"/>
                <w:lang w:val="mi-NZ"/>
              </w:rPr>
              <w:t>Kotahitanga</w:t>
            </w:r>
          </w:p>
          <w:p w14:paraId="339F2547" w14:textId="77777777" w:rsidR="00CD574A" w:rsidRPr="000C42EA" w:rsidRDefault="00CD574A" w:rsidP="002215BA">
            <w:pPr>
              <w:pStyle w:val="Paragraphstyleinsidetables"/>
              <w:rPr>
                <w:sz w:val="22"/>
                <w:szCs w:val="18"/>
                <w:lang w:val="en-US"/>
              </w:rPr>
            </w:pPr>
            <w:r w:rsidRPr="000C42EA">
              <w:rPr>
                <w:sz w:val="22"/>
                <w:szCs w:val="18"/>
                <w:lang w:val="en-US"/>
              </w:rPr>
              <w:t>Partnering for greater impact</w:t>
            </w:r>
          </w:p>
          <w:p w14:paraId="7B65D78D" w14:textId="77777777" w:rsidR="00CD574A" w:rsidRPr="000C42EA" w:rsidRDefault="00CD574A" w:rsidP="002215BA">
            <w:pPr>
              <w:ind w:left="-109"/>
            </w:pPr>
            <w:r w:rsidRPr="000C42EA">
              <w:rPr>
                <w:noProof/>
              </w:rPr>
              <w:drawing>
                <wp:anchor distT="0" distB="0" distL="114300" distR="114300" simplePos="0" relativeHeight="251659264" behindDoc="0" locked="0" layoutInCell="1" allowOverlap="1" wp14:anchorId="41BA6A5A" wp14:editId="278EDCF5">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0D0B365C" w14:textId="77777777" w:rsidR="00CD574A" w:rsidRPr="000C42EA" w:rsidRDefault="00CD574A" w:rsidP="002215BA">
            <w:pPr>
              <w:pStyle w:val="Valuesintables"/>
              <w:rPr>
                <w:sz w:val="22"/>
                <w:szCs w:val="18"/>
                <w:lang w:val="mi-NZ"/>
              </w:rPr>
            </w:pPr>
            <w:r w:rsidRPr="000C42EA">
              <w:rPr>
                <w:sz w:val="22"/>
                <w:szCs w:val="18"/>
                <w:lang w:val="mi-NZ"/>
              </w:rPr>
              <w:t xml:space="preserve">Kia takatū </w:t>
            </w:r>
            <w:proofErr w:type="spellStart"/>
            <w:r w:rsidRPr="000C42EA">
              <w:rPr>
                <w:sz w:val="22"/>
                <w:szCs w:val="18"/>
                <w:lang w:val="mi-NZ"/>
              </w:rPr>
              <w:t>tatou</w:t>
            </w:r>
            <w:proofErr w:type="spellEnd"/>
          </w:p>
          <w:p w14:paraId="02311DE6" w14:textId="77777777" w:rsidR="00CD574A" w:rsidRPr="000C42EA" w:rsidRDefault="00CD574A" w:rsidP="002215BA">
            <w:pPr>
              <w:pStyle w:val="Paragraphstyleinsidetables"/>
              <w:rPr>
                <w:sz w:val="22"/>
                <w:szCs w:val="18"/>
                <w:lang w:val="en-US"/>
              </w:rPr>
            </w:pPr>
            <w:r w:rsidRPr="000C42EA">
              <w:rPr>
                <w:sz w:val="22"/>
                <w:szCs w:val="18"/>
                <w:lang w:val="en-US"/>
              </w:rPr>
              <w:t>Supporting long-term social and economic development</w:t>
            </w:r>
          </w:p>
          <w:p w14:paraId="3154B60E" w14:textId="77777777" w:rsidR="00CD574A" w:rsidRPr="000C42EA" w:rsidRDefault="00CD574A" w:rsidP="002215BA">
            <w:r w:rsidRPr="000C42EA">
              <w:rPr>
                <w:noProof/>
              </w:rPr>
              <w:drawing>
                <wp:inline distT="0" distB="0" distL="0" distR="0" wp14:anchorId="2EBF69D0" wp14:editId="004B1CFE">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35A51135" w14:textId="77777777" w:rsidR="00CD574A" w:rsidRPr="000C42EA" w:rsidRDefault="00CD574A" w:rsidP="00CD574A">
      <w:pPr>
        <w:pStyle w:val="Heading3"/>
      </w:pPr>
      <w:r w:rsidRPr="000C42EA">
        <w:t>Our 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CD574A" w:rsidRPr="000C42EA" w14:paraId="48597A06" w14:textId="77777777" w:rsidTr="002215BA">
        <w:trPr>
          <w:trHeight w:val="123"/>
        </w:trPr>
        <w:tc>
          <w:tcPr>
            <w:tcW w:w="1087" w:type="pct"/>
          </w:tcPr>
          <w:p w14:paraId="1891ED88" w14:textId="77777777" w:rsidR="00CD574A" w:rsidRPr="000C42EA" w:rsidRDefault="00CD574A" w:rsidP="002215BA">
            <w:pPr>
              <w:pStyle w:val="Valuesintables"/>
              <w:rPr>
                <w:sz w:val="22"/>
                <w:szCs w:val="18"/>
                <w:lang w:val="mi-NZ"/>
              </w:rPr>
            </w:pPr>
            <w:r w:rsidRPr="000C42EA">
              <w:rPr>
                <w:sz w:val="22"/>
                <w:szCs w:val="18"/>
                <w:lang w:val="mi-NZ"/>
              </w:rPr>
              <w:t>Manaaki</w:t>
            </w:r>
          </w:p>
          <w:p w14:paraId="315234A0" w14:textId="77777777" w:rsidR="00CD574A" w:rsidRPr="000C42EA" w:rsidRDefault="00CD574A" w:rsidP="002215BA">
            <w:pPr>
              <w:pStyle w:val="Paragraphstyleinsidetables"/>
              <w:rPr>
                <w:sz w:val="22"/>
                <w:szCs w:val="18"/>
              </w:rPr>
            </w:pPr>
            <w:r w:rsidRPr="000C42EA">
              <w:rPr>
                <w:sz w:val="22"/>
                <w:szCs w:val="18"/>
                <w:lang w:val="en-US"/>
              </w:rPr>
              <w:t>We care</w:t>
            </w:r>
            <w:r w:rsidRPr="000C42EA">
              <w:rPr>
                <w:sz w:val="22"/>
                <w:szCs w:val="18"/>
              </w:rPr>
              <w:t xml:space="preserve"> </w:t>
            </w:r>
            <w:r w:rsidRPr="000C42EA">
              <w:rPr>
                <w:sz w:val="22"/>
                <w:szCs w:val="18"/>
                <w:lang w:val="en-US"/>
              </w:rPr>
              <w:t>about the</w:t>
            </w:r>
            <w:r w:rsidRPr="000C42EA">
              <w:rPr>
                <w:sz w:val="22"/>
                <w:szCs w:val="18"/>
              </w:rPr>
              <w:t xml:space="preserve"> </w:t>
            </w:r>
            <w:r w:rsidRPr="000C42EA">
              <w:rPr>
                <w:sz w:val="22"/>
                <w:szCs w:val="18"/>
                <w:lang w:val="en-US"/>
              </w:rPr>
              <w:t>wellbeing</w:t>
            </w:r>
            <w:r w:rsidRPr="000C42EA">
              <w:rPr>
                <w:sz w:val="22"/>
                <w:szCs w:val="18"/>
              </w:rPr>
              <w:t xml:space="preserve"> </w:t>
            </w:r>
            <w:r w:rsidRPr="000C42EA">
              <w:rPr>
                <w:sz w:val="22"/>
                <w:szCs w:val="18"/>
                <w:lang w:val="en-US"/>
              </w:rPr>
              <w:t>of people</w:t>
            </w:r>
          </w:p>
        </w:tc>
        <w:tc>
          <w:tcPr>
            <w:tcW w:w="1123" w:type="pct"/>
          </w:tcPr>
          <w:p w14:paraId="39B9BD23" w14:textId="77777777" w:rsidR="00CD574A" w:rsidRPr="000C42EA" w:rsidRDefault="00CD574A" w:rsidP="002215BA">
            <w:pPr>
              <w:pStyle w:val="Valuesintables"/>
              <w:rPr>
                <w:sz w:val="22"/>
                <w:szCs w:val="18"/>
                <w:lang w:val="mi-NZ"/>
              </w:rPr>
            </w:pPr>
            <w:r w:rsidRPr="000C42EA">
              <w:rPr>
                <w:sz w:val="22"/>
                <w:szCs w:val="18"/>
                <w:lang w:val="mi-NZ"/>
              </w:rPr>
              <w:t>Whānau</w:t>
            </w:r>
          </w:p>
          <w:p w14:paraId="2599A77B" w14:textId="77777777" w:rsidR="00CD574A" w:rsidRPr="000C42EA" w:rsidRDefault="00CD574A" w:rsidP="002215BA">
            <w:pPr>
              <w:pStyle w:val="Paragraphstyleinsidetables"/>
              <w:rPr>
                <w:sz w:val="22"/>
                <w:szCs w:val="18"/>
              </w:rPr>
            </w:pPr>
            <w:r w:rsidRPr="000C42EA">
              <w:rPr>
                <w:sz w:val="22"/>
                <w:szCs w:val="18"/>
              </w:rPr>
              <w:t>We are inclusive and build belonging</w:t>
            </w:r>
          </w:p>
        </w:tc>
        <w:tc>
          <w:tcPr>
            <w:tcW w:w="1415" w:type="pct"/>
          </w:tcPr>
          <w:p w14:paraId="12BAE344" w14:textId="77777777" w:rsidR="00CD574A" w:rsidRPr="000C42EA" w:rsidRDefault="00CD574A" w:rsidP="002215BA">
            <w:pPr>
              <w:pStyle w:val="Valuesintables"/>
              <w:rPr>
                <w:sz w:val="22"/>
                <w:szCs w:val="18"/>
                <w:lang w:val="mi-NZ"/>
              </w:rPr>
            </w:pPr>
            <w:r w:rsidRPr="000C42EA">
              <w:rPr>
                <w:sz w:val="22"/>
                <w:szCs w:val="18"/>
                <w:lang w:val="mi-NZ"/>
              </w:rPr>
              <w:t>Mahi tahi</w:t>
            </w:r>
          </w:p>
          <w:p w14:paraId="26AD696B" w14:textId="77777777" w:rsidR="00CD574A" w:rsidRPr="000C42EA" w:rsidRDefault="00CD574A" w:rsidP="002215BA">
            <w:pPr>
              <w:pStyle w:val="Paragraphstyleinsidetables"/>
              <w:rPr>
                <w:sz w:val="22"/>
                <w:szCs w:val="18"/>
              </w:rPr>
            </w:pPr>
            <w:r w:rsidRPr="000C42EA">
              <w:rPr>
                <w:sz w:val="22"/>
                <w:szCs w:val="18"/>
              </w:rPr>
              <w:t>We work together, making a difference for communities</w:t>
            </w:r>
          </w:p>
        </w:tc>
        <w:tc>
          <w:tcPr>
            <w:tcW w:w="1375" w:type="pct"/>
          </w:tcPr>
          <w:p w14:paraId="65B1ECCF" w14:textId="77777777" w:rsidR="00CD574A" w:rsidRPr="000C42EA" w:rsidRDefault="00CD574A" w:rsidP="002215BA">
            <w:pPr>
              <w:pStyle w:val="Valuesintables"/>
              <w:rPr>
                <w:sz w:val="22"/>
                <w:szCs w:val="18"/>
                <w:lang w:val="mi-NZ"/>
              </w:rPr>
            </w:pPr>
            <w:r w:rsidRPr="000C42EA">
              <w:rPr>
                <w:sz w:val="22"/>
                <w:szCs w:val="18"/>
                <w:lang w:val="mi-NZ"/>
              </w:rPr>
              <w:t>Tika me te pono</w:t>
            </w:r>
          </w:p>
          <w:p w14:paraId="75D6B137" w14:textId="77777777" w:rsidR="00CD574A" w:rsidRPr="000C42EA" w:rsidRDefault="00CD574A" w:rsidP="002215BA">
            <w:pPr>
              <w:pStyle w:val="Paragraphstyleinsidetables"/>
              <w:rPr>
                <w:sz w:val="22"/>
                <w:szCs w:val="18"/>
              </w:rPr>
            </w:pPr>
            <w:r w:rsidRPr="000C42EA">
              <w:rPr>
                <w:sz w:val="22"/>
                <w:szCs w:val="18"/>
              </w:rPr>
              <w:t>We do the right thing, with integrity</w:t>
            </w:r>
          </w:p>
        </w:tc>
      </w:tr>
      <w:tr w:rsidR="00CD574A" w:rsidRPr="000C42EA" w14:paraId="6D3228AD" w14:textId="77777777" w:rsidTr="002215BA">
        <w:trPr>
          <w:trHeight w:val="123"/>
        </w:trPr>
        <w:tc>
          <w:tcPr>
            <w:tcW w:w="1087" w:type="pct"/>
          </w:tcPr>
          <w:p w14:paraId="2BAB1983" w14:textId="77777777" w:rsidR="00CD574A" w:rsidRPr="000C42EA" w:rsidRDefault="00CD574A" w:rsidP="002215BA">
            <w:pPr>
              <w:pStyle w:val="Valuesintables"/>
              <w:rPr>
                <w:szCs w:val="18"/>
                <w:lang w:val="mi-NZ"/>
              </w:rPr>
            </w:pPr>
          </w:p>
        </w:tc>
        <w:tc>
          <w:tcPr>
            <w:tcW w:w="1123" w:type="pct"/>
          </w:tcPr>
          <w:p w14:paraId="5DFE8E8E" w14:textId="77777777" w:rsidR="00CD574A" w:rsidRPr="000C42EA" w:rsidRDefault="00CD574A" w:rsidP="002215BA">
            <w:pPr>
              <w:pStyle w:val="Valuesintables"/>
              <w:rPr>
                <w:szCs w:val="18"/>
                <w:lang w:val="mi-NZ"/>
              </w:rPr>
            </w:pPr>
          </w:p>
        </w:tc>
        <w:tc>
          <w:tcPr>
            <w:tcW w:w="1415" w:type="pct"/>
          </w:tcPr>
          <w:p w14:paraId="09AFC0DF" w14:textId="77777777" w:rsidR="00CD574A" w:rsidRPr="000C42EA" w:rsidRDefault="00CD574A" w:rsidP="002215BA">
            <w:pPr>
              <w:pStyle w:val="Valuesintables"/>
              <w:rPr>
                <w:szCs w:val="18"/>
                <w:lang w:val="mi-NZ"/>
              </w:rPr>
            </w:pPr>
          </w:p>
        </w:tc>
        <w:tc>
          <w:tcPr>
            <w:tcW w:w="1375" w:type="pct"/>
          </w:tcPr>
          <w:p w14:paraId="3686D1FA" w14:textId="77777777" w:rsidR="00CD574A" w:rsidRPr="000C42EA" w:rsidRDefault="00CD574A" w:rsidP="002215BA">
            <w:pPr>
              <w:pStyle w:val="Valuesintables"/>
              <w:rPr>
                <w:szCs w:val="18"/>
                <w:lang w:val="mi-NZ"/>
              </w:rPr>
            </w:pPr>
          </w:p>
        </w:tc>
      </w:tr>
    </w:tbl>
    <w:p w14:paraId="384F7247" w14:textId="77777777" w:rsidR="00CD574A" w:rsidRPr="000C42EA" w:rsidRDefault="00CD574A" w:rsidP="00CD574A">
      <w:pPr>
        <w:spacing w:line="360" w:lineRule="auto"/>
      </w:pPr>
    </w:p>
    <w:p w14:paraId="5ADFEA54" w14:textId="77777777" w:rsidR="00CD574A" w:rsidRPr="000C42EA" w:rsidRDefault="00CD574A" w:rsidP="00CD574A">
      <w:pPr>
        <w:pStyle w:val="Heading3"/>
      </w:pPr>
      <w:r w:rsidRPr="000C42EA">
        <w:lastRenderedPageBreak/>
        <w:t>Working in public service</w:t>
      </w:r>
    </w:p>
    <w:p w14:paraId="5B2D7EDE" w14:textId="77777777" w:rsidR="00CD574A" w:rsidRPr="000C42EA" w:rsidRDefault="00CD574A" w:rsidP="00CD574A">
      <w:pPr>
        <w:rPr>
          <w:rFonts w:eastAsia="Times New Roman" w:cs="Segoe UI"/>
          <w:bCs/>
          <w:szCs w:val="18"/>
          <w:lang w:val="mi-NZ" w:eastAsia="en-NZ"/>
        </w:rPr>
      </w:pPr>
      <w:r w:rsidRPr="000C42EA">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t>
      </w:r>
      <w:proofErr w:type="spellStart"/>
      <w:r w:rsidRPr="000C42EA">
        <w:rPr>
          <w:szCs w:val="18"/>
          <w:lang w:val="mi-NZ" w:eastAsia="en-NZ"/>
        </w:rPr>
        <w:t>whakakotahingia</w:t>
      </w:r>
      <w:proofErr w:type="spellEnd"/>
      <w:r w:rsidRPr="000C42EA">
        <w:rPr>
          <w:szCs w:val="18"/>
          <w:lang w:val="mi-NZ" w:eastAsia="en-NZ"/>
        </w:rPr>
        <w:t xml:space="preserve"> mātou e te wairua whakarato ki </w:t>
      </w:r>
      <w:r w:rsidRPr="000C42EA">
        <w:rPr>
          <w:rFonts w:eastAsia="Times New Roman" w:cs="Segoe UI"/>
          <w:bCs/>
          <w:szCs w:val="18"/>
          <w:lang w:val="mi-NZ" w:eastAsia="en-NZ"/>
        </w:rPr>
        <w:t xml:space="preserve">ō mātou hapori, ā, e arahina ana mātou e ngā mātāpono me ngā tikanga matua o te ratonga tūmatanui i roto i ā mātou mahi. </w:t>
      </w:r>
    </w:p>
    <w:p w14:paraId="7B68E921" w14:textId="77777777" w:rsidR="00CD574A" w:rsidRPr="000C42EA" w:rsidRDefault="00CD574A" w:rsidP="00CD574A">
      <w:pPr>
        <w:rPr>
          <w:szCs w:val="18"/>
        </w:rPr>
      </w:pPr>
      <w:r w:rsidRPr="000C42EA">
        <w:rPr>
          <w:szCs w:val="18"/>
          <w:lang w:eastAsia="en-NZ"/>
        </w:rPr>
        <w:t>In the public</w:t>
      </w:r>
      <w:r w:rsidRPr="000C42EA">
        <w:rPr>
          <w:rFonts w:ascii="Arial" w:hAnsi="Arial"/>
          <w:szCs w:val="18"/>
          <w:lang w:eastAsia="en-NZ"/>
        </w:rPr>
        <w:t> </w:t>
      </w:r>
      <w:r w:rsidRPr="000C42EA">
        <w:rPr>
          <w:szCs w:val="18"/>
          <w:lang w:eastAsia="en-NZ"/>
        </w:rPr>
        <w:t xml:space="preserve">service we work collectively to make a meaningful difference for New Zealanders now and in the future. We have an important role in supporting the Crown in its relationships with </w:t>
      </w:r>
      <w:r w:rsidRPr="000C42EA">
        <w:rPr>
          <w:szCs w:val="18"/>
          <w:lang w:val="mi-NZ" w:eastAsia="en-NZ"/>
        </w:rPr>
        <w:t>Māori</w:t>
      </w:r>
      <w:r w:rsidRPr="000C42EA">
        <w:rPr>
          <w:szCs w:val="18"/>
          <w:lang w:eastAsia="en-NZ"/>
        </w:rPr>
        <w:t xml:space="preserve"> under the Treaty of </w:t>
      </w:r>
      <w:r w:rsidRPr="000C42EA">
        <w:rPr>
          <w:szCs w:val="18"/>
          <w:lang w:val="mi-NZ" w:eastAsia="en-NZ"/>
        </w:rPr>
        <w:t>Waitangi</w:t>
      </w:r>
      <w:r w:rsidRPr="000C42EA">
        <w:rPr>
          <w:szCs w:val="18"/>
          <w:lang w:eastAsia="en-NZ"/>
        </w:rPr>
        <w:t>.</w:t>
      </w:r>
      <w:r w:rsidRPr="000C42EA">
        <w:rPr>
          <w:rFonts w:ascii="Arial" w:hAnsi="Arial"/>
          <w:szCs w:val="18"/>
          <w:lang w:eastAsia="en-NZ"/>
        </w:rPr>
        <w:t> </w:t>
      </w:r>
      <w:r w:rsidRPr="000C42EA">
        <w:rPr>
          <w:szCs w:val="18"/>
          <w:lang w:eastAsia="en-NZ"/>
        </w:rPr>
        <w:t xml:space="preserve"> We support democratic government. We are unified by a spirit of service to our communities and guided by the core principles and values of the public service in our work </w:t>
      </w:r>
      <w:r w:rsidRPr="000C42EA">
        <w:rPr>
          <w:szCs w:val="18"/>
        </w:rPr>
        <w:t>potential and aspirations.</w:t>
      </w:r>
    </w:p>
    <w:p w14:paraId="02C49911" w14:textId="77777777" w:rsidR="00CD574A" w:rsidRPr="000C42EA" w:rsidRDefault="00CD574A" w:rsidP="00CD574A">
      <w:pPr>
        <w:pStyle w:val="Heading3"/>
      </w:pPr>
      <w:r w:rsidRPr="000C42EA">
        <w:t>The outcomes we want to achieve</w:t>
      </w:r>
    </w:p>
    <w:p w14:paraId="4B30E13D" w14:textId="77777777" w:rsidR="00CD574A" w:rsidRPr="000C42EA" w:rsidRDefault="00CD574A" w:rsidP="00CD574A">
      <w:pPr>
        <w:pStyle w:val="Bulletsstyle"/>
        <w:rPr>
          <w:szCs w:val="18"/>
          <w:lang w:val="en"/>
        </w:rPr>
      </w:pPr>
      <w:r w:rsidRPr="000C42EA">
        <w:rPr>
          <w:szCs w:val="18"/>
        </w:rPr>
        <w:t>New Zealanders get the support they require</w:t>
      </w:r>
    </w:p>
    <w:p w14:paraId="2D3DC69E" w14:textId="77777777" w:rsidR="00CD574A" w:rsidRPr="000C42EA" w:rsidRDefault="00CD574A" w:rsidP="00CD574A">
      <w:pPr>
        <w:pStyle w:val="Bulletsstyle"/>
        <w:rPr>
          <w:szCs w:val="18"/>
          <w:lang w:val="en"/>
        </w:rPr>
      </w:pPr>
      <w:r w:rsidRPr="000C42EA">
        <w:rPr>
          <w:szCs w:val="18"/>
        </w:rPr>
        <w:t xml:space="preserve">New Zealanders are resilient and live in inclusive and supportive communities </w:t>
      </w:r>
    </w:p>
    <w:p w14:paraId="35F963A1" w14:textId="77777777" w:rsidR="00CD574A" w:rsidRPr="000C42EA" w:rsidRDefault="00CD574A" w:rsidP="00CD574A">
      <w:pPr>
        <w:pStyle w:val="Bulletsstyle"/>
        <w:rPr>
          <w:szCs w:val="18"/>
          <w:lang w:val="en"/>
        </w:rPr>
      </w:pPr>
      <w:r w:rsidRPr="000C42EA">
        <w:rPr>
          <w:szCs w:val="18"/>
        </w:rPr>
        <w:t>New Zealanders participate positively in society and reach their potential</w:t>
      </w:r>
    </w:p>
    <w:p w14:paraId="3B6FF539" w14:textId="77777777" w:rsidR="00CD574A" w:rsidRPr="000C42EA" w:rsidRDefault="00CD574A" w:rsidP="00CD574A">
      <w:pPr>
        <w:pStyle w:val="Heading3"/>
      </w:pPr>
      <w:r w:rsidRPr="000C42EA">
        <w:t>We carry out a range of responsibilities and functions including</w:t>
      </w:r>
    </w:p>
    <w:p w14:paraId="511F6E76" w14:textId="77777777" w:rsidR="00CD574A" w:rsidRPr="000C42EA" w:rsidRDefault="00CD574A" w:rsidP="00CD574A">
      <w:pPr>
        <w:pStyle w:val="Bulletsstyle"/>
        <w:rPr>
          <w:szCs w:val="18"/>
        </w:rPr>
      </w:pPr>
      <w:r w:rsidRPr="000C42EA">
        <w:rPr>
          <w:szCs w:val="18"/>
        </w:rPr>
        <w:t>Employment, income support and superannuation</w:t>
      </w:r>
    </w:p>
    <w:p w14:paraId="3DDD8E24" w14:textId="77777777" w:rsidR="00CD574A" w:rsidRPr="000C42EA" w:rsidRDefault="00CD574A" w:rsidP="00CD574A">
      <w:pPr>
        <w:pStyle w:val="Bulletsstyle"/>
        <w:rPr>
          <w:szCs w:val="18"/>
        </w:rPr>
      </w:pPr>
      <w:r w:rsidRPr="000C42EA">
        <w:rPr>
          <w:szCs w:val="18"/>
        </w:rPr>
        <w:t>Community partnerships, programmes, and campaigns</w:t>
      </w:r>
    </w:p>
    <w:p w14:paraId="77A2DCC8" w14:textId="77777777" w:rsidR="00CD574A" w:rsidRPr="000C42EA" w:rsidRDefault="00CD574A" w:rsidP="00CD574A">
      <w:pPr>
        <w:pStyle w:val="Bulletsstyle"/>
        <w:rPr>
          <w:szCs w:val="18"/>
        </w:rPr>
      </w:pPr>
      <w:r w:rsidRPr="000C42EA">
        <w:rPr>
          <w:szCs w:val="18"/>
        </w:rPr>
        <w:t>Advocacy for seniors, disabled people, and youth</w:t>
      </w:r>
    </w:p>
    <w:p w14:paraId="3DFCDF77" w14:textId="77777777" w:rsidR="00CD574A" w:rsidRPr="000C42EA" w:rsidRDefault="00CD574A" w:rsidP="00CD574A">
      <w:pPr>
        <w:pStyle w:val="Bulletsstyle"/>
        <w:rPr>
          <w:szCs w:val="18"/>
        </w:rPr>
      </w:pPr>
      <w:r w:rsidRPr="000C42EA">
        <w:rPr>
          <w:szCs w:val="18"/>
        </w:rPr>
        <w:t xml:space="preserve">Public housing assistance and emergency housing </w:t>
      </w:r>
    </w:p>
    <w:p w14:paraId="2915A6FB" w14:textId="77777777" w:rsidR="00CD574A" w:rsidRPr="000C42EA" w:rsidRDefault="00CD574A" w:rsidP="00CD574A">
      <w:pPr>
        <w:pStyle w:val="Bulletsstyle"/>
        <w:rPr>
          <w:szCs w:val="18"/>
        </w:rPr>
      </w:pPr>
      <w:r w:rsidRPr="000C42EA">
        <w:rPr>
          <w:szCs w:val="18"/>
        </w:rPr>
        <w:t>Resolving claims of abuse and neglect in state care</w:t>
      </w:r>
    </w:p>
    <w:p w14:paraId="3EB3C15A" w14:textId="77777777" w:rsidR="00CD574A" w:rsidRPr="000C42EA" w:rsidRDefault="00CD574A" w:rsidP="00CD574A">
      <w:pPr>
        <w:pStyle w:val="Bulletsstyle"/>
        <w:rPr>
          <w:szCs w:val="18"/>
        </w:rPr>
      </w:pPr>
      <w:r w:rsidRPr="000C42EA">
        <w:rPr>
          <w:szCs w:val="18"/>
        </w:rPr>
        <w:t>Student allowances and loans</w:t>
      </w:r>
    </w:p>
    <w:p w14:paraId="110D6F31" w14:textId="77777777" w:rsidR="00CD574A" w:rsidRPr="000C42EA" w:rsidRDefault="00CD574A" w:rsidP="00CD574A">
      <w:pPr>
        <w:pStyle w:val="Heading3"/>
      </w:pPr>
      <w:r w:rsidRPr="000C42EA">
        <w:rPr>
          <w:lang w:val="mi-NZ"/>
        </w:rPr>
        <w:t>He Whakataukī</w:t>
      </w:r>
      <w:r w:rsidRPr="000C42EA">
        <w:t>*</w:t>
      </w:r>
      <w:r w:rsidRPr="000C42EA">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CD574A" w:rsidRPr="000C42EA" w14:paraId="14545985" w14:textId="77777777" w:rsidTr="002215BA">
        <w:trPr>
          <w:trHeight w:val="273"/>
        </w:trPr>
        <w:tc>
          <w:tcPr>
            <w:tcW w:w="3828" w:type="dxa"/>
          </w:tcPr>
          <w:p w14:paraId="4B6F67F1" w14:textId="77777777" w:rsidR="00CD574A" w:rsidRPr="000C42EA" w:rsidRDefault="00CD574A" w:rsidP="002215BA">
            <w:pPr>
              <w:rPr>
                <w:sz w:val="22"/>
                <w:szCs w:val="18"/>
                <w:lang w:val="mi-NZ"/>
              </w:rPr>
            </w:pPr>
            <w:r w:rsidRPr="000C42EA">
              <w:rPr>
                <w:sz w:val="22"/>
                <w:szCs w:val="18"/>
                <w:lang w:val="mi-NZ"/>
              </w:rPr>
              <w:t>Unuhia te rito o te harakeke</w:t>
            </w:r>
          </w:p>
        </w:tc>
        <w:tc>
          <w:tcPr>
            <w:tcW w:w="5913" w:type="dxa"/>
          </w:tcPr>
          <w:p w14:paraId="0BF36AC9" w14:textId="77777777" w:rsidR="00CD574A" w:rsidRPr="000C42EA" w:rsidRDefault="00CD574A" w:rsidP="002215BA">
            <w:pPr>
              <w:rPr>
                <w:sz w:val="22"/>
                <w:szCs w:val="18"/>
              </w:rPr>
            </w:pPr>
            <w:r w:rsidRPr="000C42EA">
              <w:rPr>
                <w:sz w:val="22"/>
                <w:szCs w:val="18"/>
              </w:rPr>
              <w:t xml:space="preserve">If you remove the central shoot of the </w:t>
            </w:r>
            <w:proofErr w:type="spellStart"/>
            <w:r w:rsidRPr="000C42EA">
              <w:rPr>
                <w:sz w:val="22"/>
                <w:szCs w:val="18"/>
              </w:rPr>
              <w:t>flaxbush</w:t>
            </w:r>
            <w:proofErr w:type="spellEnd"/>
          </w:p>
        </w:tc>
      </w:tr>
      <w:tr w:rsidR="00CD574A" w:rsidRPr="000C42EA" w14:paraId="137C17AC" w14:textId="77777777" w:rsidTr="002215BA">
        <w:trPr>
          <w:trHeight w:val="110"/>
        </w:trPr>
        <w:tc>
          <w:tcPr>
            <w:tcW w:w="3828" w:type="dxa"/>
          </w:tcPr>
          <w:p w14:paraId="02FAF526" w14:textId="77777777" w:rsidR="00CD574A" w:rsidRPr="000C42EA" w:rsidRDefault="00CD574A" w:rsidP="002215BA">
            <w:pPr>
              <w:rPr>
                <w:sz w:val="22"/>
                <w:szCs w:val="18"/>
                <w:lang w:val="mi-NZ"/>
              </w:rPr>
            </w:pPr>
            <w:r w:rsidRPr="000C42EA">
              <w:rPr>
                <w:sz w:val="22"/>
                <w:szCs w:val="18"/>
                <w:lang w:val="mi-NZ"/>
              </w:rPr>
              <w:t>Kei hea te kōmako e kō?</w:t>
            </w:r>
          </w:p>
        </w:tc>
        <w:tc>
          <w:tcPr>
            <w:tcW w:w="5913" w:type="dxa"/>
          </w:tcPr>
          <w:p w14:paraId="709B5E43" w14:textId="77777777" w:rsidR="00CD574A" w:rsidRPr="000C42EA" w:rsidRDefault="00CD574A" w:rsidP="002215BA">
            <w:pPr>
              <w:rPr>
                <w:sz w:val="22"/>
                <w:szCs w:val="18"/>
              </w:rPr>
            </w:pPr>
            <w:r w:rsidRPr="000C42EA">
              <w:rPr>
                <w:sz w:val="22"/>
                <w:szCs w:val="18"/>
              </w:rPr>
              <w:t>Where will the bellbird find rest?</w:t>
            </w:r>
          </w:p>
        </w:tc>
      </w:tr>
      <w:tr w:rsidR="00CD574A" w:rsidRPr="000C42EA" w14:paraId="3B90BF6E" w14:textId="77777777" w:rsidTr="002215BA">
        <w:trPr>
          <w:trHeight w:val="230"/>
        </w:trPr>
        <w:tc>
          <w:tcPr>
            <w:tcW w:w="3828" w:type="dxa"/>
          </w:tcPr>
          <w:p w14:paraId="1AA4D81C" w14:textId="77777777" w:rsidR="00CD574A" w:rsidRPr="000C42EA" w:rsidRDefault="00CD574A" w:rsidP="002215BA">
            <w:pPr>
              <w:rPr>
                <w:sz w:val="22"/>
                <w:szCs w:val="18"/>
                <w:lang w:val="mi-NZ"/>
              </w:rPr>
            </w:pPr>
            <w:r w:rsidRPr="000C42EA">
              <w:rPr>
                <w:sz w:val="22"/>
                <w:szCs w:val="18"/>
                <w:lang w:val="mi-NZ"/>
              </w:rPr>
              <w:t>Whakatairangitia, rere ki uta, rere ki tai;</w:t>
            </w:r>
          </w:p>
        </w:tc>
        <w:tc>
          <w:tcPr>
            <w:tcW w:w="5913" w:type="dxa"/>
          </w:tcPr>
          <w:p w14:paraId="41036D9C" w14:textId="77777777" w:rsidR="00CD574A" w:rsidRPr="000C42EA" w:rsidRDefault="00CD574A" w:rsidP="002215BA">
            <w:pPr>
              <w:rPr>
                <w:sz w:val="22"/>
                <w:szCs w:val="18"/>
              </w:rPr>
            </w:pPr>
            <w:r w:rsidRPr="000C42EA">
              <w:rPr>
                <w:sz w:val="22"/>
                <w:szCs w:val="18"/>
              </w:rPr>
              <w:t>Will it fly inland, fly out to sea, or fly aimlessly;</w:t>
            </w:r>
          </w:p>
        </w:tc>
      </w:tr>
      <w:tr w:rsidR="00CD574A" w:rsidRPr="000C42EA" w14:paraId="2A54BED2" w14:textId="77777777" w:rsidTr="002215BA">
        <w:trPr>
          <w:trHeight w:val="68"/>
        </w:trPr>
        <w:tc>
          <w:tcPr>
            <w:tcW w:w="3828" w:type="dxa"/>
          </w:tcPr>
          <w:p w14:paraId="3B0CBCEC" w14:textId="77777777" w:rsidR="00CD574A" w:rsidRPr="000C42EA" w:rsidRDefault="00CD574A" w:rsidP="002215BA">
            <w:pPr>
              <w:rPr>
                <w:sz w:val="22"/>
                <w:szCs w:val="18"/>
                <w:lang w:val="mi-NZ"/>
              </w:rPr>
            </w:pPr>
            <w:r w:rsidRPr="000C42EA">
              <w:rPr>
                <w:sz w:val="22"/>
                <w:szCs w:val="18"/>
                <w:lang w:val="mi-NZ"/>
              </w:rPr>
              <w:t xml:space="preserve">Ui mai ki </w:t>
            </w:r>
            <w:proofErr w:type="spellStart"/>
            <w:r w:rsidRPr="000C42EA">
              <w:rPr>
                <w:sz w:val="22"/>
                <w:szCs w:val="18"/>
                <w:lang w:val="mi-NZ"/>
              </w:rPr>
              <w:t>ahau</w:t>
            </w:r>
            <w:proofErr w:type="spellEnd"/>
            <w:r w:rsidRPr="000C42EA">
              <w:rPr>
                <w:sz w:val="22"/>
                <w:szCs w:val="18"/>
                <w:lang w:val="mi-NZ"/>
              </w:rPr>
              <w:t>,</w:t>
            </w:r>
          </w:p>
        </w:tc>
        <w:tc>
          <w:tcPr>
            <w:tcW w:w="5913" w:type="dxa"/>
          </w:tcPr>
          <w:p w14:paraId="72B87B07" w14:textId="77777777" w:rsidR="00CD574A" w:rsidRPr="000C42EA" w:rsidRDefault="00CD574A" w:rsidP="002215BA">
            <w:pPr>
              <w:rPr>
                <w:sz w:val="22"/>
                <w:szCs w:val="18"/>
              </w:rPr>
            </w:pPr>
            <w:r w:rsidRPr="000C42EA">
              <w:rPr>
                <w:sz w:val="22"/>
                <w:szCs w:val="18"/>
              </w:rPr>
              <w:t>If you were to ask me,</w:t>
            </w:r>
          </w:p>
        </w:tc>
      </w:tr>
      <w:tr w:rsidR="00CD574A" w:rsidRPr="000C42EA" w14:paraId="1627F6A6" w14:textId="77777777" w:rsidTr="002215BA">
        <w:trPr>
          <w:trHeight w:val="68"/>
        </w:trPr>
        <w:tc>
          <w:tcPr>
            <w:tcW w:w="3828" w:type="dxa"/>
          </w:tcPr>
          <w:p w14:paraId="10293AC2" w14:textId="77777777" w:rsidR="00CD574A" w:rsidRPr="000C42EA" w:rsidRDefault="00CD574A" w:rsidP="002215BA">
            <w:pPr>
              <w:rPr>
                <w:sz w:val="22"/>
                <w:szCs w:val="18"/>
                <w:lang w:val="mi-NZ"/>
              </w:rPr>
            </w:pPr>
            <w:r w:rsidRPr="000C42EA">
              <w:rPr>
                <w:sz w:val="22"/>
                <w:szCs w:val="18"/>
                <w:lang w:val="mi-NZ"/>
              </w:rPr>
              <w:t>He aha te mea nui o te ao?</w:t>
            </w:r>
          </w:p>
        </w:tc>
        <w:tc>
          <w:tcPr>
            <w:tcW w:w="5913" w:type="dxa"/>
          </w:tcPr>
          <w:p w14:paraId="18BFEE5C" w14:textId="77777777" w:rsidR="00CD574A" w:rsidRPr="000C42EA" w:rsidRDefault="00CD574A" w:rsidP="002215BA">
            <w:pPr>
              <w:rPr>
                <w:sz w:val="22"/>
                <w:szCs w:val="18"/>
              </w:rPr>
            </w:pPr>
            <w:r w:rsidRPr="000C42EA">
              <w:rPr>
                <w:sz w:val="22"/>
                <w:szCs w:val="18"/>
              </w:rPr>
              <w:t>What is the most important thing in the world?</w:t>
            </w:r>
          </w:p>
        </w:tc>
      </w:tr>
      <w:tr w:rsidR="00CD574A" w:rsidRPr="000C42EA" w14:paraId="1B32543C" w14:textId="77777777" w:rsidTr="002215BA">
        <w:trPr>
          <w:trHeight w:val="68"/>
        </w:trPr>
        <w:tc>
          <w:tcPr>
            <w:tcW w:w="3828" w:type="dxa"/>
          </w:tcPr>
          <w:p w14:paraId="162DECC3" w14:textId="77777777" w:rsidR="00CD574A" w:rsidRPr="000C42EA" w:rsidRDefault="00CD574A" w:rsidP="002215BA">
            <w:pPr>
              <w:rPr>
                <w:sz w:val="22"/>
                <w:szCs w:val="18"/>
                <w:lang w:val="mi-NZ"/>
              </w:rPr>
            </w:pPr>
            <w:r w:rsidRPr="000C42EA">
              <w:rPr>
                <w:sz w:val="22"/>
                <w:szCs w:val="18"/>
                <w:lang w:val="mi-NZ"/>
              </w:rPr>
              <w:t>Māku e kī atu,</w:t>
            </w:r>
          </w:p>
        </w:tc>
        <w:tc>
          <w:tcPr>
            <w:tcW w:w="5913" w:type="dxa"/>
          </w:tcPr>
          <w:p w14:paraId="7AE0BFFD" w14:textId="77777777" w:rsidR="00CD574A" w:rsidRPr="000C42EA" w:rsidRDefault="00CD574A" w:rsidP="002215BA">
            <w:pPr>
              <w:rPr>
                <w:sz w:val="22"/>
                <w:szCs w:val="18"/>
              </w:rPr>
            </w:pPr>
            <w:r w:rsidRPr="000C42EA">
              <w:rPr>
                <w:sz w:val="22"/>
                <w:szCs w:val="18"/>
              </w:rPr>
              <w:t>I will tell you,</w:t>
            </w:r>
          </w:p>
        </w:tc>
      </w:tr>
      <w:tr w:rsidR="00CD574A" w:rsidRPr="000C42EA" w14:paraId="2B2CFC5D" w14:textId="77777777" w:rsidTr="002215BA">
        <w:trPr>
          <w:trHeight w:val="274"/>
        </w:trPr>
        <w:tc>
          <w:tcPr>
            <w:tcW w:w="3828" w:type="dxa"/>
          </w:tcPr>
          <w:p w14:paraId="74D63711" w14:textId="77777777" w:rsidR="00CD574A" w:rsidRPr="000C42EA" w:rsidRDefault="00CD574A" w:rsidP="002215BA">
            <w:pPr>
              <w:rPr>
                <w:sz w:val="22"/>
                <w:szCs w:val="18"/>
                <w:lang w:val="mi-NZ"/>
              </w:rPr>
            </w:pPr>
            <w:r w:rsidRPr="000C42EA">
              <w:rPr>
                <w:sz w:val="22"/>
                <w:szCs w:val="18"/>
                <w:lang w:val="mi-NZ"/>
              </w:rPr>
              <w:t>He tangata, he tangata, he tangata*</w:t>
            </w:r>
          </w:p>
        </w:tc>
        <w:tc>
          <w:tcPr>
            <w:tcW w:w="5913" w:type="dxa"/>
          </w:tcPr>
          <w:p w14:paraId="590B8CFF" w14:textId="77777777" w:rsidR="00CD574A" w:rsidRPr="000C42EA" w:rsidRDefault="00CD574A" w:rsidP="002215BA">
            <w:pPr>
              <w:rPr>
                <w:sz w:val="22"/>
                <w:szCs w:val="18"/>
              </w:rPr>
            </w:pPr>
            <w:r w:rsidRPr="000C42EA">
              <w:rPr>
                <w:sz w:val="22"/>
                <w:szCs w:val="18"/>
              </w:rPr>
              <w:t>It is people, it is people, it is people</w:t>
            </w:r>
          </w:p>
        </w:tc>
      </w:tr>
    </w:tbl>
    <w:p w14:paraId="77DA3A92" w14:textId="77777777" w:rsidR="00CD574A" w:rsidRPr="000C42EA" w:rsidRDefault="00CD574A" w:rsidP="00CD574A">
      <w:pPr>
        <w:spacing w:before="120"/>
        <w:rPr>
          <w:szCs w:val="18"/>
          <w:lang w:val="en"/>
        </w:rPr>
      </w:pPr>
      <w:r w:rsidRPr="000C42EA">
        <w:rPr>
          <w:rFonts w:eastAsia="Times New Roman"/>
          <w:szCs w:val="18"/>
          <w:lang w:val="en-US"/>
        </w:rPr>
        <w:t>*</w:t>
      </w:r>
      <w:r w:rsidRPr="000C42EA">
        <w:rPr>
          <w:szCs w:val="18"/>
          <w:lang w:val="en"/>
        </w:rPr>
        <w:t xml:space="preserve">We would like to acknowledge </w:t>
      </w:r>
      <w:r w:rsidRPr="000C42EA">
        <w:rPr>
          <w:szCs w:val="18"/>
          <w:lang w:val="mi-NZ"/>
        </w:rPr>
        <w:t>Te Rūnanga Nui o Te Aupōuri</w:t>
      </w:r>
      <w:r w:rsidRPr="000C42EA">
        <w:rPr>
          <w:szCs w:val="18"/>
          <w:lang w:val="en"/>
        </w:rPr>
        <w:t xml:space="preserve"> Trust for their permission to use this </w:t>
      </w:r>
      <w:r w:rsidRPr="000C42EA">
        <w:rPr>
          <w:szCs w:val="18"/>
          <w:lang w:val="mi-NZ"/>
        </w:rPr>
        <w:t>whakataukī.</w:t>
      </w:r>
    </w:p>
    <w:p w14:paraId="0A05FB7D" w14:textId="77777777" w:rsidR="00CD574A" w:rsidRPr="000C42EA" w:rsidRDefault="00CD574A" w:rsidP="00CD574A">
      <w:pPr>
        <w:pStyle w:val="Heading2"/>
      </w:pPr>
      <w:r w:rsidRPr="000C42EA">
        <w:lastRenderedPageBreak/>
        <w:t>Position Detail</w:t>
      </w:r>
    </w:p>
    <w:p w14:paraId="228D950C" w14:textId="77777777" w:rsidR="00CD574A" w:rsidRPr="000C42EA" w:rsidRDefault="00CD574A" w:rsidP="00CD574A">
      <w:pPr>
        <w:pStyle w:val="Heading3"/>
      </w:pPr>
      <w:r w:rsidRPr="000C42EA">
        <w:t>Overview of position</w:t>
      </w:r>
    </w:p>
    <w:p w14:paraId="2C9BAE66" w14:textId="77777777" w:rsidR="00CD574A" w:rsidRPr="000C42EA" w:rsidRDefault="00CD574A" w:rsidP="00CD574A">
      <w:r w:rsidRPr="000C42EA">
        <w:t xml:space="preserve">The Delivery Methods and Tools Lead </w:t>
      </w:r>
      <w:r w:rsidRPr="2CD6FF53">
        <w:rPr>
          <w:rFonts w:ascii="Verdana" w:eastAsia="Verdana" w:hAnsi="Verdana" w:cs="Verdana"/>
        </w:rPr>
        <w:t>helps embed practical,</w:t>
      </w:r>
      <w:r w:rsidRPr="000C42EA">
        <w:t xml:space="preserve"> effective delivery methodologies and tools to drive </w:t>
      </w:r>
      <w:r w:rsidRPr="00686F39">
        <w:t>improved</w:t>
      </w:r>
      <w:r w:rsidRPr="000C42EA">
        <w:t xml:space="preserve"> outcomes across MSD’s transformation programme and change initiatives. This role leads the implementation and continuous improvement of </w:t>
      </w:r>
      <w:r>
        <w:t>how teams work effectively</w:t>
      </w:r>
      <w:r w:rsidRPr="000C42EA">
        <w:t xml:space="preserve">, champions </w:t>
      </w:r>
      <w:r>
        <w:t xml:space="preserve">adoptable </w:t>
      </w:r>
      <w:r w:rsidRPr="000C42EA">
        <w:t>principles</w:t>
      </w:r>
      <w:r>
        <w:t xml:space="preserve"> for our ways of working (which includes Agile, Waterfall and others)</w:t>
      </w:r>
      <w:r w:rsidRPr="000C42EA">
        <w:t xml:space="preserve">, and provides </w:t>
      </w:r>
      <w:r>
        <w:t xml:space="preserve">product ownership of and </w:t>
      </w:r>
      <w:r w:rsidRPr="000C42EA">
        <w:t xml:space="preserve">expert coaching on delivery tools (such as Jira) to foster a culture of adaptability and continuous improvement. This role will also design self-service toolkits and learning resources to build </w:t>
      </w:r>
      <w:r w:rsidRPr="00686F39">
        <w:t>capability,</w:t>
      </w:r>
      <w:r>
        <w:t xml:space="preserve"> </w:t>
      </w:r>
      <w:r w:rsidRPr="00686F39">
        <w:t xml:space="preserve">promote adaptable delivery principles that encompass a range of methodologies across the organisation, helping teams adopt and adapt their ways of working to their specific contexts. </w:t>
      </w:r>
    </w:p>
    <w:p w14:paraId="6B7E4C01" w14:textId="77777777" w:rsidR="00CD574A" w:rsidRPr="000C42EA" w:rsidRDefault="00CD574A" w:rsidP="00CD574A">
      <w:pPr>
        <w:pStyle w:val="Heading3"/>
      </w:pPr>
      <w:r w:rsidRPr="000C42EA">
        <w:t>Location</w:t>
      </w:r>
    </w:p>
    <w:p w14:paraId="6736B11B" w14:textId="77777777" w:rsidR="00CD574A" w:rsidRPr="000C42EA" w:rsidRDefault="00CD574A" w:rsidP="00CD574A">
      <w:pPr>
        <w:pStyle w:val="Paragraphstyleinsidetables"/>
        <w:rPr>
          <w:b/>
          <w:bCs/>
        </w:rPr>
      </w:pPr>
      <w:r w:rsidRPr="000C42EA">
        <w:t xml:space="preserve">National Office, Wellington and Auckland. </w:t>
      </w:r>
    </w:p>
    <w:p w14:paraId="383544A2" w14:textId="77777777" w:rsidR="00CD574A" w:rsidRPr="000C42EA" w:rsidRDefault="00CD574A" w:rsidP="00CD574A">
      <w:pPr>
        <w:pStyle w:val="Heading3"/>
      </w:pPr>
      <w:r w:rsidRPr="000C42EA">
        <w:t>Reports to</w:t>
      </w:r>
    </w:p>
    <w:p w14:paraId="6E96BCF0" w14:textId="3E7E312C" w:rsidR="00157D47" w:rsidRDefault="00CD574A" w:rsidP="00CD574A">
      <w:r w:rsidRPr="000C42EA">
        <w:t>Director Technology Delivery</w:t>
      </w:r>
    </w:p>
    <w:p w14:paraId="6BB5F4D3" w14:textId="2A34C59D" w:rsidR="00CD574A" w:rsidRPr="000C42EA" w:rsidRDefault="00157D47" w:rsidP="00157D47">
      <w:pPr>
        <w:pStyle w:val="Heading4"/>
      </w:pPr>
      <w:r>
        <w:br w:type="page"/>
      </w:r>
    </w:p>
    <w:p w14:paraId="27DB24F9" w14:textId="77777777" w:rsidR="00CD574A" w:rsidRPr="000C42EA" w:rsidRDefault="00CD574A" w:rsidP="00CD574A">
      <w:pPr>
        <w:pStyle w:val="Heading2"/>
      </w:pPr>
      <w:r w:rsidRPr="000C42EA">
        <w:lastRenderedPageBreak/>
        <w:t>Key responsibilities</w:t>
      </w:r>
    </w:p>
    <w:p w14:paraId="1D261995" w14:textId="77777777" w:rsidR="00CD574A" w:rsidRPr="000C42EA" w:rsidRDefault="00CD574A" w:rsidP="00CD574A">
      <w:r w:rsidRPr="000C42EA">
        <w:t>MSD uses the current version of Skills Framework for the Information Age (SFIA) to describe the skills required for roles. Each skill description is made up of an overall definition of the skill and a description of the skill at each of up to seven levels.</w:t>
      </w:r>
    </w:p>
    <w:p w14:paraId="59B03AA6" w14:textId="77777777" w:rsidR="00CD574A" w:rsidRPr="000C42EA" w:rsidRDefault="00CD574A" w:rsidP="00CD574A">
      <w:r w:rsidRPr="000C42EA">
        <w:t>The skill level descriptions provide a detailed definition of what it means to practice the skill at each level of competency. The skill level descriptions are aligned to the seven levels of responsibility that ensure consistency throughout the SFIA framework making it solid and robust across professional disciplines.</w:t>
      </w:r>
    </w:p>
    <w:p w14:paraId="58C6E41F" w14:textId="77777777" w:rsidR="00CD574A" w:rsidRPr="000C42EA" w:rsidRDefault="00CD574A" w:rsidP="00CD574A">
      <w:pPr>
        <w:pStyle w:val="Heading3"/>
      </w:pPr>
      <w:r w:rsidRPr="000C42EA">
        <w:t>Required skills</w:t>
      </w:r>
    </w:p>
    <w:p w14:paraId="612A4FBA" w14:textId="77777777" w:rsidR="00CD574A" w:rsidRPr="000C42EA" w:rsidRDefault="00CD574A" w:rsidP="00CD574A">
      <w:pPr>
        <w:rPr>
          <w:b/>
          <w:bCs/>
          <w:color w:val="002060"/>
        </w:rPr>
      </w:pPr>
      <w:r w:rsidRPr="000C42EA">
        <w:rPr>
          <w:b/>
          <w:bCs/>
          <w:color w:val="002060"/>
        </w:rPr>
        <w:t xml:space="preserve">Organisational capability development (OCDV) Level 5 </w:t>
      </w:r>
    </w:p>
    <w:p w14:paraId="2F4183F0" w14:textId="77777777" w:rsidR="00CD574A" w:rsidRPr="000C42EA" w:rsidRDefault="00CD574A" w:rsidP="00CD574A">
      <w:r w:rsidRPr="000C42EA">
        <w:t>Providing leadership, advice and implementation support to assess organisational capabilities and to identify, prioritise and implement improvements.</w:t>
      </w:r>
    </w:p>
    <w:p w14:paraId="7F6F6134" w14:textId="77777777" w:rsidR="00CD574A" w:rsidRPr="000C42EA" w:rsidRDefault="00CD574A" w:rsidP="00CD574A">
      <w:pPr>
        <w:pStyle w:val="ListParagraph"/>
        <w:numPr>
          <w:ilvl w:val="0"/>
          <w:numId w:val="21"/>
        </w:numPr>
      </w:pPr>
      <w:r w:rsidRPr="000C42EA">
        <w:t xml:space="preserve">Contributes to identifying new areas of capability improvement within the organisation which may be enhancements to skills, technology or processes. </w:t>
      </w:r>
    </w:p>
    <w:p w14:paraId="6EF111FB" w14:textId="77777777" w:rsidR="00CD574A" w:rsidRPr="000C42EA" w:rsidRDefault="00CD574A" w:rsidP="00CD574A">
      <w:pPr>
        <w:pStyle w:val="ListParagraph"/>
        <w:numPr>
          <w:ilvl w:val="0"/>
          <w:numId w:val="21"/>
        </w:numPr>
      </w:pPr>
      <w:r w:rsidRPr="000C42EA">
        <w:t xml:space="preserve">Develops and maintains a detailed knowledge of capability improvement approaches and techniques and selects appropriate approaches for the organisation. </w:t>
      </w:r>
    </w:p>
    <w:p w14:paraId="314BC165" w14:textId="77777777" w:rsidR="00CD574A" w:rsidRPr="000C42EA" w:rsidRDefault="00CD574A" w:rsidP="00CD574A">
      <w:pPr>
        <w:pStyle w:val="ListParagraph"/>
        <w:numPr>
          <w:ilvl w:val="0"/>
          <w:numId w:val="21"/>
        </w:numPr>
      </w:pPr>
      <w:r w:rsidRPr="000C42EA">
        <w:t xml:space="preserve">Conducts capability improvement assignments, such as maturity or performance assessments, to identify strengths and weaknesses. Selects and prioritises improvement opportunities, generates buy-in and plans improvement activities justified by measurable organisational benefits. </w:t>
      </w:r>
    </w:p>
    <w:p w14:paraId="4247193B" w14:textId="77777777" w:rsidR="00CD574A" w:rsidRPr="000C42EA" w:rsidRDefault="00CD574A" w:rsidP="00CD574A">
      <w:pPr>
        <w:pStyle w:val="ListParagraph"/>
        <w:numPr>
          <w:ilvl w:val="0"/>
          <w:numId w:val="21"/>
        </w:numPr>
      </w:pPr>
      <w:r w:rsidRPr="000C42EA">
        <w:t xml:space="preserve">Offers support, guidance, advice and suggestions to help continual improvement activities. </w:t>
      </w:r>
    </w:p>
    <w:p w14:paraId="3C9FC899" w14:textId="77777777" w:rsidR="00CD574A" w:rsidRPr="000C42EA" w:rsidRDefault="00CD574A" w:rsidP="00CD574A">
      <w:pPr>
        <w:rPr>
          <w:b/>
          <w:bCs/>
          <w:color w:val="002060"/>
        </w:rPr>
      </w:pPr>
      <w:r w:rsidRPr="000C42EA">
        <w:rPr>
          <w:b/>
          <w:bCs/>
          <w:color w:val="002060"/>
        </w:rPr>
        <w:t xml:space="preserve">Systems development and management (DLMG) Level 4  </w:t>
      </w:r>
    </w:p>
    <w:p w14:paraId="58DF5917" w14:textId="77777777" w:rsidR="00CD574A" w:rsidRPr="000C42EA" w:rsidRDefault="00CD574A" w:rsidP="00CD574A">
      <w:r w:rsidRPr="000C42EA">
        <w:t>Planning, estimating and executing systems development work to time, budget and quality targets.</w:t>
      </w:r>
    </w:p>
    <w:p w14:paraId="0B69BA73" w14:textId="77777777" w:rsidR="00CD574A" w:rsidRPr="000C42EA" w:rsidRDefault="00CD574A" w:rsidP="00CD574A">
      <w:pPr>
        <w:pStyle w:val="ListParagraph"/>
        <w:numPr>
          <w:ilvl w:val="0"/>
          <w:numId w:val="22"/>
        </w:numPr>
      </w:pPr>
      <w:r w:rsidRPr="000C42EA">
        <w:t xml:space="preserve">Contributes to the planning and management of systems development work. </w:t>
      </w:r>
    </w:p>
    <w:p w14:paraId="72228140" w14:textId="77777777" w:rsidR="00CD574A" w:rsidRPr="000C42EA" w:rsidRDefault="00CD574A" w:rsidP="00CD574A">
      <w:pPr>
        <w:pStyle w:val="ListParagraph"/>
        <w:numPr>
          <w:ilvl w:val="0"/>
          <w:numId w:val="22"/>
        </w:numPr>
      </w:pPr>
      <w:r w:rsidRPr="000C42EA">
        <w:t xml:space="preserve">Adopts and applies appropriate systems development methods, tools and techniques in line with agreed standards. </w:t>
      </w:r>
    </w:p>
    <w:p w14:paraId="30C56C49" w14:textId="77777777" w:rsidR="00CD574A" w:rsidRPr="000C42EA" w:rsidRDefault="00CD574A" w:rsidP="00CD574A">
      <w:pPr>
        <w:pStyle w:val="ListParagraph"/>
        <w:numPr>
          <w:ilvl w:val="0"/>
          <w:numId w:val="22"/>
        </w:numPr>
      </w:pPr>
      <w:r w:rsidRPr="000C42EA">
        <w:t xml:space="preserve">Engages with stakeholders to ensure systems development deliverables meet requirements and quality expectations. Manages risks and issues related to systems development activities, escalating as needed. </w:t>
      </w:r>
    </w:p>
    <w:p w14:paraId="20D80610" w14:textId="77777777" w:rsidR="00CD574A" w:rsidRPr="000C42EA" w:rsidRDefault="00CD574A" w:rsidP="00CD574A">
      <w:pPr>
        <w:pStyle w:val="ListParagraph"/>
        <w:numPr>
          <w:ilvl w:val="0"/>
          <w:numId w:val="22"/>
        </w:numPr>
      </w:pPr>
      <w:r w:rsidRPr="000C42EA">
        <w:t xml:space="preserve">Contributes to the continuous improvement of systems development processes and practices. </w:t>
      </w:r>
    </w:p>
    <w:p w14:paraId="1A6D499D" w14:textId="77777777" w:rsidR="00CD574A" w:rsidRPr="000C42EA" w:rsidRDefault="00CD574A" w:rsidP="00CD574A">
      <w:pPr>
        <w:rPr>
          <w:b/>
          <w:bCs/>
          <w:color w:val="002060"/>
        </w:rPr>
      </w:pPr>
      <w:r w:rsidRPr="000C42EA">
        <w:rPr>
          <w:b/>
          <w:bCs/>
          <w:color w:val="002060"/>
        </w:rPr>
        <w:lastRenderedPageBreak/>
        <w:t xml:space="preserve">Professional development (PDSV) Level 4 </w:t>
      </w:r>
    </w:p>
    <w:p w14:paraId="6DADCF8B" w14:textId="77777777" w:rsidR="00CD574A" w:rsidRPr="000C42EA" w:rsidRDefault="00CD574A" w:rsidP="00CD574A">
      <w:r w:rsidRPr="000C42EA">
        <w:t>Facilitating the professional development of individuals in line with their career goals and organisational requirements.</w:t>
      </w:r>
    </w:p>
    <w:p w14:paraId="3FFFFA96" w14:textId="77777777" w:rsidR="00CD574A" w:rsidRPr="000C42EA" w:rsidRDefault="00CD574A" w:rsidP="00CD574A">
      <w:pPr>
        <w:pStyle w:val="ListParagraph"/>
        <w:numPr>
          <w:ilvl w:val="0"/>
          <w:numId w:val="23"/>
        </w:numPr>
      </w:pPr>
      <w:r w:rsidRPr="000C42EA">
        <w:t>Assists practitioners with creating personal development plans.</w:t>
      </w:r>
    </w:p>
    <w:p w14:paraId="5A3D2654" w14:textId="77777777" w:rsidR="00CD574A" w:rsidRPr="000C42EA" w:rsidRDefault="00CD574A" w:rsidP="00CD574A">
      <w:pPr>
        <w:pStyle w:val="ListParagraph"/>
        <w:numPr>
          <w:ilvl w:val="0"/>
          <w:numId w:val="23"/>
        </w:numPr>
      </w:pPr>
      <w:r w:rsidRPr="000C42EA">
        <w:t xml:space="preserve">Advises on suitable development activities such as specific learning or experience to be gained. </w:t>
      </w:r>
    </w:p>
    <w:p w14:paraId="76F45C8C" w14:textId="77777777" w:rsidR="00CD574A" w:rsidRPr="000C42EA" w:rsidRDefault="00CD574A" w:rsidP="00CD574A">
      <w:pPr>
        <w:pStyle w:val="ListParagraph"/>
        <w:numPr>
          <w:ilvl w:val="0"/>
          <w:numId w:val="23"/>
        </w:numPr>
      </w:pPr>
      <w:r w:rsidRPr="000C42EA">
        <w:t xml:space="preserve">Monitors practitioners’ continuing professional development records. </w:t>
      </w:r>
    </w:p>
    <w:p w14:paraId="178F669D" w14:textId="77777777" w:rsidR="00CD574A" w:rsidRPr="000C42EA" w:rsidRDefault="00CD574A" w:rsidP="00CD574A">
      <w:pPr>
        <w:pStyle w:val="ListParagraph"/>
        <w:numPr>
          <w:ilvl w:val="0"/>
          <w:numId w:val="23"/>
        </w:numPr>
      </w:pPr>
      <w:r w:rsidRPr="000C42EA">
        <w:t xml:space="preserve">Ensures achievements and enhanced capabilities are recorded and referenced to personal and organisational objectives. </w:t>
      </w:r>
    </w:p>
    <w:p w14:paraId="73606355" w14:textId="77777777" w:rsidR="00CD574A" w:rsidRPr="000C42EA" w:rsidRDefault="00CD574A" w:rsidP="00CD574A">
      <w:pPr>
        <w:rPr>
          <w:b/>
          <w:bCs/>
          <w:color w:val="002060"/>
        </w:rPr>
      </w:pPr>
      <w:r w:rsidRPr="000C42EA">
        <w:rPr>
          <w:b/>
          <w:bCs/>
          <w:color w:val="002060"/>
        </w:rPr>
        <w:t xml:space="preserve">Methods and tools (METL) Level 5 </w:t>
      </w:r>
    </w:p>
    <w:p w14:paraId="53CFACF6" w14:textId="77777777" w:rsidR="00CD574A" w:rsidRPr="000C42EA" w:rsidRDefault="00CD574A" w:rsidP="00CD574A">
      <w:r w:rsidRPr="000C42EA">
        <w:t>Leads the adoption, management and optimisation of methods and tools, ensuring effective use and alignment with organisational objectives.</w:t>
      </w:r>
    </w:p>
    <w:p w14:paraId="612B4796" w14:textId="77777777" w:rsidR="00CD574A" w:rsidRPr="000C42EA" w:rsidRDefault="00CD574A" w:rsidP="00CD574A">
      <w:pPr>
        <w:pStyle w:val="ListParagraph"/>
        <w:numPr>
          <w:ilvl w:val="0"/>
          <w:numId w:val="24"/>
        </w:numPr>
      </w:pPr>
      <w:r w:rsidRPr="000C42EA">
        <w:t xml:space="preserve">Provides authoritative advice and leadership to promote adoption of methods and tools and adherence to policies and standards. </w:t>
      </w:r>
    </w:p>
    <w:p w14:paraId="546626C0" w14:textId="77777777" w:rsidR="00CD574A" w:rsidRPr="000C42EA" w:rsidRDefault="00CD574A" w:rsidP="00CD574A">
      <w:pPr>
        <w:pStyle w:val="ListParagraph"/>
        <w:numPr>
          <w:ilvl w:val="0"/>
          <w:numId w:val="24"/>
        </w:numPr>
      </w:pPr>
      <w:r w:rsidRPr="000C42EA">
        <w:t xml:space="preserve">Evaluates and selects appropriate methods and tools in line with agreed policies and standards. Contributes to organisational policies, standards and guidelines for methods and tools. </w:t>
      </w:r>
    </w:p>
    <w:p w14:paraId="6DE964BF" w14:textId="77777777" w:rsidR="00CD574A" w:rsidRPr="000C42EA" w:rsidRDefault="00CD574A" w:rsidP="00CD574A">
      <w:pPr>
        <w:pStyle w:val="ListParagraph"/>
        <w:numPr>
          <w:ilvl w:val="0"/>
          <w:numId w:val="24"/>
        </w:numPr>
      </w:pPr>
      <w:r w:rsidRPr="000C42EA">
        <w:t xml:space="preserve">Implements methods and tools at programme, project and team levels including selection and tailoring in line with agreed standards. </w:t>
      </w:r>
    </w:p>
    <w:p w14:paraId="2DCADACA" w14:textId="77777777" w:rsidR="00CD574A" w:rsidRPr="000C42EA" w:rsidRDefault="00CD574A" w:rsidP="00CD574A">
      <w:pPr>
        <w:pStyle w:val="ListParagraph"/>
        <w:numPr>
          <w:ilvl w:val="0"/>
          <w:numId w:val="24"/>
        </w:numPr>
      </w:pPr>
      <w:r w:rsidRPr="000C42EA">
        <w:t xml:space="preserve">Manages reviews of the benefits and value of methods and tools. Identifies and recommends improvements that support broader organisational goals. </w:t>
      </w:r>
    </w:p>
    <w:p w14:paraId="5A384455" w14:textId="77777777" w:rsidR="00CD574A" w:rsidRPr="000C42EA" w:rsidRDefault="00CD574A" w:rsidP="00CD574A">
      <w:pPr>
        <w:rPr>
          <w:b/>
          <w:bCs/>
          <w:color w:val="002060"/>
        </w:rPr>
      </w:pPr>
      <w:r w:rsidRPr="000C42EA">
        <w:rPr>
          <w:b/>
          <w:bCs/>
          <w:color w:val="002060"/>
        </w:rPr>
        <w:t xml:space="preserve">Knowledge management (KNOW) Level 4  </w:t>
      </w:r>
    </w:p>
    <w:p w14:paraId="3BA25FA0" w14:textId="77777777" w:rsidR="00CD574A" w:rsidRPr="000C42EA" w:rsidRDefault="00CD574A" w:rsidP="00CD574A">
      <w:r w:rsidRPr="000C42EA">
        <w:t>Systematically capturing, developing and leveraging vital knowledge to create value and enhance organisational performance.</w:t>
      </w:r>
    </w:p>
    <w:p w14:paraId="5F3B426F" w14:textId="77777777" w:rsidR="00CD574A" w:rsidRPr="000C42EA" w:rsidRDefault="00CD574A" w:rsidP="00CD574A">
      <w:pPr>
        <w:pStyle w:val="ListParagraph"/>
        <w:numPr>
          <w:ilvl w:val="0"/>
          <w:numId w:val="25"/>
        </w:numPr>
      </w:pPr>
      <w:r w:rsidRPr="000C42EA">
        <w:t xml:space="preserve">Organises knowledge assets and oversees the lifecycle of identifying, capturing, classifying, storing and maintaining assets. </w:t>
      </w:r>
    </w:p>
    <w:p w14:paraId="7F7076D6" w14:textId="77777777" w:rsidR="00CD574A" w:rsidRPr="000C42EA" w:rsidRDefault="00CD574A" w:rsidP="00CD574A">
      <w:pPr>
        <w:pStyle w:val="ListParagraph"/>
        <w:numPr>
          <w:ilvl w:val="0"/>
          <w:numId w:val="25"/>
        </w:numPr>
      </w:pPr>
      <w:r w:rsidRPr="000C42EA">
        <w:t xml:space="preserve">Facilitates sharing, collaboration and communication of knowledge. Implements specific knowledge management initiatives. </w:t>
      </w:r>
    </w:p>
    <w:p w14:paraId="188BD9C5" w14:textId="77777777" w:rsidR="00CD574A" w:rsidRPr="000C42EA" w:rsidRDefault="00CD574A" w:rsidP="00CD574A">
      <w:pPr>
        <w:pStyle w:val="ListParagraph"/>
        <w:numPr>
          <w:ilvl w:val="0"/>
          <w:numId w:val="25"/>
        </w:numPr>
      </w:pPr>
      <w:r w:rsidRPr="000C42EA">
        <w:t xml:space="preserve">Monitors the use and impact of knowledge. </w:t>
      </w:r>
    </w:p>
    <w:p w14:paraId="482E0EF1" w14:textId="77777777" w:rsidR="00CD574A" w:rsidRPr="000C42EA" w:rsidRDefault="00CD574A" w:rsidP="00CD574A">
      <w:pPr>
        <w:pStyle w:val="ListParagraph"/>
        <w:numPr>
          <w:ilvl w:val="0"/>
          <w:numId w:val="25"/>
        </w:numPr>
      </w:pPr>
      <w:r w:rsidRPr="000C42EA">
        <w:t xml:space="preserve">Interrogates existing knowledge content to identify issues, risks and opportunities. </w:t>
      </w:r>
    </w:p>
    <w:p w14:paraId="2A000C1E" w14:textId="77777777" w:rsidR="00CD574A" w:rsidRPr="000C42EA" w:rsidRDefault="00CD574A" w:rsidP="00CD574A">
      <w:r w:rsidRPr="000C42EA">
        <w:rPr>
          <w:b/>
          <w:bCs/>
          <w:color w:val="002060"/>
        </w:rPr>
        <w:t xml:space="preserve">Business Situation analysis (BUSA) Level 5  </w:t>
      </w:r>
    </w:p>
    <w:p w14:paraId="5EDDA932" w14:textId="77777777" w:rsidR="00CD574A" w:rsidRPr="000C42EA" w:rsidRDefault="00CD574A" w:rsidP="00CD574A">
      <w:r w:rsidRPr="000C42EA">
        <w:t>Investigating business situations to define recommendations for improvement action.</w:t>
      </w:r>
    </w:p>
    <w:p w14:paraId="78B0DC3F" w14:textId="77777777" w:rsidR="00CD574A" w:rsidRPr="000C42EA" w:rsidRDefault="00CD574A" w:rsidP="00CD574A">
      <w:pPr>
        <w:pStyle w:val="ListParagraph"/>
        <w:numPr>
          <w:ilvl w:val="0"/>
          <w:numId w:val="26"/>
        </w:numPr>
      </w:pPr>
      <w:r w:rsidRPr="000C42EA">
        <w:t xml:space="preserve">Plans, manages and investigates business situation analysis where there is significant ambiguity and complexity. </w:t>
      </w:r>
    </w:p>
    <w:p w14:paraId="33FE4B1B" w14:textId="77777777" w:rsidR="00CD574A" w:rsidRPr="000C42EA" w:rsidRDefault="00CD574A" w:rsidP="00CD574A">
      <w:pPr>
        <w:pStyle w:val="ListParagraph"/>
        <w:numPr>
          <w:ilvl w:val="0"/>
          <w:numId w:val="26"/>
        </w:numPr>
      </w:pPr>
      <w:r w:rsidRPr="000C42EA">
        <w:lastRenderedPageBreak/>
        <w:t xml:space="preserve">Advises on the approach and techniques to be used for business situation analysis. Ensures holistic view adopted to identify and analyse wide-ranging problems and opportunities. </w:t>
      </w:r>
    </w:p>
    <w:p w14:paraId="3D942C24" w14:textId="77777777" w:rsidR="00CD574A" w:rsidRPr="000C42EA" w:rsidRDefault="00CD574A" w:rsidP="00CD574A">
      <w:pPr>
        <w:pStyle w:val="ListParagraph"/>
        <w:numPr>
          <w:ilvl w:val="0"/>
          <w:numId w:val="26"/>
        </w:numPr>
      </w:pPr>
      <w:r w:rsidRPr="000C42EA">
        <w:t xml:space="preserve">Engages and collaborates with a wide range of stakeholders, including those at the management level. Gains agreement from stakeholders to conclusions and recommendations. </w:t>
      </w:r>
    </w:p>
    <w:p w14:paraId="786E390A" w14:textId="77777777" w:rsidR="00CD574A" w:rsidRPr="000C42EA" w:rsidRDefault="00CD574A" w:rsidP="00CD574A">
      <w:pPr>
        <w:pStyle w:val="ListParagraph"/>
        <w:numPr>
          <w:ilvl w:val="0"/>
          <w:numId w:val="26"/>
        </w:numPr>
      </w:pPr>
      <w:r w:rsidRPr="000C42EA">
        <w:t xml:space="preserve">Contributes to definition of organisational standards and guidelines for business situation analysis. </w:t>
      </w:r>
    </w:p>
    <w:p w14:paraId="0F9C04FF" w14:textId="77777777" w:rsidR="00CD574A" w:rsidRPr="000C42EA" w:rsidRDefault="00CD574A" w:rsidP="00CD574A">
      <w:pPr>
        <w:pStyle w:val="Heading3"/>
      </w:pPr>
      <w:r w:rsidRPr="000C42EA">
        <w:t>Levels of responsibility</w:t>
      </w:r>
    </w:p>
    <w:p w14:paraId="6F785737" w14:textId="77777777" w:rsidR="00CD574A" w:rsidRPr="000C42EA" w:rsidRDefault="00CD574A" w:rsidP="00CD574A">
      <w:pPr>
        <w:pStyle w:val="PDHeading4"/>
      </w:pPr>
      <w:hyperlink r:id="rId16" w:tgtFrame="_blank" w:history="1">
        <w:r w:rsidRPr="000C42EA">
          <w:rPr>
            <w:rStyle w:val="normaltextrun"/>
          </w:rPr>
          <w:t>Autonomy - Level 5</w:t>
        </w:r>
      </w:hyperlink>
      <w:r w:rsidRPr="000C42EA">
        <w:rPr>
          <w:rStyle w:val="eop"/>
        </w:rPr>
        <w:t> </w:t>
      </w:r>
    </w:p>
    <w:p w14:paraId="76B6DC1A" w14:textId="77777777" w:rsidR="00CD574A" w:rsidRPr="000C42EA" w:rsidRDefault="00CD574A" w:rsidP="00CD574A">
      <w:pPr>
        <w:pStyle w:val="ListParagraph"/>
        <w:numPr>
          <w:ilvl w:val="0"/>
          <w:numId w:val="37"/>
        </w:numPr>
      </w:pPr>
      <w:r w:rsidRPr="000C42EA">
        <w:t>Works under broad direction. </w:t>
      </w:r>
    </w:p>
    <w:p w14:paraId="6026CCDA" w14:textId="77777777" w:rsidR="00CD574A" w:rsidRPr="000C42EA" w:rsidRDefault="00CD574A" w:rsidP="00CD574A">
      <w:pPr>
        <w:pStyle w:val="ListParagraph"/>
        <w:numPr>
          <w:ilvl w:val="0"/>
          <w:numId w:val="37"/>
        </w:numPr>
      </w:pPr>
      <w:r w:rsidRPr="000C42EA">
        <w:t>Work is self-initiated, consistent with agreed operational and budgetary requirements for meeting allocated technical and/or group objectives. </w:t>
      </w:r>
    </w:p>
    <w:p w14:paraId="4B8DA754" w14:textId="77777777" w:rsidR="00CD574A" w:rsidRPr="000C42EA" w:rsidRDefault="00CD574A" w:rsidP="00CD574A">
      <w:pPr>
        <w:pStyle w:val="ListParagraph"/>
        <w:numPr>
          <w:ilvl w:val="0"/>
          <w:numId w:val="37"/>
        </w:numPr>
      </w:pPr>
      <w:r w:rsidRPr="000C42EA">
        <w:t>Defines tasks and delegates work to teams and individuals within area of responsibility. </w:t>
      </w:r>
    </w:p>
    <w:p w14:paraId="14591D15" w14:textId="77777777" w:rsidR="00CD574A" w:rsidRPr="000C42EA" w:rsidRDefault="00CD574A" w:rsidP="00CD574A">
      <w:pPr>
        <w:pStyle w:val="PDHeading4"/>
      </w:pPr>
      <w:hyperlink r:id="rId17" w:tgtFrame="_blank" w:history="1">
        <w:r w:rsidRPr="000C42EA">
          <w:rPr>
            <w:rStyle w:val="normaltextrun"/>
          </w:rPr>
          <w:t>Influence - Level 4</w:t>
        </w:r>
      </w:hyperlink>
      <w:r w:rsidRPr="000C42EA">
        <w:rPr>
          <w:rStyle w:val="eop"/>
        </w:rPr>
        <w:t> </w:t>
      </w:r>
    </w:p>
    <w:p w14:paraId="39BD60C2" w14:textId="77777777" w:rsidR="00CD574A" w:rsidRPr="000C42EA" w:rsidRDefault="00CD574A" w:rsidP="00CD574A">
      <w:pPr>
        <w:pStyle w:val="ListParagraph"/>
        <w:numPr>
          <w:ilvl w:val="0"/>
          <w:numId w:val="36"/>
        </w:numPr>
      </w:pPr>
      <w:r w:rsidRPr="000C42EA">
        <w:t>Influences projects and team objectives. </w:t>
      </w:r>
    </w:p>
    <w:p w14:paraId="3135B9CF" w14:textId="77777777" w:rsidR="00CD574A" w:rsidRPr="000C42EA" w:rsidRDefault="00CD574A" w:rsidP="00CD574A">
      <w:pPr>
        <w:pStyle w:val="ListParagraph"/>
        <w:numPr>
          <w:ilvl w:val="0"/>
          <w:numId w:val="36"/>
        </w:numPr>
      </w:pPr>
      <w:r w:rsidRPr="000C42EA">
        <w:t>Has a tactical level of contact with people outside their team, including internal colleagues and external contacts. </w:t>
      </w:r>
    </w:p>
    <w:p w14:paraId="7526110A" w14:textId="77777777" w:rsidR="00CD574A" w:rsidRPr="000C42EA" w:rsidRDefault="00CD574A" w:rsidP="00CD574A">
      <w:pPr>
        <w:keepNext/>
        <w:keepLines/>
        <w:spacing w:before="120" w:after="0" w:line="360" w:lineRule="auto"/>
        <w:outlineLvl w:val="3"/>
        <w:rPr>
          <w:rFonts w:asciiTheme="majorHAnsi" w:eastAsiaTheme="majorEastAsia" w:hAnsiTheme="majorHAnsi" w:cstheme="majorBidi"/>
          <w:b/>
          <w:bCs/>
          <w:color w:val="002060"/>
          <w:szCs w:val="24"/>
          <w:lang w:val="en-GB"/>
        </w:rPr>
      </w:pPr>
      <w:r w:rsidRPr="000C42EA">
        <w:rPr>
          <w:rFonts w:asciiTheme="majorHAnsi" w:eastAsiaTheme="majorEastAsia" w:hAnsiTheme="majorHAnsi" w:cstheme="majorBidi"/>
          <w:b/>
          <w:bCs/>
          <w:color w:val="002060"/>
          <w:szCs w:val="24"/>
          <w:lang w:val="en-GB"/>
        </w:rPr>
        <w:t xml:space="preserve">Complexity – Level 5 </w:t>
      </w:r>
    </w:p>
    <w:p w14:paraId="50689A7A" w14:textId="77777777" w:rsidR="00CD574A" w:rsidRPr="000C42EA" w:rsidRDefault="00CD574A" w:rsidP="00CD574A">
      <w:pPr>
        <w:pStyle w:val="ListParagraph"/>
        <w:numPr>
          <w:ilvl w:val="0"/>
          <w:numId w:val="34"/>
        </w:numPr>
      </w:pPr>
      <w:r w:rsidRPr="000C42EA">
        <w:t>Performs an extensive range of complex technical and/or professional work activities, requiring the application of fundamental principles in a range of unpredictable contexts.</w:t>
      </w:r>
    </w:p>
    <w:p w14:paraId="57FB1F3F" w14:textId="77777777" w:rsidR="00CD574A" w:rsidRPr="000C42EA" w:rsidRDefault="00CD574A" w:rsidP="00CD574A">
      <w:pPr>
        <w:keepNext/>
        <w:keepLines/>
        <w:spacing w:before="120" w:after="0" w:line="360" w:lineRule="auto"/>
        <w:outlineLvl w:val="3"/>
        <w:rPr>
          <w:rFonts w:asciiTheme="majorHAnsi" w:eastAsiaTheme="majorEastAsia" w:hAnsiTheme="majorHAnsi" w:cstheme="majorBidi"/>
          <w:b/>
          <w:bCs/>
          <w:color w:val="002060"/>
          <w:szCs w:val="24"/>
          <w:lang w:val="en-GB"/>
        </w:rPr>
      </w:pPr>
      <w:r w:rsidRPr="000C42EA">
        <w:rPr>
          <w:rFonts w:asciiTheme="majorHAnsi" w:eastAsiaTheme="majorEastAsia" w:hAnsiTheme="majorHAnsi" w:cstheme="majorBidi"/>
          <w:b/>
          <w:bCs/>
          <w:color w:val="002060"/>
          <w:szCs w:val="24"/>
          <w:lang w:val="en-GB"/>
        </w:rPr>
        <w:t>Business skills – Level 5</w:t>
      </w:r>
    </w:p>
    <w:p w14:paraId="57EAA76D"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Uses judgement to make informed decisions on actions to achieve organisational outcomes such as meeting targets, deadlines, and budget. Raises issues when objectives are at risk.</w:t>
      </w:r>
    </w:p>
    <w:p w14:paraId="6025DDE2"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Analyses, designs, plans, establishes milestones, and executes and evaluates work to time, cost and quality targets.</w:t>
      </w:r>
    </w:p>
    <w:p w14:paraId="27BE066A"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Facilitates collaboration between stakeholders who have diverse objectives. Ensures collaborative ways of working throughout all stages of work to meet user/customer needs. Builds effective relationships across the organisation and with customers, suppliers and partners.</w:t>
      </w:r>
    </w:p>
    <w:p w14:paraId="4008C5C8"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Investigates complex issues to identify the root causes and impacts, assesses a range of solutions, and makes informed decisions on the best course of action, often in collaboration with other experts.</w:t>
      </w:r>
    </w:p>
    <w:p w14:paraId="2B98691E"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Identifies and evaluates potential improvements to products, practices, or services. Leads implementation of enhancements within own area of responsibility. Assesses effectiveness of implemented changes.</w:t>
      </w:r>
    </w:p>
    <w:p w14:paraId="1105671D"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lastRenderedPageBreak/>
        <w:t>Creatively applies innovative thinking and design practices in identifying solutions that will deliver value for the benefit of the customer/stakeholder.</w:t>
      </w:r>
    </w:p>
    <w:p w14:paraId="17517464"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Communicates clearly with impact, articulating complex information and ideas to broad audiences with different viewpoints. Leads and encourages conversations to share ideas and build consensus on actions to be taken.</w:t>
      </w:r>
    </w:p>
    <w:p w14:paraId="2AEAE44A"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Provides leadership at an operational level. Implements and executes policies aligned to strategic plans. Assesses and evaluates risk. Takes all requirements into account when considering proposals.</w:t>
      </w:r>
    </w:p>
    <w:p w14:paraId="1044BB0F"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Leads adaptations to changing business environments. Guides teams through transitions, maintaining focus on organisational objectives.</w:t>
      </w:r>
    </w:p>
    <w:p w14:paraId="37C8EF90"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Uses their skills and knowledge to help establish the standards that others in the organisation will apply. Takes the initiative to develop a wider breadth of knowledge across industry and/or business and identify and manage development opportunities in area of responsibility.</w:t>
      </w:r>
    </w:p>
    <w:p w14:paraId="329B3B3C" w14:textId="77777777" w:rsidR="00CD574A" w:rsidRPr="000C42EA" w:rsidRDefault="00CD574A" w:rsidP="00CD574A">
      <w:pPr>
        <w:numPr>
          <w:ilvl w:val="0"/>
          <w:numId w:val="33"/>
        </w:numPr>
        <w:contextualSpacing/>
        <w:rPr>
          <w:rFonts w:ascii="Verdana Pro" w:eastAsia="Calibri" w:hAnsi="Verdana Pro" w:cs="Arial"/>
          <w:kern w:val="28"/>
          <w:szCs w:val="20"/>
        </w:rPr>
      </w:pPr>
      <w:r w:rsidRPr="000C42EA">
        <w:rPr>
          <w:rFonts w:ascii="Verdana Pro" w:eastAsia="Calibri" w:hAnsi="Verdana Pro" w:cs="Arial"/>
          <w:kern w:val="28"/>
          <w:szCs w:val="20"/>
        </w:rPr>
        <w:t>Recognises and evaluates the organisational impact of new technologies and digital services. Implements new and effective practices. Advises on available standards, methods, tools, applications and processes relevant to group specialism(s) and can make appropriate choices from alternatives.</w:t>
      </w:r>
    </w:p>
    <w:p w14:paraId="083C310F" w14:textId="79DF4714" w:rsidR="00CD574A" w:rsidRPr="000C42EA" w:rsidRDefault="00CD574A" w:rsidP="00CD574A">
      <w:pPr>
        <w:numPr>
          <w:ilvl w:val="0"/>
          <w:numId w:val="33"/>
        </w:numPr>
        <w:contextualSpacing/>
      </w:pPr>
      <w:r w:rsidRPr="000C42EA">
        <w:rPr>
          <w:rFonts w:ascii="Verdana Pro" w:eastAsia="Calibri" w:hAnsi="Verdana Pro" w:cs="Arial"/>
          <w:kern w:val="28"/>
          <w:szCs w:val="20"/>
        </w:rPr>
        <w:t>Contributes proactively to the implementation of professional working practices and helps promote a supportive organisational culture.</w:t>
      </w:r>
    </w:p>
    <w:p w14:paraId="0832D223" w14:textId="77777777" w:rsidR="00CD574A" w:rsidRPr="000C42EA" w:rsidRDefault="00CD574A" w:rsidP="00CD574A">
      <w:pPr>
        <w:pStyle w:val="PDHeading4"/>
      </w:pPr>
      <w:hyperlink r:id="rId18" w:tgtFrame="_blank" w:history="1">
        <w:r w:rsidRPr="000C42EA">
          <w:rPr>
            <w:rStyle w:val="PDHeading4Char"/>
            <w:b/>
            <w:bCs/>
          </w:rPr>
          <w:t>Knowledge</w:t>
        </w:r>
        <w:r w:rsidRPr="000C42EA">
          <w:rPr>
            <w:rStyle w:val="normaltextrun"/>
          </w:rPr>
          <w:t xml:space="preserve"> - Level 5</w:t>
        </w:r>
      </w:hyperlink>
      <w:r w:rsidRPr="000C42EA">
        <w:rPr>
          <w:rStyle w:val="eop"/>
        </w:rPr>
        <w:t> </w:t>
      </w:r>
    </w:p>
    <w:p w14:paraId="20B43958" w14:textId="77777777" w:rsidR="00CD574A" w:rsidRPr="000C42EA" w:rsidRDefault="00CD574A" w:rsidP="00CD574A">
      <w:pPr>
        <w:pStyle w:val="ListParagraph"/>
        <w:numPr>
          <w:ilvl w:val="0"/>
          <w:numId w:val="38"/>
        </w:numPr>
      </w:pPr>
      <w:r w:rsidRPr="000C42EA">
        <w:t>Applies knowledge to interpret complex situations and offer authoritative advice. </w:t>
      </w:r>
    </w:p>
    <w:p w14:paraId="3D08BA63" w14:textId="77777777" w:rsidR="00CD574A" w:rsidRPr="000C42EA" w:rsidRDefault="00CD574A" w:rsidP="00CD574A">
      <w:pPr>
        <w:pStyle w:val="ListParagraph"/>
        <w:numPr>
          <w:ilvl w:val="0"/>
          <w:numId w:val="38"/>
        </w:numPr>
      </w:pPr>
      <w:r w:rsidRPr="000C42EA">
        <w:t>Applies in-depth expertise in specific fields, with a broader understanding across industry/business. </w:t>
      </w:r>
    </w:p>
    <w:p w14:paraId="12E34481" w14:textId="77777777" w:rsidR="00CD574A" w:rsidRPr="000C42EA" w:rsidRDefault="00CD574A" w:rsidP="00CD574A">
      <w:pPr>
        <w:pStyle w:val="Heading3"/>
        <w:rPr>
          <w:sz w:val="28"/>
          <w:szCs w:val="28"/>
        </w:rPr>
      </w:pPr>
      <w:r w:rsidRPr="000C42EA">
        <w:rPr>
          <w:sz w:val="28"/>
          <w:szCs w:val="28"/>
        </w:rPr>
        <w:t xml:space="preserve">Embedding </w:t>
      </w:r>
      <w:bookmarkStart w:id="0" w:name="_Hlk109376153"/>
      <w:r w:rsidRPr="000C42EA">
        <w:rPr>
          <w:sz w:val="28"/>
          <w:szCs w:val="28"/>
          <w:lang w:val="mi-NZ"/>
        </w:rPr>
        <w:t>Te</w:t>
      </w:r>
      <w:r w:rsidRPr="000C42EA">
        <w:rPr>
          <w:sz w:val="28"/>
          <w:szCs w:val="28"/>
        </w:rPr>
        <w:t xml:space="preserve"> </w:t>
      </w:r>
      <w:r w:rsidRPr="000C42EA">
        <w:rPr>
          <w:sz w:val="28"/>
          <w:szCs w:val="28"/>
          <w:lang w:val="mi-NZ"/>
        </w:rPr>
        <w:t>Ao</w:t>
      </w:r>
      <w:r w:rsidRPr="000C42EA">
        <w:rPr>
          <w:sz w:val="28"/>
          <w:szCs w:val="28"/>
        </w:rPr>
        <w:t xml:space="preserve"> </w:t>
      </w:r>
      <w:r w:rsidRPr="000C42EA">
        <w:rPr>
          <w:sz w:val="28"/>
          <w:szCs w:val="28"/>
          <w:lang w:val="mi-NZ"/>
        </w:rPr>
        <w:t>Māori</w:t>
      </w:r>
      <w:bookmarkEnd w:id="0"/>
    </w:p>
    <w:p w14:paraId="33C7C8DA" w14:textId="77777777" w:rsidR="00CD574A" w:rsidRPr="000C42EA" w:rsidRDefault="00CD574A" w:rsidP="00CD574A">
      <w:pPr>
        <w:pStyle w:val="ListParagraph"/>
        <w:numPr>
          <w:ilvl w:val="0"/>
          <w:numId w:val="41"/>
        </w:numPr>
      </w:pPr>
      <w:r w:rsidRPr="000C42EA">
        <w:t>Embedding Te Ao Māori (</w:t>
      </w:r>
      <w:proofErr w:type="spellStart"/>
      <w:r w:rsidRPr="000C42EA">
        <w:t>te</w:t>
      </w:r>
      <w:proofErr w:type="spellEnd"/>
      <w:r w:rsidRPr="000C42EA">
        <w:t xml:space="preserve"> </w:t>
      </w:r>
      <w:proofErr w:type="spellStart"/>
      <w:r w:rsidRPr="000C42EA">
        <w:t>reo</w:t>
      </w:r>
      <w:proofErr w:type="spellEnd"/>
      <w:r w:rsidRPr="000C42EA">
        <w:t xml:space="preserve"> Māori, tikanga, kawa, Te </w:t>
      </w:r>
      <w:proofErr w:type="spellStart"/>
      <w:r w:rsidRPr="000C42EA">
        <w:t>Tiriti</w:t>
      </w:r>
      <w:proofErr w:type="spellEnd"/>
      <w:r w:rsidRPr="000C42EA">
        <w:t xml:space="preserve"> o Waitangi) into the way we do things at MSD. </w:t>
      </w:r>
    </w:p>
    <w:p w14:paraId="127131AF" w14:textId="77777777" w:rsidR="00CD574A" w:rsidRPr="000C42EA" w:rsidRDefault="00CD574A" w:rsidP="00CD574A">
      <w:pPr>
        <w:pStyle w:val="ListParagraph"/>
        <w:numPr>
          <w:ilvl w:val="0"/>
          <w:numId w:val="41"/>
        </w:numPr>
      </w:pPr>
      <w:r w:rsidRPr="000C42EA">
        <w:t>Building more experience, knowledge, skills and capabilities to confidently engage with whānau, hapū and iwi.</w:t>
      </w:r>
    </w:p>
    <w:p w14:paraId="1B8BBBED" w14:textId="77777777" w:rsidR="00CD574A" w:rsidRPr="000C42EA" w:rsidRDefault="00CD574A" w:rsidP="00CD574A">
      <w:pPr>
        <w:pStyle w:val="Heading3"/>
        <w:rPr>
          <w:sz w:val="28"/>
          <w:szCs w:val="28"/>
        </w:rPr>
      </w:pPr>
      <w:r w:rsidRPr="000C42EA">
        <w:rPr>
          <w:sz w:val="28"/>
          <w:szCs w:val="28"/>
        </w:rPr>
        <w:t>Health, Safety and Security</w:t>
      </w:r>
    </w:p>
    <w:p w14:paraId="5AB53329" w14:textId="77777777" w:rsidR="00CD574A" w:rsidRPr="000C42EA" w:rsidRDefault="00CD574A" w:rsidP="00CD574A">
      <w:pPr>
        <w:pStyle w:val="ListParagraph"/>
        <w:numPr>
          <w:ilvl w:val="0"/>
          <w:numId w:val="40"/>
        </w:numPr>
      </w:pPr>
      <w:r w:rsidRPr="000C42EA">
        <w:t>Understand and implement your Health, Safety and Security (HSS) accountabilities as outlined in the HSS Accountability Framework.</w:t>
      </w:r>
    </w:p>
    <w:p w14:paraId="74789158" w14:textId="77777777" w:rsidR="00CD574A" w:rsidRPr="000C42EA" w:rsidRDefault="00CD574A" w:rsidP="00CD574A">
      <w:pPr>
        <w:pStyle w:val="ListParagraph"/>
        <w:numPr>
          <w:ilvl w:val="0"/>
          <w:numId w:val="40"/>
        </w:numPr>
      </w:pPr>
      <w:r w:rsidRPr="000C42EA">
        <w:t>Ensure you understand, follow and implement all Health, Safety and Security and wellbeing policies and procedures.</w:t>
      </w:r>
    </w:p>
    <w:p w14:paraId="506CDAEC" w14:textId="77777777" w:rsidR="00CD574A" w:rsidRPr="000C42EA" w:rsidRDefault="00CD574A" w:rsidP="00CD574A">
      <w:pPr>
        <w:pStyle w:val="Heading3"/>
        <w:rPr>
          <w:sz w:val="28"/>
          <w:szCs w:val="28"/>
        </w:rPr>
      </w:pPr>
      <w:r w:rsidRPr="000C42EA">
        <w:rPr>
          <w:sz w:val="28"/>
          <w:szCs w:val="28"/>
        </w:rPr>
        <w:lastRenderedPageBreak/>
        <w:t>Emergency Management and Business Continuity</w:t>
      </w:r>
    </w:p>
    <w:p w14:paraId="7B17769C" w14:textId="77777777" w:rsidR="00CD574A" w:rsidRPr="000C42EA" w:rsidRDefault="00CD574A" w:rsidP="00CD574A">
      <w:pPr>
        <w:pStyle w:val="ListParagraph"/>
        <w:numPr>
          <w:ilvl w:val="0"/>
          <w:numId w:val="39"/>
        </w:numPr>
      </w:pPr>
      <w:r w:rsidRPr="000C42EA">
        <w:t>Remain familiar with the relevant provisions of the Emergency Management and Business Continuity Plans that impact your business group/team.</w:t>
      </w:r>
    </w:p>
    <w:p w14:paraId="4E2E2792" w14:textId="77777777" w:rsidR="00CD574A" w:rsidRPr="000C42EA" w:rsidRDefault="00CD574A" w:rsidP="00CD574A">
      <w:pPr>
        <w:pStyle w:val="ListParagraph"/>
        <w:numPr>
          <w:ilvl w:val="0"/>
          <w:numId w:val="39"/>
        </w:numPr>
        <w:rPr>
          <w:rFonts w:eastAsia="Calibri" w:cs="Arial"/>
          <w:lang w:val="en-GB"/>
        </w:rPr>
      </w:pPr>
      <w:r w:rsidRPr="000C42EA">
        <w:t>Participate in periodic training, reviews and tests of the established Business Continuity Plans and operating procedures</w:t>
      </w:r>
      <w:r w:rsidRPr="000C42EA">
        <w:rPr>
          <w:rFonts w:eastAsia="Calibri" w:cs="Arial"/>
          <w:lang w:val="en-GB"/>
        </w:rPr>
        <w:t>.</w:t>
      </w:r>
    </w:p>
    <w:p w14:paraId="5BB0F144" w14:textId="77777777" w:rsidR="00CD574A" w:rsidRPr="000C42EA" w:rsidRDefault="00CD574A" w:rsidP="00CD574A">
      <w:pPr>
        <w:pStyle w:val="Heading3"/>
        <w:rPr>
          <w:sz w:val="28"/>
          <w:szCs w:val="28"/>
        </w:rPr>
      </w:pPr>
      <w:r w:rsidRPr="000C42EA">
        <w:rPr>
          <w:sz w:val="28"/>
          <w:szCs w:val="28"/>
        </w:rPr>
        <w:t>Know-how</w:t>
      </w:r>
    </w:p>
    <w:p w14:paraId="2E24A6C1" w14:textId="77777777" w:rsidR="00CD574A" w:rsidRPr="000C42EA" w:rsidRDefault="00CD574A" w:rsidP="00CD574A">
      <w:pPr>
        <w:pStyle w:val="ListParagraph"/>
        <w:numPr>
          <w:ilvl w:val="0"/>
          <w:numId w:val="27"/>
        </w:numPr>
      </w:pPr>
      <w:r w:rsidRPr="000C42EA">
        <w:t xml:space="preserve">A relevant tertiary qualification or equivalent operational experience. </w:t>
      </w:r>
    </w:p>
    <w:p w14:paraId="4F1E06EA" w14:textId="77777777" w:rsidR="00CD574A" w:rsidRPr="000C42EA" w:rsidRDefault="00CD574A" w:rsidP="00CD574A">
      <w:pPr>
        <w:pStyle w:val="ListParagraph"/>
        <w:numPr>
          <w:ilvl w:val="0"/>
          <w:numId w:val="27"/>
        </w:numPr>
      </w:pPr>
      <w:r w:rsidRPr="000C42EA">
        <w:t>Significant experience in leading delivery methodologies in large and complex organisations</w:t>
      </w:r>
      <w:r>
        <w:t>.</w:t>
      </w:r>
    </w:p>
    <w:p w14:paraId="4DFC1FD1" w14:textId="77777777" w:rsidR="00CD574A" w:rsidRDefault="00CD574A" w:rsidP="00CD574A">
      <w:pPr>
        <w:pStyle w:val="ListParagraph"/>
        <w:numPr>
          <w:ilvl w:val="0"/>
          <w:numId w:val="27"/>
        </w:numPr>
      </w:pPr>
      <w:r w:rsidRPr="000C42EA">
        <w:t xml:space="preserve">Strong knowledge </w:t>
      </w:r>
      <w:r>
        <w:t>and practical experience in diverse ways of working</w:t>
      </w:r>
      <w:r w:rsidRPr="000C42EA">
        <w:t xml:space="preserve"> frameworks (e.g., </w:t>
      </w:r>
      <w:r>
        <w:t>Waterfall, Lean, Agile, Iterative</w:t>
      </w:r>
      <w:r w:rsidRPr="000C42EA">
        <w:t xml:space="preserve">, </w:t>
      </w:r>
      <w:r>
        <w:t>and others</w:t>
      </w:r>
      <w:r w:rsidRPr="000C42EA">
        <w:t>)</w:t>
      </w:r>
      <w:r>
        <w:t>.</w:t>
      </w:r>
    </w:p>
    <w:p w14:paraId="5C5D627A" w14:textId="77777777" w:rsidR="00CD574A" w:rsidRPr="000C42EA" w:rsidRDefault="00CD574A" w:rsidP="00CD574A">
      <w:pPr>
        <w:pStyle w:val="ListParagraph"/>
        <w:numPr>
          <w:ilvl w:val="0"/>
          <w:numId w:val="27"/>
        </w:numPr>
      </w:pPr>
      <w:r>
        <w:t>E</w:t>
      </w:r>
      <w:r w:rsidRPr="000C42EA">
        <w:t>xperience</w:t>
      </w:r>
      <w:r>
        <w:t xml:space="preserve"> in visualising work using</w:t>
      </w:r>
      <w:r w:rsidRPr="000C42EA">
        <w:t xml:space="preserve"> Jira and other delivery tools</w:t>
      </w:r>
      <w:r>
        <w:t>.</w:t>
      </w:r>
      <w:r w:rsidRPr="000C42EA">
        <w:t xml:space="preserve"> </w:t>
      </w:r>
    </w:p>
    <w:p w14:paraId="0597BC17" w14:textId="77777777" w:rsidR="00CD574A" w:rsidRPr="000C42EA" w:rsidRDefault="00CD574A" w:rsidP="00CD574A">
      <w:pPr>
        <w:pStyle w:val="ListParagraph"/>
        <w:numPr>
          <w:ilvl w:val="0"/>
          <w:numId w:val="27"/>
        </w:numPr>
      </w:pPr>
      <w:r w:rsidRPr="000C42EA">
        <w:t>Excellent facilitation, and communication skills, being able to work with stakeholders at all levels of the organisation</w:t>
      </w:r>
      <w:r>
        <w:t>.</w:t>
      </w:r>
    </w:p>
    <w:p w14:paraId="291762B3" w14:textId="77777777" w:rsidR="00CD574A" w:rsidRPr="000C42EA" w:rsidRDefault="00CD574A" w:rsidP="00CD574A">
      <w:pPr>
        <w:pStyle w:val="ListParagraph"/>
        <w:numPr>
          <w:ilvl w:val="0"/>
          <w:numId w:val="27"/>
        </w:numPr>
      </w:pPr>
      <w:r w:rsidRPr="000C42EA">
        <w:t>Working with a wide range of stakeholders and developing strong stakeholder relationships</w:t>
      </w:r>
      <w:r>
        <w:t>.</w:t>
      </w:r>
    </w:p>
    <w:p w14:paraId="0132242E" w14:textId="77777777" w:rsidR="00CD574A" w:rsidRPr="000C42EA" w:rsidRDefault="00CD574A" w:rsidP="00CD574A">
      <w:pPr>
        <w:pStyle w:val="ListParagraph"/>
        <w:numPr>
          <w:ilvl w:val="0"/>
          <w:numId w:val="27"/>
        </w:numPr>
      </w:pPr>
      <w:r w:rsidRPr="000C42EA">
        <w:t>Working in environments where things can shift, move or change quickly</w:t>
      </w:r>
      <w:r>
        <w:t>.</w:t>
      </w:r>
      <w:r w:rsidRPr="000C42EA">
        <w:t xml:space="preserve"> </w:t>
      </w:r>
    </w:p>
    <w:p w14:paraId="7BA2A032" w14:textId="77777777" w:rsidR="00CD574A" w:rsidRPr="000C42EA" w:rsidRDefault="00CD574A" w:rsidP="00CD574A">
      <w:pPr>
        <w:pStyle w:val="ListParagraph"/>
        <w:numPr>
          <w:ilvl w:val="0"/>
          <w:numId w:val="27"/>
        </w:numPr>
      </w:pPr>
      <w:r w:rsidRPr="000C42EA">
        <w:t>Strong judgement and intellectual flexibility</w:t>
      </w:r>
      <w:r>
        <w:t>.</w:t>
      </w:r>
      <w:r w:rsidRPr="000C42EA">
        <w:t xml:space="preserve"> </w:t>
      </w:r>
    </w:p>
    <w:p w14:paraId="28E893CE" w14:textId="77777777" w:rsidR="00CD574A" w:rsidRPr="000C42EA" w:rsidRDefault="00CD574A" w:rsidP="00CD574A">
      <w:pPr>
        <w:pStyle w:val="ListParagraph"/>
        <w:numPr>
          <w:ilvl w:val="0"/>
          <w:numId w:val="27"/>
        </w:numPr>
      </w:pPr>
      <w:r w:rsidRPr="000C42EA">
        <w:t>Knowledge and experience in the public sector environment and the role, duties and expectations of public servants</w:t>
      </w:r>
      <w:r>
        <w:t>.</w:t>
      </w:r>
    </w:p>
    <w:p w14:paraId="7D7B0B97" w14:textId="77777777" w:rsidR="00CD574A" w:rsidRPr="000C42EA" w:rsidRDefault="00CD574A" w:rsidP="00CD574A">
      <w:pPr>
        <w:pStyle w:val="Heading3"/>
        <w:rPr>
          <w:sz w:val="28"/>
          <w:szCs w:val="28"/>
        </w:rPr>
      </w:pPr>
      <w:r w:rsidRPr="000C42EA">
        <w:rPr>
          <w:sz w:val="28"/>
          <w:szCs w:val="28"/>
        </w:rPr>
        <w:t xml:space="preserve">Key relationships </w:t>
      </w:r>
    </w:p>
    <w:p w14:paraId="7478A42D" w14:textId="77777777" w:rsidR="00CD574A" w:rsidRPr="000C42EA" w:rsidRDefault="00CD574A" w:rsidP="00CD574A">
      <w:pPr>
        <w:pStyle w:val="PDHeading4"/>
        <w:tabs>
          <w:tab w:val="left" w:pos="3505"/>
        </w:tabs>
      </w:pPr>
      <w:r w:rsidRPr="000C42EA">
        <w:t>Internal</w:t>
      </w:r>
    </w:p>
    <w:p w14:paraId="533F4A28" w14:textId="77777777" w:rsidR="00CD574A" w:rsidRPr="000C42EA" w:rsidRDefault="00CD574A" w:rsidP="00CD574A">
      <w:pPr>
        <w:pStyle w:val="ListParagraph"/>
        <w:numPr>
          <w:ilvl w:val="0"/>
          <w:numId w:val="28"/>
        </w:numPr>
        <w:ind w:left="360"/>
      </w:pPr>
      <w:r w:rsidRPr="000C42EA">
        <w:t xml:space="preserve">Practice Teams  </w:t>
      </w:r>
    </w:p>
    <w:p w14:paraId="3E0CCB74" w14:textId="77777777" w:rsidR="00CD574A" w:rsidRPr="000C42EA" w:rsidRDefault="00CD574A" w:rsidP="00CD574A">
      <w:pPr>
        <w:pStyle w:val="ListParagraph"/>
        <w:numPr>
          <w:ilvl w:val="0"/>
          <w:numId w:val="28"/>
        </w:numPr>
        <w:ind w:left="360"/>
      </w:pPr>
      <w:r w:rsidRPr="000C42EA">
        <w:t xml:space="preserve">Other Practice Managers and Leads  </w:t>
      </w:r>
    </w:p>
    <w:p w14:paraId="0BE602B3" w14:textId="77777777" w:rsidR="00CD574A" w:rsidRPr="000C42EA" w:rsidRDefault="00CD574A" w:rsidP="00CD574A">
      <w:pPr>
        <w:pStyle w:val="ListParagraph"/>
        <w:numPr>
          <w:ilvl w:val="0"/>
          <w:numId w:val="28"/>
        </w:numPr>
        <w:ind w:left="360"/>
      </w:pPr>
      <w:r w:rsidRPr="000C42EA">
        <w:t xml:space="preserve">All users of Delivery tools </w:t>
      </w:r>
    </w:p>
    <w:p w14:paraId="1202538A" w14:textId="77777777" w:rsidR="00CD574A" w:rsidRPr="000C42EA" w:rsidRDefault="00CD574A" w:rsidP="00CD574A">
      <w:pPr>
        <w:pStyle w:val="ListParagraph"/>
        <w:numPr>
          <w:ilvl w:val="0"/>
          <w:numId w:val="28"/>
        </w:numPr>
        <w:ind w:left="360"/>
      </w:pPr>
      <w:r w:rsidRPr="000C42EA">
        <w:t xml:space="preserve">Other organisational stakeholders (e.g., Finance and People) </w:t>
      </w:r>
    </w:p>
    <w:p w14:paraId="7E4B85AF" w14:textId="77777777" w:rsidR="00CD574A" w:rsidRPr="000C42EA" w:rsidRDefault="00CD574A" w:rsidP="00CD574A">
      <w:pPr>
        <w:pStyle w:val="ListParagraph"/>
        <w:numPr>
          <w:ilvl w:val="0"/>
          <w:numId w:val="28"/>
        </w:numPr>
        <w:ind w:left="360"/>
      </w:pPr>
      <w:r w:rsidRPr="000C42EA">
        <w:t xml:space="preserve">Ministry Wide Leads  </w:t>
      </w:r>
    </w:p>
    <w:p w14:paraId="32547F63" w14:textId="77777777" w:rsidR="00CD574A" w:rsidRPr="000C42EA" w:rsidRDefault="00CD574A" w:rsidP="00CD574A">
      <w:pPr>
        <w:pStyle w:val="PDHeading4"/>
        <w:tabs>
          <w:tab w:val="left" w:pos="3505"/>
        </w:tabs>
      </w:pPr>
      <w:r w:rsidRPr="000C42EA">
        <w:t>External</w:t>
      </w:r>
    </w:p>
    <w:p w14:paraId="6EA7D9B2" w14:textId="77777777" w:rsidR="00CD574A" w:rsidRPr="000C42EA" w:rsidRDefault="00CD574A" w:rsidP="00CD574A">
      <w:pPr>
        <w:pStyle w:val="ListParagraph"/>
        <w:numPr>
          <w:ilvl w:val="0"/>
          <w:numId w:val="29"/>
        </w:numPr>
        <w:ind w:left="360"/>
      </w:pPr>
      <w:r w:rsidRPr="000C42EA">
        <w:t xml:space="preserve">External agencies and suppliers </w:t>
      </w:r>
    </w:p>
    <w:p w14:paraId="38576E9C" w14:textId="77777777" w:rsidR="00CD574A" w:rsidRPr="000C42EA" w:rsidRDefault="00CD574A" w:rsidP="00CD574A">
      <w:pPr>
        <w:pStyle w:val="ListParagraph"/>
        <w:numPr>
          <w:ilvl w:val="0"/>
          <w:numId w:val="29"/>
        </w:numPr>
        <w:ind w:left="360"/>
      </w:pPr>
      <w:r w:rsidRPr="000C42EA">
        <w:t xml:space="preserve">Other government agencies </w:t>
      </w:r>
    </w:p>
    <w:p w14:paraId="0D3B34B6" w14:textId="77777777" w:rsidR="00CD574A" w:rsidRPr="000C42EA" w:rsidRDefault="00CD574A" w:rsidP="00CD574A">
      <w:pPr>
        <w:pStyle w:val="Heading3"/>
        <w:rPr>
          <w:sz w:val="28"/>
          <w:szCs w:val="28"/>
        </w:rPr>
      </w:pPr>
      <w:r w:rsidRPr="000C42EA">
        <w:rPr>
          <w:sz w:val="28"/>
          <w:szCs w:val="28"/>
        </w:rPr>
        <w:t>Other</w:t>
      </w:r>
    </w:p>
    <w:p w14:paraId="3361DC05" w14:textId="77777777" w:rsidR="00CD574A" w:rsidRPr="000C42EA" w:rsidRDefault="00CD574A" w:rsidP="00CD574A">
      <w:pPr>
        <w:pStyle w:val="PDHeading4"/>
        <w:tabs>
          <w:tab w:val="left" w:pos="3505"/>
        </w:tabs>
      </w:pPr>
      <w:r w:rsidRPr="000C42EA">
        <w:t>Delegations</w:t>
      </w:r>
    </w:p>
    <w:p w14:paraId="4C42849B" w14:textId="77777777" w:rsidR="00CD574A" w:rsidRPr="000C42EA" w:rsidRDefault="00CD574A" w:rsidP="00CD574A">
      <w:pPr>
        <w:pStyle w:val="ListParagraph"/>
        <w:numPr>
          <w:ilvl w:val="0"/>
          <w:numId w:val="7"/>
        </w:numPr>
        <w:spacing w:before="60" w:after="60" w:line="288" w:lineRule="auto"/>
        <w:ind w:left="360"/>
      </w:pPr>
      <w:r w:rsidRPr="000C42EA">
        <w:t>Financial – No</w:t>
      </w:r>
    </w:p>
    <w:p w14:paraId="2EE61184" w14:textId="77777777" w:rsidR="00CD574A" w:rsidRPr="000C42EA" w:rsidRDefault="00CD574A" w:rsidP="00CD574A">
      <w:pPr>
        <w:pStyle w:val="ListParagraph"/>
        <w:numPr>
          <w:ilvl w:val="0"/>
          <w:numId w:val="7"/>
        </w:numPr>
        <w:spacing w:before="60" w:after="60" w:line="288" w:lineRule="auto"/>
        <w:ind w:left="360"/>
      </w:pPr>
      <w:r w:rsidRPr="000C42EA">
        <w:t>Human Resources - No</w:t>
      </w:r>
    </w:p>
    <w:p w14:paraId="4B3ABB4F" w14:textId="77777777" w:rsidR="00CD574A" w:rsidRPr="000C42EA" w:rsidRDefault="00CD574A" w:rsidP="00CD574A">
      <w:pPr>
        <w:pStyle w:val="PDHeading4"/>
        <w:tabs>
          <w:tab w:val="left" w:pos="3505"/>
        </w:tabs>
      </w:pPr>
      <w:r w:rsidRPr="000C42EA">
        <w:lastRenderedPageBreak/>
        <w:t xml:space="preserve">Direct reports </w:t>
      </w:r>
    </w:p>
    <w:p w14:paraId="2730B50B" w14:textId="77777777" w:rsidR="00CD574A" w:rsidRPr="000C42EA" w:rsidRDefault="00CD574A" w:rsidP="00CD574A">
      <w:pPr>
        <w:pStyle w:val="ListParagraph"/>
        <w:numPr>
          <w:ilvl w:val="0"/>
          <w:numId w:val="7"/>
        </w:numPr>
        <w:spacing w:before="60" w:after="60" w:line="288" w:lineRule="auto"/>
        <w:ind w:left="360"/>
      </w:pPr>
      <w:r w:rsidRPr="000C42EA">
        <w:t>No</w:t>
      </w:r>
    </w:p>
    <w:p w14:paraId="129E3DB1" w14:textId="77777777" w:rsidR="00CD574A" w:rsidRPr="000C42EA" w:rsidRDefault="00CD574A" w:rsidP="00CD574A">
      <w:pPr>
        <w:pStyle w:val="PDHeading4"/>
        <w:tabs>
          <w:tab w:val="left" w:pos="3505"/>
        </w:tabs>
      </w:pPr>
      <w:r w:rsidRPr="000C42EA">
        <w:t>Security clearance</w:t>
      </w:r>
    </w:p>
    <w:p w14:paraId="5BB168D8" w14:textId="77777777" w:rsidR="00CD574A" w:rsidRPr="000C42EA" w:rsidRDefault="00CD574A" w:rsidP="00CD574A">
      <w:pPr>
        <w:pStyle w:val="ListParagraph"/>
        <w:numPr>
          <w:ilvl w:val="0"/>
          <w:numId w:val="7"/>
        </w:numPr>
        <w:spacing w:before="60" w:after="60" w:line="288" w:lineRule="auto"/>
        <w:ind w:left="360"/>
      </w:pPr>
      <w:r w:rsidRPr="000C42EA">
        <w:t>No</w:t>
      </w:r>
    </w:p>
    <w:p w14:paraId="4010137D" w14:textId="77777777" w:rsidR="00CD574A" w:rsidRPr="000C42EA" w:rsidRDefault="00CD574A" w:rsidP="00CD574A">
      <w:pPr>
        <w:pStyle w:val="PDHeading4"/>
        <w:tabs>
          <w:tab w:val="left" w:pos="3505"/>
        </w:tabs>
      </w:pPr>
      <w:r w:rsidRPr="000C42EA">
        <w:t>Children’s worker</w:t>
      </w:r>
    </w:p>
    <w:p w14:paraId="43C88744" w14:textId="77777777" w:rsidR="00CD574A" w:rsidRPr="000C42EA" w:rsidRDefault="00CD574A" w:rsidP="00CD574A">
      <w:pPr>
        <w:pStyle w:val="ListParagraph"/>
        <w:numPr>
          <w:ilvl w:val="0"/>
          <w:numId w:val="7"/>
        </w:numPr>
        <w:spacing w:before="60" w:after="60" w:line="288" w:lineRule="auto"/>
        <w:ind w:left="360"/>
      </w:pPr>
      <w:r w:rsidRPr="000C42EA">
        <w:t>Not a children’s worker</w:t>
      </w:r>
    </w:p>
    <w:p w14:paraId="7EFA01E8" w14:textId="77777777" w:rsidR="00CD574A" w:rsidRPr="000C42EA" w:rsidRDefault="00CD574A" w:rsidP="00CD574A">
      <w:pPr>
        <w:pStyle w:val="PDHeading4"/>
        <w:tabs>
          <w:tab w:val="left" w:pos="3505"/>
        </w:tabs>
      </w:pPr>
      <w:r w:rsidRPr="000C42EA">
        <w:t>Travel</w:t>
      </w:r>
    </w:p>
    <w:p w14:paraId="5828290D" w14:textId="77777777" w:rsidR="00CD574A" w:rsidRPr="000C42EA" w:rsidRDefault="00CD574A" w:rsidP="00CD574A">
      <w:pPr>
        <w:pStyle w:val="ListParagraph"/>
        <w:numPr>
          <w:ilvl w:val="0"/>
          <w:numId w:val="7"/>
        </w:numPr>
        <w:spacing w:before="60" w:after="60" w:line="288" w:lineRule="auto"/>
        <w:ind w:left="360"/>
      </w:pPr>
      <w:r w:rsidRPr="000C42EA">
        <w:t xml:space="preserve">Limited </w:t>
      </w:r>
      <w:proofErr w:type="spellStart"/>
      <w:r w:rsidRPr="000C42EA">
        <w:t>adhoc</w:t>
      </w:r>
      <w:proofErr w:type="spellEnd"/>
      <w:r w:rsidRPr="000C42EA">
        <w:t xml:space="preserve"> travel may be required</w:t>
      </w:r>
    </w:p>
    <w:p w14:paraId="51E8B0BA" w14:textId="6CD11397" w:rsidR="004B0A86" w:rsidRPr="00CD574A" w:rsidRDefault="004B0A86" w:rsidP="00CD574A"/>
    <w:sectPr w:rsidR="004B0A86" w:rsidRPr="00CD574A" w:rsidSect="0067336C">
      <w:headerReference w:type="even" r:id="rId19"/>
      <w:footerReference w:type="default" r:id="rId20"/>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51E9" w14:textId="77777777" w:rsidR="00D654EE" w:rsidRDefault="00D654EE" w:rsidP="00F05C09">
      <w:pPr>
        <w:spacing w:after="0" w:line="240" w:lineRule="auto"/>
      </w:pPr>
      <w:r>
        <w:separator/>
      </w:r>
    </w:p>
  </w:endnote>
  <w:endnote w:type="continuationSeparator" w:id="0">
    <w:p w14:paraId="50306FBA" w14:textId="77777777" w:rsidR="00D654EE" w:rsidRDefault="00D654EE" w:rsidP="00F05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rPr>
    </w:sdtEndPr>
    <w:sdtContent>
      <w:p w14:paraId="06780ABF" w14:textId="7AFAC33C" w:rsidR="00C7317E" w:rsidRDefault="00C7317E" w:rsidP="006A5C63">
        <w:pPr>
          <w:pStyle w:val="Footer"/>
        </w:pPr>
        <w:r>
          <w:rPr>
            <w:noProof/>
          </w:rPr>
          <mc:AlternateContent>
            <mc:Choice Requires="wps">
              <w:drawing>
                <wp:anchor distT="0" distB="0" distL="114300" distR="114300" simplePos="0" relativeHeight="251659264"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E6EE0"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" strokecolor="gray [1629]" strokeweight=".5pt">
                  <v:stroke joinstyle="miter"/>
                </v:line>
              </w:pict>
            </mc:Fallback>
          </mc:AlternateContent>
        </w:r>
        <w:r>
          <w:t xml:space="preserve">Position Description – </w:t>
        </w:r>
        <w:r w:rsidR="00C416E7">
          <w:t xml:space="preserve">Delivery </w:t>
        </w:r>
        <w:r w:rsidR="00F76CDC">
          <w:t xml:space="preserve">Methods </w:t>
        </w:r>
        <w:r w:rsidR="00C416E7">
          <w:t>and Tools Lead</w:t>
        </w:r>
        <w:r w:rsidR="00157D47">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38DF" w14:textId="77777777" w:rsidR="00D654EE" w:rsidRDefault="00D654EE" w:rsidP="00F05C09">
      <w:pPr>
        <w:spacing w:after="0" w:line="240" w:lineRule="auto"/>
      </w:pPr>
      <w:r>
        <w:separator/>
      </w:r>
    </w:p>
  </w:footnote>
  <w:footnote w:type="continuationSeparator" w:id="0">
    <w:p w14:paraId="6FBE3050" w14:textId="77777777" w:rsidR="00D654EE" w:rsidRDefault="00D654EE" w:rsidP="00F05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C701" w14:textId="5366CF52" w:rsidR="00C53480" w:rsidRDefault="00C53480">
    <w:pPr>
      <w:pStyle w:val="Header"/>
    </w:pPr>
    <w:r>
      <w:rPr>
        <w:noProof/>
      </w:rPr>
      <mc:AlternateContent>
        <mc:Choice Requires="wps">
          <w:drawing>
            <wp:anchor distT="0" distB="0" distL="0" distR="0" simplePos="0" relativeHeight="251661312" behindDoc="0" locked="0" layoutInCell="1" allowOverlap="1" wp14:anchorId="2A2C5907" wp14:editId="4C96ECBA">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C5907"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8F5BB3D" w14:textId="761CD1F2" w:rsidR="00C53480" w:rsidRPr="00C53480" w:rsidRDefault="00C53480" w:rsidP="00C53480">
                    <w:pPr>
                      <w:spacing w:after="0"/>
                      <w:rPr>
                        <w:rFonts w:ascii="Calibri" w:eastAsia="Calibri" w:hAnsi="Calibri" w:cs="Calibri"/>
                        <w:noProof/>
                        <w:color w:val="000000"/>
                        <w:sz w:val="20"/>
                        <w:szCs w:val="20"/>
                      </w:rPr>
                    </w:pPr>
                    <w:r w:rsidRPr="00C53480">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1EC5BC8"/>
    <w:multiLevelType w:val="hybridMultilevel"/>
    <w:tmpl w:val="B994ED02"/>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4DE5AB1"/>
    <w:multiLevelType w:val="hybridMultilevel"/>
    <w:tmpl w:val="03B21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14F4B"/>
    <w:multiLevelType w:val="hybridMultilevel"/>
    <w:tmpl w:val="53F202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FC92104"/>
    <w:multiLevelType w:val="hybridMultilevel"/>
    <w:tmpl w:val="B156B2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F2514D"/>
    <w:multiLevelType w:val="hybridMultilevel"/>
    <w:tmpl w:val="649071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366" w:hanging="360"/>
      </w:pPr>
      <w:rPr>
        <w:rFonts w:ascii="Symbol" w:hAnsi="Symbol" w:hint="default"/>
      </w:rPr>
    </w:lvl>
    <w:lvl w:ilvl="1" w:tplc="14090003" w:tentative="1">
      <w:start w:val="1"/>
      <w:numFmt w:val="bullet"/>
      <w:lvlText w:val="o"/>
      <w:lvlJc w:val="left"/>
      <w:pPr>
        <w:ind w:left="354" w:hanging="360"/>
      </w:pPr>
      <w:rPr>
        <w:rFonts w:ascii="Courier New" w:hAnsi="Courier New" w:cs="Courier New" w:hint="default"/>
      </w:rPr>
    </w:lvl>
    <w:lvl w:ilvl="2" w:tplc="14090005" w:tentative="1">
      <w:start w:val="1"/>
      <w:numFmt w:val="bullet"/>
      <w:lvlText w:val=""/>
      <w:lvlJc w:val="left"/>
      <w:pPr>
        <w:ind w:left="1074" w:hanging="360"/>
      </w:pPr>
      <w:rPr>
        <w:rFonts w:ascii="Wingdings" w:hAnsi="Wingdings" w:hint="default"/>
      </w:rPr>
    </w:lvl>
    <w:lvl w:ilvl="3" w:tplc="14090001" w:tentative="1">
      <w:start w:val="1"/>
      <w:numFmt w:val="bullet"/>
      <w:lvlText w:val=""/>
      <w:lvlJc w:val="left"/>
      <w:pPr>
        <w:ind w:left="1794" w:hanging="360"/>
      </w:pPr>
      <w:rPr>
        <w:rFonts w:ascii="Symbol" w:hAnsi="Symbol" w:hint="default"/>
      </w:rPr>
    </w:lvl>
    <w:lvl w:ilvl="4" w:tplc="14090003" w:tentative="1">
      <w:start w:val="1"/>
      <w:numFmt w:val="bullet"/>
      <w:lvlText w:val="o"/>
      <w:lvlJc w:val="left"/>
      <w:pPr>
        <w:ind w:left="2514" w:hanging="360"/>
      </w:pPr>
      <w:rPr>
        <w:rFonts w:ascii="Courier New" w:hAnsi="Courier New" w:cs="Courier New" w:hint="default"/>
      </w:rPr>
    </w:lvl>
    <w:lvl w:ilvl="5" w:tplc="14090005" w:tentative="1">
      <w:start w:val="1"/>
      <w:numFmt w:val="bullet"/>
      <w:lvlText w:val=""/>
      <w:lvlJc w:val="left"/>
      <w:pPr>
        <w:ind w:left="3234" w:hanging="360"/>
      </w:pPr>
      <w:rPr>
        <w:rFonts w:ascii="Wingdings" w:hAnsi="Wingdings" w:hint="default"/>
      </w:rPr>
    </w:lvl>
    <w:lvl w:ilvl="6" w:tplc="14090001" w:tentative="1">
      <w:start w:val="1"/>
      <w:numFmt w:val="bullet"/>
      <w:lvlText w:val=""/>
      <w:lvlJc w:val="left"/>
      <w:pPr>
        <w:ind w:left="3954" w:hanging="360"/>
      </w:pPr>
      <w:rPr>
        <w:rFonts w:ascii="Symbol" w:hAnsi="Symbol" w:hint="default"/>
      </w:rPr>
    </w:lvl>
    <w:lvl w:ilvl="7" w:tplc="14090003" w:tentative="1">
      <w:start w:val="1"/>
      <w:numFmt w:val="bullet"/>
      <w:lvlText w:val="o"/>
      <w:lvlJc w:val="left"/>
      <w:pPr>
        <w:ind w:left="4674" w:hanging="360"/>
      </w:pPr>
      <w:rPr>
        <w:rFonts w:ascii="Courier New" w:hAnsi="Courier New" w:cs="Courier New" w:hint="default"/>
      </w:rPr>
    </w:lvl>
    <w:lvl w:ilvl="8" w:tplc="14090005" w:tentative="1">
      <w:start w:val="1"/>
      <w:numFmt w:val="bullet"/>
      <w:lvlText w:val=""/>
      <w:lvlJc w:val="left"/>
      <w:pPr>
        <w:ind w:left="5394" w:hanging="360"/>
      </w:pPr>
      <w:rPr>
        <w:rFonts w:ascii="Wingdings" w:hAnsi="Wingdings" w:hint="default"/>
      </w:rPr>
    </w:lvl>
  </w:abstractNum>
  <w:abstractNum w:abstractNumId="13"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4"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5" w15:restartNumberingAfterBreak="0">
    <w:nsid w:val="336B5F49"/>
    <w:multiLevelType w:val="hybridMultilevel"/>
    <w:tmpl w:val="68120D7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46A0D15"/>
    <w:multiLevelType w:val="hybridMultilevel"/>
    <w:tmpl w:val="258A6D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6146C36"/>
    <w:multiLevelType w:val="hybridMultilevel"/>
    <w:tmpl w:val="4B86EC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9984719"/>
    <w:multiLevelType w:val="hybridMultilevel"/>
    <w:tmpl w:val="989649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20" w15:restartNumberingAfterBreak="0">
    <w:nsid w:val="448E3411"/>
    <w:multiLevelType w:val="hybridMultilevel"/>
    <w:tmpl w:val="7ACC6D34"/>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87628D8"/>
    <w:multiLevelType w:val="hybridMultilevel"/>
    <w:tmpl w:val="4D424A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AC36EA8"/>
    <w:multiLevelType w:val="hybridMultilevel"/>
    <w:tmpl w:val="F92E03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4"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11D1414"/>
    <w:multiLevelType w:val="hybridMultilevel"/>
    <w:tmpl w:val="DF4604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1FB55D7"/>
    <w:multiLevelType w:val="hybridMultilevel"/>
    <w:tmpl w:val="B39269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4256670"/>
    <w:multiLevelType w:val="hybridMultilevel"/>
    <w:tmpl w:val="44F49B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30" w15:restartNumberingAfterBreak="0">
    <w:nsid w:val="657C0026"/>
    <w:multiLevelType w:val="hybridMultilevel"/>
    <w:tmpl w:val="ADD093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32" w15:restartNumberingAfterBreak="0">
    <w:nsid w:val="69437D13"/>
    <w:multiLevelType w:val="hybridMultilevel"/>
    <w:tmpl w:val="1E224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9930608"/>
    <w:multiLevelType w:val="hybridMultilevel"/>
    <w:tmpl w:val="3AAC680A"/>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CC1706B"/>
    <w:multiLevelType w:val="hybridMultilevel"/>
    <w:tmpl w:val="26D8B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36" w15:restartNumberingAfterBreak="0">
    <w:nsid w:val="718676E8"/>
    <w:multiLevelType w:val="hybridMultilevel"/>
    <w:tmpl w:val="DAD4A6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8"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CD83407"/>
    <w:multiLevelType w:val="hybridMultilevel"/>
    <w:tmpl w:val="3A4E1E9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8"/>
  </w:num>
  <w:num w:numId="2" w16cid:durableId="460002760">
    <w:abstractNumId w:val="1"/>
  </w:num>
  <w:num w:numId="3" w16cid:durableId="1067068734">
    <w:abstractNumId w:val="0"/>
  </w:num>
  <w:num w:numId="4" w16cid:durableId="808520144">
    <w:abstractNumId w:val="6"/>
  </w:num>
  <w:num w:numId="5" w16cid:durableId="1341010801">
    <w:abstractNumId w:val="24"/>
  </w:num>
  <w:num w:numId="6" w16cid:durableId="1864854123">
    <w:abstractNumId w:val="27"/>
  </w:num>
  <w:num w:numId="7" w16cid:durableId="1146584851">
    <w:abstractNumId w:val="38"/>
  </w:num>
  <w:num w:numId="8" w16cid:durableId="1671786130">
    <w:abstractNumId w:val="12"/>
  </w:num>
  <w:num w:numId="9" w16cid:durableId="2140149030">
    <w:abstractNumId w:val="23"/>
  </w:num>
  <w:num w:numId="10" w16cid:durableId="136529671">
    <w:abstractNumId w:val="37"/>
  </w:num>
  <w:num w:numId="11" w16cid:durableId="1102068592">
    <w:abstractNumId w:val="29"/>
  </w:num>
  <w:num w:numId="12" w16cid:durableId="1011878886">
    <w:abstractNumId w:val="31"/>
  </w:num>
  <w:num w:numId="13" w16cid:durableId="1999267206">
    <w:abstractNumId w:val="40"/>
  </w:num>
  <w:num w:numId="14" w16cid:durableId="1394620197">
    <w:abstractNumId w:val="13"/>
  </w:num>
  <w:num w:numId="15" w16cid:durableId="2023244101">
    <w:abstractNumId w:val="9"/>
  </w:num>
  <w:num w:numId="16" w16cid:durableId="421686626">
    <w:abstractNumId w:val="2"/>
  </w:num>
  <w:num w:numId="17" w16cid:durableId="1274364210">
    <w:abstractNumId w:val="19"/>
  </w:num>
  <w:num w:numId="18" w16cid:durableId="977149842">
    <w:abstractNumId w:val="5"/>
  </w:num>
  <w:num w:numId="19" w16cid:durableId="1270048622">
    <w:abstractNumId w:val="35"/>
  </w:num>
  <w:num w:numId="20" w16cid:durableId="1437407180">
    <w:abstractNumId w:val="14"/>
  </w:num>
  <w:num w:numId="21" w16cid:durableId="1438449749">
    <w:abstractNumId w:val="30"/>
  </w:num>
  <w:num w:numId="22" w16cid:durableId="1686512996">
    <w:abstractNumId w:val="18"/>
  </w:num>
  <w:num w:numId="23" w16cid:durableId="1429808169">
    <w:abstractNumId w:val="34"/>
  </w:num>
  <w:num w:numId="24" w16cid:durableId="1042482802">
    <w:abstractNumId w:val="32"/>
  </w:num>
  <w:num w:numId="25" w16cid:durableId="989552367">
    <w:abstractNumId w:val="16"/>
  </w:num>
  <w:num w:numId="26" w16cid:durableId="1865441470">
    <w:abstractNumId w:val="11"/>
  </w:num>
  <w:num w:numId="27" w16cid:durableId="481431087">
    <w:abstractNumId w:val="28"/>
  </w:num>
  <w:num w:numId="28" w16cid:durableId="638460756">
    <w:abstractNumId w:val="4"/>
  </w:num>
  <w:num w:numId="29" w16cid:durableId="533036301">
    <w:abstractNumId w:val="10"/>
  </w:num>
  <w:num w:numId="30" w16cid:durableId="1373725563">
    <w:abstractNumId w:val="20"/>
  </w:num>
  <w:num w:numId="31" w16cid:durableId="658734828">
    <w:abstractNumId w:val="33"/>
  </w:num>
  <w:num w:numId="32" w16cid:durableId="1065185050">
    <w:abstractNumId w:val="3"/>
  </w:num>
  <w:num w:numId="33" w16cid:durableId="1900240930">
    <w:abstractNumId w:val="26"/>
  </w:num>
  <w:num w:numId="34" w16cid:durableId="990795608">
    <w:abstractNumId w:val="7"/>
  </w:num>
  <w:num w:numId="35" w16cid:durableId="944270038">
    <w:abstractNumId w:val="25"/>
  </w:num>
  <w:num w:numId="36" w16cid:durableId="987325294">
    <w:abstractNumId w:val="22"/>
  </w:num>
  <w:num w:numId="37" w16cid:durableId="1200703220">
    <w:abstractNumId w:val="15"/>
  </w:num>
  <w:num w:numId="38" w16cid:durableId="1155954761">
    <w:abstractNumId w:val="21"/>
  </w:num>
  <w:num w:numId="39" w16cid:durableId="332798596">
    <w:abstractNumId w:val="36"/>
  </w:num>
  <w:num w:numId="40" w16cid:durableId="1533568217">
    <w:abstractNumId w:val="17"/>
  </w:num>
  <w:num w:numId="41" w16cid:durableId="567156156">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106D0"/>
    <w:rsid w:val="00030E00"/>
    <w:rsid w:val="00034336"/>
    <w:rsid w:val="00037CB0"/>
    <w:rsid w:val="00045765"/>
    <w:rsid w:val="0008363E"/>
    <w:rsid w:val="000A576B"/>
    <w:rsid w:val="000A6009"/>
    <w:rsid w:val="000B6D09"/>
    <w:rsid w:val="000C42EA"/>
    <w:rsid w:val="000D28A7"/>
    <w:rsid w:val="000E3BB9"/>
    <w:rsid w:val="00106AED"/>
    <w:rsid w:val="00116AEC"/>
    <w:rsid w:val="00130581"/>
    <w:rsid w:val="0013109B"/>
    <w:rsid w:val="00136C27"/>
    <w:rsid w:val="00141BC1"/>
    <w:rsid w:val="00153A14"/>
    <w:rsid w:val="00157D47"/>
    <w:rsid w:val="001A14AA"/>
    <w:rsid w:val="001C711B"/>
    <w:rsid w:val="001D3744"/>
    <w:rsid w:val="001D45B8"/>
    <w:rsid w:val="00213AFF"/>
    <w:rsid w:val="00213DA6"/>
    <w:rsid w:val="00216302"/>
    <w:rsid w:val="00235BC4"/>
    <w:rsid w:val="00236D2D"/>
    <w:rsid w:val="00240D7E"/>
    <w:rsid w:val="00241016"/>
    <w:rsid w:val="00242200"/>
    <w:rsid w:val="00245A2B"/>
    <w:rsid w:val="0027186A"/>
    <w:rsid w:val="0029741C"/>
    <w:rsid w:val="002A673A"/>
    <w:rsid w:val="002D14AF"/>
    <w:rsid w:val="002D1C62"/>
    <w:rsid w:val="002D367B"/>
    <w:rsid w:val="00310872"/>
    <w:rsid w:val="00313A09"/>
    <w:rsid w:val="00354EC2"/>
    <w:rsid w:val="00361559"/>
    <w:rsid w:val="0037285F"/>
    <w:rsid w:val="0039174E"/>
    <w:rsid w:val="00397220"/>
    <w:rsid w:val="003A18EC"/>
    <w:rsid w:val="003B0A38"/>
    <w:rsid w:val="003B6C49"/>
    <w:rsid w:val="003E2869"/>
    <w:rsid w:val="003E3722"/>
    <w:rsid w:val="003E655B"/>
    <w:rsid w:val="003F551B"/>
    <w:rsid w:val="0040673E"/>
    <w:rsid w:val="00421BDD"/>
    <w:rsid w:val="004227ED"/>
    <w:rsid w:val="0042772B"/>
    <w:rsid w:val="00445BCE"/>
    <w:rsid w:val="00454F25"/>
    <w:rsid w:val="0047088C"/>
    <w:rsid w:val="004710B8"/>
    <w:rsid w:val="00481590"/>
    <w:rsid w:val="004B0A86"/>
    <w:rsid w:val="004F2EE1"/>
    <w:rsid w:val="00515156"/>
    <w:rsid w:val="0053221B"/>
    <w:rsid w:val="00533E65"/>
    <w:rsid w:val="0056681E"/>
    <w:rsid w:val="005671A5"/>
    <w:rsid w:val="00572AA9"/>
    <w:rsid w:val="00572ACC"/>
    <w:rsid w:val="00595906"/>
    <w:rsid w:val="00596B81"/>
    <w:rsid w:val="005B11F9"/>
    <w:rsid w:val="005B1DBB"/>
    <w:rsid w:val="005D56AA"/>
    <w:rsid w:val="005E0875"/>
    <w:rsid w:val="0060148C"/>
    <w:rsid w:val="00631D73"/>
    <w:rsid w:val="0067336C"/>
    <w:rsid w:val="00683213"/>
    <w:rsid w:val="006930FB"/>
    <w:rsid w:val="006A5C63"/>
    <w:rsid w:val="006B19BD"/>
    <w:rsid w:val="006D6117"/>
    <w:rsid w:val="006F3E61"/>
    <w:rsid w:val="006F3FBA"/>
    <w:rsid w:val="00714E12"/>
    <w:rsid w:val="007631D9"/>
    <w:rsid w:val="00766795"/>
    <w:rsid w:val="00766FB5"/>
    <w:rsid w:val="007721C0"/>
    <w:rsid w:val="00774817"/>
    <w:rsid w:val="007B201A"/>
    <w:rsid w:val="007C2143"/>
    <w:rsid w:val="007D5256"/>
    <w:rsid w:val="007D6B4C"/>
    <w:rsid w:val="007F172C"/>
    <w:rsid w:val="007F3ACD"/>
    <w:rsid w:val="0080133F"/>
    <w:rsid w:val="00802A08"/>
    <w:rsid w:val="0080498F"/>
    <w:rsid w:val="00820255"/>
    <w:rsid w:val="008335E3"/>
    <w:rsid w:val="008339D0"/>
    <w:rsid w:val="00835C53"/>
    <w:rsid w:val="008414B1"/>
    <w:rsid w:val="00851B94"/>
    <w:rsid w:val="00860654"/>
    <w:rsid w:val="008879FF"/>
    <w:rsid w:val="008B2E4F"/>
    <w:rsid w:val="00903467"/>
    <w:rsid w:val="00906EAA"/>
    <w:rsid w:val="009349DB"/>
    <w:rsid w:val="009357ED"/>
    <w:rsid w:val="00970DD2"/>
    <w:rsid w:val="009A312D"/>
    <w:rsid w:val="009A73F0"/>
    <w:rsid w:val="009B7E10"/>
    <w:rsid w:val="009D0F50"/>
    <w:rsid w:val="009D15F1"/>
    <w:rsid w:val="009D2B10"/>
    <w:rsid w:val="00A173FC"/>
    <w:rsid w:val="00A2199C"/>
    <w:rsid w:val="00A25335"/>
    <w:rsid w:val="00A26B85"/>
    <w:rsid w:val="00A43896"/>
    <w:rsid w:val="00A4711F"/>
    <w:rsid w:val="00A6244E"/>
    <w:rsid w:val="00AB062A"/>
    <w:rsid w:val="00AD5DF4"/>
    <w:rsid w:val="00AD6305"/>
    <w:rsid w:val="00B02A8F"/>
    <w:rsid w:val="00B04D1D"/>
    <w:rsid w:val="00B407D6"/>
    <w:rsid w:val="00B41635"/>
    <w:rsid w:val="00B5357A"/>
    <w:rsid w:val="00B542E4"/>
    <w:rsid w:val="00B5634E"/>
    <w:rsid w:val="00B626AE"/>
    <w:rsid w:val="00B8332D"/>
    <w:rsid w:val="00B84E48"/>
    <w:rsid w:val="00BB6450"/>
    <w:rsid w:val="00BC35AE"/>
    <w:rsid w:val="00BC47F5"/>
    <w:rsid w:val="00BE6537"/>
    <w:rsid w:val="00BF3B63"/>
    <w:rsid w:val="00C12F94"/>
    <w:rsid w:val="00C20D76"/>
    <w:rsid w:val="00C24180"/>
    <w:rsid w:val="00C416E7"/>
    <w:rsid w:val="00C4358C"/>
    <w:rsid w:val="00C503A7"/>
    <w:rsid w:val="00C5215F"/>
    <w:rsid w:val="00C53480"/>
    <w:rsid w:val="00C64549"/>
    <w:rsid w:val="00C7317E"/>
    <w:rsid w:val="00C865D6"/>
    <w:rsid w:val="00CA08C4"/>
    <w:rsid w:val="00CB4A28"/>
    <w:rsid w:val="00CC5FDE"/>
    <w:rsid w:val="00CD574A"/>
    <w:rsid w:val="00CD7572"/>
    <w:rsid w:val="00CE6C53"/>
    <w:rsid w:val="00D20B97"/>
    <w:rsid w:val="00D34EA0"/>
    <w:rsid w:val="00D42D1A"/>
    <w:rsid w:val="00D654EE"/>
    <w:rsid w:val="00D90891"/>
    <w:rsid w:val="00DA31FF"/>
    <w:rsid w:val="00DB1FC9"/>
    <w:rsid w:val="00DD6907"/>
    <w:rsid w:val="00DD7526"/>
    <w:rsid w:val="00DE22DC"/>
    <w:rsid w:val="00DF513A"/>
    <w:rsid w:val="00E3355F"/>
    <w:rsid w:val="00E42617"/>
    <w:rsid w:val="00E671C3"/>
    <w:rsid w:val="00E90142"/>
    <w:rsid w:val="00E9269E"/>
    <w:rsid w:val="00EC52B6"/>
    <w:rsid w:val="00ED23DA"/>
    <w:rsid w:val="00F050D6"/>
    <w:rsid w:val="00F05C09"/>
    <w:rsid w:val="00F06EE8"/>
    <w:rsid w:val="00F07349"/>
    <w:rsid w:val="00F10EE9"/>
    <w:rsid w:val="00F113EF"/>
    <w:rsid w:val="00F126F3"/>
    <w:rsid w:val="00F22AE5"/>
    <w:rsid w:val="00F27D60"/>
    <w:rsid w:val="00F46859"/>
    <w:rsid w:val="00F63C9F"/>
    <w:rsid w:val="00F76CDC"/>
    <w:rsid w:val="00F829C0"/>
    <w:rsid w:val="00F829F6"/>
    <w:rsid w:val="00F9356E"/>
    <w:rsid w:val="00F96FEE"/>
    <w:rsid w:val="00FB675F"/>
    <w:rsid w:val="00FC5A23"/>
    <w:rsid w:val="00FD2534"/>
    <w:rsid w:val="00FE13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7007E"/>
  <w15:chartTrackingRefBased/>
  <w15:docId w15:val="{49AFF484-B666-4283-9D1C-8D92E1A8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8B2E4F"/>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character" w:customStyle="1" w:styleId="normaltextrun">
    <w:name w:val="normaltextrun"/>
    <w:basedOn w:val="DefaultParagraphFont"/>
    <w:rsid w:val="0037285F"/>
  </w:style>
  <w:style w:type="character" w:customStyle="1" w:styleId="eop">
    <w:name w:val="eop"/>
    <w:basedOn w:val="DefaultParagraphFont"/>
    <w:rsid w:val="00372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fia.nz/sfia9/kng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fia.nz/sfia9/infl" TargetMode="External"/><Relationship Id="rId2" Type="http://schemas.openxmlformats.org/officeDocument/2006/relationships/customXml" Target="../customXml/item2.xml"/><Relationship Id="rId16" Type="http://schemas.openxmlformats.org/officeDocument/2006/relationships/hyperlink" Target="https://sfia.nz/sfia9/aut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6" ma:contentTypeDescription="Create a new document." ma:contentTypeScope="" ma:versionID="866bfbfae69fe75a5e88ef9ad10636df">
  <xsd:schema xmlns:xsd="http://www.w3.org/2001/XMLSchema" xmlns:xs="http://www.w3.org/2001/XMLSchema" xmlns:p="http://schemas.microsoft.com/office/2006/metadata/properties" xmlns:ns2="82f80cf7-16dd-4e04-97bc-8f5aede6754b" xmlns:ns3="ee45e50b-28c5-4ad1-8944-563280409058" xmlns:ns4="24a4208d-6389-4ccf-93db-5bf6e7a6ca4d" targetNamespace="http://schemas.microsoft.com/office/2006/metadata/properties" ma:root="true" ma:fieldsID="98321e026206553e41e75c6faf442972" ns2:_="" ns3:_="" ns4:_="">
    <xsd:import namespace="82f80cf7-16dd-4e04-97bc-8f5aede6754b"/>
    <xsd:import namespace="ee45e50b-28c5-4ad1-8944-563280409058"/>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Not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description="What's the status of the interview guide" ma:format="Dropdown" ma:internalName="Status">
      <xsd:simpleType>
        <xsd:restriction base="dms:Choice">
          <xsd:enumeration value="Complete"/>
          <xsd:enumeration value="Draft"/>
          <xsd:enumeration value="Not started"/>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otes xmlns="ee45e50b-28c5-4ad1-8944-563280409058" xsi:nil="true"/>
    <lcf76f155ced4ddcb4097134ff3c332f xmlns="ee45e50b-28c5-4ad1-8944-563280409058">
      <Terms xmlns="http://schemas.microsoft.com/office/infopath/2007/PartnerControls"/>
    </lcf76f155ced4ddcb4097134ff3c332f>
    <TaxCatchAll xmlns="24a4208d-6389-4ccf-93db-5bf6e7a6ca4d" xsi:nil="true"/>
    <Status xmlns="ee45e50b-28c5-4ad1-8944-563280409058" xsi:nil="true"/>
    <_dlc_DocId xmlns="82f80cf7-16dd-4e04-97bc-8f5aede6754b">INFO-1592680732-2692</_dlc_DocId>
    <_dlc_DocIdUrl xmlns="82f80cf7-16dd-4e04-97bc-8f5aede6754b">
      <Url>https://msdgovtnz.sharepoint.com/sites/WRK-PLATFORMS-CONSULTATION/_layouts/15/DocIdRedir.aspx?ID=INFO-1592680732-2692</Url>
      <Description>INFO-1592680732-2692</Description>
    </_dlc_DocIdUrl>
  </documentManagement>
</p:properties>
</file>

<file path=customXml/itemProps1.xml><?xml version="1.0" encoding="utf-8"?>
<ds:datastoreItem xmlns:ds="http://schemas.openxmlformats.org/officeDocument/2006/customXml" ds:itemID="{91B9E8E2-CE19-4B76-85C4-014B7968FE4D}">
  <ds:schemaRefs>
    <ds:schemaRef ds:uri="http://schemas.microsoft.com/sharepoint/v3/contenttype/forms"/>
  </ds:schemaRefs>
</ds:datastoreItem>
</file>

<file path=customXml/itemProps2.xml><?xml version="1.0" encoding="utf-8"?>
<ds:datastoreItem xmlns:ds="http://schemas.openxmlformats.org/officeDocument/2006/customXml" ds:itemID="{2366A060-DE0F-4E98-B2B4-186F79B05D06}">
  <ds:schemaRefs>
    <ds:schemaRef ds:uri="http://schemas.microsoft.com/sharepoint/events"/>
  </ds:schemaRefs>
</ds:datastoreItem>
</file>

<file path=customXml/itemProps3.xml><?xml version="1.0" encoding="utf-8"?>
<ds:datastoreItem xmlns:ds="http://schemas.openxmlformats.org/officeDocument/2006/customXml" ds:itemID="{D6F277D6-8D92-430B-8D67-2D68914B9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38388353-516F-4217-8ADE-BC05A2172CB6}">
  <ds:schemaRefs>
    <ds:schemaRef ds:uri="http://schemas.microsoft.com/office/2006/metadata/properties"/>
    <ds:schemaRef ds:uri="http://schemas.microsoft.com/office/infopath/2007/PartnerControls"/>
    <ds:schemaRef ds:uri="ee45e50b-28c5-4ad1-8944-563280409058"/>
    <ds:schemaRef ds:uri="24a4208d-6389-4ccf-93db-5bf6e7a6ca4d"/>
    <ds:schemaRef ds:uri="82f80cf7-16dd-4e04-97bc-8f5aede6754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2091</Words>
  <Characters>11923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Position Description Template July 2022</vt:lpstr>
    </vt:vector>
  </TitlesOfParts>
  <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July 2022</dc:title>
  <dc:subject/>
  <dc:creator>Swetha Basu</dc:creator>
  <cp:keywords/>
  <dc:description/>
  <cp:lastModifiedBy>Will Wiseman</cp:lastModifiedBy>
  <cp:revision>3</cp:revision>
  <dcterms:created xsi:type="dcterms:W3CDTF">2026-01-26T00:30:00Z</dcterms:created>
  <dcterms:modified xsi:type="dcterms:W3CDTF">2026-01-26T00:30:00Z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0x01010022B66515D4ACF9448017B3512668A588</vt:lpwstr>
  </property>
  <property fmtid="{D5CDD505-2E9C-101B-9397-08002B2CF9AE}" pid="13" name="_dlc_DocIdItemGuid">
    <vt:lpwstr>101cdf79-f748-49e4-a821-b6aecce1c95c</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umentType">
    <vt:lpwstr/>
  </property>
</Properties>
</file>