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0CA" w14:textId="324F6F5A" w:rsidR="5204AFC9" w:rsidRPr="00353CA5" w:rsidRDefault="00285BEB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285BEB">
        <w:rPr>
          <w:rStyle w:val="Heading1Char"/>
          <w:b/>
        </w:rPr>
        <w:t xml:space="preserve">Contract and License Specialist (IST) </w:t>
      </w:r>
      <w:r w:rsidR="00B305AE">
        <w:br/>
      </w:r>
      <w:r w:rsidR="00B305AE">
        <w:br/>
      </w:r>
      <w:r w:rsidRPr="00285BEB">
        <w:rPr>
          <w:rStyle w:val="Heading1Char"/>
        </w:rPr>
        <w:t xml:space="preserve">Improvement, Systems and Technology 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Unuhia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rito</w:t>
      </w:r>
      <w:proofErr w:type="spellEnd"/>
      <w:r w:rsidRPr="00FE42E3">
        <w:rPr>
          <w:b/>
          <w:bCs/>
          <w:lang w:eastAsia="en-NZ"/>
        </w:rPr>
        <w:t xml:space="preserve"> o te harakeke</w:t>
      </w:r>
    </w:p>
    <w:p w14:paraId="0DBA135A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Kei </w:t>
      </w:r>
      <w:proofErr w:type="spellStart"/>
      <w:r w:rsidRPr="00FE42E3">
        <w:rPr>
          <w:b/>
          <w:bCs/>
          <w:lang w:eastAsia="en-NZ"/>
        </w:rPr>
        <w:t>hea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kōmako</w:t>
      </w:r>
      <w:proofErr w:type="spellEnd"/>
      <w:r w:rsidRPr="00FE42E3">
        <w:rPr>
          <w:b/>
          <w:bCs/>
          <w:lang w:eastAsia="en-NZ"/>
        </w:rPr>
        <w:t xml:space="preserve"> e kō?</w:t>
      </w:r>
    </w:p>
    <w:p w14:paraId="36850EEE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Whakatairangitia, rere ki uta, rere ki </w:t>
      </w:r>
      <w:proofErr w:type="gramStart"/>
      <w:r w:rsidRPr="00FE42E3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Ui </w:t>
      </w:r>
      <w:proofErr w:type="spellStart"/>
      <w:r w:rsidRPr="00FE42E3">
        <w:rPr>
          <w:b/>
          <w:bCs/>
          <w:lang w:eastAsia="en-NZ"/>
        </w:rPr>
        <w:t>mai</w:t>
      </w:r>
      <w:proofErr w:type="spellEnd"/>
      <w:r w:rsidRPr="00FE42E3">
        <w:rPr>
          <w:b/>
          <w:bCs/>
          <w:lang w:eastAsia="en-NZ"/>
        </w:rPr>
        <w:t xml:space="preserve"> ki ahau,</w:t>
      </w:r>
    </w:p>
    <w:p w14:paraId="2A01BA73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He aha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mea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nui</w:t>
      </w:r>
      <w:proofErr w:type="spellEnd"/>
      <w:r w:rsidRPr="00FE42E3">
        <w:rPr>
          <w:b/>
          <w:bCs/>
          <w:lang w:eastAsia="en-NZ"/>
        </w:rPr>
        <w:t xml:space="preserve"> o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ao</w:t>
      </w:r>
      <w:proofErr w:type="spellEnd"/>
      <w:r w:rsidRPr="00FE42E3">
        <w:rPr>
          <w:b/>
          <w:bCs/>
          <w:lang w:eastAsia="en-NZ"/>
        </w:rPr>
        <w:t>?</w:t>
      </w:r>
    </w:p>
    <w:p w14:paraId="1F5A9928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Māku</w:t>
      </w:r>
      <w:proofErr w:type="spellEnd"/>
      <w:r w:rsidRPr="00FE42E3">
        <w:rPr>
          <w:b/>
          <w:bCs/>
          <w:lang w:eastAsia="en-NZ"/>
        </w:rPr>
        <w:t xml:space="preserve"> e </w:t>
      </w:r>
      <w:proofErr w:type="spellStart"/>
      <w:r w:rsidRPr="00FE42E3">
        <w:rPr>
          <w:b/>
          <w:bCs/>
          <w:lang w:eastAsia="en-NZ"/>
        </w:rPr>
        <w:t>kī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atu</w:t>
      </w:r>
      <w:proofErr w:type="spellEnd"/>
      <w:r w:rsidRPr="00FE42E3">
        <w:rPr>
          <w:b/>
          <w:bCs/>
          <w:lang w:eastAsia="en-NZ"/>
        </w:rPr>
        <w:t>,</w:t>
      </w:r>
    </w:p>
    <w:p w14:paraId="71B26307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>He tangata, he tangata, he tangata*</w:t>
      </w:r>
    </w:p>
    <w:p w14:paraId="638DF907" w14:textId="5D82595E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remove the central shoot of the flax</w:t>
      </w:r>
      <w:r w:rsidR="008E3FAF">
        <w:rPr>
          <w:lang w:eastAsia="en-NZ"/>
        </w:rPr>
        <w:t xml:space="preserve"> </w:t>
      </w:r>
      <w:r w:rsidRPr="00FE42E3">
        <w:rPr>
          <w:lang w:eastAsia="en-NZ"/>
        </w:rPr>
        <w:t>bush</w:t>
      </w:r>
    </w:p>
    <w:p w14:paraId="58977A8D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Where will the bellbird find rest?</w:t>
      </w:r>
    </w:p>
    <w:p w14:paraId="46455A79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Will it fly inland, fly out to sea, or fly </w:t>
      </w:r>
      <w:proofErr w:type="gramStart"/>
      <w:r w:rsidRPr="00FE42E3">
        <w:rPr>
          <w:lang w:eastAsia="en-NZ"/>
        </w:rPr>
        <w:t>aimlessly;</w:t>
      </w:r>
      <w:proofErr w:type="gramEnd"/>
    </w:p>
    <w:p w14:paraId="6DACB95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were to ask me,</w:t>
      </w:r>
    </w:p>
    <w:p w14:paraId="164EE8DE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What is the most important thing in the world?</w:t>
      </w:r>
    </w:p>
    <w:p w14:paraId="6C48513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 will tell you,</w:t>
      </w:r>
    </w:p>
    <w:p w14:paraId="2D603FD0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It is people, it is people, it is people</w:t>
      </w:r>
    </w:p>
    <w:p w14:paraId="300CAA33" w14:textId="0C765391" w:rsidR="005C0C81" w:rsidRPr="00FE42E3" w:rsidRDefault="004700FD" w:rsidP="2BB36439">
      <w:pPr>
        <w:rPr>
          <w:b/>
          <w:bCs/>
          <w:lang w:eastAsia="en-NZ"/>
        </w:rPr>
      </w:pPr>
      <w:r w:rsidRPr="00FE42E3">
        <w:rPr>
          <w:lang w:eastAsia="en-NZ"/>
        </w:rPr>
        <w:br/>
      </w:r>
      <w:r w:rsidR="005C0C81" w:rsidRPr="00FE42E3">
        <w:rPr>
          <w:lang w:eastAsia="en-NZ"/>
        </w:rPr>
        <w:t>*</w:t>
      </w:r>
      <w:r w:rsidR="00353CA5" w:rsidRPr="00FE42E3">
        <w:rPr>
          <w:lang w:eastAsia="en-NZ"/>
        </w:rPr>
        <w:t xml:space="preserve"> </w:t>
      </w:r>
      <w:r w:rsidR="005C0C81" w:rsidRPr="00FE42E3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FE42E3" w:rsidRDefault="00241016" w:rsidP="00D3627D">
      <w:pPr>
        <w:pStyle w:val="Heading2"/>
      </w:pPr>
      <w:r w:rsidRPr="00FE42E3">
        <w:lastRenderedPageBreak/>
        <w:t>Position Detail</w:t>
      </w:r>
    </w:p>
    <w:p w14:paraId="62C309B4" w14:textId="77777777" w:rsidR="00241016" w:rsidRPr="00FE42E3" w:rsidRDefault="00241016" w:rsidP="00D3627D">
      <w:pPr>
        <w:pStyle w:val="Heading3"/>
      </w:pPr>
      <w:r w:rsidRPr="00FE42E3">
        <w:t>Overview of position</w:t>
      </w:r>
    </w:p>
    <w:p w14:paraId="0EE9E4D9" w14:textId="6B2B8E4B" w:rsidR="00285BEB" w:rsidRPr="00285BEB" w:rsidRDefault="00285BEB" w:rsidP="00285BEB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Contract and License Specialist (IST) is responsible for collection, collation, analysis, reporting, configuration and process improvements for IST Contract and Licensing information. </w:t>
      </w:r>
    </w:p>
    <w:p w14:paraId="194BB901" w14:textId="185E5BB0" w:rsidR="00285BEB" w:rsidRPr="00285BEB" w:rsidRDefault="00285BEB" w:rsidP="00285BEB">
      <w:pPr>
        <w:pStyle w:val="Heading4"/>
        <w:spacing w:after="100" w:afterAutospacing="1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The Contract and License Specialist (IST) takes responsibility for the following key functions to maximise the value of software investment:</w:t>
      </w:r>
    </w:p>
    <w:p w14:paraId="4CB634FA" w14:textId="00FEBFE5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Managing software renewals process – obtaining and interpreting quotes, liaising and working with technology suppliers and vendors </w:t>
      </w:r>
    </w:p>
    <w:p w14:paraId="051B3051" w14:textId="540D4372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Working with internal business units including finance, legal, procurement and commercial teams to ensure contracts are renewed on time</w:t>
      </w:r>
    </w:p>
    <w:p w14:paraId="7F195090" w14:textId="1BE14F2C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Maintaining and communicating any standards required for renewal of current contracts or establishment of new contracts in IST</w:t>
      </w:r>
    </w:p>
    <w:p w14:paraId="0934ACE9" w14:textId="2DA70DE6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Developing and maintaining a pipeline of software contract renewal dates and proactively managing these with the appropriate parties within IST</w:t>
      </w:r>
    </w:p>
    <w:p w14:paraId="44DA1F37" w14:textId="7CCCEBE5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Providing visibility within IST when product versions are coming to end of life, requiring migration or upgrade. Facilitating and supporting the IST team with MSD procurement processes as required </w:t>
      </w:r>
    </w:p>
    <w:p w14:paraId="7EEC6023" w14:textId="5C82AAFF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Providing advice and expertise around vendor platform and software license models and structures</w:t>
      </w:r>
    </w:p>
    <w:p w14:paraId="4D3112C7" w14:textId="1BE6EDC1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Managing the Vendor portals to provide configuration and facilitating downloading of authorised software licenses, products and version upgrades</w:t>
      </w:r>
    </w:p>
    <w:p w14:paraId="6EAA4411" w14:textId="053BB4EC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Configuring of license monitoring tooling</w:t>
      </w:r>
    </w:p>
    <w:p w14:paraId="15022FF9" w14:textId="5E9870DD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Developing and maintaining appropriate license reporting to ensure optimal usage and license compliance</w:t>
      </w:r>
    </w:p>
    <w:p w14:paraId="0FF7173C" w14:textId="192EB1CB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Facilitating software audit processes undertaken </w:t>
      </w:r>
    </w:p>
    <w:p w14:paraId="15431FFB" w14:textId="2F67749D" w:rsidR="00285BEB" w:rsidRPr="00285BEB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Co-ordinating vendor contracts signoff processes</w:t>
      </w:r>
    </w:p>
    <w:p w14:paraId="40234BCB" w14:textId="234E4212" w:rsidR="004700FD" w:rsidRPr="00FE42E3" w:rsidRDefault="00285BEB" w:rsidP="00285BEB">
      <w:pPr>
        <w:pStyle w:val="Heading4"/>
        <w:numPr>
          <w:ilvl w:val="0"/>
          <w:numId w:val="39"/>
        </w:numPr>
        <w:spacing w:before="0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285BEB">
        <w:rPr>
          <w:rFonts w:eastAsiaTheme="minorEastAsia" w:cstheme="minorBidi"/>
          <w:b w:val="0"/>
          <w:bCs w:val="0"/>
          <w:iCs w:val="0"/>
          <w:color w:val="auto"/>
          <w:sz w:val="22"/>
        </w:rPr>
        <w:t>Contributing ideas for improvement to systems and processes</w:t>
      </w:r>
    </w:p>
    <w:p w14:paraId="2269D850" w14:textId="7391EC4D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Location</w:t>
      </w:r>
    </w:p>
    <w:p w14:paraId="519C42EA" w14:textId="2DAA3CAE" w:rsidR="005C0C81" w:rsidRPr="00FE42E3" w:rsidRDefault="00285BEB" w:rsidP="00D3627D">
      <w:pPr>
        <w:spacing w:line="240" w:lineRule="auto"/>
      </w:pPr>
      <w:r w:rsidRPr="00285BEB">
        <w:t xml:space="preserve">National Office, Wellington and Auckland. </w:t>
      </w:r>
    </w:p>
    <w:p w14:paraId="72BFDA47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Reports to</w:t>
      </w:r>
    </w:p>
    <w:p w14:paraId="4525DCBD" w14:textId="35FBBAAF" w:rsidR="005C0C81" w:rsidRPr="00FE42E3" w:rsidRDefault="00285BEB" w:rsidP="00D3627D">
      <w:pPr>
        <w:spacing w:line="240" w:lineRule="auto"/>
      </w:pPr>
      <w:r w:rsidRPr="00285BEB">
        <w:t>Technology People Leader</w:t>
      </w:r>
    </w:p>
    <w:p w14:paraId="7013EC85" w14:textId="77777777" w:rsidR="00285BEB" w:rsidRDefault="00285BEB" w:rsidP="00D3627D">
      <w:pPr>
        <w:pStyle w:val="Heading3"/>
      </w:pPr>
    </w:p>
    <w:p w14:paraId="21544D30" w14:textId="77777777" w:rsidR="00285BEB" w:rsidRDefault="00285BEB" w:rsidP="00D3627D">
      <w:pPr>
        <w:pStyle w:val="Heading3"/>
      </w:pPr>
    </w:p>
    <w:p w14:paraId="42A3F0A7" w14:textId="77777777" w:rsidR="00285BEB" w:rsidRPr="00285BEB" w:rsidRDefault="00285BEB" w:rsidP="00285BEB"/>
    <w:p w14:paraId="58921DBE" w14:textId="4765A413" w:rsidR="009357ED" w:rsidRDefault="0077295B" w:rsidP="00D3627D">
      <w:pPr>
        <w:pStyle w:val="Heading3"/>
      </w:pPr>
      <w:r w:rsidRPr="00FE42E3">
        <w:lastRenderedPageBreak/>
        <w:t xml:space="preserve">Key </w:t>
      </w:r>
      <w:r w:rsidR="00CB3BB8" w:rsidRPr="00FE42E3">
        <w:t>R</w:t>
      </w:r>
      <w:r w:rsidR="009357ED" w:rsidRPr="00FE42E3">
        <w:t>esponsibilities</w:t>
      </w:r>
    </w:p>
    <w:p w14:paraId="38C8C16A" w14:textId="7C473FB9" w:rsidR="00285BEB" w:rsidRPr="00285BEB" w:rsidRDefault="00285BEB" w:rsidP="00285BEB">
      <w:pPr>
        <w:spacing w:before="240"/>
        <w:rPr>
          <w:b/>
          <w:bCs/>
          <w:sz w:val="24"/>
          <w:szCs w:val="24"/>
        </w:rPr>
      </w:pPr>
      <w:r w:rsidRPr="00285BEB">
        <w:rPr>
          <w:b/>
          <w:bCs/>
          <w:sz w:val="24"/>
          <w:szCs w:val="24"/>
        </w:rPr>
        <w:t>Required skills</w:t>
      </w:r>
    </w:p>
    <w:p w14:paraId="15F3E584" w14:textId="5A6E5062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Asset Management (ASMG) Level 3</w:t>
      </w:r>
    </w:p>
    <w:p w14:paraId="48B8A5E9" w14:textId="77777777" w:rsidR="00285BEB" w:rsidRDefault="00285BEB" w:rsidP="00285BEB">
      <w:pPr>
        <w:spacing w:line="240" w:lineRule="auto"/>
      </w:pPr>
      <w:r>
        <w:t xml:space="preserve">Managing the full life cycle of assets from acquisition, operation, maintenance to disposal. </w:t>
      </w:r>
    </w:p>
    <w:p w14:paraId="6EC1B4E2" w14:textId="4DFC8295" w:rsidR="00285BEB" w:rsidRDefault="00285BEB" w:rsidP="00285BEB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Applies tools, techniques and processes to create and maintain an accurate asset register.</w:t>
      </w:r>
    </w:p>
    <w:p w14:paraId="184528C2" w14:textId="6B2A5E99" w:rsidR="00285BEB" w:rsidRDefault="00285BEB" w:rsidP="00285BEB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Produces reports and analysis to support asset management activities and aid decision-making.</w:t>
      </w:r>
    </w:p>
    <w:p w14:paraId="30394842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Supplier Management (SUPP) Level 3</w:t>
      </w:r>
    </w:p>
    <w:p w14:paraId="2095E525" w14:textId="77777777" w:rsidR="00285BEB" w:rsidRDefault="00285BEB" w:rsidP="00285BEB">
      <w:pPr>
        <w:spacing w:line="240" w:lineRule="auto"/>
      </w:pPr>
      <w:r>
        <w:t xml:space="preserve">Aligning the organisation’s supplier performance objectives and activities with sourcing strategies and plans, balancing costs, efficiencies and service quality. </w:t>
      </w:r>
    </w:p>
    <w:p w14:paraId="318475C3" w14:textId="28D03751" w:rsidR="00285BEB" w:rsidRDefault="00285BEB" w:rsidP="00285BEB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>Acts as the routine contact point between the organisation and suppliers</w:t>
      </w:r>
    </w:p>
    <w:p w14:paraId="41A691F5" w14:textId="6F8051D4" w:rsidR="00285BEB" w:rsidRDefault="00285BEB" w:rsidP="00285BEB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>Supports resolution of supplier-related incidents, problems, or unsatisfactory performance.</w:t>
      </w:r>
    </w:p>
    <w:p w14:paraId="2E3A2EDC" w14:textId="56E6D74C" w:rsidR="00285BEB" w:rsidRDefault="00285BEB" w:rsidP="00285BEB">
      <w:pPr>
        <w:pStyle w:val="ListParagraph"/>
        <w:numPr>
          <w:ilvl w:val="0"/>
          <w:numId w:val="30"/>
        </w:numPr>
        <w:spacing w:line="240" w:lineRule="auto"/>
        <w:contextualSpacing w:val="0"/>
      </w:pPr>
      <w:r>
        <w:t>Collects and reports on supplier performance data.</w:t>
      </w:r>
    </w:p>
    <w:p w14:paraId="09247302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Contract Management (ITCM) Level 3</w:t>
      </w:r>
    </w:p>
    <w:p w14:paraId="565CD955" w14:textId="77777777" w:rsidR="00285BEB" w:rsidRDefault="00285BEB" w:rsidP="00285BEB">
      <w:pPr>
        <w:spacing w:line="240" w:lineRule="auto"/>
      </w:pPr>
      <w:r>
        <w:t xml:space="preserve">Managing and controlling the operation of formal contracts for the supply of products and services. </w:t>
      </w:r>
    </w:p>
    <w:p w14:paraId="430A8844" w14:textId="3803ED43" w:rsidR="00285BEB" w:rsidRDefault="00285BEB" w:rsidP="00285BEB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>Acts as the routine contact point between the organisation and suppliers concerning contract management</w:t>
      </w:r>
    </w:p>
    <w:p w14:paraId="061A723F" w14:textId="09B1EDF9" w:rsidR="00285BEB" w:rsidRDefault="00285BEB" w:rsidP="00285BEB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 xml:space="preserve">Supports the collection of contract performance data. </w:t>
      </w:r>
    </w:p>
    <w:p w14:paraId="3F9D90B0" w14:textId="0A0319A4" w:rsidR="00285BEB" w:rsidRDefault="00285BEB" w:rsidP="00285BEB">
      <w:pPr>
        <w:pStyle w:val="ListParagraph"/>
        <w:numPr>
          <w:ilvl w:val="0"/>
          <w:numId w:val="31"/>
        </w:numPr>
        <w:spacing w:line="240" w:lineRule="auto"/>
        <w:contextualSpacing w:val="0"/>
      </w:pPr>
      <w:r>
        <w:t>Creates standard reports on contract performance</w:t>
      </w:r>
    </w:p>
    <w:p w14:paraId="1AC47373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Sourcing (SORC) Level 2</w:t>
      </w:r>
    </w:p>
    <w:p w14:paraId="7D8DCF80" w14:textId="77777777" w:rsidR="00285BEB" w:rsidRDefault="00285BEB" w:rsidP="00285BEB">
      <w:pPr>
        <w:spacing w:line="240" w:lineRule="auto"/>
      </w:pPr>
      <w:r>
        <w:t>Managing, or providing advice on, the procurement or commissioning of products and services.</w:t>
      </w:r>
    </w:p>
    <w:p w14:paraId="445E61B4" w14:textId="666FB2CE" w:rsidR="00285BEB" w:rsidRDefault="00285BEB" w:rsidP="00285BEB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>Assists in the preparation of pre-qualification questionnaires and tender invitations in response to business cases.</w:t>
      </w:r>
    </w:p>
    <w:p w14:paraId="73D70822" w14:textId="662B7794" w:rsidR="00285BEB" w:rsidRDefault="00285BEB" w:rsidP="00285BEB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>Assembles relevant information for tenders.</w:t>
      </w:r>
    </w:p>
    <w:p w14:paraId="1B600713" w14:textId="2C975470" w:rsidR="00285BEB" w:rsidRDefault="00285BEB" w:rsidP="00285BEB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t>Assists in the evaluation of tenders.</w:t>
      </w:r>
    </w:p>
    <w:p w14:paraId="4DFC2E28" w14:textId="77777777" w:rsidR="00285BEB" w:rsidRPr="00285BEB" w:rsidRDefault="00285BEB" w:rsidP="00285BEB">
      <w:pPr>
        <w:spacing w:before="240" w:line="240" w:lineRule="auto"/>
        <w:rPr>
          <w:b/>
          <w:bCs/>
          <w:sz w:val="24"/>
          <w:szCs w:val="24"/>
        </w:rPr>
      </w:pPr>
      <w:r w:rsidRPr="00285BEB">
        <w:rPr>
          <w:b/>
          <w:bCs/>
          <w:sz w:val="24"/>
          <w:szCs w:val="24"/>
        </w:rPr>
        <w:t>Levels of responsibility</w:t>
      </w:r>
    </w:p>
    <w:p w14:paraId="5E838E98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Autonomy – Level 4</w:t>
      </w:r>
    </w:p>
    <w:p w14:paraId="780243CB" w14:textId="57CDF4AE" w:rsidR="00285BEB" w:rsidRDefault="00285BEB" w:rsidP="00285BEB">
      <w:pPr>
        <w:pStyle w:val="ListParagraph"/>
        <w:numPr>
          <w:ilvl w:val="0"/>
          <w:numId w:val="34"/>
        </w:numPr>
        <w:spacing w:line="240" w:lineRule="auto"/>
        <w:contextualSpacing w:val="0"/>
      </w:pPr>
      <w:r>
        <w:t>Works under general direction within a clear framework of accountability.</w:t>
      </w:r>
    </w:p>
    <w:p w14:paraId="09EFB624" w14:textId="13308F2E" w:rsidR="00285BEB" w:rsidRDefault="00285BEB" w:rsidP="00285BEB">
      <w:pPr>
        <w:pStyle w:val="ListParagraph"/>
        <w:numPr>
          <w:ilvl w:val="0"/>
          <w:numId w:val="34"/>
        </w:numPr>
        <w:spacing w:line="240" w:lineRule="auto"/>
        <w:contextualSpacing w:val="0"/>
      </w:pPr>
      <w:r>
        <w:t>Exercises substantial personal responsibility and autonomy.</w:t>
      </w:r>
    </w:p>
    <w:p w14:paraId="4C2B2C10" w14:textId="48F194A1" w:rsidR="00285BEB" w:rsidRDefault="00285BEB" w:rsidP="00285BEB">
      <w:pPr>
        <w:pStyle w:val="ListParagraph"/>
        <w:numPr>
          <w:ilvl w:val="0"/>
          <w:numId w:val="34"/>
        </w:numPr>
        <w:spacing w:line="240" w:lineRule="auto"/>
        <w:contextualSpacing w:val="0"/>
      </w:pPr>
      <w:r>
        <w:t>Uses substantial discretion in identifying and responding to complex issues and assignments as they relate to the deliverable / scope of work.</w:t>
      </w:r>
    </w:p>
    <w:p w14:paraId="2D6BD49A" w14:textId="77777777" w:rsidR="00880FE9" w:rsidRDefault="00880FE9" w:rsidP="00880FE9">
      <w:pPr>
        <w:pStyle w:val="ListParagraph"/>
        <w:numPr>
          <w:ilvl w:val="0"/>
          <w:numId w:val="0"/>
        </w:numPr>
        <w:spacing w:line="240" w:lineRule="auto"/>
        <w:ind w:left="720"/>
        <w:contextualSpacing w:val="0"/>
      </w:pPr>
    </w:p>
    <w:p w14:paraId="2F46495D" w14:textId="76DFB1D0" w:rsidR="00285BEB" w:rsidRDefault="00285BEB" w:rsidP="00285BEB">
      <w:pPr>
        <w:pStyle w:val="ListParagraph"/>
        <w:numPr>
          <w:ilvl w:val="0"/>
          <w:numId w:val="34"/>
        </w:numPr>
        <w:spacing w:line="240" w:lineRule="auto"/>
        <w:contextualSpacing w:val="0"/>
      </w:pPr>
      <w:r>
        <w:lastRenderedPageBreak/>
        <w:t>Escalates when issues fall outside their framework of accountability.</w:t>
      </w:r>
    </w:p>
    <w:p w14:paraId="36794FAD" w14:textId="7EB563C8" w:rsidR="00285BEB" w:rsidRDefault="00285BEB" w:rsidP="00285BEB">
      <w:pPr>
        <w:pStyle w:val="ListParagraph"/>
        <w:numPr>
          <w:ilvl w:val="0"/>
          <w:numId w:val="34"/>
        </w:numPr>
        <w:spacing w:line="240" w:lineRule="auto"/>
        <w:contextualSpacing w:val="0"/>
      </w:pPr>
      <w:r>
        <w:t>Plans, schedules and monitors work to meet given objectives and processes to time and quality targets.</w:t>
      </w:r>
    </w:p>
    <w:p w14:paraId="66F25FFC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Influence – Level 3</w:t>
      </w:r>
    </w:p>
    <w:p w14:paraId="7B5932F7" w14:textId="0FC1ED2A" w:rsidR="00285BEB" w:rsidRDefault="00285BEB" w:rsidP="00285BEB">
      <w:pPr>
        <w:pStyle w:val="ListParagraph"/>
        <w:numPr>
          <w:ilvl w:val="0"/>
          <w:numId w:val="33"/>
        </w:numPr>
        <w:spacing w:line="240" w:lineRule="auto"/>
        <w:contextualSpacing w:val="0"/>
      </w:pPr>
      <w:r>
        <w:t>Interacts with and influences colleagues.</w:t>
      </w:r>
    </w:p>
    <w:p w14:paraId="28052791" w14:textId="1DB42154" w:rsidR="00285BEB" w:rsidRDefault="00285BEB" w:rsidP="00285BEB">
      <w:pPr>
        <w:pStyle w:val="ListParagraph"/>
        <w:numPr>
          <w:ilvl w:val="0"/>
          <w:numId w:val="33"/>
        </w:numPr>
        <w:spacing w:line="240" w:lineRule="auto"/>
        <w:contextualSpacing w:val="0"/>
      </w:pPr>
      <w:r>
        <w:t>May oversee others or make decisions which impact routine work assigned to individuals or stages of projects.</w:t>
      </w:r>
    </w:p>
    <w:p w14:paraId="68CBA6A3" w14:textId="226F486B" w:rsidR="00285BEB" w:rsidRDefault="00285BEB" w:rsidP="00285BEB">
      <w:pPr>
        <w:pStyle w:val="ListParagraph"/>
        <w:numPr>
          <w:ilvl w:val="0"/>
          <w:numId w:val="33"/>
        </w:numPr>
        <w:spacing w:line="240" w:lineRule="auto"/>
        <w:contextualSpacing w:val="0"/>
      </w:pPr>
      <w:r>
        <w:t>Has working level contact with customers, suppliers and partners.</w:t>
      </w:r>
    </w:p>
    <w:p w14:paraId="67C4A78F" w14:textId="2239ED7D" w:rsidR="00285BEB" w:rsidRDefault="00285BEB" w:rsidP="00285BEB">
      <w:pPr>
        <w:pStyle w:val="ListParagraph"/>
        <w:numPr>
          <w:ilvl w:val="0"/>
          <w:numId w:val="33"/>
        </w:numPr>
        <w:spacing w:line="240" w:lineRule="auto"/>
        <w:contextualSpacing w:val="0"/>
      </w:pPr>
      <w:r>
        <w:t>Understands and collaborates on the analysis of user / customer needs and represents this in their work.</w:t>
      </w:r>
    </w:p>
    <w:p w14:paraId="7E5D0BD0" w14:textId="2358AC3A" w:rsidR="00285BEB" w:rsidRDefault="00285BEB" w:rsidP="00285BEB">
      <w:pPr>
        <w:pStyle w:val="ListParagraph"/>
        <w:numPr>
          <w:ilvl w:val="0"/>
          <w:numId w:val="33"/>
        </w:numPr>
        <w:spacing w:line="240" w:lineRule="auto"/>
        <w:contextualSpacing w:val="0"/>
      </w:pPr>
      <w:r>
        <w:t>Contributes fully to the work of teams by appreciating how own role relates to other roles.</w:t>
      </w:r>
    </w:p>
    <w:p w14:paraId="529B15DC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Complexity – Level 3</w:t>
      </w:r>
    </w:p>
    <w:p w14:paraId="22A276F6" w14:textId="7FE8545A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Performs a range of work, sometimes complex and non-routine, in a variety of environments.</w:t>
      </w:r>
    </w:p>
    <w:p w14:paraId="4DBA6D45" w14:textId="0EF90E50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Applies a methodical approach to routine and moderately complex issue definition and resolution.</w:t>
      </w:r>
    </w:p>
    <w:p w14:paraId="03FEC8DC" w14:textId="03A6D23B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Applies and contributes to creative thinking or finds new ways to complete tasks.</w:t>
      </w:r>
    </w:p>
    <w:p w14:paraId="606C5CC3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Business skills – Level 3</w:t>
      </w:r>
    </w:p>
    <w:p w14:paraId="382F9190" w14:textId="31DBD9A2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Demonstrates effective oral and written communication skills when engaging on issues with colleagues, users / customers, suppliers and partners.</w:t>
      </w:r>
    </w:p>
    <w:p w14:paraId="13F00A4C" w14:textId="5A38D82B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Understands and effectively applies appropriate methods, tools, applications and processes.</w:t>
      </w:r>
    </w:p>
    <w:p w14:paraId="7AC7B5EF" w14:textId="51C9CBED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Demonstrates judgement and a systematic approach to work.</w:t>
      </w:r>
    </w:p>
    <w:p w14:paraId="5A9B9818" w14:textId="52ABE02B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Effectively applies digital skills and explores these capabilities for their role.</w:t>
      </w:r>
    </w:p>
    <w:p w14:paraId="1E26BDBE" w14:textId="26C3A3D2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Learning and professional development - takes the initiative to develop own knowledge and skills by identifying and negotiating appropriate development opportunities.</w:t>
      </w:r>
    </w:p>
    <w:p w14:paraId="4F49E083" w14:textId="3A706CBB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Security, privacy and ethics - demonstrates appropriate working practices and knowledge in non-routine work.</w:t>
      </w:r>
    </w:p>
    <w:p w14:paraId="6036EE29" w14:textId="060819AE" w:rsidR="00285BEB" w:rsidRDefault="00285BEB" w:rsidP="00285BEB">
      <w:pPr>
        <w:pStyle w:val="ListParagraph"/>
        <w:numPr>
          <w:ilvl w:val="0"/>
          <w:numId w:val="35"/>
        </w:numPr>
        <w:spacing w:line="240" w:lineRule="auto"/>
        <w:contextualSpacing w:val="0"/>
      </w:pPr>
      <w:r>
        <w:t>Appreciates how own role and others support appropriate working practices.</w:t>
      </w:r>
    </w:p>
    <w:p w14:paraId="365B7C4D" w14:textId="77777777" w:rsidR="00285BEB" w:rsidRPr="00285BEB" w:rsidRDefault="00285BEB" w:rsidP="00285BEB">
      <w:pPr>
        <w:spacing w:before="240" w:line="240" w:lineRule="auto"/>
        <w:rPr>
          <w:rFonts w:asciiTheme="minorHAnsi" w:eastAsiaTheme="majorEastAsia" w:hAnsiTheme="minorHAnsi" w:cstheme="majorBidi"/>
          <w:b/>
          <w:bCs/>
          <w:color w:val="121F6B"/>
          <w:sz w:val="24"/>
        </w:rPr>
      </w:pPr>
      <w:r w:rsidRPr="00285BEB">
        <w:rPr>
          <w:rFonts w:asciiTheme="minorHAnsi" w:eastAsiaTheme="majorEastAsia" w:hAnsiTheme="minorHAnsi" w:cstheme="majorBidi"/>
          <w:b/>
          <w:bCs/>
          <w:color w:val="121F6B"/>
          <w:sz w:val="24"/>
        </w:rPr>
        <w:t>Knowledge – Level 3</w:t>
      </w:r>
    </w:p>
    <w:p w14:paraId="6EBC74E7" w14:textId="1940CE9B" w:rsidR="00285BEB" w:rsidRDefault="00285BEB" w:rsidP="00285BEB">
      <w:pPr>
        <w:pStyle w:val="ListParagraph"/>
        <w:numPr>
          <w:ilvl w:val="0"/>
          <w:numId w:val="36"/>
        </w:numPr>
        <w:spacing w:line="240" w:lineRule="auto"/>
        <w:contextualSpacing w:val="0"/>
      </w:pPr>
      <w:r>
        <w:t xml:space="preserve">Has sound generic, domain and specialist knowledge necessary to perform effectively in the organisation typically gained from recognised bodies of knowledge and organisational information. </w:t>
      </w:r>
    </w:p>
    <w:p w14:paraId="4EDDC771" w14:textId="6642BEB0" w:rsidR="00285BEB" w:rsidRDefault="00285BEB" w:rsidP="00285BEB">
      <w:pPr>
        <w:pStyle w:val="ListParagraph"/>
        <w:numPr>
          <w:ilvl w:val="0"/>
          <w:numId w:val="36"/>
        </w:numPr>
        <w:spacing w:line="240" w:lineRule="auto"/>
        <w:contextualSpacing w:val="0"/>
      </w:pPr>
      <w:r>
        <w:t xml:space="preserve">Has an appreciation of the wider business context. </w:t>
      </w:r>
    </w:p>
    <w:p w14:paraId="725EBA19" w14:textId="77777777" w:rsidR="00880FE9" w:rsidRDefault="00880FE9" w:rsidP="00880FE9">
      <w:pPr>
        <w:spacing w:line="240" w:lineRule="auto"/>
        <w:ind w:left="360"/>
      </w:pPr>
    </w:p>
    <w:p w14:paraId="2D3907E7" w14:textId="299A507D" w:rsidR="00285BEB" w:rsidRDefault="00285BEB" w:rsidP="00285BEB">
      <w:pPr>
        <w:pStyle w:val="ListParagraph"/>
        <w:numPr>
          <w:ilvl w:val="0"/>
          <w:numId w:val="36"/>
        </w:numPr>
        <w:spacing w:line="240" w:lineRule="auto"/>
        <w:contextualSpacing w:val="0"/>
      </w:pPr>
      <w:r>
        <w:t xml:space="preserve">Demonstrates effective application and the ability to impart knowledge found in industry bodies of knowledge. </w:t>
      </w:r>
    </w:p>
    <w:p w14:paraId="0F827649" w14:textId="104E11CB" w:rsidR="004700FD" w:rsidRPr="00285BEB" w:rsidRDefault="00285BEB" w:rsidP="00285BEB">
      <w:pPr>
        <w:pStyle w:val="ListParagraph"/>
        <w:numPr>
          <w:ilvl w:val="0"/>
          <w:numId w:val="36"/>
        </w:numPr>
        <w:spacing w:line="240" w:lineRule="auto"/>
        <w:contextualSpacing w:val="0"/>
        <w:rPr>
          <w:lang w:val="en-US"/>
        </w:rPr>
      </w:pPr>
      <w:r>
        <w:t>Absorbs new information and applies it effectively.</w:t>
      </w:r>
    </w:p>
    <w:p w14:paraId="0E48B73C" w14:textId="5C1B87F0" w:rsidR="005C0C81" w:rsidRPr="00FE42E3" w:rsidRDefault="005C0C81" w:rsidP="00D3627D">
      <w:pPr>
        <w:pStyle w:val="Heading3"/>
      </w:pPr>
      <w:r w:rsidRPr="00FE42E3">
        <w:t>Additional Responsibilities</w:t>
      </w:r>
    </w:p>
    <w:p w14:paraId="16AA22AF" w14:textId="5E724BB9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 xml:space="preserve">Embedding </w:t>
      </w:r>
      <w:proofErr w:type="spellStart"/>
      <w:r w:rsidRPr="00FE42E3">
        <w:rPr>
          <w:iCs w:val="0"/>
        </w:rPr>
        <w:t>te</w:t>
      </w:r>
      <w:proofErr w:type="spellEnd"/>
      <w:r w:rsidRPr="00FE42E3">
        <w:rPr>
          <w:iCs w:val="0"/>
        </w:rPr>
        <w:t xml:space="preserve"> </w:t>
      </w:r>
      <w:proofErr w:type="spellStart"/>
      <w:r w:rsidRPr="00FE42E3">
        <w:rPr>
          <w:iCs w:val="0"/>
        </w:rPr>
        <w:t>ao</w:t>
      </w:r>
      <w:proofErr w:type="spellEnd"/>
      <w:r w:rsidRPr="00FE42E3">
        <w:rPr>
          <w:iCs w:val="0"/>
        </w:rPr>
        <w:t xml:space="preserve"> Māori </w:t>
      </w:r>
    </w:p>
    <w:p w14:paraId="18015BA8" w14:textId="77777777" w:rsidR="005C0C81" w:rsidRPr="00FE42E3" w:rsidRDefault="005C0C81" w:rsidP="00D3627D">
      <w:pPr>
        <w:pStyle w:val="ListParagraph"/>
        <w:spacing w:line="240" w:lineRule="auto"/>
        <w:ind w:left="714" w:hanging="357"/>
        <w:contextualSpacing w:val="0"/>
      </w:pPr>
      <w:r w:rsidRPr="00FE42E3">
        <w:t xml:space="preserve">Embedding Te Ao Māori (te reo Māori, tikanga, kawa, Te Tiriti o Waitangi) into the way we do things at MSD. </w:t>
      </w:r>
    </w:p>
    <w:p w14:paraId="07260BD5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Building more experience, knowledge, skills, and capabilities to confidently engage with whānau, hapū and iwi.</w:t>
      </w:r>
    </w:p>
    <w:p w14:paraId="59A0AF03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Health, safety, and security</w:t>
      </w:r>
    </w:p>
    <w:p w14:paraId="0466EE9E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Understand and implement your Health, Safety and Security (HSS) accountabilities as outlined in the HSS Accountability Framework.</w:t>
      </w:r>
    </w:p>
    <w:p w14:paraId="40792204" w14:textId="77777777" w:rsidR="00205B82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Ensure you understand, follow, and implement all Health, Safety and Security and wellbeing policies and procedures.</w:t>
      </w:r>
    </w:p>
    <w:p w14:paraId="6468274F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Emergency management and business continuity</w:t>
      </w:r>
    </w:p>
    <w:p w14:paraId="0AB8F31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Remain familiar with the relevant provisions of the Emergency Management and Business Continuity Plans that impact your business group/team.</w:t>
      </w:r>
    </w:p>
    <w:p w14:paraId="7451A63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Participate in periodic training, reviews and tests of the established Business Continuity Plans and operating procedures.</w:t>
      </w:r>
    </w:p>
    <w:p w14:paraId="2239E926" w14:textId="5CE4B225" w:rsidR="00285BEB" w:rsidRDefault="0077295B" w:rsidP="00285BEB">
      <w:pPr>
        <w:spacing w:before="240" w:line="240" w:lineRule="auto"/>
        <w:rPr>
          <w:highlight w:val="yellow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08ED21AF" w14:textId="004E74D5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 xml:space="preserve">Relevant business or technical qualification at tertiary level, or 1-2 years’ relevant operational experience in a related or similar role. </w:t>
      </w:r>
    </w:p>
    <w:p w14:paraId="0C31F67E" w14:textId="1C20C667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>Experience working with software contracts, with the ability to understand contractual commitments in a large, complex organisation, and provide basic commercial advice to stakeholders.</w:t>
      </w:r>
    </w:p>
    <w:p w14:paraId="73C9F0EC" w14:textId="30680EA6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>Understanding of technology contracts, purchasing processes, and financial systems.</w:t>
      </w:r>
    </w:p>
    <w:p w14:paraId="252C93EF" w14:textId="2306B6BF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>Systems configuration management experience.</w:t>
      </w:r>
    </w:p>
    <w:p w14:paraId="3A33F797" w14:textId="539D78F4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 xml:space="preserve">An understanding of a range of software licensing models including SaaS constructs. </w:t>
      </w:r>
    </w:p>
    <w:p w14:paraId="76AE256F" w14:textId="5B3611FD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 xml:space="preserve">Knowledge of Government purchasing/tender policy. </w:t>
      </w:r>
    </w:p>
    <w:p w14:paraId="11DEFB67" w14:textId="445CFF96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 xml:space="preserve">An understanding of the supplier management lifecycle and how this impacts reporting objectives around supplier performance, sourcing strategies and plans, balancing costs and service qualities. </w:t>
      </w:r>
    </w:p>
    <w:p w14:paraId="325F5D6F" w14:textId="3EC5EDD1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>Experience gathering data, providing analysis and high quality, accurate reporting.</w:t>
      </w:r>
    </w:p>
    <w:p w14:paraId="0F903BF3" w14:textId="4A4139FA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>Previous experience managing financial and commercial information and providing scheduled reports.</w:t>
      </w:r>
    </w:p>
    <w:p w14:paraId="2B589DD7" w14:textId="4359F77F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lastRenderedPageBreak/>
        <w:t xml:space="preserve">Strong communication skills with experience liaising with vendors and customers within a large, complex environment. </w:t>
      </w:r>
    </w:p>
    <w:p w14:paraId="22FF20CE" w14:textId="77777777" w:rsidR="00285BEB" w:rsidRDefault="00285BEB" w:rsidP="00285BEB">
      <w:pPr>
        <w:pStyle w:val="ListParagraph"/>
        <w:numPr>
          <w:ilvl w:val="0"/>
          <w:numId w:val="37"/>
        </w:numPr>
        <w:spacing w:line="240" w:lineRule="auto"/>
        <w:contextualSpacing w:val="0"/>
      </w:pPr>
      <w:r>
        <w:t>Proficient in Microsoft Office Suite – including Excel, Visio, PowerPoint, Teams, Outlook.</w:t>
      </w:r>
      <w:r w:rsidRPr="00FE42E3">
        <w:t xml:space="preserve"> </w:t>
      </w:r>
    </w:p>
    <w:p w14:paraId="3455BCD9" w14:textId="53EEB6D2" w:rsidR="00205B82" w:rsidRPr="00285BEB" w:rsidRDefault="0077295B" w:rsidP="00285BEB">
      <w:pPr>
        <w:spacing w:before="240" w:line="240" w:lineRule="auto"/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Pr="00FE42E3" w:rsidRDefault="0077295B" w:rsidP="00285BEB">
      <w:pPr>
        <w:spacing w:before="240"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7E6CB14A" w14:textId="5FFBC2F6" w:rsid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</w:pPr>
      <w:r>
        <w:t>IST Leadership team</w:t>
      </w:r>
    </w:p>
    <w:p w14:paraId="2ADA4D9C" w14:textId="5873486F" w:rsid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</w:pPr>
      <w:r>
        <w:t xml:space="preserve">Technology Product Managers </w:t>
      </w:r>
    </w:p>
    <w:p w14:paraId="13E0188A" w14:textId="59AEA7D5" w:rsid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</w:pPr>
      <w:r>
        <w:t>Technology Product Owners</w:t>
      </w:r>
    </w:p>
    <w:p w14:paraId="171A28D2" w14:textId="1C698A98" w:rsid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</w:pPr>
      <w:r>
        <w:t>Commercial and Procurement group</w:t>
      </w:r>
    </w:p>
    <w:p w14:paraId="619CCD17" w14:textId="17F6B87F" w:rsid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</w:pPr>
      <w:r>
        <w:t>Legal services group</w:t>
      </w:r>
    </w:p>
    <w:p w14:paraId="2FEF4A5B" w14:textId="1189E0AF" w:rsidR="0077295B" w:rsidRP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t>National accounting centre</w:t>
      </w:r>
    </w:p>
    <w:p w14:paraId="6035E337" w14:textId="5D269650" w:rsidR="0077295B" w:rsidRPr="00FE42E3" w:rsidRDefault="006C03B8" w:rsidP="00285BEB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1593F0B4" w14:textId="3108070F" w:rsidR="00285BEB" w:rsidRP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  <w:rPr>
          <w:szCs w:val="26"/>
        </w:rPr>
      </w:pPr>
      <w:r w:rsidRPr="00285BEB">
        <w:rPr>
          <w:szCs w:val="26"/>
        </w:rPr>
        <w:t>Third party contractors and suppliers</w:t>
      </w:r>
    </w:p>
    <w:p w14:paraId="35E38FDA" w14:textId="4E6A0E9A" w:rsidR="0077295B" w:rsidRPr="00285BEB" w:rsidRDefault="00285BEB" w:rsidP="00285BEB">
      <w:pPr>
        <w:pStyle w:val="ListParagraph"/>
        <w:numPr>
          <w:ilvl w:val="0"/>
          <w:numId w:val="38"/>
        </w:numPr>
        <w:spacing w:line="240" w:lineRule="auto"/>
        <w:contextualSpacing w:val="0"/>
        <w:rPr>
          <w:szCs w:val="26"/>
        </w:rPr>
      </w:pPr>
      <w:r w:rsidRPr="00285BEB">
        <w:rPr>
          <w:szCs w:val="26"/>
        </w:rPr>
        <w:t xml:space="preserve">External legal advisors </w:t>
      </w:r>
    </w:p>
    <w:p w14:paraId="2778ADB8" w14:textId="27B50388" w:rsidR="005C6B8C" w:rsidRDefault="005C0C81" w:rsidP="00285BEB">
      <w:pPr>
        <w:pStyle w:val="Heading3"/>
        <w:rPr>
          <w:color w:val="000000" w:themeColor="text1"/>
          <w:sz w:val="24"/>
          <w:szCs w:val="24"/>
        </w:rPr>
      </w:pPr>
      <w:r w:rsidRPr="00FE42E3">
        <w:t xml:space="preserve">Delegations 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 xml:space="preserve">Direct reports </w:t>
      </w:r>
      <w:r w:rsidR="00FE42E3">
        <w:rPr>
          <w:color w:val="000000" w:themeColor="text1"/>
          <w:sz w:val="24"/>
          <w:szCs w:val="24"/>
        </w:rPr>
        <w:t>–</w:t>
      </w:r>
      <w:r w:rsidR="00285BEB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 xml:space="preserve">Security </w:t>
      </w:r>
      <w:r w:rsidR="007D7B1B" w:rsidRPr="00FE42E3">
        <w:rPr>
          <w:color w:val="000000" w:themeColor="text1"/>
          <w:sz w:val="24"/>
          <w:szCs w:val="24"/>
        </w:rPr>
        <w:t>clearance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285BEB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>Children’s worker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285BEB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>Travel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285BEB">
        <w:rPr>
          <w:color w:val="000000" w:themeColor="text1"/>
          <w:sz w:val="24"/>
          <w:szCs w:val="24"/>
        </w:rPr>
        <w:t xml:space="preserve"> </w:t>
      </w:r>
      <w:r w:rsidR="00285BEB" w:rsidRPr="00285BEB">
        <w:rPr>
          <w:b w:val="0"/>
          <w:bCs w:val="0"/>
          <w:color w:val="000000" w:themeColor="text1"/>
          <w:sz w:val="24"/>
          <w:szCs w:val="24"/>
        </w:rPr>
        <w:t xml:space="preserve">Limited </w:t>
      </w:r>
      <w:proofErr w:type="spellStart"/>
      <w:r w:rsidR="00285BEB" w:rsidRPr="00285BEB">
        <w:rPr>
          <w:b w:val="0"/>
          <w:bCs w:val="0"/>
          <w:color w:val="000000" w:themeColor="text1"/>
          <w:sz w:val="24"/>
          <w:szCs w:val="24"/>
        </w:rPr>
        <w:t>adhoc</w:t>
      </w:r>
      <w:proofErr w:type="spellEnd"/>
      <w:r w:rsidR="00285BEB" w:rsidRPr="00285BEB">
        <w:rPr>
          <w:b w:val="0"/>
          <w:bCs w:val="0"/>
          <w:color w:val="000000" w:themeColor="text1"/>
          <w:sz w:val="24"/>
          <w:szCs w:val="24"/>
        </w:rPr>
        <w:t xml:space="preserve"> travel may be required</w:t>
      </w:r>
      <w:r w:rsidR="007D7B1B" w:rsidRPr="00FE42E3">
        <w:br/>
      </w:r>
      <w:r w:rsidR="007D7B1B" w:rsidRPr="00FE42E3">
        <w:br/>
      </w:r>
      <w:r w:rsidR="00141ACE" w:rsidRPr="00FE42E3">
        <w:rPr>
          <w:color w:val="000000" w:themeColor="text1"/>
          <w:sz w:val="24"/>
          <w:szCs w:val="24"/>
        </w:rPr>
        <w:t xml:space="preserve">HR </w:t>
      </w:r>
      <w:r w:rsidR="005C6B8C" w:rsidRPr="00FE42E3">
        <w:rPr>
          <w:color w:val="000000" w:themeColor="text1"/>
          <w:sz w:val="24"/>
          <w:szCs w:val="24"/>
        </w:rPr>
        <w:t xml:space="preserve">Delegation Level </w:t>
      </w:r>
      <w:r w:rsidR="00FE42E3">
        <w:rPr>
          <w:color w:val="000000" w:themeColor="text1"/>
          <w:sz w:val="24"/>
          <w:szCs w:val="24"/>
        </w:rPr>
        <w:t>–</w:t>
      </w:r>
      <w:r w:rsidR="00285BEB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="005C6B8C" w:rsidRPr="00FE42E3">
        <w:rPr>
          <w:color w:val="000000" w:themeColor="text1"/>
          <w:sz w:val="24"/>
          <w:szCs w:val="24"/>
        </w:rPr>
        <w:t>Financial Delegation level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285BEB">
        <w:rPr>
          <w:color w:val="000000" w:themeColor="text1"/>
          <w:sz w:val="24"/>
          <w:szCs w:val="24"/>
        </w:rPr>
        <w:t xml:space="preserve"> No</w:t>
      </w:r>
    </w:p>
    <w:p w14:paraId="6A15977C" w14:textId="77777777" w:rsidR="00EE3A4D" w:rsidRPr="00EE3A4D" w:rsidRDefault="00EE3A4D" w:rsidP="00EE3A4D"/>
    <w:p w14:paraId="1DE37B6A" w14:textId="77777777" w:rsidR="00EE3A4D" w:rsidRDefault="00EE3A4D" w:rsidP="00D3627D">
      <w:pPr>
        <w:pStyle w:val="Heading2"/>
      </w:pPr>
    </w:p>
    <w:p w14:paraId="6425664D" w14:textId="77777777" w:rsidR="00EE3A4D" w:rsidRDefault="00EE3A4D" w:rsidP="00D3627D">
      <w:pPr>
        <w:pStyle w:val="Heading2"/>
      </w:pPr>
    </w:p>
    <w:p w14:paraId="694E0B44" w14:textId="77777777" w:rsidR="00EE3A4D" w:rsidRDefault="00EE3A4D" w:rsidP="00D3627D">
      <w:pPr>
        <w:pStyle w:val="Heading2"/>
      </w:pPr>
    </w:p>
    <w:p w14:paraId="68F1FB50" w14:textId="77777777" w:rsidR="00EE3A4D" w:rsidRDefault="00EE3A4D" w:rsidP="00D3627D">
      <w:pPr>
        <w:pStyle w:val="Heading2"/>
      </w:pPr>
    </w:p>
    <w:p w14:paraId="78D54C15" w14:textId="77777777" w:rsidR="00EE3A4D" w:rsidRPr="00EE3A4D" w:rsidRDefault="00EE3A4D" w:rsidP="00EE3A4D"/>
    <w:p w14:paraId="1F366400" w14:textId="3DE72E8F" w:rsidR="005C0C81" w:rsidRPr="00FE42E3" w:rsidRDefault="005C0C81" w:rsidP="00D3627D">
      <w:pPr>
        <w:pStyle w:val="Heading2"/>
      </w:pPr>
      <w:r w:rsidRPr="00FE42E3">
        <w:lastRenderedPageBreak/>
        <w:t>Working in public service</w:t>
      </w:r>
    </w:p>
    <w:p w14:paraId="04A7278D" w14:textId="77777777" w:rsidR="005C0C81" w:rsidRPr="00FE42E3" w:rsidRDefault="005C0C81" w:rsidP="00D3627D">
      <w:r w:rsidRPr="00FE42E3">
        <w:rPr>
          <w:lang w:eastAsia="en-NZ"/>
        </w:rPr>
        <w:t>In the public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FE42E3">
        <w:rPr>
          <w:lang w:val="mi-NZ" w:eastAsia="en-NZ"/>
        </w:rPr>
        <w:t>Māori</w:t>
      </w:r>
      <w:r w:rsidRPr="00FE42E3">
        <w:rPr>
          <w:lang w:eastAsia="en-NZ"/>
        </w:rPr>
        <w:t xml:space="preserve"> under the Treaty of </w:t>
      </w:r>
      <w:r w:rsidRPr="00FE42E3">
        <w:rPr>
          <w:lang w:val="mi-NZ" w:eastAsia="en-NZ"/>
        </w:rPr>
        <w:t>Waitangi</w:t>
      </w:r>
      <w:r w:rsidRPr="00FE42E3">
        <w:rPr>
          <w:lang w:eastAsia="en-NZ"/>
        </w:rPr>
        <w:t>.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FE42E3">
        <w:t>potential and aspirations.</w:t>
      </w:r>
    </w:p>
    <w:p w14:paraId="1BA4FC08" w14:textId="77777777" w:rsidR="00CB3BB8" w:rsidRPr="00FE42E3" w:rsidRDefault="005C0C81" w:rsidP="00D3627D">
      <w:r w:rsidRPr="00FE42E3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 matua o te ratonga tūmatanui i roto i ā mātou mahi. </w:t>
      </w:r>
    </w:p>
    <w:sectPr w:rsidR="00CB3BB8" w:rsidRPr="00FE42E3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BDFB" w14:textId="77777777" w:rsidR="00C31EDC" w:rsidRDefault="00C31EDC" w:rsidP="00336686">
      <w:r>
        <w:separator/>
      </w:r>
    </w:p>
  </w:endnote>
  <w:endnote w:type="continuationSeparator" w:id="0">
    <w:p w14:paraId="2E818992" w14:textId="77777777" w:rsidR="00C31EDC" w:rsidRDefault="00C31EDC" w:rsidP="00336686">
      <w:r>
        <w:continuationSeparator/>
      </w:r>
    </w:p>
  </w:endnote>
  <w:endnote w:type="continuationNotice" w:id="1">
    <w:p w14:paraId="798F9FEF" w14:textId="77777777" w:rsidR="00C31EDC" w:rsidRDefault="00C31ED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8283" w14:textId="0E8B90CC" w:rsidR="00C7317E" w:rsidRPr="008A00F5" w:rsidRDefault="0083710E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285BEB" w:rsidRPr="00285BEB">
          <w:rPr>
            <w:sz w:val="20"/>
            <w:szCs w:val="20"/>
          </w:rPr>
          <w:t xml:space="preserve">Contract and License Specialist (IST) </w:t>
        </w:r>
        <w:r w:rsidR="005C0C81" w:rsidRPr="00285BEB">
          <w:rPr>
            <w:sz w:val="20"/>
            <w:szCs w:val="20"/>
          </w:rPr>
          <w:t xml:space="preserve">– </w:t>
        </w:r>
        <w:r w:rsidR="00285BEB" w:rsidRPr="00285BEB">
          <w:rPr>
            <w:sz w:val="20"/>
            <w:szCs w:val="20"/>
          </w:rPr>
          <w:t xml:space="preserve">Band 5 - IT Premium </w:t>
        </w:r>
        <w:r w:rsidR="005C0C81" w:rsidRPr="00285BEB">
          <w:rPr>
            <w:sz w:val="20"/>
            <w:szCs w:val="20"/>
          </w:rPr>
          <w:t xml:space="preserve">– </w:t>
        </w:r>
        <w:r w:rsidR="00285BEB">
          <w:rPr>
            <w:sz w:val="20"/>
            <w:szCs w:val="20"/>
          </w:rPr>
          <w:t>May 2023</w:t>
        </w:r>
      </w:sdtContent>
    </w:sdt>
    <w:r w:rsidR="007D7B1B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FD02" w14:textId="77777777" w:rsidR="00C31EDC" w:rsidRDefault="00C31EDC" w:rsidP="00336686">
      <w:r>
        <w:separator/>
      </w:r>
    </w:p>
  </w:footnote>
  <w:footnote w:type="continuationSeparator" w:id="0">
    <w:p w14:paraId="0E9EF4E4" w14:textId="77777777" w:rsidR="00C31EDC" w:rsidRDefault="00C31EDC" w:rsidP="00336686">
      <w:r>
        <w:continuationSeparator/>
      </w:r>
    </w:p>
  </w:footnote>
  <w:footnote w:type="continuationNotice" w:id="1">
    <w:p w14:paraId="53AB1D7C" w14:textId="77777777" w:rsidR="00C31EDC" w:rsidRDefault="00C31ED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19BC" w14:textId="77777777" w:rsidR="00C53480" w:rsidRDefault="0083710E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092"/>
    <w:multiLevelType w:val="hybridMultilevel"/>
    <w:tmpl w:val="C6CABC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D0B93"/>
    <w:multiLevelType w:val="hybridMultilevel"/>
    <w:tmpl w:val="7832B1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E5E81"/>
    <w:multiLevelType w:val="hybridMultilevel"/>
    <w:tmpl w:val="95EC07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66BF"/>
    <w:multiLevelType w:val="hybridMultilevel"/>
    <w:tmpl w:val="E14CBE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C258C"/>
    <w:multiLevelType w:val="hybridMultilevel"/>
    <w:tmpl w:val="56740D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F433809"/>
    <w:multiLevelType w:val="hybridMultilevel"/>
    <w:tmpl w:val="E92AA0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EF0"/>
    <w:multiLevelType w:val="hybridMultilevel"/>
    <w:tmpl w:val="0FE292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3850"/>
    <w:multiLevelType w:val="hybridMultilevel"/>
    <w:tmpl w:val="4B8246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1196B"/>
    <w:multiLevelType w:val="hybridMultilevel"/>
    <w:tmpl w:val="AA006D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854363A"/>
    <w:multiLevelType w:val="hybridMultilevel"/>
    <w:tmpl w:val="132E42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B2C78"/>
    <w:multiLevelType w:val="hybridMultilevel"/>
    <w:tmpl w:val="66E01A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6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22"/>
  </w:num>
  <w:num w:numId="6" w16cid:durableId="1864854123">
    <w:abstractNumId w:val="24"/>
  </w:num>
  <w:num w:numId="7" w16cid:durableId="1146584851">
    <w:abstractNumId w:val="34"/>
  </w:num>
  <w:num w:numId="8" w16cid:durableId="1671786130">
    <w:abstractNumId w:val="11"/>
  </w:num>
  <w:num w:numId="9" w16cid:durableId="2140149030">
    <w:abstractNumId w:val="21"/>
  </w:num>
  <w:num w:numId="10" w16cid:durableId="136529671">
    <w:abstractNumId w:val="31"/>
  </w:num>
  <w:num w:numId="11" w16cid:durableId="1102068592">
    <w:abstractNumId w:val="25"/>
  </w:num>
  <w:num w:numId="12" w16cid:durableId="1011878886">
    <w:abstractNumId w:val="26"/>
  </w:num>
  <w:num w:numId="13" w16cid:durableId="1999267206">
    <w:abstractNumId w:val="35"/>
  </w:num>
  <w:num w:numId="14" w16cid:durableId="1394620197">
    <w:abstractNumId w:val="12"/>
  </w:num>
  <w:num w:numId="15" w16cid:durableId="2023244101">
    <w:abstractNumId w:val="7"/>
  </w:num>
  <w:num w:numId="16" w16cid:durableId="421686626">
    <w:abstractNumId w:val="2"/>
  </w:num>
  <w:num w:numId="17" w16cid:durableId="1274364210">
    <w:abstractNumId w:val="17"/>
  </w:num>
  <w:num w:numId="18" w16cid:durableId="977149842">
    <w:abstractNumId w:val="3"/>
  </w:num>
  <w:num w:numId="19" w16cid:durableId="1270048622">
    <w:abstractNumId w:val="30"/>
  </w:num>
  <w:num w:numId="20" w16cid:durableId="1437407180">
    <w:abstractNumId w:val="13"/>
  </w:num>
  <w:num w:numId="21" w16cid:durableId="56637716">
    <w:abstractNumId w:val="32"/>
  </w:num>
  <w:num w:numId="22" w16cid:durableId="1259213211">
    <w:abstractNumId w:val="8"/>
  </w:num>
  <w:num w:numId="23" w16cid:durableId="368457051">
    <w:abstractNumId w:val="14"/>
  </w:num>
  <w:num w:numId="24" w16cid:durableId="1076123646">
    <w:abstractNumId w:val="28"/>
  </w:num>
  <w:num w:numId="25" w16cid:durableId="651564553">
    <w:abstractNumId w:val="33"/>
  </w:num>
  <w:num w:numId="26" w16cid:durableId="1860586675">
    <w:abstractNumId w:val="8"/>
  </w:num>
  <w:num w:numId="27" w16cid:durableId="547885364">
    <w:abstractNumId w:val="8"/>
  </w:num>
  <w:num w:numId="28" w16cid:durableId="1381632945">
    <w:abstractNumId w:val="8"/>
  </w:num>
  <w:num w:numId="29" w16cid:durableId="704986499">
    <w:abstractNumId w:val="5"/>
  </w:num>
  <w:num w:numId="30" w16cid:durableId="956372200">
    <w:abstractNumId w:val="16"/>
  </w:num>
  <w:num w:numId="31" w16cid:durableId="640185266">
    <w:abstractNumId w:val="18"/>
  </w:num>
  <w:num w:numId="32" w16cid:durableId="1951470424">
    <w:abstractNumId w:val="19"/>
  </w:num>
  <w:num w:numId="33" w16cid:durableId="1185439745">
    <w:abstractNumId w:val="20"/>
  </w:num>
  <w:num w:numId="34" w16cid:durableId="1616207835">
    <w:abstractNumId w:val="10"/>
  </w:num>
  <w:num w:numId="35" w16cid:durableId="942304108">
    <w:abstractNumId w:val="29"/>
  </w:num>
  <w:num w:numId="36" w16cid:durableId="489254089">
    <w:abstractNumId w:val="9"/>
  </w:num>
  <w:num w:numId="37" w16cid:durableId="743794499">
    <w:abstractNumId w:val="23"/>
  </w:num>
  <w:num w:numId="38" w16cid:durableId="455107034">
    <w:abstractNumId w:val="15"/>
  </w:num>
  <w:num w:numId="39" w16cid:durableId="1236014223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85BEB"/>
    <w:rsid w:val="0029741C"/>
    <w:rsid w:val="002A07F6"/>
    <w:rsid w:val="002A539F"/>
    <w:rsid w:val="002A6600"/>
    <w:rsid w:val="002A673A"/>
    <w:rsid w:val="002B021B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3710E"/>
    <w:rsid w:val="008414B1"/>
    <w:rsid w:val="00860654"/>
    <w:rsid w:val="0087517C"/>
    <w:rsid w:val="00880FE9"/>
    <w:rsid w:val="008879FF"/>
    <w:rsid w:val="008951EE"/>
    <w:rsid w:val="008A00F5"/>
    <w:rsid w:val="008B0A66"/>
    <w:rsid w:val="008B2E4F"/>
    <w:rsid w:val="008B41B5"/>
    <w:rsid w:val="008E3B02"/>
    <w:rsid w:val="008E3FAF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3D99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3627D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269E"/>
    <w:rsid w:val="00EB3D34"/>
    <w:rsid w:val="00EC012D"/>
    <w:rsid w:val="00EC1C7C"/>
    <w:rsid w:val="00EC52B6"/>
    <w:rsid w:val="00ED23DA"/>
    <w:rsid w:val="00ED776D"/>
    <w:rsid w:val="00EE3A4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D2534"/>
    <w:rsid w:val="00FE1317"/>
    <w:rsid w:val="00FE42E3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1515</Words>
  <Characters>8642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Tyla Redden</cp:lastModifiedBy>
  <cp:revision>2</cp:revision>
  <cp:lastPrinted>2025-09-12T22:32:00Z</cp:lastPrinted>
  <dcterms:created xsi:type="dcterms:W3CDTF">2026-02-24T00:49:00Z</dcterms:created>
  <dcterms:modified xsi:type="dcterms:W3CDTF">2026-02-24T00:49:00Z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