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Borders>
          <w:bottom w:val="single" w:sz="12" w:space="0" w:color="auto"/>
        </w:tblBorders>
        <w:tblLayout w:type="fixed"/>
        <w:tblCellMar>
          <w:left w:w="0" w:type="dxa"/>
          <w:right w:w="0" w:type="dxa"/>
        </w:tblCellMar>
        <w:tblLook w:val="01E0" w:firstRow="1" w:lastRow="1" w:firstColumn="1" w:lastColumn="1" w:noHBand="0" w:noVBand="0"/>
      </w:tblPr>
      <w:tblGrid>
        <w:gridCol w:w="7230"/>
        <w:gridCol w:w="1984"/>
      </w:tblGrid>
      <w:tr w:rsidR="00D56D8D" w14:paraId="7F351D0A" w14:textId="77777777" w:rsidTr="00490CF0">
        <w:trPr>
          <w:cantSplit/>
        </w:trPr>
        <w:tc>
          <w:tcPr>
            <w:tcW w:w="7230" w:type="dxa"/>
            <w:shd w:val="clear" w:color="auto" w:fill="auto"/>
            <w:vAlign w:val="bottom"/>
          </w:tcPr>
          <w:p w14:paraId="29F864D2" w14:textId="27667737" w:rsidR="00D56D8D" w:rsidRPr="00DE0A3D" w:rsidRDefault="00DB6037" w:rsidP="006C3771">
            <w:pPr>
              <w:pStyle w:val="Heading1"/>
              <w:spacing w:after="60" w:line="240" w:lineRule="auto"/>
              <w:rPr>
                <w:b w:val="0"/>
                <w:sz w:val="44"/>
                <w:szCs w:val="44"/>
              </w:rPr>
            </w:pPr>
            <w:bookmarkStart w:id="0" w:name="_GoBack"/>
            <w:bookmarkEnd w:id="0"/>
            <w:proofErr w:type="spellStart"/>
            <w:r>
              <w:rPr>
                <w:sz w:val="36"/>
              </w:rPr>
              <w:t>F</w:t>
            </w:r>
            <w:r w:rsidR="003005C4" w:rsidRPr="004933FE">
              <w:rPr>
                <w:sz w:val="36"/>
              </w:rPr>
              <w:t>act</w:t>
            </w:r>
            <w:r w:rsidR="006C3771">
              <w:rPr>
                <w:sz w:val="36"/>
              </w:rPr>
              <w:t>S</w:t>
            </w:r>
            <w:r w:rsidR="003005C4" w:rsidRPr="004933FE">
              <w:rPr>
                <w:sz w:val="36"/>
              </w:rPr>
              <w:t>heet</w:t>
            </w:r>
            <w:proofErr w:type="spellEnd"/>
            <w:r w:rsidR="003005C4" w:rsidRPr="004933FE">
              <w:rPr>
                <w:sz w:val="36"/>
              </w:rPr>
              <w:t xml:space="preserve"> </w:t>
            </w:r>
            <w:r w:rsidR="00C37086">
              <w:br/>
            </w:r>
            <w:r w:rsidR="002640CC" w:rsidRPr="00027FFA">
              <w:rPr>
                <w:rFonts w:ascii="Verdana" w:hAnsi="Verdana"/>
                <w:sz w:val="28"/>
                <w:szCs w:val="32"/>
              </w:rPr>
              <w:t>Mental Health and Addiction Support Worker</w:t>
            </w:r>
            <w:r w:rsidR="003005C4" w:rsidRPr="00027FFA">
              <w:rPr>
                <w:rFonts w:ascii="Verdana" w:hAnsi="Verdana"/>
                <w:sz w:val="28"/>
                <w:szCs w:val="32"/>
              </w:rPr>
              <w:t xml:space="preserve"> </w:t>
            </w:r>
            <w:r w:rsidR="00DE0A3D" w:rsidRPr="00027FFA">
              <w:rPr>
                <w:rFonts w:ascii="Verdana" w:hAnsi="Verdana"/>
                <w:sz w:val="28"/>
                <w:szCs w:val="32"/>
              </w:rPr>
              <w:t>(</w:t>
            </w:r>
            <w:r w:rsidR="00316E05" w:rsidRPr="00027FFA">
              <w:rPr>
                <w:rFonts w:ascii="Verdana" w:hAnsi="Verdana"/>
                <w:sz w:val="28"/>
                <w:szCs w:val="32"/>
              </w:rPr>
              <w:t>P</w:t>
            </w:r>
            <w:r w:rsidR="003005C4" w:rsidRPr="00027FFA">
              <w:rPr>
                <w:rFonts w:ascii="Verdana" w:hAnsi="Verdana"/>
                <w:sz w:val="28"/>
                <w:szCs w:val="32"/>
              </w:rPr>
              <w:t xml:space="preserve">ay </w:t>
            </w:r>
            <w:r w:rsidR="00316E05" w:rsidRPr="00027FFA">
              <w:rPr>
                <w:rFonts w:ascii="Verdana" w:hAnsi="Verdana"/>
                <w:sz w:val="28"/>
                <w:szCs w:val="32"/>
              </w:rPr>
              <w:t>E</w:t>
            </w:r>
            <w:r w:rsidR="003005C4" w:rsidRPr="00027FFA">
              <w:rPr>
                <w:rFonts w:ascii="Verdana" w:hAnsi="Verdana"/>
                <w:sz w:val="28"/>
                <w:szCs w:val="32"/>
              </w:rPr>
              <w:t>quity</w:t>
            </w:r>
            <w:r w:rsidR="00DE0A3D" w:rsidRPr="00027FFA">
              <w:rPr>
                <w:rFonts w:ascii="Verdana" w:hAnsi="Verdana"/>
                <w:sz w:val="28"/>
                <w:szCs w:val="32"/>
              </w:rPr>
              <w:t>)</w:t>
            </w:r>
            <w:r w:rsidR="003005C4" w:rsidRPr="00027FFA">
              <w:rPr>
                <w:rFonts w:ascii="Verdana" w:hAnsi="Verdana"/>
                <w:sz w:val="28"/>
                <w:szCs w:val="32"/>
              </w:rPr>
              <w:t xml:space="preserve"> </w:t>
            </w:r>
            <w:r w:rsidR="00C836A2" w:rsidRPr="00027FFA">
              <w:rPr>
                <w:rFonts w:ascii="Verdana" w:hAnsi="Verdana"/>
                <w:sz w:val="28"/>
                <w:szCs w:val="32"/>
              </w:rPr>
              <w:t>S</w:t>
            </w:r>
            <w:r w:rsidR="002640CC" w:rsidRPr="00027FFA">
              <w:rPr>
                <w:rFonts w:ascii="Verdana" w:hAnsi="Verdana"/>
                <w:sz w:val="28"/>
                <w:szCs w:val="32"/>
              </w:rPr>
              <w:t>ettlement Agreement</w:t>
            </w:r>
            <w:r w:rsidR="00412C01" w:rsidRPr="00027FFA">
              <w:rPr>
                <w:b w:val="0"/>
                <w:sz w:val="32"/>
                <w:szCs w:val="44"/>
              </w:rPr>
              <w:t xml:space="preserve"> </w:t>
            </w:r>
          </w:p>
        </w:tc>
        <w:tc>
          <w:tcPr>
            <w:tcW w:w="1984" w:type="dxa"/>
            <w:shd w:val="clear" w:color="auto" w:fill="auto"/>
            <w:vAlign w:val="bottom"/>
          </w:tcPr>
          <w:p w14:paraId="39409F89" w14:textId="20F84F3A" w:rsidR="00423830" w:rsidRPr="00E43A89" w:rsidRDefault="006C3771" w:rsidP="003662FC">
            <w:pPr>
              <w:spacing w:after="120" w:line="240" w:lineRule="auto"/>
              <w:jc w:val="right"/>
              <w:rPr>
                <w:color w:val="002B7F"/>
                <w:sz w:val="28"/>
                <w:szCs w:val="28"/>
              </w:rPr>
            </w:pPr>
            <w:r>
              <w:rPr>
                <w:sz w:val="28"/>
                <w:szCs w:val="28"/>
              </w:rPr>
              <w:t xml:space="preserve">Dec </w:t>
            </w:r>
            <w:r w:rsidR="002640CC">
              <w:rPr>
                <w:sz w:val="28"/>
                <w:szCs w:val="28"/>
              </w:rPr>
              <w:t>2018</w:t>
            </w:r>
          </w:p>
        </w:tc>
      </w:tr>
    </w:tbl>
    <w:p w14:paraId="436E23F2" w14:textId="47821050" w:rsidR="00615B5A" w:rsidRPr="00027FFA" w:rsidRDefault="00615B5A" w:rsidP="00615B5A">
      <w:pPr>
        <w:pStyle w:val="Heading2"/>
        <w:spacing w:line="240" w:lineRule="auto"/>
        <w:rPr>
          <w:rFonts w:ascii="Verdana" w:hAnsi="Verdana"/>
          <w:sz w:val="28"/>
        </w:rPr>
      </w:pPr>
      <w:r>
        <w:rPr>
          <w:rFonts w:ascii="Verdana" w:hAnsi="Verdana"/>
          <w:sz w:val="28"/>
        </w:rPr>
        <w:t>Background</w:t>
      </w:r>
    </w:p>
    <w:p w14:paraId="5E4559A0" w14:textId="77777777" w:rsidR="0021088A" w:rsidRPr="0021088A" w:rsidRDefault="0021088A" w:rsidP="003662FC">
      <w:pPr>
        <w:pStyle w:val="Heading2"/>
        <w:spacing w:before="0" w:line="240" w:lineRule="auto"/>
        <w:rPr>
          <w:rFonts w:ascii="Verdana" w:hAnsi="Verdana" w:cs="Times New Roman"/>
          <w:b w:val="0"/>
          <w:bCs w:val="0"/>
          <w:iCs w:val="0"/>
          <w:sz w:val="20"/>
          <w:szCs w:val="20"/>
        </w:rPr>
      </w:pPr>
      <w:r w:rsidRPr="0021088A">
        <w:rPr>
          <w:rFonts w:ascii="Verdana" w:hAnsi="Verdana" w:cs="Times New Roman"/>
          <w:b w:val="0"/>
          <w:bCs w:val="0"/>
          <w:iCs w:val="0"/>
          <w:sz w:val="20"/>
          <w:szCs w:val="20"/>
        </w:rPr>
        <w:t xml:space="preserve">On 19 June 2018, the Government announced a settlement with unions and employers to extend the 2017 Care and Support Workers (Pay Equity) Settlement Act to 5,000 mental health and addiction support workers. </w:t>
      </w:r>
    </w:p>
    <w:p w14:paraId="1195A928" w14:textId="77777777" w:rsidR="0021088A" w:rsidRPr="0021088A" w:rsidRDefault="0021088A" w:rsidP="003662FC">
      <w:pPr>
        <w:pStyle w:val="Heading2"/>
        <w:spacing w:before="0" w:line="240" w:lineRule="auto"/>
        <w:rPr>
          <w:rFonts w:ascii="Verdana" w:hAnsi="Verdana" w:cs="Times New Roman"/>
          <w:b w:val="0"/>
          <w:bCs w:val="0"/>
          <w:iCs w:val="0"/>
          <w:sz w:val="20"/>
          <w:szCs w:val="20"/>
        </w:rPr>
      </w:pPr>
      <w:r w:rsidRPr="0021088A">
        <w:rPr>
          <w:rFonts w:ascii="Verdana" w:hAnsi="Verdana" w:cs="Times New Roman"/>
          <w:b w:val="0"/>
          <w:bCs w:val="0"/>
          <w:iCs w:val="0"/>
          <w:sz w:val="20"/>
          <w:szCs w:val="20"/>
        </w:rPr>
        <w:t>The settlement agreement means that workers will receive new minimum wage rates and improved access to training and will help ensure we have a stable workforce to look after some of the most vulnerable New Zealanders.</w:t>
      </w:r>
    </w:p>
    <w:p w14:paraId="6471026C" w14:textId="77777777" w:rsidR="0021088A" w:rsidRDefault="0021088A" w:rsidP="003662FC">
      <w:pPr>
        <w:pStyle w:val="Heading2"/>
        <w:spacing w:before="0" w:line="240" w:lineRule="auto"/>
        <w:rPr>
          <w:rFonts w:ascii="Verdana" w:hAnsi="Verdana" w:cs="Times New Roman"/>
          <w:b w:val="0"/>
          <w:bCs w:val="0"/>
          <w:iCs w:val="0"/>
          <w:sz w:val="20"/>
          <w:szCs w:val="20"/>
        </w:rPr>
      </w:pPr>
      <w:r w:rsidRPr="0021088A">
        <w:rPr>
          <w:rFonts w:ascii="Verdana" w:hAnsi="Verdana" w:cs="Times New Roman"/>
          <w:b w:val="0"/>
          <w:bCs w:val="0"/>
          <w:iCs w:val="0"/>
          <w:sz w:val="20"/>
          <w:szCs w:val="20"/>
        </w:rPr>
        <w:t>Workers’ wages will increase to between $19 and $27 per hour over five years. The new wage rates will also be back-dated to 1 July 2017, when the Act came into effect.</w:t>
      </w:r>
    </w:p>
    <w:p w14:paraId="4204811C" w14:textId="7B59F346" w:rsidR="00E80597" w:rsidRPr="00027FFA" w:rsidRDefault="00F374BF" w:rsidP="003662FC">
      <w:pPr>
        <w:pStyle w:val="Heading2"/>
        <w:spacing w:line="240" w:lineRule="auto"/>
        <w:rPr>
          <w:rFonts w:ascii="Verdana" w:hAnsi="Verdana"/>
          <w:sz w:val="28"/>
        </w:rPr>
      </w:pPr>
      <w:r w:rsidRPr="00027FFA">
        <w:rPr>
          <w:rFonts w:ascii="Verdana" w:hAnsi="Verdana"/>
          <w:sz w:val="28"/>
        </w:rPr>
        <w:t>W</w:t>
      </w:r>
      <w:r w:rsidR="00E80597" w:rsidRPr="00027FFA">
        <w:rPr>
          <w:rFonts w:ascii="Verdana" w:hAnsi="Verdana"/>
          <w:sz w:val="28"/>
        </w:rPr>
        <w:t xml:space="preserve">age rates for </w:t>
      </w:r>
      <w:r w:rsidRPr="00027FFA">
        <w:rPr>
          <w:rFonts w:ascii="Verdana" w:hAnsi="Verdana"/>
          <w:sz w:val="28"/>
        </w:rPr>
        <w:t xml:space="preserve">current </w:t>
      </w:r>
      <w:r w:rsidR="00E80597" w:rsidRPr="00027FFA">
        <w:rPr>
          <w:rFonts w:ascii="Verdana" w:hAnsi="Verdana"/>
          <w:sz w:val="28"/>
        </w:rPr>
        <w:t>workers</w:t>
      </w:r>
      <w:r w:rsidRPr="00027FFA">
        <w:rPr>
          <w:rFonts w:ascii="Verdana" w:hAnsi="Verdana"/>
          <w:sz w:val="28"/>
        </w:rPr>
        <w:t xml:space="preserve"> employed before 1 July 2017</w:t>
      </w:r>
    </w:p>
    <w:p w14:paraId="2D268F01" w14:textId="1ED2D067" w:rsidR="00F251A0" w:rsidRDefault="0021088A" w:rsidP="003662FC">
      <w:pPr>
        <w:pStyle w:val="NormalWeb"/>
        <w:shd w:val="clear" w:color="auto" w:fill="FFFFFF"/>
        <w:spacing w:before="0"/>
        <w:rPr>
          <w:rFonts w:ascii="Verdana" w:hAnsi="Verdana"/>
          <w:sz w:val="20"/>
          <w:szCs w:val="20"/>
          <w:lang w:val="en" w:eastAsia="en-US"/>
        </w:rPr>
      </w:pPr>
      <w:r w:rsidRPr="0021088A">
        <w:rPr>
          <w:rFonts w:ascii="Verdana" w:hAnsi="Verdana"/>
          <w:sz w:val="20"/>
          <w:szCs w:val="20"/>
          <w:lang w:val="en" w:eastAsia="en-US"/>
        </w:rPr>
        <w:t xml:space="preserve">All mental health and addiction support workers employed before 1 July 2017 (current workers), move on to the following scale, either at the step that </w:t>
      </w:r>
      <w:proofErr w:type="spellStart"/>
      <w:r w:rsidRPr="0021088A">
        <w:rPr>
          <w:rFonts w:ascii="Verdana" w:hAnsi="Verdana"/>
          <w:sz w:val="20"/>
          <w:szCs w:val="20"/>
          <w:lang w:val="en" w:eastAsia="en-US"/>
        </w:rPr>
        <w:t>recognises</w:t>
      </w:r>
      <w:proofErr w:type="spellEnd"/>
      <w:r w:rsidRPr="0021088A">
        <w:rPr>
          <w:rFonts w:ascii="Verdana" w:hAnsi="Verdana"/>
          <w:sz w:val="20"/>
          <w:szCs w:val="20"/>
          <w:lang w:val="en" w:eastAsia="en-US"/>
        </w:rPr>
        <w:t xml:space="preserve"> their qualifications or their service with their employer, whichever is the most advantageous to the employee. The pay rates for year one </w:t>
      </w:r>
      <w:proofErr w:type="gramStart"/>
      <w:r w:rsidRPr="0021088A">
        <w:rPr>
          <w:rFonts w:ascii="Verdana" w:hAnsi="Verdana"/>
          <w:sz w:val="20"/>
          <w:szCs w:val="20"/>
          <w:lang w:val="en" w:eastAsia="en-US"/>
        </w:rPr>
        <w:t>are</w:t>
      </w:r>
      <w:proofErr w:type="gramEnd"/>
      <w:r w:rsidRPr="0021088A">
        <w:rPr>
          <w:rFonts w:ascii="Verdana" w:hAnsi="Verdana"/>
          <w:sz w:val="20"/>
          <w:szCs w:val="20"/>
          <w:lang w:val="en" w:eastAsia="en-US"/>
        </w:rPr>
        <w:t xml:space="preserve"> for back-pay only.</w:t>
      </w:r>
    </w:p>
    <w:p w14:paraId="71272F3C" w14:textId="289B2675" w:rsidR="00F251A0" w:rsidRPr="00F251A0" w:rsidRDefault="00F251A0" w:rsidP="003662FC">
      <w:pPr>
        <w:pStyle w:val="NormalWeb"/>
        <w:shd w:val="clear" w:color="auto" w:fill="FFFFFF"/>
        <w:spacing w:before="0" w:after="0"/>
        <w:rPr>
          <w:rFonts w:ascii="Verdana" w:hAnsi="Verdana"/>
          <w:b/>
          <w:sz w:val="20"/>
          <w:szCs w:val="20"/>
          <w:lang w:val="en" w:eastAsia="en-US"/>
        </w:rPr>
      </w:pPr>
      <w:r w:rsidRPr="00F251A0">
        <w:rPr>
          <w:rFonts w:ascii="Verdana" w:hAnsi="Verdana"/>
          <w:b/>
          <w:sz w:val="20"/>
          <w:szCs w:val="20"/>
          <w:lang w:val="en" w:eastAsia="en-US"/>
        </w:rPr>
        <w:t>Pay scale 1</w:t>
      </w:r>
      <w:r w:rsidR="0021088A">
        <w:rPr>
          <w:rFonts w:ascii="Verdana" w:hAnsi="Verdana"/>
          <w:b/>
          <w:sz w:val="20"/>
          <w:szCs w:val="20"/>
          <w:lang w:val="en" w:eastAsia="en-US"/>
        </w:rPr>
        <w:t xml:space="preserve">: </w:t>
      </w:r>
      <w:r w:rsidR="0021088A" w:rsidRPr="0021088A">
        <w:rPr>
          <w:rFonts w:ascii="Verdana" w:hAnsi="Verdana"/>
          <w:b/>
          <w:sz w:val="20"/>
          <w:szCs w:val="20"/>
          <w:lang w:val="en" w:eastAsia="en-US"/>
        </w:rPr>
        <w:t>Transition rates for workers employed before 1 July 2017</w:t>
      </w:r>
    </w:p>
    <w:tbl>
      <w:tblPr>
        <w:tblW w:w="5109" w:type="pct"/>
        <w:tblCellMar>
          <w:top w:w="15" w:type="dxa"/>
          <w:left w:w="15" w:type="dxa"/>
          <w:bottom w:w="15" w:type="dxa"/>
          <w:right w:w="15" w:type="dxa"/>
        </w:tblCellMar>
        <w:tblLook w:val="04A0" w:firstRow="1" w:lastRow="0" w:firstColumn="1" w:lastColumn="0" w:noHBand="0" w:noVBand="1"/>
      </w:tblPr>
      <w:tblGrid>
        <w:gridCol w:w="2973"/>
        <w:gridCol w:w="1684"/>
        <w:gridCol w:w="1686"/>
        <w:gridCol w:w="1686"/>
        <w:gridCol w:w="1682"/>
      </w:tblGrid>
      <w:tr w:rsidR="00F251A0" w:rsidRPr="0099705A" w14:paraId="56C813EA" w14:textId="77777777" w:rsidTr="00F251A0">
        <w:trPr>
          <w:trHeight w:val="670"/>
          <w:tblHeader/>
        </w:trPr>
        <w:tc>
          <w:tcPr>
            <w:tcW w:w="1531" w:type="pct"/>
            <w:tcBorders>
              <w:top w:val="single" w:sz="6" w:space="0" w:color="CCCCCC"/>
              <w:left w:val="nil"/>
              <w:bottom w:val="nil"/>
              <w:right w:val="nil"/>
            </w:tcBorders>
            <w:shd w:val="clear" w:color="auto" w:fill="auto"/>
            <w:tcMar>
              <w:top w:w="45" w:type="dxa"/>
              <w:left w:w="75" w:type="dxa"/>
              <w:bottom w:w="45" w:type="dxa"/>
              <w:right w:w="75" w:type="dxa"/>
            </w:tcMar>
            <w:hideMark/>
          </w:tcPr>
          <w:p w14:paraId="7DACA255" w14:textId="77777777" w:rsidR="00F251A0" w:rsidRPr="0099705A" w:rsidRDefault="00F251A0" w:rsidP="003662FC">
            <w:pPr>
              <w:spacing w:line="240" w:lineRule="auto"/>
              <w:rPr>
                <w:rFonts w:ascii="Verdana" w:hAnsi="Verdana" w:cs="Arial"/>
                <w:b/>
                <w:bCs/>
                <w:sz w:val="20"/>
                <w:szCs w:val="21"/>
              </w:rPr>
            </w:pPr>
            <w:r w:rsidRPr="0099705A">
              <w:rPr>
                <w:rFonts w:ascii="Verdana" w:hAnsi="Verdana" w:cs="Arial"/>
                <w:b/>
                <w:bCs/>
                <w:sz w:val="20"/>
                <w:szCs w:val="21"/>
              </w:rPr>
              <w:t>Qualification or length of service</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62DC9B0D" w14:textId="77777777" w:rsidR="00F251A0" w:rsidRDefault="00F251A0" w:rsidP="003662FC">
            <w:pPr>
              <w:spacing w:line="240" w:lineRule="auto"/>
              <w:rPr>
                <w:rFonts w:ascii="Verdana" w:hAnsi="Verdana" w:cs="Arial"/>
                <w:b/>
                <w:bCs/>
                <w:sz w:val="20"/>
                <w:szCs w:val="21"/>
              </w:rPr>
            </w:pPr>
            <w:r w:rsidRPr="0099705A">
              <w:rPr>
                <w:rFonts w:ascii="Verdana" w:hAnsi="Verdana" w:cs="Arial"/>
                <w:b/>
                <w:bCs/>
                <w:sz w:val="20"/>
                <w:szCs w:val="21"/>
              </w:rPr>
              <w:t>1 July 2017</w:t>
            </w:r>
            <w:r>
              <w:rPr>
                <w:rFonts w:ascii="Verdana" w:hAnsi="Verdana" w:cs="Arial"/>
                <w:b/>
                <w:bCs/>
                <w:sz w:val="20"/>
                <w:szCs w:val="21"/>
              </w:rPr>
              <w:t xml:space="preserve"> - </w:t>
            </w:r>
          </w:p>
          <w:p w14:paraId="44352B72" w14:textId="77777777" w:rsidR="00F251A0" w:rsidRPr="0099705A" w:rsidRDefault="00F251A0" w:rsidP="003662FC">
            <w:pPr>
              <w:spacing w:line="240" w:lineRule="auto"/>
              <w:rPr>
                <w:rFonts w:ascii="Verdana" w:hAnsi="Verdana" w:cs="Arial"/>
                <w:b/>
                <w:bCs/>
                <w:sz w:val="20"/>
                <w:szCs w:val="21"/>
              </w:rPr>
            </w:pPr>
            <w:r>
              <w:rPr>
                <w:rFonts w:ascii="Verdana" w:hAnsi="Verdana" w:cs="Arial"/>
                <w:b/>
                <w:bCs/>
                <w:sz w:val="20"/>
                <w:szCs w:val="21"/>
              </w:rPr>
              <w:t>30 June 2018</w:t>
            </w:r>
            <w:r w:rsidRPr="0099705A">
              <w:rPr>
                <w:rFonts w:ascii="Verdana" w:hAnsi="Verdana" w:cs="Arial"/>
                <w:b/>
                <w:bCs/>
                <w:sz w:val="20"/>
                <w:szCs w:val="21"/>
              </w:rPr>
              <w:br/>
              <w:t>Year 1</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46D09991" w14:textId="77777777" w:rsidR="00F251A0" w:rsidRDefault="00F251A0" w:rsidP="003662FC">
            <w:pPr>
              <w:spacing w:line="240" w:lineRule="auto"/>
              <w:rPr>
                <w:rFonts w:ascii="Verdana" w:hAnsi="Verdana" w:cs="Arial"/>
                <w:b/>
                <w:bCs/>
                <w:sz w:val="20"/>
                <w:szCs w:val="21"/>
              </w:rPr>
            </w:pPr>
            <w:r w:rsidRPr="0099705A">
              <w:rPr>
                <w:rFonts w:ascii="Verdana" w:hAnsi="Verdana" w:cs="Arial"/>
                <w:b/>
                <w:bCs/>
                <w:sz w:val="20"/>
                <w:szCs w:val="21"/>
              </w:rPr>
              <w:t>1 July 2018</w:t>
            </w:r>
            <w:r>
              <w:rPr>
                <w:rFonts w:ascii="Verdana" w:hAnsi="Verdana" w:cs="Arial"/>
                <w:b/>
                <w:bCs/>
                <w:sz w:val="20"/>
                <w:szCs w:val="21"/>
              </w:rPr>
              <w:t xml:space="preserve"> - </w:t>
            </w:r>
          </w:p>
          <w:p w14:paraId="4BA031C2" w14:textId="77777777" w:rsidR="00F251A0" w:rsidRPr="0099705A" w:rsidRDefault="00F251A0" w:rsidP="003662FC">
            <w:pPr>
              <w:spacing w:line="240" w:lineRule="auto"/>
              <w:rPr>
                <w:rFonts w:ascii="Verdana" w:hAnsi="Verdana" w:cs="Arial"/>
                <w:b/>
                <w:bCs/>
                <w:sz w:val="20"/>
                <w:szCs w:val="21"/>
              </w:rPr>
            </w:pPr>
            <w:r>
              <w:rPr>
                <w:rFonts w:ascii="Verdana" w:hAnsi="Verdana" w:cs="Arial"/>
                <w:b/>
                <w:bCs/>
                <w:sz w:val="20"/>
                <w:szCs w:val="21"/>
              </w:rPr>
              <w:t>30 June 2019</w:t>
            </w:r>
            <w:r w:rsidRPr="0099705A">
              <w:rPr>
                <w:rFonts w:ascii="Verdana" w:hAnsi="Verdana" w:cs="Arial"/>
                <w:b/>
                <w:bCs/>
                <w:sz w:val="20"/>
                <w:szCs w:val="21"/>
              </w:rPr>
              <w:br/>
              <w:t>Year 2</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5BA1B066" w14:textId="77777777" w:rsidR="00F251A0" w:rsidRDefault="00F251A0" w:rsidP="003662FC">
            <w:pPr>
              <w:spacing w:line="240" w:lineRule="auto"/>
              <w:ind w:firstLine="36"/>
              <w:rPr>
                <w:rFonts w:ascii="Verdana" w:hAnsi="Verdana" w:cs="Arial"/>
                <w:b/>
                <w:bCs/>
                <w:sz w:val="20"/>
                <w:szCs w:val="21"/>
              </w:rPr>
            </w:pPr>
            <w:r w:rsidRPr="0099705A">
              <w:rPr>
                <w:rFonts w:ascii="Verdana" w:hAnsi="Verdana" w:cs="Arial"/>
                <w:b/>
                <w:bCs/>
                <w:sz w:val="20"/>
                <w:szCs w:val="21"/>
              </w:rPr>
              <w:t>1 July 2019</w:t>
            </w:r>
            <w:r>
              <w:rPr>
                <w:rFonts w:ascii="Verdana" w:hAnsi="Verdana" w:cs="Arial"/>
                <w:b/>
                <w:bCs/>
                <w:sz w:val="20"/>
                <w:szCs w:val="21"/>
              </w:rPr>
              <w:t xml:space="preserve"> - </w:t>
            </w:r>
          </w:p>
          <w:p w14:paraId="64F9197C" w14:textId="77777777" w:rsidR="00F251A0" w:rsidRPr="0099705A" w:rsidRDefault="00F251A0" w:rsidP="003662FC">
            <w:pPr>
              <w:spacing w:line="240" w:lineRule="auto"/>
              <w:rPr>
                <w:rFonts w:ascii="Verdana" w:hAnsi="Verdana" w:cs="Arial"/>
                <w:b/>
                <w:bCs/>
                <w:sz w:val="20"/>
                <w:szCs w:val="21"/>
              </w:rPr>
            </w:pPr>
            <w:r>
              <w:rPr>
                <w:rFonts w:ascii="Verdana" w:hAnsi="Verdana" w:cs="Arial"/>
                <w:b/>
                <w:bCs/>
                <w:sz w:val="20"/>
                <w:szCs w:val="21"/>
              </w:rPr>
              <w:t>30 June 2021</w:t>
            </w:r>
            <w:r w:rsidRPr="0099705A">
              <w:rPr>
                <w:rFonts w:ascii="Verdana" w:hAnsi="Verdana" w:cs="Arial"/>
                <w:b/>
                <w:bCs/>
                <w:sz w:val="20"/>
                <w:szCs w:val="21"/>
              </w:rPr>
              <w:br/>
              <w:t>Year 3/4</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4353A17C" w14:textId="77777777" w:rsidR="00F251A0" w:rsidRDefault="00F251A0" w:rsidP="003662FC">
            <w:pPr>
              <w:spacing w:line="240" w:lineRule="auto"/>
              <w:rPr>
                <w:rFonts w:ascii="Verdana" w:hAnsi="Verdana" w:cs="Arial"/>
                <w:b/>
                <w:bCs/>
                <w:sz w:val="20"/>
                <w:szCs w:val="21"/>
              </w:rPr>
            </w:pPr>
            <w:r w:rsidRPr="0099705A">
              <w:rPr>
                <w:rFonts w:ascii="Verdana" w:hAnsi="Verdana" w:cs="Arial"/>
                <w:b/>
                <w:bCs/>
                <w:sz w:val="20"/>
                <w:szCs w:val="21"/>
              </w:rPr>
              <w:t>1 July 2021</w:t>
            </w:r>
            <w:r>
              <w:rPr>
                <w:rFonts w:ascii="Verdana" w:hAnsi="Verdana" w:cs="Arial"/>
                <w:b/>
                <w:bCs/>
                <w:sz w:val="20"/>
                <w:szCs w:val="21"/>
              </w:rPr>
              <w:t xml:space="preserve"> -</w:t>
            </w:r>
          </w:p>
          <w:p w14:paraId="7A66DA0D" w14:textId="77777777" w:rsidR="00F251A0" w:rsidRPr="0099705A" w:rsidRDefault="00F251A0" w:rsidP="003662FC">
            <w:pPr>
              <w:spacing w:line="240" w:lineRule="auto"/>
              <w:rPr>
                <w:rFonts w:ascii="Verdana" w:hAnsi="Verdana" w:cs="Arial"/>
                <w:b/>
                <w:bCs/>
                <w:sz w:val="20"/>
                <w:szCs w:val="21"/>
              </w:rPr>
            </w:pPr>
            <w:r>
              <w:rPr>
                <w:rFonts w:ascii="Verdana" w:hAnsi="Verdana" w:cs="Arial"/>
                <w:b/>
                <w:bCs/>
                <w:sz w:val="20"/>
                <w:szCs w:val="21"/>
              </w:rPr>
              <w:t>30 June 2022</w:t>
            </w:r>
            <w:r w:rsidRPr="0099705A">
              <w:rPr>
                <w:rFonts w:ascii="Verdana" w:hAnsi="Verdana" w:cs="Arial"/>
                <w:b/>
                <w:bCs/>
                <w:sz w:val="20"/>
                <w:szCs w:val="21"/>
              </w:rPr>
              <w:br/>
              <w:t>Year 5</w:t>
            </w:r>
          </w:p>
        </w:tc>
      </w:tr>
      <w:tr w:rsidR="00F251A0" w:rsidRPr="0099705A" w14:paraId="2B19D068" w14:textId="77777777" w:rsidTr="00F251A0">
        <w:trPr>
          <w:trHeight w:val="268"/>
        </w:trPr>
        <w:tc>
          <w:tcPr>
            <w:tcW w:w="1531"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54B0E720" w14:textId="77777777" w:rsidR="00F251A0" w:rsidRPr="0099705A" w:rsidRDefault="00F251A0" w:rsidP="003662FC">
            <w:pPr>
              <w:spacing w:line="240" w:lineRule="auto"/>
              <w:rPr>
                <w:rFonts w:ascii="Verdana" w:hAnsi="Verdana" w:cs="Arial"/>
                <w:b/>
                <w:bCs/>
                <w:sz w:val="20"/>
                <w:szCs w:val="21"/>
              </w:rPr>
            </w:pPr>
            <w:r w:rsidRPr="0099705A">
              <w:rPr>
                <w:rFonts w:ascii="Verdana" w:hAnsi="Verdana" w:cs="Arial"/>
                <w:b/>
                <w:bCs/>
                <w:sz w:val="20"/>
                <w:szCs w:val="21"/>
              </w:rPr>
              <w:t>L0 or &lt;3 years’ service</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219F9EC7"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$19.00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039AFE35"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$19.80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6C16D66C"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$20.50</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432CDCA7"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$21.50</w:t>
            </w:r>
          </w:p>
        </w:tc>
      </w:tr>
      <w:tr w:rsidR="00F251A0" w:rsidRPr="0099705A" w14:paraId="2F42A8F9" w14:textId="77777777" w:rsidTr="00F251A0">
        <w:trPr>
          <w:trHeight w:val="268"/>
        </w:trPr>
        <w:tc>
          <w:tcPr>
            <w:tcW w:w="1531"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85CE22D" w14:textId="77777777" w:rsidR="00F251A0" w:rsidRPr="0099705A" w:rsidRDefault="00F251A0" w:rsidP="003662FC">
            <w:pPr>
              <w:spacing w:line="240" w:lineRule="auto"/>
              <w:rPr>
                <w:rFonts w:ascii="Verdana" w:hAnsi="Verdana" w:cs="Arial"/>
                <w:b/>
                <w:bCs/>
                <w:sz w:val="20"/>
                <w:szCs w:val="21"/>
              </w:rPr>
            </w:pPr>
            <w:r w:rsidRPr="0099705A">
              <w:rPr>
                <w:rFonts w:ascii="Verdana" w:hAnsi="Verdana" w:cs="Arial"/>
                <w:b/>
                <w:bCs/>
                <w:sz w:val="20"/>
                <w:szCs w:val="21"/>
              </w:rPr>
              <w:t>L2 or 3+ years’ service</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3E5D9B42"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$20.00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281A14AF"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$21.00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0B985206"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$21.50</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6D8F587D"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$23.00</w:t>
            </w:r>
          </w:p>
        </w:tc>
      </w:tr>
      <w:tr w:rsidR="00F251A0" w:rsidRPr="0099705A" w14:paraId="6ABACF8D" w14:textId="77777777" w:rsidTr="00F251A0">
        <w:trPr>
          <w:trHeight w:val="268"/>
        </w:trPr>
        <w:tc>
          <w:tcPr>
            <w:tcW w:w="1531"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2B593226" w14:textId="77777777" w:rsidR="00F251A0" w:rsidRPr="0099705A" w:rsidRDefault="00F251A0" w:rsidP="003662FC">
            <w:pPr>
              <w:spacing w:line="240" w:lineRule="auto"/>
              <w:rPr>
                <w:rFonts w:ascii="Verdana" w:hAnsi="Verdana" w:cs="Arial"/>
                <w:b/>
                <w:bCs/>
                <w:sz w:val="20"/>
                <w:szCs w:val="21"/>
              </w:rPr>
            </w:pPr>
            <w:r w:rsidRPr="0099705A">
              <w:rPr>
                <w:rFonts w:ascii="Verdana" w:hAnsi="Verdana" w:cs="Arial"/>
                <w:b/>
                <w:bCs/>
                <w:sz w:val="20"/>
                <w:szCs w:val="21"/>
              </w:rPr>
              <w:t>L3 or 8+ years’ service</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17E59F8B"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$21.00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5F2652C3"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$22.50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5C41F6AD"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$23.00</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69A14401"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$25.00</w:t>
            </w:r>
          </w:p>
        </w:tc>
      </w:tr>
      <w:tr w:rsidR="00F251A0" w:rsidRPr="0099705A" w14:paraId="5612D9B3" w14:textId="77777777" w:rsidTr="00F251A0">
        <w:trPr>
          <w:trHeight w:val="285"/>
        </w:trPr>
        <w:tc>
          <w:tcPr>
            <w:tcW w:w="1531"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BB9315C" w14:textId="77777777" w:rsidR="00F251A0" w:rsidRPr="0099705A" w:rsidRDefault="00F251A0" w:rsidP="003662FC">
            <w:pPr>
              <w:spacing w:line="240" w:lineRule="auto"/>
              <w:rPr>
                <w:rFonts w:ascii="Verdana" w:hAnsi="Verdana" w:cs="Arial"/>
                <w:b/>
                <w:bCs/>
                <w:sz w:val="20"/>
                <w:szCs w:val="21"/>
              </w:rPr>
            </w:pPr>
            <w:r w:rsidRPr="0099705A">
              <w:rPr>
                <w:rFonts w:ascii="Verdana" w:hAnsi="Verdana" w:cs="Arial"/>
                <w:b/>
                <w:bCs/>
                <w:sz w:val="20"/>
                <w:szCs w:val="21"/>
              </w:rPr>
              <w:t>L4 or 12+ years’ service</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2AA767CC"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$23.50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7345BA9F"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$24.50</w:t>
            </w:r>
          </w:p>
        </w:tc>
        <w:tc>
          <w:tcPr>
            <w:tcW w:w="86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55156AD5"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$25.50</w:t>
            </w:r>
          </w:p>
        </w:tc>
        <w:tc>
          <w:tcPr>
            <w:tcW w:w="86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31B05DFF" w14:textId="77777777" w:rsidR="00F251A0" w:rsidRPr="0099705A" w:rsidRDefault="00F251A0" w:rsidP="003662FC">
            <w:pPr>
              <w:spacing w:line="240" w:lineRule="auto"/>
              <w:rPr>
                <w:rFonts w:ascii="Verdana" w:hAnsi="Verdana" w:cs="Arial"/>
                <w:sz w:val="20"/>
                <w:szCs w:val="21"/>
              </w:rPr>
            </w:pPr>
            <w:r w:rsidRPr="0099705A">
              <w:rPr>
                <w:rFonts w:ascii="Verdana" w:hAnsi="Verdana" w:cs="Arial"/>
                <w:sz w:val="20"/>
                <w:szCs w:val="21"/>
              </w:rPr>
              <w:t>$27.00</w:t>
            </w:r>
          </w:p>
        </w:tc>
      </w:tr>
    </w:tbl>
    <w:p w14:paraId="71682703" w14:textId="77777777" w:rsidR="00E57257" w:rsidRPr="00027FFA" w:rsidRDefault="00E57257" w:rsidP="003662FC">
      <w:pPr>
        <w:pStyle w:val="NormalWeb"/>
        <w:shd w:val="clear" w:color="auto" w:fill="FFFFFF"/>
        <w:spacing w:before="0" w:after="0"/>
        <w:rPr>
          <w:rFonts w:ascii="Verdana" w:hAnsi="Verdana" w:cs="Arial"/>
          <w:sz w:val="20"/>
          <w:szCs w:val="21"/>
          <w:lang w:val="en"/>
        </w:rPr>
      </w:pPr>
    </w:p>
    <w:p w14:paraId="32D5F090" w14:textId="77777777" w:rsidR="0042183D" w:rsidRPr="0042183D" w:rsidRDefault="0042183D" w:rsidP="003662FC">
      <w:pPr>
        <w:spacing w:after="240" w:line="240" w:lineRule="auto"/>
        <w:rPr>
          <w:rFonts w:ascii="Verdana" w:hAnsi="Verdana"/>
          <w:sz w:val="20"/>
          <w:szCs w:val="20"/>
          <w:lang w:val="en"/>
        </w:rPr>
      </w:pPr>
      <w:r w:rsidRPr="0042183D">
        <w:rPr>
          <w:rFonts w:ascii="Verdana" w:hAnsi="Verdana"/>
          <w:sz w:val="20"/>
          <w:szCs w:val="20"/>
          <w:lang w:val="en"/>
        </w:rPr>
        <w:t>The qualification must be, or assessed by Careerforce as equivalent to, Level 2, 3 or 4 on the New Zealand Certificate in Health and Wellbeing from an NZQA-accredited provider.</w:t>
      </w:r>
    </w:p>
    <w:p w14:paraId="3CA2E7C1" w14:textId="5B06FB24" w:rsidR="0021088A" w:rsidRDefault="0042183D" w:rsidP="003662FC">
      <w:pPr>
        <w:spacing w:after="240" w:line="240" w:lineRule="auto"/>
        <w:rPr>
          <w:rFonts w:ascii="Verdana" w:hAnsi="Verdana"/>
          <w:b/>
          <w:sz w:val="20"/>
          <w:szCs w:val="20"/>
          <w:lang w:val="en"/>
        </w:rPr>
      </w:pPr>
      <w:r w:rsidRPr="0042183D">
        <w:rPr>
          <w:rFonts w:ascii="Verdana" w:hAnsi="Verdana"/>
          <w:sz w:val="20"/>
          <w:szCs w:val="20"/>
          <w:lang w:val="en"/>
        </w:rPr>
        <w:t>All current mental health and addiction support workers who reach 12 years’ current continuous service with their employer after 1 July 2017 and who have not achieved a Level 4 qualification, will move on to the following rates unless there are genuine reasons, based on reasonable grounds, that the employee’s employer did not provide the support necessary for the employee to achieve the Level 4 qualification. In which case, the employee will be entitled to move to the Level 4 step above. Any dispute about the provision of the necessary support will be dealt with through employment dispute resolution processes.</w:t>
      </w:r>
    </w:p>
    <w:p w14:paraId="059BC69D" w14:textId="631F2387" w:rsidR="00F251A0" w:rsidRPr="00F251A0" w:rsidRDefault="00F251A0" w:rsidP="003662FC">
      <w:pPr>
        <w:pStyle w:val="NormalWeb"/>
        <w:shd w:val="clear" w:color="auto" w:fill="FFFFFF"/>
        <w:spacing w:before="0" w:after="0"/>
        <w:rPr>
          <w:rFonts w:ascii="Verdana" w:hAnsi="Verdana"/>
          <w:b/>
          <w:sz w:val="20"/>
          <w:szCs w:val="20"/>
          <w:lang w:val="en" w:eastAsia="en-US"/>
        </w:rPr>
      </w:pPr>
      <w:r w:rsidRPr="00F251A0">
        <w:rPr>
          <w:rFonts w:ascii="Verdana" w:hAnsi="Verdana"/>
          <w:b/>
          <w:sz w:val="20"/>
          <w:szCs w:val="20"/>
          <w:lang w:val="en" w:eastAsia="en-US"/>
        </w:rPr>
        <w:t>Pay scale 2</w:t>
      </w:r>
      <w:r w:rsidR="0021088A">
        <w:rPr>
          <w:rFonts w:ascii="Verdana" w:hAnsi="Verdana"/>
          <w:b/>
          <w:sz w:val="20"/>
          <w:szCs w:val="20"/>
          <w:lang w:val="en" w:eastAsia="en-US"/>
        </w:rPr>
        <w:t xml:space="preserve">: </w:t>
      </w:r>
      <w:r w:rsidR="0021088A" w:rsidRPr="0021088A">
        <w:rPr>
          <w:rFonts w:ascii="Verdana" w:hAnsi="Verdana"/>
          <w:b/>
          <w:sz w:val="20"/>
          <w:szCs w:val="20"/>
          <w:lang w:val="en" w:eastAsia="en-US"/>
        </w:rPr>
        <w:t xml:space="preserve">Workers with greater than 12 years’ service </w:t>
      </w:r>
      <w:r w:rsidR="0021088A" w:rsidRPr="0021088A">
        <w:rPr>
          <w:rFonts w:ascii="Verdana" w:hAnsi="Verdana"/>
          <w:b/>
          <w:i/>
          <w:sz w:val="20"/>
          <w:szCs w:val="20"/>
          <w:lang w:val="en" w:eastAsia="en-US"/>
        </w:rPr>
        <w:t>without</w:t>
      </w:r>
      <w:r w:rsidR="0021088A" w:rsidRPr="0021088A">
        <w:rPr>
          <w:rFonts w:ascii="Verdana" w:hAnsi="Verdana"/>
          <w:b/>
          <w:sz w:val="20"/>
          <w:szCs w:val="20"/>
          <w:lang w:val="en" w:eastAsia="en-US"/>
        </w:rPr>
        <w:t xml:space="preserve"> a Level 4 qualification</w:t>
      </w:r>
    </w:p>
    <w:tbl>
      <w:tblPr>
        <w:tblW w:w="5143" w:type="pct"/>
        <w:tblInd w:w="-60" w:type="dxa"/>
        <w:tblCellMar>
          <w:top w:w="15" w:type="dxa"/>
          <w:left w:w="15" w:type="dxa"/>
          <w:bottom w:w="15" w:type="dxa"/>
          <w:right w:w="15" w:type="dxa"/>
        </w:tblCellMar>
        <w:tblLook w:val="04A0" w:firstRow="1" w:lastRow="0" w:firstColumn="1" w:lastColumn="0" w:noHBand="0" w:noVBand="1"/>
      </w:tblPr>
      <w:tblGrid>
        <w:gridCol w:w="3052"/>
        <w:gridCol w:w="1665"/>
        <w:gridCol w:w="1665"/>
        <w:gridCol w:w="1665"/>
        <w:gridCol w:w="1667"/>
      </w:tblGrid>
      <w:tr w:rsidR="00F251A0" w:rsidRPr="0099705A" w14:paraId="05A17DF1" w14:textId="77777777" w:rsidTr="00D84C81">
        <w:trPr>
          <w:cantSplit/>
          <w:trHeight w:hRule="exact" w:val="833"/>
        </w:trPr>
        <w:tc>
          <w:tcPr>
            <w:tcW w:w="1571" w:type="pct"/>
            <w:tcBorders>
              <w:top w:val="single" w:sz="6" w:space="0" w:color="CCCCCC"/>
              <w:left w:val="nil"/>
              <w:bottom w:val="nil"/>
              <w:right w:val="nil"/>
            </w:tcBorders>
            <w:vAlign w:val="bottom"/>
          </w:tcPr>
          <w:p w14:paraId="782C0315" w14:textId="77777777" w:rsidR="00F251A0" w:rsidRPr="0099705A" w:rsidRDefault="00F251A0" w:rsidP="003662FC">
            <w:pPr>
              <w:spacing w:after="240" w:line="240" w:lineRule="auto"/>
              <w:rPr>
                <w:rFonts w:ascii="Verdana" w:hAnsi="Verdana"/>
                <w:b/>
                <w:sz w:val="20"/>
              </w:rPr>
            </w:pPr>
            <w:r>
              <w:rPr>
                <w:rFonts w:ascii="Verdana" w:hAnsi="Verdana"/>
                <w:b/>
                <w:sz w:val="20"/>
              </w:rPr>
              <w:t xml:space="preserve">Qualifications and </w:t>
            </w:r>
            <w:r w:rsidRPr="0099705A">
              <w:rPr>
                <w:rFonts w:ascii="Verdana" w:hAnsi="Verdana" w:cs="Arial"/>
                <w:b/>
                <w:bCs/>
                <w:sz w:val="20"/>
                <w:szCs w:val="21"/>
              </w:rPr>
              <w:t>length of service</w:t>
            </w: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4B7F3C88" w14:textId="77777777" w:rsidR="00F251A0" w:rsidRDefault="00F251A0" w:rsidP="003662FC">
            <w:pPr>
              <w:spacing w:after="240" w:line="240" w:lineRule="auto"/>
              <w:ind w:left="-77"/>
              <w:rPr>
                <w:rFonts w:ascii="Verdana" w:hAnsi="Verdana"/>
                <w:b/>
                <w:sz w:val="20"/>
              </w:rPr>
            </w:pPr>
            <w:r w:rsidRPr="0099705A">
              <w:rPr>
                <w:rFonts w:ascii="Verdana" w:hAnsi="Verdana"/>
                <w:b/>
                <w:sz w:val="20"/>
              </w:rPr>
              <w:t>After 1 July 2017</w:t>
            </w:r>
            <w:r>
              <w:rPr>
                <w:rFonts w:ascii="Verdana" w:hAnsi="Verdana"/>
                <w:b/>
                <w:sz w:val="20"/>
              </w:rPr>
              <w:t xml:space="preserve">        Year 1</w:t>
            </w:r>
          </w:p>
          <w:p w14:paraId="6B4209A4" w14:textId="77777777" w:rsidR="00F251A0" w:rsidRPr="0099705A" w:rsidRDefault="00F251A0" w:rsidP="003662FC">
            <w:pPr>
              <w:spacing w:after="240" w:line="240" w:lineRule="auto"/>
              <w:ind w:left="-77"/>
              <w:rPr>
                <w:rFonts w:ascii="Verdana" w:hAnsi="Verdana"/>
                <w:b/>
                <w:sz w:val="20"/>
              </w:rPr>
            </w:pP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5F78C96B" w14:textId="77777777" w:rsidR="00F251A0" w:rsidRPr="0099705A" w:rsidRDefault="00F251A0" w:rsidP="003662FC">
            <w:pPr>
              <w:spacing w:after="240" w:line="240" w:lineRule="auto"/>
              <w:ind w:left="-39"/>
              <w:rPr>
                <w:rFonts w:ascii="Verdana" w:hAnsi="Verdana"/>
                <w:b/>
                <w:sz w:val="20"/>
              </w:rPr>
            </w:pPr>
            <w:r w:rsidRPr="0099705A">
              <w:rPr>
                <w:rFonts w:ascii="Verdana" w:hAnsi="Verdana"/>
                <w:b/>
                <w:sz w:val="20"/>
              </w:rPr>
              <w:t>On or after 1 July 2018</w:t>
            </w:r>
            <w:r>
              <w:rPr>
                <w:rFonts w:ascii="Verdana" w:hAnsi="Verdana"/>
                <w:b/>
                <w:sz w:val="20"/>
              </w:rPr>
              <w:t xml:space="preserve">   Year 2</w:t>
            </w: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37D3FCD7" w14:textId="77777777" w:rsidR="00F251A0" w:rsidRPr="0099705A" w:rsidRDefault="00F251A0" w:rsidP="003662FC">
            <w:pPr>
              <w:spacing w:after="240" w:line="240" w:lineRule="auto"/>
              <w:rPr>
                <w:rFonts w:ascii="Verdana" w:hAnsi="Verdana"/>
                <w:b/>
                <w:sz w:val="20"/>
              </w:rPr>
            </w:pPr>
            <w:r w:rsidRPr="0099705A">
              <w:rPr>
                <w:rFonts w:ascii="Verdana" w:hAnsi="Verdana"/>
                <w:b/>
                <w:sz w:val="20"/>
              </w:rPr>
              <w:t>On or after 1 July 2019</w:t>
            </w:r>
            <w:r>
              <w:rPr>
                <w:rFonts w:ascii="Verdana" w:hAnsi="Verdana"/>
                <w:b/>
                <w:sz w:val="20"/>
              </w:rPr>
              <w:t xml:space="preserve">   Year 3/4</w:t>
            </w:r>
          </w:p>
        </w:tc>
        <w:tc>
          <w:tcPr>
            <w:tcW w:w="858" w:type="pct"/>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5A979E51" w14:textId="77777777" w:rsidR="00F251A0" w:rsidRPr="0099705A" w:rsidRDefault="00F251A0" w:rsidP="003662FC">
            <w:pPr>
              <w:spacing w:after="240" w:line="240" w:lineRule="auto"/>
              <w:rPr>
                <w:rFonts w:ascii="Verdana" w:hAnsi="Verdana"/>
                <w:b/>
                <w:sz w:val="20"/>
              </w:rPr>
            </w:pPr>
            <w:r w:rsidRPr="0099705A">
              <w:rPr>
                <w:rFonts w:ascii="Verdana" w:hAnsi="Verdana"/>
                <w:b/>
                <w:sz w:val="20"/>
              </w:rPr>
              <w:t>On or after 1 July 2021</w:t>
            </w:r>
            <w:r>
              <w:rPr>
                <w:rFonts w:ascii="Verdana" w:hAnsi="Verdana"/>
                <w:b/>
                <w:sz w:val="20"/>
              </w:rPr>
              <w:t xml:space="preserve">  Year 5 on</w:t>
            </w:r>
          </w:p>
        </w:tc>
      </w:tr>
      <w:tr w:rsidR="00F251A0" w:rsidRPr="0099705A" w14:paraId="446C30DF" w14:textId="77777777" w:rsidTr="00D84C81">
        <w:trPr>
          <w:trHeight w:val="44"/>
        </w:trPr>
        <w:tc>
          <w:tcPr>
            <w:tcW w:w="1571" w:type="pct"/>
            <w:tcBorders>
              <w:top w:val="single" w:sz="6" w:space="0" w:color="CCCCCC"/>
              <w:left w:val="nil"/>
              <w:bottom w:val="nil"/>
              <w:right w:val="nil"/>
            </w:tcBorders>
          </w:tcPr>
          <w:p w14:paraId="1F694B56" w14:textId="77777777" w:rsidR="00F251A0" w:rsidRPr="00F56F9F" w:rsidRDefault="00F251A0" w:rsidP="003662FC">
            <w:pPr>
              <w:spacing w:after="240" w:line="240" w:lineRule="auto"/>
              <w:rPr>
                <w:rFonts w:ascii="Verdana" w:hAnsi="Verdana"/>
                <w:b/>
                <w:sz w:val="20"/>
              </w:rPr>
            </w:pPr>
            <w:r w:rsidRPr="00F56F9F">
              <w:rPr>
                <w:rFonts w:ascii="Verdana" w:hAnsi="Verdana"/>
                <w:b/>
                <w:sz w:val="20"/>
              </w:rPr>
              <w:t>Less than L4</w:t>
            </w:r>
            <w:r>
              <w:rPr>
                <w:rFonts w:ascii="Verdana" w:hAnsi="Verdana"/>
                <w:b/>
                <w:sz w:val="20"/>
              </w:rPr>
              <w:t xml:space="preserve"> and          </w:t>
            </w:r>
            <w:r w:rsidRPr="0099705A">
              <w:rPr>
                <w:rFonts w:ascii="Verdana" w:hAnsi="Verdana" w:cs="Arial"/>
                <w:b/>
                <w:bCs/>
                <w:sz w:val="20"/>
                <w:szCs w:val="21"/>
              </w:rPr>
              <w:lastRenderedPageBreak/>
              <w:t>12+ years</w:t>
            </w:r>
            <w:r>
              <w:rPr>
                <w:rFonts w:ascii="Verdana" w:hAnsi="Verdana" w:cs="Arial"/>
                <w:b/>
                <w:bCs/>
                <w:sz w:val="20"/>
                <w:szCs w:val="21"/>
              </w:rPr>
              <w:t>’ service</w:t>
            </w: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257BF258" w14:textId="77777777" w:rsidR="00F251A0" w:rsidRPr="0099705A" w:rsidRDefault="00F251A0" w:rsidP="003662FC">
            <w:pPr>
              <w:spacing w:after="240" w:line="240" w:lineRule="auto"/>
              <w:ind w:left="-76"/>
              <w:rPr>
                <w:rFonts w:ascii="Verdana" w:hAnsi="Verdana"/>
                <w:sz w:val="20"/>
              </w:rPr>
            </w:pPr>
            <w:r w:rsidRPr="0099705A">
              <w:rPr>
                <w:rFonts w:ascii="Verdana" w:hAnsi="Verdana"/>
                <w:sz w:val="20"/>
              </w:rPr>
              <w:lastRenderedPageBreak/>
              <w:t>$22.50</w:t>
            </w: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1F0CD41E" w14:textId="77777777" w:rsidR="00F251A0" w:rsidRPr="0099705A" w:rsidRDefault="00F251A0" w:rsidP="003662FC">
            <w:pPr>
              <w:spacing w:after="240" w:line="240" w:lineRule="auto"/>
              <w:ind w:left="-39"/>
              <w:rPr>
                <w:rFonts w:ascii="Verdana" w:hAnsi="Verdana"/>
                <w:sz w:val="20"/>
              </w:rPr>
            </w:pPr>
            <w:r w:rsidRPr="0099705A">
              <w:rPr>
                <w:rFonts w:ascii="Verdana" w:hAnsi="Verdana"/>
                <w:sz w:val="20"/>
              </w:rPr>
              <w:t>$23.50</w:t>
            </w:r>
          </w:p>
        </w:tc>
        <w:tc>
          <w:tcPr>
            <w:tcW w:w="857" w:type="pct"/>
            <w:tcBorders>
              <w:top w:val="single" w:sz="6" w:space="0" w:color="CCCCCC"/>
              <w:left w:val="nil"/>
              <w:bottom w:val="nil"/>
              <w:right w:val="nil"/>
            </w:tcBorders>
            <w:shd w:val="clear" w:color="auto" w:fill="auto"/>
            <w:tcMar>
              <w:top w:w="45" w:type="dxa"/>
              <w:left w:w="75" w:type="dxa"/>
              <w:bottom w:w="45" w:type="dxa"/>
              <w:right w:w="75" w:type="dxa"/>
            </w:tcMar>
            <w:hideMark/>
          </w:tcPr>
          <w:p w14:paraId="4A323493" w14:textId="77777777" w:rsidR="00F251A0" w:rsidRPr="0099705A" w:rsidRDefault="00F251A0" w:rsidP="003662FC">
            <w:pPr>
              <w:spacing w:after="240" w:line="240" w:lineRule="auto"/>
              <w:rPr>
                <w:rFonts w:ascii="Verdana" w:hAnsi="Verdana"/>
                <w:sz w:val="20"/>
              </w:rPr>
            </w:pPr>
            <w:r w:rsidRPr="0099705A">
              <w:rPr>
                <w:rFonts w:ascii="Verdana" w:hAnsi="Verdana"/>
                <w:sz w:val="20"/>
              </w:rPr>
              <w:t>$24.50</w:t>
            </w:r>
          </w:p>
        </w:tc>
        <w:tc>
          <w:tcPr>
            <w:tcW w:w="858" w:type="pct"/>
            <w:tcBorders>
              <w:top w:val="single" w:sz="6" w:space="0" w:color="CCCCCC"/>
              <w:left w:val="nil"/>
              <w:bottom w:val="nil"/>
              <w:right w:val="nil"/>
            </w:tcBorders>
            <w:shd w:val="clear" w:color="auto" w:fill="auto"/>
            <w:tcMar>
              <w:top w:w="45" w:type="dxa"/>
              <w:left w:w="75" w:type="dxa"/>
              <w:bottom w:w="45" w:type="dxa"/>
              <w:right w:w="75" w:type="dxa"/>
            </w:tcMar>
            <w:hideMark/>
          </w:tcPr>
          <w:p w14:paraId="0317D5A8" w14:textId="77777777" w:rsidR="00F251A0" w:rsidRPr="0099705A" w:rsidRDefault="00F251A0" w:rsidP="003662FC">
            <w:pPr>
              <w:spacing w:after="240" w:line="240" w:lineRule="auto"/>
              <w:rPr>
                <w:rFonts w:ascii="Verdana" w:hAnsi="Verdana"/>
                <w:sz w:val="20"/>
              </w:rPr>
            </w:pPr>
            <w:r w:rsidRPr="0099705A">
              <w:rPr>
                <w:rFonts w:ascii="Verdana" w:hAnsi="Verdana"/>
                <w:sz w:val="20"/>
              </w:rPr>
              <w:t>$26.00</w:t>
            </w:r>
          </w:p>
        </w:tc>
      </w:tr>
    </w:tbl>
    <w:p w14:paraId="7472944C" w14:textId="77777777" w:rsidR="0042183D" w:rsidRDefault="0042183D" w:rsidP="003662FC">
      <w:pPr>
        <w:pStyle w:val="NormalWeb"/>
        <w:shd w:val="clear" w:color="auto" w:fill="FFFFFF"/>
        <w:rPr>
          <w:rFonts w:ascii="Verdana" w:hAnsi="Verdana" w:cs="Arial"/>
          <w:b/>
          <w:bCs/>
          <w:iCs/>
          <w:sz w:val="28"/>
          <w:szCs w:val="28"/>
          <w:lang w:eastAsia="en-US"/>
        </w:rPr>
      </w:pPr>
      <w:r w:rsidRPr="0042183D">
        <w:rPr>
          <w:rFonts w:ascii="Verdana" w:hAnsi="Verdana" w:cs="Arial"/>
          <w:b/>
          <w:bCs/>
          <w:iCs/>
          <w:sz w:val="28"/>
          <w:szCs w:val="28"/>
          <w:lang w:eastAsia="en-US"/>
        </w:rPr>
        <w:lastRenderedPageBreak/>
        <w:t>Translation for workers employed on or after 1 July 2017</w:t>
      </w:r>
    </w:p>
    <w:p w14:paraId="0394F1EB" w14:textId="45DA6FB7" w:rsidR="00F251A0" w:rsidRDefault="00E80597" w:rsidP="003662FC">
      <w:pPr>
        <w:pStyle w:val="NormalWeb"/>
        <w:shd w:val="clear" w:color="auto" w:fill="FFFFFF"/>
        <w:spacing w:before="0"/>
        <w:rPr>
          <w:rFonts w:ascii="Verdana" w:hAnsi="Verdana"/>
          <w:sz w:val="20"/>
          <w:szCs w:val="20"/>
          <w:lang w:val="en" w:eastAsia="en-US"/>
        </w:rPr>
      </w:pPr>
      <w:r w:rsidRPr="00027FFA">
        <w:rPr>
          <w:rFonts w:ascii="Verdana" w:hAnsi="Verdana"/>
          <w:sz w:val="20"/>
          <w:szCs w:val="20"/>
          <w:lang w:val="en" w:eastAsia="en-US"/>
        </w:rPr>
        <w:t xml:space="preserve">The minimum rates and progression for </w:t>
      </w:r>
      <w:r w:rsidR="003D1398" w:rsidRPr="00027FFA">
        <w:rPr>
          <w:rFonts w:ascii="Verdana" w:hAnsi="Verdana"/>
          <w:sz w:val="20"/>
          <w:szCs w:val="20"/>
          <w:lang w:val="en" w:eastAsia="en-US"/>
        </w:rPr>
        <w:t>mental health and addiction</w:t>
      </w:r>
      <w:r w:rsidRPr="00027FFA">
        <w:rPr>
          <w:rFonts w:ascii="Verdana" w:hAnsi="Verdana"/>
          <w:sz w:val="20"/>
          <w:szCs w:val="20"/>
          <w:lang w:val="en" w:eastAsia="en-US"/>
        </w:rPr>
        <w:t xml:space="preserve"> support workers employed </w:t>
      </w:r>
      <w:r w:rsidR="00186125" w:rsidRPr="00027FFA">
        <w:rPr>
          <w:rFonts w:ascii="Verdana" w:hAnsi="Verdana"/>
          <w:sz w:val="20"/>
          <w:szCs w:val="20"/>
          <w:lang w:val="en" w:eastAsia="en-US"/>
        </w:rPr>
        <w:t xml:space="preserve">on or </w:t>
      </w:r>
      <w:r w:rsidRPr="00027FFA">
        <w:rPr>
          <w:rFonts w:ascii="Verdana" w:hAnsi="Verdana"/>
          <w:sz w:val="20"/>
          <w:szCs w:val="20"/>
          <w:lang w:val="en" w:eastAsia="en-US"/>
        </w:rPr>
        <w:t>after 1 July 2017</w:t>
      </w:r>
      <w:r w:rsidR="004B2D04" w:rsidRPr="00027FFA">
        <w:rPr>
          <w:rFonts w:ascii="Verdana" w:hAnsi="Verdana"/>
          <w:sz w:val="20"/>
          <w:szCs w:val="20"/>
          <w:lang w:val="en" w:eastAsia="en-US"/>
        </w:rPr>
        <w:t xml:space="preserve"> are</w:t>
      </w:r>
      <w:r w:rsidR="00C00529" w:rsidRPr="00027FFA">
        <w:rPr>
          <w:rFonts w:ascii="Verdana" w:hAnsi="Verdana"/>
          <w:sz w:val="20"/>
          <w:szCs w:val="20"/>
          <w:lang w:val="en" w:eastAsia="en-US"/>
        </w:rPr>
        <w:t>:</w:t>
      </w:r>
    </w:p>
    <w:tbl>
      <w:tblPr>
        <w:tblW w:w="5000" w:type="pct"/>
        <w:tblCellMar>
          <w:top w:w="15" w:type="dxa"/>
          <w:left w:w="15" w:type="dxa"/>
          <w:bottom w:w="15" w:type="dxa"/>
          <w:right w:w="15" w:type="dxa"/>
        </w:tblCellMar>
        <w:tblLook w:val="04A0" w:firstRow="1" w:lastRow="0" w:firstColumn="1" w:lastColumn="0" w:noHBand="0" w:noVBand="1"/>
      </w:tblPr>
      <w:tblGrid>
        <w:gridCol w:w="1816"/>
        <w:gridCol w:w="1922"/>
        <w:gridCol w:w="1922"/>
        <w:gridCol w:w="1922"/>
        <w:gridCol w:w="1922"/>
      </w:tblGrid>
      <w:tr w:rsidR="00F251A0" w:rsidRPr="0099705A" w14:paraId="714D5E98" w14:textId="77777777" w:rsidTr="00D84C81">
        <w:trPr>
          <w:trHeight w:val="427"/>
          <w:tblHeader/>
        </w:trPr>
        <w:tc>
          <w:tcPr>
            <w:tcW w:w="0" w:type="auto"/>
            <w:tcBorders>
              <w:top w:val="single" w:sz="6" w:space="0" w:color="CCCCCC"/>
              <w:left w:val="nil"/>
              <w:bottom w:val="nil"/>
              <w:right w:val="nil"/>
            </w:tcBorders>
            <w:shd w:val="clear" w:color="auto" w:fill="auto"/>
            <w:tcMar>
              <w:top w:w="45" w:type="dxa"/>
              <w:left w:w="75" w:type="dxa"/>
              <w:bottom w:w="45" w:type="dxa"/>
              <w:right w:w="75" w:type="dxa"/>
            </w:tcMar>
            <w:hideMark/>
          </w:tcPr>
          <w:p w14:paraId="2ECD7EE2" w14:textId="77777777" w:rsidR="00F251A0" w:rsidRPr="00D63AF8" w:rsidRDefault="00F251A0" w:rsidP="003662FC">
            <w:pPr>
              <w:spacing w:line="240" w:lineRule="auto"/>
              <w:rPr>
                <w:rFonts w:ascii="Verdana" w:hAnsi="Verdana"/>
                <w:b/>
                <w:sz w:val="20"/>
              </w:rPr>
            </w:pPr>
            <w:r w:rsidRPr="00D63AF8">
              <w:rPr>
                <w:rFonts w:ascii="Verdana" w:hAnsi="Verdana"/>
                <w:b/>
                <w:sz w:val="20"/>
              </w:rPr>
              <w:t xml:space="preserve">Qualification </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C896B83" w14:textId="77777777" w:rsidR="00F251A0" w:rsidRPr="00D63AF8" w:rsidRDefault="00F251A0" w:rsidP="003662FC">
            <w:pPr>
              <w:spacing w:line="240" w:lineRule="auto"/>
              <w:rPr>
                <w:rFonts w:ascii="Verdana" w:hAnsi="Verdana"/>
                <w:b/>
                <w:sz w:val="20"/>
              </w:rPr>
            </w:pPr>
            <w:r w:rsidRPr="00D63AF8">
              <w:rPr>
                <w:rFonts w:ascii="Verdana" w:hAnsi="Verdana"/>
                <w:b/>
                <w:sz w:val="20"/>
              </w:rPr>
              <w:t xml:space="preserve">1 July 2017 - </w:t>
            </w:r>
          </w:p>
          <w:p w14:paraId="5EEE3809" w14:textId="77777777" w:rsidR="00F251A0" w:rsidRPr="00D63AF8" w:rsidRDefault="00F251A0" w:rsidP="003662FC">
            <w:pPr>
              <w:spacing w:line="240" w:lineRule="auto"/>
              <w:rPr>
                <w:rFonts w:ascii="Verdana" w:hAnsi="Verdana"/>
                <w:b/>
                <w:sz w:val="20"/>
              </w:rPr>
            </w:pPr>
            <w:r w:rsidRPr="00D63AF8">
              <w:rPr>
                <w:rFonts w:ascii="Verdana" w:hAnsi="Verdana"/>
                <w:b/>
                <w:sz w:val="20"/>
              </w:rPr>
              <w:t>30 June 2018</w:t>
            </w:r>
            <w:r w:rsidRPr="00D63AF8">
              <w:rPr>
                <w:rFonts w:ascii="Verdana" w:hAnsi="Verdana"/>
                <w:b/>
                <w:sz w:val="20"/>
              </w:rPr>
              <w:br/>
              <w:t>Year 1</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73E89AFE" w14:textId="77777777" w:rsidR="00F251A0" w:rsidRPr="00D63AF8" w:rsidRDefault="00F251A0" w:rsidP="003662FC">
            <w:pPr>
              <w:spacing w:line="240" w:lineRule="auto"/>
              <w:rPr>
                <w:rFonts w:ascii="Verdana" w:hAnsi="Verdana"/>
                <w:b/>
                <w:sz w:val="20"/>
              </w:rPr>
            </w:pPr>
            <w:r w:rsidRPr="00D63AF8">
              <w:rPr>
                <w:rFonts w:ascii="Verdana" w:hAnsi="Verdana"/>
                <w:b/>
                <w:sz w:val="20"/>
              </w:rPr>
              <w:t xml:space="preserve">1 July 2018 - </w:t>
            </w:r>
          </w:p>
          <w:p w14:paraId="3D8EE76D" w14:textId="77777777" w:rsidR="00F251A0" w:rsidRPr="00D63AF8" w:rsidRDefault="00F251A0" w:rsidP="003662FC">
            <w:pPr>
              <w:spacing w:line="240" w:lineRule="auto"/>
              <w:rPr>
                <w:rFonts w:ascii="Verdana" w:hAnsi="Verdana"/>
                <w:b/>
                <w:sz w:val="20"/>
              </w:rPr>
            </w:pPr>
            <w:r w:rsidRPr="00D63AF8">
              <w:rPr>
                <w:rFonts w:ascii="Verdana" w:hAnsi="Verdana"/>
                <w:b/>
                <w:sz w:val="20"/>
              </w:rPr>
              <w:t>30 June 201</w:t>
            </w:r>
            <w:r>
              <w:rPr>
                <w:rFonts w:ascii="Verdana" w:hAnsi="Verdana"/>
                <w:b/>
                <w:sz w:val="20"/>
              </w:rPr>
              <w:t>9</w:t>
            </w:r>
            <w:r w:rsidRPr="00D63AF8">
              <w:rPr>
                <w:rFonts w:ascii="Verdana" w:hAnsi="Verdana"/>
                <w:b/>
                <w:sz w:val="20"/>
              </w:rPr>
              <w:br/>
              <w:t>Year 2</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2E5122AE" w14:textId="77777777" w:rsidR="00F251A0" w:rsidRPr="00D63AF8" w:rsidRDefault="00F251A0" w:rsidP="003662FC">
            <w:pPr>
              <w:spacing w:line="240" w:lineRule="auto"/>
              <w:rPr>
                <w:rFonts w:ascii="Verdana" w:hAnsi="Verdana"/>
                <w:b/>
                <w:sz w:val="20"/>
              </w:rPr>
            </w:pPr>
            <w:r w:rsidRPr="00D63AF8">
              <w:rPr>
                <w:rFonts w:ascii="Verdana" w:hAnsi="Verdana"/>
                <w:b/>
                <w:sz w:val="20"/>
              </w:rPr>
              <w:t xml:space="preserve">1 July 2019 - </w:t>
            </w:r>
          </w:p>
          <w:p w14:paraId="79AC3E21" w14:textId="77777777" w:rsidR="00F251A0" w:rsidRPr="00D63AF8" w:rsidRDefault="00F251A0" w:rsidP="003662FC">
            <w:pPr>
              <w:spacing w:line="240" w:lineRule="auto"/>
              <w:rPr>
                <w:rFonts w:ascii="Verdana" w:hAnsi="Verdana"/>
                <w:b/>
                <w:sz w:val="20"/>
              </w:rPr>
            </w:pPr>
            <w:r w:rsidRPr="00D63AF8">
              <w:rPr>
                <w:rFonts w:ascii="Verdana" w:hAnsi="Verdana"/>
                <w:b/>
                <w:sz w:val="20"/>
              </w:rPr>
              <w:t>30 June 2</w:t>
            </w:r>
            <w:r>
              <w:rPr>
                <w:rFonts w:ascii="Verdana" w:hAnsi="Verdana"/>
                <w:b/>
                <w:sz w:val="20"/>
              </w:rPr>
              <w:t>021</w:t>
            </w:r>
            <w:r w:rsidRPr="00D63AF8">
              <w:rPr>
                <w:rFonts w:ascii="Verdana" w:hAnsi="Verdana"/>
                <w:b/>
                <w:sz w:val="20"/>
              </w:rPr>
              <w:br/>
              <w:t>Year 3/4</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5FD87EC8" w14:textId="77777777" w:rsidR="00F251A0" w:rsidRPr="00D63AF8" w:rsidRDefault="00F251A0" w:rsidP="003662FC">
            <w:pPr>
              <w:spacing w:line="240" w:lineRule="auto"/>
              <w:rPr>
                <w:rFonts w:ascii="Verdana" w:hAnsi="Verdana"/>
                <w:b/>
                <w:sz w:val="20"/>
              </w:rPr>
            </w:pPr>
            <w:r w:rsidRPr="00D63AF8">
              <w:rPr>
                <w:rFonts w:ascii="Verdana" w:hAnsi="Verdana"/>
                <w:b/>
                <w:sz w:val="20"/>
              </w:rPr>
              <w:t>1 July 2021 -</w:t>
            </w:r>
          </w:p>
          <w:p w14:paraId="0F84B62C" w14:textId="77777777" w:rsidR="00F251A0" w:rsidRPr="00D63AF8" w:rsidRDefault="00F251A0" w:rsidP="003662FC">
            <w:pPr>
              <w:spacing w:line="240" w:lineRule="auto"/>
              <w:rPr>
                <w:rFonts w:ascii="Verdana" w:hAnsi="Verdana"/>
                <w:b/>
                <w:sz w:val="20"/>
              </w:rPr>
            </w:pPr>
            <w:r>
              <w:rPr>
                <w:rFonts w:ascii="Verdana" w:hAnsi="Verdana"/>
                <w:b/>
                <w:sz w:val="20"/>
              </w:rPr>
              <w:t>30 June 2022</w:t>
            </w:r>
            <w:r w:rsidRPr="00D63AF8">
              <w:rPr>
                <w:rFonts w:ascii="Verdana" w:hAnsi="Verdana"/>
                <w:b/>
                <w:sz w:val="20"/>
              </w:rPr>
              <w:br/>
              <w:t>Year 5</w:t>
            </w:r>
          </w:p>
        </w:tc>
      </w:tr>
      <w:tr w:rsidR="00F251A0" w:rsidRPr="0099705A" w14:paraId="444035BE" w14:textId="77777777" w:rsidTr="00D84C81">
        <w:trPr>
          <w:trHeight w:val="233"/>
        </w:trPr>
        <w:tc>
          <w:tcPr>
            <w:tcW w:w="0" w:type="auto"/>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4032D84B" w14:textId="77777777" w:rsidR="00F251A0" w:rsidRPr="0099705A" w:rsidRDefault="00F251A0" w:rsidP="003662FC">
            <w:pPr>
              <w:spacing w:line="240" w:lineRule="auto"/>
              <w:rPr>
                <w:rFonts w:ascii="Verdana" w:hAnsi="Verdana"/>
                <w:b/>
                <w:sz w:val="20"/>
              </w:rPr>
            </w:pPr>
            <w:r w:rsidRPr="0099705A">
              <w:rPr>
                <w:rFonts w:ascii="Verdana" w:hAnsi="Verdana"/>
                <w:b/>
                <w:sz w:val="20"/>
              </w:rPr>
              <w:t>L0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79A07E73" w14:textId="77777777" w:rsidR="00F251A0" w:rsidRPr="0099705A" w:rsidRDefault="00F251A0" w:rsidP="003662FC">
            <w:pPr>
              <w:spacing w:line="240" w:lineRule="auto"/>
              <w:rPr>
                <w:rFonts w:ascii="Verdana" w:hAnsi="Verdana"/>
                <w:sz w:val="20"/>
              </w:rPr>
            </w:pPr>
            <w:r w:rsidRPr="0099705A">
              <w:rPr>
                <w:rFonts w:ascii="Verdana" w:hAnsi="Verdana"/>
                <w:sz w:val="20"/>
              </w:rPr>
              <w:t>$19.00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D1FED60" w14:textId="77777777" w:rsidR="00F251A0" w:rsidRPr="0099705A" w:rsidRDefault="00F251A0" w:rsidP="003662FC">
            <w:pPr>
              <w:spacing w:line="240" w:lineRule="auto"/>
              <w:rPr>
                <w:rFonts w:ascii="Verdana" w:hAnsi="Verdana"/>
                <w:sz w:val="20"/>
              </w:rPr>
            </w:pPr>
            <w:r w:rsidRPr="0099705A">
              <w:rPr>
                <w:rFonts w:ascii="Verdana" w:hAnsi="Verdana"/>
                <w:sz w:val="20"/>
              </w:rPr>
              <w:t>$19.80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6CE24F6B" w14:textId="77777777" w:rsidR="00F251A0" w:rsidRPr="0099705A" w:rsidRDefault="00F251A0" w:rsidP="003662FC">
            <w:pPr>
              <w:spacing w:line="240" w:lineRule="auto"/>
              <w:rPr>
                <w:rFonts w:ascii="Verdana" w:hAnsi="Verdana"/>
                <w:sz w:val="20"/>
              </w:rPr>
            </w:pPr>
            <w:r w:rsidRPr="0099705A">
              <w:rPr>
                <w:rFonts w:ascii="Verdana" w:hAnsi="Verdana"/>
                <w:sz w:val="20"/>
              </w:rPr>
              <w:t>$20.50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410DAA04" w14:textId="77777777" w:rsidR="00F251A0" w:rsidRPr="0099705A" w:rsidRDefault="00F251A0" w:rsidP="003662FC">
            <w:pPr>
              <w:spacing w:line="240" w:lineRule="auto"/>
              <w:rPr>
                <w:rFonts w:ascii="Verdana" w:hAnsi="Verdana"/>
                <w:sz w:val="20"/>
              </w:rPr>
            </w:pPr>
            <w:r w:rsidRPr="0099705A">
              <w:rPr>
                <w:rFonts w:ascii="Verdana" w:hAnsi="Verdana"/>
                <w:sz w:val="20"/>
              </w:rPr>
              <w:t>$21.50</w:t>
            </w:r>
          </w:p>
        </w:tc>
      </w:tr>
      <w:tr w:rsidR="00F251A0" w:rsidRPr="0099705A" w14:paraId="5B24FDB3" w14:textId="77777777" w:rsidTr="00D84C81">
        <w:trPr>
          <w:trHeight w:val="238"/>
        </w:trPr>
        <w:tc>
          <w:tcPr>
            <w:tcW w:w="0" w:type="auto"/>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6E5A8F24" w14:textId="77777777" w:rsidR="00F251A0" w:rsidRPr="0099705A" w:rsidRDefault="00F251A0" w:rsidP="003662FC">
            <w:pPr>
              <w:spacing w:line="240" w:lineRule="auto"/>
              <w:rPr>
                <w:rFonts w:ascii="Verdana" w:hAnsi="Verdana"/>
                <w:b/>
                <w:sz w:val="20"/>
              </w:rPr>
            </w:pPr>
            <w:r w:rsidRPr="0099705A">
              <w:rPr>
                <w:rFonts w:ascii="Verdana" w:hAnsi="Verdana"/>
                <w:b/>
                <w:sz w:val="20"/>
              </w:rPr>
              <w:t>L2</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23323F1B" w14:textId="77777777" w:rsidR="00F251A0" w:rsidRPr="0099705A" w:rsidRDefault="00F251A0" w:rsidP="003662FC">
            <w:pPr>
              <w:spacing w:line="240" w:lineRule="auto"/>
              <w:rPr>
                <w:rFonts w:ascii="Verdana" w:hAnsi="Verdana"/>
                <w:sz w:val="20"/>
              </w:rPr>
            </w:pPr>
            <w:r w:rsidRPr="0099705A">
              <w:rPr>
                <w:rFonts w:ascii="Verdana" w:hAnsi="Verdana"/>
                <w:sz w:val="20"/>
              </w:rPr>
              <w:t>$20.00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59ABBF5B" w14:textId="77777777" w:rsidR="00F251A0" w:rsidRPr="0099705A" w:rsidRDefault="00F251A0" w:rsidP="003662FC">
            <w:pPr>
              <w:spacing w:line="240" w:lineRule="auto"/>
              <w:rPr>
                <w:rFonts w:ascii="Verdana" w:hAnsi="Verdana"/>
                <w:sz w:val="20"/>
              </w:rPr>
            </w:pPr>
            <w:r w:rsidRPr="0099705A">
              <w:rPr>
                <w:rFonts w:ascii="Verdana" w:hAnsi="Verdana"/>
                <w:sz w:val="20"/>
              </w:rPr>
              <w:t>$21.00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2CD8EA04" w14:textId="77777777" w:rsidR="00F251A0" w:rsidRPr="0099705A" w:rsidRDefault="00F251A0" w:rsidP="003662FC">
            <w:pPr>
              <w:spacing w:line="240" w:lineRule="auto"/>
              <w:rPr>
                <w:rFonts w:ascii="Verdana" w:hAnsi="Verdana"/>
                <w:sz w:val="20"/>
              </w:rPr>
            </w:pPr>
            <w:r w:rsidRPr="0099705A">
              <w:rPr>
                <w:rFonts w:ascii="Verdana" w:hAnsi="Verdana"/>
                <w:sz w:val="20"/>
              </w:rPr>
              <w:t>$21.50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8965AC5" w14:textId="77777777" w:rsidR="00F251A0" w:rsidRPr="0099705A" w:rsidRDefault="00F251A0" w:rsidP="003662FC">
            <w:pPr>
              <w:spacing w:line="240" w:lineRule="auto"/>
              <w:rPr>
                <w:rFonts w:ascii="Verdana" w:hAnsi="Verdana"/>
                <w:sz w:val="20"/>
              </w:rPr>
            </w:pPr>
            <w:r w:rsidRPr="0099705A">
              <w:rPr>
                <w:rFonts w:ascii="Verdana" w:hAnsi="Verdana"/>
                <w:sz w:val="20"/>
              </w:rPr>
              <w:t>$23.00</w:t>
            </w:r>
          </w:p>
        </w:tc>
      </w:tr>
      <w:tr w:rsidR="00F251A0" w:rsidRPr="0099705A" w14:paraId="17933CAC" w14:textId="77777777" w:rsidTr="00D84C81">
        <w:trPr>
          <w:trHeight w:val="238"/>
        </w:trPr>
        <w:tc>
          <w:tcPr>
            <w:tcW w:w="0" w:type="auto"/>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35259677" w14:textId="77777777" w:rsidR="00F251A0" w:rsidRPr="0099705A" w:rsidRDefault="00F251A0" w:rsidP="003662FC">
            <w:pPr>
              <w:spacing w:line="240" w:lineRule="auto"/>
              <w:rPr>
                <w:rFonts w:ascii="Verdana" w:hAnsi="Verdana"/>
                <w:b/>
                <w:sz w:val="20"/>
              </w:rPr>
            </w:pPr>
            <w:r w:rsidRPr="0099705A">
              <w:rPr>
                <w:rFonts w:ascii="Verdana" w:hAnsi="Verdana"/>
                <w:b/>
                <w:sz w:val="20"/>
              </w:rPr>
              <w:t>L3</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7E0A3648" w14:textId="77777777" w:rsidR="00F251A0" w:rsidRPr="0099705A" w:rsidRDefault="00F251A0" w:rsidP="003662FC">
            <w:pPr>
              <w:spacing w:line="240" w:lineRule="auto"/>
              <w:rPr>
                <w:rFonts w:ascii="Verdana" w:hAnsi="Verdana"/>
                <w:sz w:val="20"/>
              </w:rPr>
            </w:pPr>
            <w:r w:rsidRPr="0099705A">
              <w:rPr>
                <w:rFonts w:ascii="Verdana" w:hAnsi="Verdana"/>
                <w:sz w:val="20"/>
              </w:rPr>
              <w:t>$21.00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68D16D4D" w14:textId="77777777" w:rsidR="00F251A0" w:rsidRPr="0099705A" w:rsidRDefault="00F251A0" w:rsidP="003662FC">
            <w:pPr>
              <w:spacing w:line="240" w:lineRule="auto"/>
              <w:rPr>
                <w:rFonts w:ascii="Verdana" w:hAnsi="Verdana"/>
                <w:sz w:val="20"/>
              </w:rPr>
            </w:pPr>
            <w:r w:rsidRPr="0099705A">
              <w:rPr>
                <w:rFonts w:ascii="Verdana" w:hAnsi="Verdana"/>
                <w:sz w:val="20"/>
              </w:rPr>
              <w:t>$22.50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455B1AA2" w14:textId="77777777" w:rsidR="00F251A0" w:rsidRPr="0099705A" w:rsidRDefault="00F251A0" w:rsidP="003662FC">
            <w:pPr>
              <w:spacing w:line="240" w:lineRule="auto"/>
              <w:rPr>
                <w:rFonts w:ascii="Verdana" w:hAnsi="Verdana"/>
                <w:sz w:val="20"/>
              </w:rPr>
            </w:pPr>
            <w:r w:rsidRPr="0099705A">
              <w:rPr>
                <w:rFonts w:ascii="Verdana" w:hAnsi="Verdana"/>
                <w:sz w:val="20"/>
              </w:rPr>
              <w:t>$23.00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531995C3" w14:textId="77777777" w:rsidR="00F251A0" w:rsidRPr="0099705A" w:rsidRDefault="00F251A0" w:rsidP="003662FC">
            <w:pPr>
              <w:spacing w:line="240" w:lineRule="auto"/>
              <w:rPr>
                <w:rFonts w:ascii="Verdana" w:hAnsi="Verdana"/>
                <w:sz w:val="20"/>
              </w:rPr>
            </w:pPr>
            <w:r w:rsidRPr="0099705A">
              <w:rPr>
                <w:rFonts w:ascii="Verdana" w:hAnsi="Verdana"/>
                <w:sz w:val="20"/>
              </w:rPr>
              <w:t>$25.00</w:t>
            </w:r>
          </w:p>
        </w:tc>
      </w:tr>
      <w:tr w:rsidR="00F251A0" w:rsidRPr="0099705A" w14:paraId="465086C6" w14:textId="77777777" w:rsidTr="00D84C81">
        <w:trPr>
          <w:trHeight w:val="27"/>
        </w:trPr>
        <w:tc>
          <w:tcPr>
            <w:tcW w:w="0" w:type="auto"/>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068B5C5E" w14:textId="77777777" w:rsidR="00F251A0" w:rsidRPr="0099705A" w:rsidRDefault="00F251A0" w:rsidP="003662FC">
            <w:pPr>
              <w:spacing w:line="240" w:lineRule="auto"/>
              <w:rPr>
                <w:rFonts w:ascii="Verdana" w:hAnsi="Verdana"/>
                <w:b/>
                <w:sz w:val="20"/>
              </w:rPr>
            </w:pPr>
            <w:r w:rsidRPr="0099705A">
              <w:rPr>
                <w:rFonts w:ascii="Verdana" w:hAnsi="Verdana"/>
                <w:b/>
                <w:sz w:val="20"/>
              </w:rPr>
              <w:t>L4</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2B63395F" w14:textId="77777777" w:rsidR="00F251A0" w:rsidRPr="0099705A" w:rsidRDefault="00F251A0" w:rsidP="003662FC">
            <w:pPr>
              <w:spacing w:line="240" w:lineRule="auto"/>
              <w:rPr>
                <w:rFonts w:ascii="Verdana" w:hAnsi="Verdana"/>
                <w:sz w:val="20"/>
              </w:rPr>
            </w:pPr>
            <w:r w:rsidRPr="0099705A">
              <w:rPr>
                <w:rFonts w:ascii="Verdana" w:hAnsi="Verdana"/>
                <w:sz w:val="20"/>
              </w:rPr>
              <w:t>$23.50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89CC655" w14:textId="77777777" w:rsidR="00F251A0" w:rsidRPr="0099705A" w:rsidRDefault="00F251A0" w:rsidP="003662FC">
            <w:pPr>
              <w:spacing w:line="240" w:lineRule="auto"/>
              <w:rPr>
                <w:rFonts w:ascii="Verdana" w:hAnsi="Verdana"/>
                <w:sz w:val="20"/>
              </w:rPr>
            </w:pPr>
            <w:r w:rsidRPr="0099705A">
              <w:rPr>
                <w:rFonts w:ascii="Verdana" w:hAnsi="Verdana"/>
                <w:sz w:val="20"/>
              </w:rPr>
              <w:t>$24.50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51717608" w14:textId="77777777" w:rsidR="00F251A0" w:rsidRPr="0099705A" w:rsidRDefault="00F251A0" w:rsidP="003662FC">
            <w:pPr>
              <w:spacing w:line="240" w:lineRule="auto"/>
              <w:rPr>
                <w:rFonts w:ascii="Verdana" w:hAnsi="Verdana"/>
                <w:sz w:val="20"/>
              </w:rPr>
            </w:pPr>
            <w:r w:rsidRPr="0099705A">
              <w:rPr>
                <w:rFonts w:ascii="Verdana" w:hAnsi="Verdana"/>
                <w:sz w:val="20"/>
              </w:rPr>
              <w:t>$25.50</w:t>
            </w:r>
          </w:p>
        </w:tc>
        <w:tc>
          <w:tcPr>
            <w:tcW w:w="192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08C9F1DE" w14:textId="77777777" w:rsidR="00F251A0" w:rsidRPr="0099705A" w:rsidRDefault="00F251A0" w:rsidP="003662FC">
            <w:pPr>
              <w:spacing w:line="240" w:lineRule="auto"/>
              <w:rPr>
                <w:rFonts w:ascii="Verdana" w:hAnsi="Verdana"/>
                <w:sz w:val="20"/>
              </w:rPr>
            </w:pPr>
            <w:r w:rsidRPr="0099705A">
              <w:rPr>
                <w:rFonts w:ascii="Verdana" w:hAnsi="Verdana"/>
                <w:sz w:val="20"/>
              </w:rPr>
              <w:t>$27.00</w:t>
            </w:r>
          </w:p>
        </w:tc>
      </w:tr>
    </w:tbl>
    <w:p w14:paraId="25696491" w14:textId="77777777" w:rsidR="00906164" w:rsidRPr="00027FFA" w:rsidRDefault="00906164" w:rsidP="003662FC">
      <w:pPr>
        <w:pStyle w:val="Heading2"/>
        <w:spacing w:line="240" w:lineRule="auto"/>
        <w:rPr>
          <w:rFonts w:ascii="Verdana" w:hAnsi="Verdana"/>
        </w:rPr>
      </w:pPr>
      <w:r w:rsidRPr="00027FFA">
        <w:rPr>
          <w:rFonts w:ascii="Verdana" w:hAnsi="Verdana"/>
          <w:sz w:val="28"/>
        </w:rPr>
        <w:t>Current continuous service</w:t>
      </w:r>
    </w:p>
    <w:p w14:paraId="5743DDB9" w14:textId="6A5BE9AA" w:rsidR="00906164" w:rsidRPr="00027FFA" w:rsidRDefault="00906164" w:rsidP="003662FC">
      <w:pPr>
        <w:spacing w:after="240" w:line="240" w:lineRule="auto"/>
        <w:rPr>
          <w:rFonts w:ascii="Verdana" w:hAnsi="Verdana"/>
          <w:sz w:val="20"/>
          <w:szCs w:val="20"/>
          <w:lang w:val="en"/>
        </w:rPr>
      </w:pPr>
      <w:r w:rsidRPr="00027FFA">
        <w:rPr>
          <w:rFonts w:ascii="Verdana" w:hAnsi="Verdana"/>
          <w:sz w:val="20"/>
          <w:szCs w:val="20"/>
          <w:lang w:val="en"/>
        </w:rPr>
        <w:t>The definition of current continuous service for mental health and addiction workers is different than that for those workers c</w:t>
      </w:r>
      <w:r w:rsidR="003662FC">
        <w:rPr>
          <w:rFonts w:ascii="Verdana" w:hAnsi="Verdana"/>
          <w:sz w:val="20"/>
          <w:szCs w:val="20"/>
          <w:lang w:val="en"/>
        </w:rPr>
        <w:t xml:space="preserve">overed by the 2017 settlement. </w:t>
      </w:r>
      <w:r w:rsidRPr="00027FFA">
        <w:rPr>
          <w:rFonts w:ascii="Verdana" w:hAnsi="Verdana"/>
          <w:sz w:val="20"/>
          <w:szCs w:val="20"/>
          <w:lang w:val="en"/>
        </w:rPr>
        <w:t xml:space="preserve">This </w:t>
      </w:r>
      <w:proofErr w:type="spellStart"/>
      <w:r w:rsidRPr="00027FFA">
        <w:rPr>
          <w:rFonts w:ascii="Verdana" w:hAnsi="Verdana"/>
          <w:sz w:val="20"/>
          <w:szCs w:val="20"/>
          <w:lang w:val="en"/>
        </w:rPr>
        <w:t>recognises</w:t>
      </w:r>
      <w:proofErr w:type="spellEnd"/>
      <w:r w:rsidRPr="00027FFA">
        <w:rPr>
          <w:rFonts w:ascii="Verdana" w:hAnsi="Verdana"/>
          <w:sz w:val="20"/>
          <w:szCs w:val="20"/>
          <w:lang w:val="en"/>
        </w:rPr>
        <w:t xml:space="preserve"> that some workers may have moved between sectors and/or employers due to their exclusion from the 2017 settlement.</w:t>
      </w:r>
    </w:p>
    <w:p w14:paraId="03B00043" w14:textId="5D9F0B19" w:rsidR="00906164" w:rsidRPr="00027FFA" w:rsidRDefault="00906164" w:rsidP="003662FC">
      <w:pPr>
        <w:spacing w:after="240" w:line="240" w:lineRule="auto"/>
        <w:rPr>
          <w:rFonts w:ascii="Verdana" w:hAnsi="Verdana"/>
          <w:sz w:val="20"/>
          <w:szCs w:val="20"/>
          <w:lang w:val="en"/>
        </w:rPr>
      </w:pPr>
      <w:r w:rsidRPr="00027FFA">
        <w:rPr>
          <w:rFonts w:ascii="Verdana" w:hAnsi="Verdana"/>
          <w:sz w:val="20"/>
          <w:szCs w:val="20"/>
          <w:lang w:val="en"/>
        </w:rPr>
        <w:t xml:space="preserve">For the period from 1 July 2017 to 30 June 2018 current continuous service </w:t>
      </w:r>
      <w:r w:rsidR="003662FC">
        <w:rPr>
          <w:rFonts w:ascii="Verdana" w:hAnsi="Verdana"/>
          <w:sz w:val="20"/>
          <w:szCs w:val="20"/>
          <w:lang w:val="en"/>
        </w:rPr>
        <w:t>includes</w:t>
      </w:r>
      <w:r w:rsidRPr="00027FFA">
        <w:rPr>
          <w:rFonts w:ascii="Verdana" w:hAnsi="Verdana"/>
          <w:sz w:val="20"/>
          <w:szCs w:val="20"/>
          <w:lang w:val="en"/>
        </w:rPr>
        <w:t>:</w:t>
      </w:r>
    </w:p>
    <w:p w14:paraId="1206C8FC" w14:textId="77777777" w:rsidR="00906164" w:rsidRPr="00027FFA" w:rsidRDefault="00906164" w:rsidP="00872585">
      <w:pPr>
        <w:pStyle w:val="ListParagraph"/>
        <w:numPr>
          <w:ilvl w:val="0"/>
          <w:numId w:val="21"/>
        </w:numPr>
        <w:spacing w:after="240" w:line="240" w:lineRule="auto"/>
        <w:ind w:right="15"/>
        <w:rPr>
          <w:rFonts w:ascii="Verdana" w:hAnsi="Verdana"/>
          <w:sz w:val="20"/>
          <w:szCs w:val="20"/>
          <w:lang w:val="en"/>
        </w:rPr>
      </w:pPr>
      <w:r w:rsidRPr="00027FFA">
        <w:rPr>
          <w:rFonts w:ascii="Verdana" w:hAnsi="Verdana"/>
          <w:sz w:val="20"/>
          <w:szCs w:val="20"/>
          <w:lang w:val="en"/>
        </w:rPr>
        <w:t xml:space="preserve">Service </w:t>
      </w:r>
      <w:proofErr w:type="spellStart"/>
      <w:r w:rsidRPr="00027FFA">
        <w:rPr>
          <w:rFonts w:ascii="Verdana" w:hAnsi="Verdana"/>
          <w:sz w:val="20"/>
          <w:szCs w:val="20"/>
          <w:lang w:val="en"/>
        </w:rPr>
        <w:t>recognised</w:t>
      </w:r>
      <w:proofErr w:type="spellEnd"/>
      <w:r w:rsidRPr="00027FFA">
        <w:rPr>
          <w:rFonts w:ascii="Verdana" w:hAnsi="Verdana"/>
          <w:sz w:val="20"/>
          <w:szCs w:val="20"/>
          <w:lang w:val="en"/>
        </w:rPr>
        <w:t xml:space="preserve"> as continuous for the purpose of transferring workers (under the provisions of the Employment Relations Act 2000); </w:t>
      </w:r>
    </w:p>
    <w:p w14:paraId="29591954" w14:textId="2D9EABA1" w:rsidR="00906164" w:rsidRPr="003662FC" w:rsidRDefault="003662FC" w:rsidP="00872585">
      <w:pPr>
        <w:pStyle w:val="ListParagraph"/>
        <w:numPr>
          <w:ilvl w:val="0"/>
          <w:numId w:val="21"/>
        </w:numPr>
        <w:spacing w:after="240" w:line="240" w:lineRule="auto"/>
        <w:ind w:right="15"/>
        <w:rPr>
          <w:rFonts w:ascii="Verdana" w:hAnsi="Verdana"/>
          <w:sz w:val="20"/>
          <w:szCs w:val="20"/>
          <w:lang w:val="en"/>
        </w:rPr>
      </w:pPr>
      <w:r w:rsidRPr="003662FC">
        <w:rPr>
          <w:rFonts w:ascii="Verdana" w:hAnsi="Verdana"/>
          <w:sz w:val="20"/>
          <w:szCs w:val="20"/>
          <w:lang w:val="en"/>
        </w:rPr>
        <w:t>W</w:t>
      </w:r>
      <w:r w:rsidR="00906164" w:rsidRPr="003662FC">
        <w:rPr>
          <w:rFonts w:ascii="Verdana" w:hAnsi="Verdana"/>
          <w:sz w:val="20"/>
          <w:szCs w:val="20"/>
          <w:lang w:val="en"/>
        </w:rPr>
        <w:t xml:space="preserve">here an employee was a mental health and addiction support worker </w:t>
      </w:r>
      <w:r w:rsidRPr="003662FC">
        <w:rPr>
          <w:rFonts w:ascii="Verdana" w:hAnsi="Verdana"/>
          <w:sz w:val="20"/>
          <w:szCs w:val="20"/>
          <w:lang w:val="en"/>
        </w:rPr>
        <w:t>between</w:t>
      </w:r>
      <w:r w:rsidR="00906164" w:rsidRPr="003662FC">
        <w:rPr>
          <w:rFonts w:ascii="Verdana" w:hAnsi="Verdana"/>
          <w:sz w:val="20"/>
          <w:szCs w:val="20"/>
          <w:lang w:val="en"/>
        </w:rPr>
        <w:t xml:space="preserve"> 1 July 2017 and </w:t>
      </w:r>
      <w:r w:rsidRPr="003662FC">
        <w:rPr>
          <w:rFonts w:ascii="Verdana" w:hAnsi="Verdana"/>
          <w:sz w:val="20"/>
          <w:szCs w:val="20"/>
          <w:lang w:val="en"/>
        </w:rPr>
        <w:t>30 June 2018</w:t>
      </w:r>
      <w:r w:rsidR="00872585">
        <w:rPr>
          <w:rFonts w:ascii="Verdana" w:hAnsi="Verdana"/>
          <w:sz w:val="20"/>
          <w:szCs w:val="20"/>
          <w:lang w:val="en"/>
        </w:rPr>
        <w:t xml:space="preserve"> and:</w:t>
      </w:r>
    </w:p>
    <w:p w14:paraId="640A52AE" w14:textId="78B709B4" w:rsidR="003662FC" w:rsidRPr="003662FC" w:rsidRDefault="003662FC" w:rsidP="00872585">
      <w:pPr>
        <w:pStyle w:val="ListParagraph"/>
        <w:numPr>
          <w:ilvl w:val="0"/>
          <w:numId w:val="20"/>
        </w:numPr>
        <w:spacing w:after="240" w:line="240" w:lineRule="auto"/>
        <w:ind w:left="1560" w:right="15" w:hanging="480"/>
        <w:rPr>
          <w:rFonts w:ascii="Verdana" w:hAnsi="Verdana"/>
          <w:sz w:val="20"/>
        </w:rPr>
      </w:pPr>
      <w:r w:rsidRPr="003662FC">
        <w:rPr>
          <w:rFonts w:ascii="Verdana" w:hAnsi="Verdana"/>
          <w:sz w:val="20"/>
        </w:rPr>
        <w:t>left their employment and the sector</w:t>
      </w:r>
      <w:r w:rsidR="00872585">
        <w:rPr>
          <w:rFonts w:ascii="Verdana" w:hAnsi="Verdana"/>
          <w:sz w:val="20"/>
        </w:rPr>
        <w:t>; or</w:t>
      </w:r>
    </w:p>
    <w:p w14:paraId="7B12D206" w14:textId="25AB09AB" w:rsidR="003662FC" w:rsidRPr="003662FC" w:rsidRDefault="003662FC" w:rsidP="00872585">
      <w:pPr>
        <w:pStyle w:val="ListParagraph"/>
        <w:numPr>
          <w:ilvl w:val="0"/>
          <w:numId w:val="20"/>
        </w:numPr>
        <w:spacing w:after="240" w:line="240" w:lineRule="auto"/>
        <w:ind w:left="1560" w:right="15" w:hanging="480"/>
        <w:rPr>
          <w:rFonts w:ascii="Verdana" w:hAnsi="Verdana"/>
          <w:sz w:val="20"/>
        </w:rPr>
      </w:pPr>
      <w:r w:rsidRPr="003662FC">
        <w:rPr>
          <w:rFonts w:ascii="Verdana" w:hAnsi="Verdana"/>
          <w:sz w:val="20"/>
        </w:rPr>
        <w:t>transferred to another employer and is performing menta</w:t>
      </w:r>
      <w:r w:rsidR="00872585">
        <w:rPr>
          <w:rFonts w:ascii="Verdana" w:hAnsi="Verdana"/>
          <w:sz w:val="20"/>
        </w:rPr>
        <w:t>l health and addiction services; or</w:t>
      </w:r>
    </w:p>
    <w:p w14:paraId="1C1027D8" w14:textId="7F07623A" w:rsidR="003662FC" w:rsidRPr="003662FC" w:rsidRDefault="003662FC" w:rsidP="00872585">
      <w:pPr>
        <w:pStyle w:val="ListParagraph"/>
        <w:numPr>
          <w:ilvl w:val="0"/>
          <w:numId w:val="20"/>
        </w:numPr>
        <w:spacing w:after="240" w:line="240" w:lineRule="auto"/>
        <w:ind w:left="1560" w:right="15" w:hanging="480"/>
        <w:rPr>
          <w:rFonts w:ascii="Verdana" w:hAnsi="Verdana"/>
          <w:sz w:val="20"/>
        </w:rPr>
      </w:pPr>
      <w:r w:rsidRPr="003662FC">
        <w:rPr>
          <w:rFonts w:ascii="Verdana" w:hAnsi="Verdana"/>
          <w:sz w:val="20"/>
        </w:rPr>
        <w:t>transferred to another employer as defined in the 2017 settlement agreement</w:t>
      </w:r>
      <w:r w:rsidR="00872585">
        <w:rPr>
          <w:rFonts w:ascii="Verdana" w:hAnsi="Verdana"/>
          <w:sz w:val="20"/>
        </w:rPr>
        <w:t>; or</w:t>
      </w:r>
      <w:r w:rsidRPr="003662FC">
        <w:rPr>
          <w:rFonts w:ascii="Verdana" w:hAnsi="Verdana"/>
          <w:sz w:val="20"/>
        </w:rPr>
        <w:t xml:space="preserve"> </w:t>
      </w:r>
    </w:p>
    <w:p w14:paraId="32D54018" w14:textId="77B3F8E2" w:rsidR="003662FC" w:rsidRPr="003662FC" w:rsidRDefault="003662FC" w:rsidP="00872585">
      <w:pPr>
        <w:pStyle w:val="ListParagraph"/>
        <w:numPr>
          <w:ilvl w:val="0"/>
          <w:numId w:val="20"/>
        </w:numPr>
        <w:spacing w:after="240" w:line="240" w:lineRule="auto"/>
        <w:ind w:left="1560" w:right="15" w:hanging="480"/>
        <w:rPr>
          <w:rFonts w:ascii="Verdana" w:hAnsi="Verdana"/>
          <w:sz w:val="20"/>
        </w:rPr>
      </w:pPr>
      <w:r w:rsidRPr="003662FC">
        <w:rPr>
          <w:rFonts w:ascii="Verdana" w:hAnsi="Verdana"/>
          <w:sz w:val="20"/>
        </w:rPr>
        <w:t>changed roles with their current employ</w:t>
      </w:r>
      <w:r w:rsidR="00872585">
        <w:rPr>
          <w:rFonts w:ascii="Verdana" w:hAnsi="Verdana"/>
          <w:sz w:val="20"/>
        </w:rPr>
        <w:t xml:space="preserve">er to a </w:t>
      </w:r>
      <w:proofErr w:type="spellStart"/>
      <w:r w:rsidR="00872585">
        <w:rPr>
          <w:rFonts w:ascii="Verdana" w:hAnsi="Verdana"/>
          <w:sz w:val="20"/>
        </w:rPr>
        <w:t>non support</w:t>
      </w:r>
      <w:proofErr w:type="spellEnd"/>
      <w:r w:rsidR="00872585">
        <w:rPr>
          <w:rFonts w:ascii="Verdana" w:hAnsi="Verdana"/>
          <w:sz w:val="20"/>
        </w:rPr>
        <w:t xml:space="preserve"> worker role;</w:t>
      </w:r>
      <w:r w:rsidRPr="003662FC">
        <w:rPr>
          <w:rFonts w:ascii="Verdana" w:hAnsi="Verdana"/>
          <w:sz w:val="20"/>
        </w:rPr>
        <w:t xml:space="preserve"> or</w:t>
      </w:r>
    </w:p>
    <w:p w14:paraId="3A089C28" w14:textId="3AA488B2" w:rsidR="003662FC" w:rsidRPr="003662FC" w:rsidRDefault="003662FC" w:rsidP="00872585">
      <w:pPr>
        <w:pStyle w:val="ListParagraph"/>
        <w:numPr>
          <w:ilvl w:val="0"/>
          <w:numId w:val="20"/>
        </w:numPr>
        <w:spacing w:after="240" w:line="240" w:lineRule="auto"/>
        <w:ind w:left="1560" w:right="15" w:hanging="480"/>
        <w:rPr>
          <w:rFonts w:ascii="Verdana" w:hAnsi="Verdana"/>
        </w:rPr>
      </w:pPr>
      <w:proofErr w:type="gramStart"/>
      <w:r w:rsidRPr="003662FC">
        <w:rPr>
          <w:rFonts w:ascii="Verdana" w:hAnsi="Verdana"/>
          <w:sz w:val="20"/>
        </w:rPr>
        <w:t>transferred</w:t>
      </w:r>
      <w:proofErr w:type="gramEnd"/>
      <w:r w:rsidRPr="003662FC">
        <w:rPr>
          <w:rFonts w:ascii="Verdana" w:hAnsi="Verdana"/>
          <w:sz w:val="20"/>
        </w:rPr>
        <w:t xml:space="preserve"> to a non-funded service</w:t>
      </w:r>
      <w:r w:rsidRPr="003662FC">
        <w:rPr>
          <w:rFonts w:ascii="Verdana" w:hAnsi="Verdana"/>
        </w:rPr>
        <w:t>.</w:t>
      </w:r>
    </w:p>
    <w:p w14:paraId="355E38AC" w14:textId="77777777" w:rsidR="00265322" w:rsidRPr="003662FC" w:rsidRDefault="00265322" w:rsidP="003662FC">
      <w:pPr>
        <w:pStyle w:val="Heading2"/>
        <w:spacing w:line="240" w:lineRule="auto"/>
        <w:rPr>
          <w:rFonts w:ascii="Verdana" w:hAnsi="Verdana"/>
          <w:sz w:val="28"/>
        </w:rPr>
      </w:pPr>
      <w:r w:rsidRPr="003662FC">
        <w:rPr>
          <w:rFonts w:ascii="Verdana" w:hAnsi="Verdana"/>
          <w:sz w:val="28"/>
        </w:rPr>
        <w:t>Qualifications</w:t>
      </w:r>
    </w:p>
    <w:p w14:paraId="016CF467" w14:textId="77777777" w:rsidR="0042183D" w:rsidRDefault="0042183D" w:rsidP="003662FC">
      <w:pPr>
        <w:pStyle w:val="Heading2"/>
        <w:spacing w:line="240" w:lineRule="auto"/>
        <w:rPr>
          <w:rFonts w:ascii="Verdana" w:hAnsi="Verdana" w:cs="Times New Roman"/>
          <w:b w:val="0"/>
          <w:bCs w:val="0"/>
          <w:iCs w:val="0"/>
          <w:sz w:val="20"/>
          <w:szCs w:val="24"/>
        </w:rPr>
      </w:pPr>
      <w:r w:rsidRPr="0042183D">
        <w:rPr>
          <w:rFonts w:ascii="Verdana" w:hAnsi="Verdana" w:cs="Times New Roman"/>
          <w:b w:val="0"/>
          <w:bCs w:val="0"/>
          <w:iCs w:val="0"/>
          <w:sz w:val="20"/>
          <w:szCs w:val="24"/>
        </w:rPr>
        <w:t xml:space="preserve">In accordance with the settlement agreement, the qualification must be a:  </w:t>
      </w:r>
    </w:p>
    <w:p w14:paraId="2A239198" w14:textId="4FB1F6A9" w:rsidR="0042183D" w:rsidRPr="0042183D" w:rsidRDefault="00872585" w:rsidP="00872585">
      <w:pPr>
        <w:pStyle w:val="Bullet"/>
        <w:numPr>
          <w:ilvl w:val="0"/>
          <w:numId w:val="37"/>
        </w:numPr>
        <w:tabs>
          <w:tab w:val="clear" w:pos="284"/>
          <w:tab w:val="num" w:pos="1134"/>
        </w:tabs>
        <w:spacing w:before="0" w:line="240" w:lineRule="auto"/>
        <w:ind w:left="1134" w:hanging="425"/>
        <w:rPr>
          <w:rFonts w:ascii="Verdana" w:hAnsi="Verdana"/>
          <w:sz w:val="20"/>
        </w:rPr>
      </w:pPr>
      <w:r>
        <w:rPr>
          <w:rFonts w:ascii="Verdana" w:hAnsi="Verdana"/>
          <w:sz w:val="20"/>
        </w:rPr>
        <w:t>Level</w:t>
      </w:r>
      <w:r w:rsidR="0042183D" w:rsidRPr="0042183D">
        <w:rPr>
          <w:rFonts w:ascii="Verdana" w:hAnsi="Verdana"/>
          <w:sz w:val="20"/>
        </w:rPr>
        <w:t xml:space="preserve"> 2, 3 or 4 New Zealand Certificate in Health and Wellbeing issued by NZQA; or </w:t>
      </w:r>
    </w:p>
    <w:p w14:paraId="31953DBA" w14:textId="141483A5" w:rsidR="0042183D" w:rsidRPr="0042183D" w:rsidRDefault="0042183D" w:rsidP="00872585">
      <w:pPr>
        <w:pStyle w:val="Bullet"/>
        <w:numPr>
          <w:ilvl w:val="0"/>
          <w:numId w:val="37"/>
        </w:numPr>
        <w:tabs>
          <w:tab w:val="clear" w:pos="284"/>
          <w:tab w:val="num" w:pos="1134"/>
        </w:tabs>
        <w:spacing w:before="0" w:line="240" w:lineRule="auto"/>
        <w:ind w:left="1134" w:hanging="425"/>
        <w:rPr>
          <w:rFonts w:ascii="Verdana" w:hAnsi="Verdana"/>
          <w:sz w:val="20"/>
        </w:rPr>
      </w:pPr>
      <w:r w:rsidRPr="0042183D">
        <w:rPr>
          <w:rFonts w:ascii="Verdana" w:hAnsi="Verdana"/>
          <w:sz w:val="20"/>
        </w:rPr>
        <w:t>A qualification that is recognised by Careerforce (the relevant industry training organisation) as being equivalent to the New Zealand Cert</w:t>
      </w:r>
      <w:r w:rsidR="00872585">
        <w:rPr>
          <w:rFonts w:ascii="Verdana" w:hAnsi="Verdana"/>
          <w:sz w:val="20"/>
        </w:rPr>
        <w:t>ificate in Health and Wellbeing;</w:t>
      </w:r>
      <w:r w:rsidRPr="0042183D">
        <w:rPr>
          <w:rFonts w:ascii="Verdana" w:hAnsi="Verdana"/>
          <w:sz w:val="20"/>
        </w:rPr>
        <w:t xml:space="preserve"> or</w:t>
      </w:r>
    </w:p>
    <w:p w14:paraId="456DC350" w14:textId="69BEE46A" w:rsidR="0042183D" w:rsidRPr="0042183D" w:rsidRDefault="0042183D" w:rsidP="00872585">
      <w:pPr>
        <w:pStyle w:val="Bullet"/>
        <w:numPr>
          <w:ilvl w:val="0"/>
          <w:numId w:val="37"/>
        </w:numPr>
        <w:tabs>
          <w:tab w:val="clear" w:pos="284"/>
          <w:tab w:val="num" w:pos="1134"/>
        </w:tabs>
        <w:spacing w:before="0" w:line="240" w:lineRule="auto"/>
        <w:ind w:left="1134" w:hanging="425"/>
        <w:rPr>
          <w:rFonts w:ascii="Verdana" w:hAnsi="Verdana"/>
          <w:sz w:val="20"/>
        </w:rPr>
      </w:pPr>
      <w:proofErr w:type="gramStart"/>
      <w:r w:rsidRPr="0042183D">
        <w:rPr>
          <w:rFonts w:ascii="Verdana" w:hAnsi="Verdana"/>
          <w:sz w:val="20"/>
        </w:rPr>
        <w:t>an</w:t>
      </w:r>
      <w:proofErr w:type="gramEnd"/>
      <w:r w:rsidRPr="0042183D">
        <w:rPr>
          <w:rFonts w:ascii="Verdana" w:hAnsi="Verdana"/>
          <w:sz w:val="20"/>
        </w:rPr>
        <w:t xml:space="preserve"> overseas qualification that is equivalent to a qualification de</w:t>
      </w:r>
      <w:r w:rsidR="00751902">
        <w:rPr>
          <w:rFonts w:ascii="Verdana" w:hAnsi="Verdana"/>
          <w:sz w:val="20"/>
        </w:rPr>
        <w:t>scribed in paragraph a) or b).</w:t>
      </w:r>
    </w:p>
    <w:p w14:paraId="2E742DB1" w14:textId="611C569D" w:rsidR="0042183D" w:rsidRPr="0042183D" w:rsidRDefault="0042183D" w:rsidP="003662FC">
      <w:pPr>
        <w:pStyle w:val="Heading2"/>
        <w:spacing w:line="240" w:lineRule="auto"/>
        <w:rPr>
          <w:rFonts w:ascii="Verdana" w:hAnsi="Verdana" w:cs="Times New Roman"/>
          <w:b w:val="0"/>
          <w:bCs w:val="0"/>
          <w:iCs w:val="0"/>
          <w:sz w:val="20"/>
          <w:szCs w:val="24"/>
        </w:rPr>
      </w:pPr>
      <w:r w:rsidRPr="0042183D">
        <w:rPr>
          <w:rFonts w:ascii="Verdana" w:hAnsi="Verdana" w:cs="Times New Roman"/>
          <w:b w:val="0"/>
          <w:bCs w:val="0"/>
          <w:iCs w:val="0"/>
          <w:sz w:val="20"/>
          <w:szCs w:val="24"/>
        </w:rPr>
        <w:t>It is the role of Careerforce, the Industry Training Organisation, to assess domestic and international qualifications for equivalence to the NZ Certificate in Health and Wellbeing (Levels 2, 3 and 4). As workers’ qualifications are assessed as equivalent</w:t>
      </w:r>
      <w:r w:rsidR="00872585">
        <w:rPr>
          <w:rFonts w:ascii="Verdana" w:hAnsi="Verdana" w:cs="Times New Roman"/>
          <w:b w:val="0"/>
          <w:bCs w:val="0"/>
          <w:iCs w:val="0"/>
          <w:sz w:val="20"/>
          <w:szCs w:val="24"/>
        </w:rPr>
        <w:t>,</w:t>
      </w:r>
      <w:r w:rsidRPr="0042183D">
        <w:rPr>
          <w:rFonts w:ascii="Verdana" w:hAnsi="Verdana" w:cs="Times New Roman"/>
          <w:b w:val="0"/>
          <w:bCs w:val="0"/>
          <w:iCs w:val="0"/>
          <w:sz w:val="20"/>
          <w:szCs w:val="24"/>
        </w:rPr>
        <w:t xml:space="preserve"> the qualification </w:t>
      </w:r>
      <w:r w:rsidRPr="0042183D">
        <w:rPr>
          <w:rFonts w:ascii="Verdana" w:hAnsi="Verdana" w:cs="Times New Roman"/>
          <w:b w:val="0"/>
          <w:bCs w:val="0"/>
          <w:iCs w:val="0"/>
          <w:sz w:val="20"/>
          <w:szCs w:val="24"/>
        </w:rPr>
        <w:lastRenderedPageBreak/>
        <w:t xml:space="preserve">is posted on the Careerforce website (www.careerforce.org.nz/pay-equity/equivalencies). The qualifications under review include those forwarded by providers and employees. </w:t>
      </w:r>
    </w:p>
    <w:p w14:paraId="2005434A" w14:textId="710425AB" w:rsidR="0042183D" w:rsidRPr="0042183D" w:rsidRDefault="005C3C6C" w:rsidP="003662FC">
      <w:pPr>
        <w:pStyle w:val="Heading2"/>
        <w:spacing w:line="240" w:lineRule="auto"/>
        <w:rPr>
          <w:rFonts w:ascii="Verdana" w:hAnsi="Verdana" w:cs="Times New Roman"/>
          <w:b w:val="0"/>
          <w:bCs w:val="0"/>
          <w:iCs w:val="0"/>
          <w:sz w:val="20"/>
          <w:szCs w:val="24"/>
        </w:rPr>
      </w:pPr>
      <w:r>
        <w:rPr>
          <w:rFonts w:ascii="Verdana" w:hAnsi="Verdana" w:cs="Times New Roman"/>
          <w:b w:val="0"/>
          <w:bCs w:val="0"/>
          <w:iCs w:val="0"/>
          <w:sz w:val="20"/>
          <w:szCs w:val="24"/>
        </w:rPr>
        <w:t>For</w:t>
      </w:r>
      <w:r w:rsidR="0042183D" w:rsidRPr="0042183D">
        <w:rPr>
          <w:rFonts w:ascii="Verdana" w:hAnsi="Verdana" w:cs="Times New Roman"/>
          <w:b w:val="0"/>
          <w:bCs w:val="0"/>
          <w:iCs w:val="0"/>
          <w:sz w:val="20"/>
          <w:szCs w:val="24"/>
        </w:rPr>
        <w:t xml:space="preserve"> any questions about qualification equivalency</w:t>
      </w:r>
      <w:r>
        <w:rPr>
          <w:rFonts w:ascii="Verdana" w:hAnsi="Verdana" w:cs="Times New Roman"/>
          <w:b w:val="0"/>
          <w:bCs w:val="0"/>
          <w:iCs w:val="0"/>
          <w:sz w:val="20"/>
          <w:szCs w:val="24"/>
        </w:rPr>
        <w:t>,</w:t>
      </w:r>
      <w:r w:rsidR="0042183D" w:rsidRPr="0042183D">
        <w:rPr>
          <w:rFonts w:ascii="Verdana" w:hAnsi="Verdana" w:cs="Times New Roman"/>
          <w:b w:val="0"/>
          <w:bCs w:val="0"/>
          <w:iCs w:val="0"/>
          <w:sz w:val="20"/>
          <w:szCs w:val="24"/>
        </w:rPr>
        <w:t xml:space="preserve"> please contact Careerforce on 0800 277 486 or email </w:t>
      </w:r>
      <w:hyperlink r:id="rId9" w:history="1">
        <w:r w:rsidR="0042183D" w:rsidRPr="00872585">
          <w:rPr>
            <w:rStyle w:val="Hyperlink"/>
            <w:rFonts w:ascii="Verdana" w:hAnsi="Verdana" w:cs="Times New Roman"/>
            <w:b w:val="0"/>
            <w:bCs w:val="0"/>
            <w:iCs w:val="0"/>
            <w:sz w:val="20"/>
            <w:szCs w:val="24"/>
          </w:rPr>
          <w:t>info@careerforce.org.nz</w:t>
        </w:r>
      </w:hyperlink>
      <w:r w:rsidR="0042183D" w:rsidRPr="0042183D">
        <w:rPr>
          <w:rFonts w:ascii="Verdana" w:hAnsi="Verdana" w:cs="Times New Roman"/>
          <w:b w:val="0"/>
          <w:bCs w:val="0"/>
          <w:iCs w:val="0"/>
          <w:sz w:val="20"/>
          <w:szCs w:val="24"/>
        </w:rPr>
        <w:t xml:space="preserve"> with ‘Pay Equity Qualification Query’ in the subject line. </w:t>
      </w:r>
    </w:p>
    <w:p w14:paraId="2E76F7E2" w14:textId="4E14DFE7" w:rsidR="00751902" w:rsidRDefault="00751902">
      <w:pPr>
        <w:spacing w:line="240" w:lineRule="auto"/>
        <w:rPr>
          <w:rFonts w:ascii="Verdana" w:hAnsi="Verdana" w:cs="Arial"/>
          <w:b/>
          <w:bCs/>
          <w:iCs/>
          <w:sz w:val="28"/>
          <w:szCs w:val="28"/>
        </w:rPr>
      </w:pPr>
      <w:r>
        <w:rPr>
          <w:rFonts w:ascii="Verdana" w:hAnsi="Verdana"/>
          <w:sz w:val="28"/>
        </w:rPr>
        <w:br w:type="page"/>
      </w:r>
    </w:p>
    <w:p w14:paraId="69BDC90B" w14:textId="7C24E520" w:rsidR="00DB411E" w:rsidRDefault="0081169A" w:rsidP="003662FC">
      <w:pPr>
        <w:pStyle w:val="Heading2"/>
        <w:spacing w:line="240" w:lineRule="auto"/>
        <w:rPr>
          <w:rFonts w:ascii="Verdana" w:hAnsi="Verdana"/>
          <w:sz w:val="28"/>
        </w:rPr>
      </w:pPr>
      <w:r w:rsidRPr="00027FFA">
        <w:rPr>
          <w:rFonts w:ascii="Verdana" w:hAnsi="Verdana"/>
          <w:sz w:val="28"/>
        </w:rPr>
        <w:lastRenderedPageBreak/>
        <w:t>Eligibility</w:t>
      </w:r>
    </w:p>
    <w:p w14:paraId="358CE316" w14:textId="30D6A61B" w:rsidR="0081169A" w:rsidRPr="00DB411E" w:rsidRDefault="004E51A6" w:rsidP="003662FC">
      <w:pPr>
        <w:pStyle w:val="Heading2"/>
        <w:spacing w:line="240" w:lineRule="auto"/>
        <w:rPr>
          <w:rFonts w:ascii="Verdana" w:hAnsi="Verdana"/>
          <w:sz w:val="28"/>
        </w:rPr>
      </w:pPr>
      <w:r w:rsidRPr="00DB411E">
        <w:rPr>
          <w:rFonts w:ascii="Verdana" w:hAnsi="Verdana"/>
          <w:iCs w:val="0"/>
          <w:sz w:val="24"/>
        </w:rPr>
        <w:t>A</w:t>
      </w:r>
      <w:r w:rsidR="0081169A" w:rsidRPr="00DB411E">
        <w:rPr>
          <w:rFonts w:ascii="Verdana" w:hAnsi="Verdana"/>
          <w:iCs w:val="0"/>
          <w:sz w:val="24"/>
        </w:rPr>
        <w:t>ssessment</w:t>
      </w:r>
    </w:p>
    <w:p w14:paraId="78F0A106" w14:textId="77777777" w:rsidR="0081169A" w:rsidRPr="00027FFA" w:rsidRDefault="00265322" w:rsidP="003662FC">
      <w:pPr>
        <w:pStyle w:val="Numbering"/>
        <w:numPr>
          <w:ilvl w:val="0"/>
          <w:numId w:val="0"/>
        </w:numPr>
        <w:spacing w:line="240" w:lineRule="auto"/>
        <w:rPr>
          <w:rFonts w:ascii="Verdana" w:hAnsi="Verdana"/>
          <w:b w:val="0"/>
          <w:sz w:val="20"/>
          <w:szCs w:val="20"/>
        </w:rPr>
      </w:pPr>
      <w:r w:rsidRPr="00027FFA">
        <w:rPr>
          <w:rFonts w:ascii="Verdana" w:hAnsi="Verdana"/>
          <w:b w:val="0"/>
          <w:sz w:val="20"/>
          <w:szCs w:val="20"/>
        </w:rPr>
        <w:t>F</w:t>
      </w:r>
      <w:r w:rsidR="004E51A6" w:rsidRPr="00027FFA">
        <w:rPr>
          <w:rFonts w:ascii="Verdana" w:hAnsi="Verdana"/>
          <w:b w:val="0"/>
          <w:sz w:val="20"/>
          <w:szCs w:val="20"/>
        </w:rPr>
        <w:t>ollow the three-step process</w:t>
      </w:r>
      <w:r w:rsidRPr="00027FFA">
        <w:rPr>
          <w:rFonts w:ascii="Verdana" w:hAnsi="Verdana"/>
          <w:b w:val="0"/>
          <w:sz w:val="20"/>
          <w:szCs w:val="20"/>
        </w:rPr>
        <w:t xml:space="preserve"> to assess the eligibility of a worker</w:t>
      </w:r>
      <w:r w:rsidR="0081169A" w:rsidRPr="00027FFA">
        <w:rPr>
          <w:rFonts w:ascii="Verdana" w:hAnsi="Verdana"/>
          <w:b w:val="0"/>
          <w:sz w:val="20"/>
          <w:szCs w:val="20"/>
        </w:rPr>
        <w:t xml:space="preserve">: </w:t>
      </w:r>
      <w:r w:rsidR="00906164" w:rsidRPr="00027FFA">
        <w:rPr>
          <w:rFonts w:ascii="Verdana" w:hAnsi="Verdana"/>
          <w:b w:val="0"/>
          <w:sz w:val="20"/>
          <w:szCs w:val="20"/>
        </w:rPr>
        <w:br/>
      </w:r>
    </w:p>
    <w:p w14:paraId="425E61CF" w14:textId="155B6682" w:rsidR="0081169A" w:rsidRPr="00027FFA" w:rsidRDefault="0081169A" w:rsidP="003662FC">
      <w:pPr>
        <w:pStyle w:val="ListParagraph"/>
        <w:numPr>
          <w:ilvl w:val="0"/>
          <w:numId w:val="23"/>
        </w:numPr>
        <w:autoSpaceDE w:val="0"/>
        <w:autoSpaceDN w:val="0"/>
        <w:adjustRightInd w:val="0"/>
        <w:spacing w:line="240" w:lineRule="auto"/>
        <w:ind w:left="357" w:hanging="357"/>
        <w:rPr>
          <w:rFonts w:ascii="Verdana" w:hAnsi="Verdana"/>
          <w:sz w:val="20"/>
          <w:szCs w:val="20"/>
          <w:lang w:eastAsia="en-NZ"/>
        </w:rPr>
      </w:pPr>
      <w:r w:rsidRPr="00027FFA">
        <w:rPr>
          <w:rFonts w:ascii="Verdana" w:hAnsi="Verdana"/>
          <w:b/>
          <w:sz w:val="20"/>
          <w:szCs w:val="20"/>
          <w:lang w:eastAsia="en-NZ"/>
        </w:rPr>
        <w:t xml:space="preserve">Determine whether the service is funded </w:t>
      </w:r>
      <w:r w:rsidR="00186125" w:rsidRPr="00027FFA">
        <w:rPr>
          <w:rFonts w:ascii="Verdana" w:hAnsi="Verdana"/>
          <w:b/>
          <w:sz w:val="20"/>
          <w:szCs w:val="20"/>
          <w:lang w:eastAsia="en-NZ"/>
        </w:rPr>
        <w:t>by</w:t>
      </w:r>
      <w:r w:rsidR="00906164" w:rsidRPr="00027FFA">
        <w:rPr>
          <w:rFonts w:ascii="Verdana" w:hAnsi="Verdana"/>
          <w:b/>
          <w:sz w:val="20"/>
          <w:szCs w:val="20"/>
          <w:lang w:eastAsia="en-NZ"/>
        </w:rPr>
        <w:t xml:space="preserve"> one of the settlement parties </w:t>
      </w:r>
      <w:r w:rsidR="00906164" w:rsidRPr="00027FFA">
        <w:rPr>
          <w:rFonts w:ascii="Verdana" w:hAnsi="Verdana"/>
          <w:sz w:val="20"/>
          <w:szCs w:val="20"/>
          <w:lang w:eastAsia="en-NZ"/>
        </w:rPr>
        <w:t>-</w:t>
      </w:r>
      <w:r w:rsidRPr="00027FFA">
        <w:rPr>
          <w:rFonts w:ascii="Verdana" w:hAnsi="Verdana"/>
          <w:sz w:val="20"/>
          <w:szCs w:val="20"/>
          <w:lang w:eastAsia="en-NZ"/>
        </w:rPr>
        <w:t xml:space="preserve"> </w:t>
      </w:r>
      <w:r w:rsidR="00186125" w:rsidRPr="00027FFA">
        <w:rPr>
          <w:rFonts w:ascii="Verdana" w:hAnsi="Verdana"/>
          <w:sz w:val="20"/>
          <w:szCs w:val="20"/>
        </w:rPr>
        <w:t xml:space="preserve">the Ministry of Health, District Health Boards, </w:t>
      </w:r>
      <w:r w:rsidR="00265322" w:rsidRPr="00027FFA">
        <w:rPr>
          <w:rFonts w:ascii="Verdana" w:hAnsi="Verdana"/>
          <w:sz w:val="20"/>
          <w:szCs w:val="20"/>
        </w:rPr>
        <w:t xml:space="preserve">the </w:t>
      </w:r>
      <w:r w:rsidR="00186125" w:rsidRPr="00027FFA">
        <w:rPr>
          <w:rFonts w:ascii="Verdana" w:hAnsi="Verdana"/>
          <w:sz w:val="20"/>
          <w:szCs w:val="20"/>
        </w:rPr>
        <w:t xml:space="preserve">Accident Compensation Corporation, the Department of Corrections, </w:t>
      </w:r>
      <w:r w:rsidR="003662FC">
        <w:rPr>
          <w:rFonts w:ascii="Verdana" w:hAnsi="Verdana"/>
          <w:sz w:val="20"/>
          <w:szCs w:val="20"/>
        </w:rPr>
        <w:t>Oranga Tamariki</w:t>
      </w:r>
      <w:r w:rsidR="00395630">
        <w:rPr>
          <w:rFonts w:ascii="Verdana" w:hAnsi="Verdana"/>
          <w:sz w:val="20"/>
          <w:szCs w:val="20"/>
        </w:rPr>
        <w:t>,</w:t>
      </w:r>
      <w:r w:rsidR="00186125" w:rsidRPr="00027FFA">
        <w:rPr>
          <w:rFonts w:ascii="Verdana" w:hAnsi="Verdana"/>
          <w:sz w:val="20"/>
          <w:szCs w:val="20"/>
        </w:rPr>
        <w:t xml:space="preserve"> and the Ministry of Social Development</w:t>
      </w:r>
      <w:r w:rsidRPr="00027FFA">
        <w:rPr>
          <w:rFonts w:ascii="Verdana" w:hAnsi="Verdana"/>
          <w:sz w:val="20"/>
          <w:szCs w:val="20"/>
          <w:lang w:eastAsia="en-NZ"/>
        </w:rPr>
        <w:t>.</w:t>
      </w:r>
      <w:r w:rsidRPr="00027FFA">
        <w:rPr>
          <w:rFonts w:ascii="Verdana" w:hAnsi="Verdana"/>
          <w:sz w:val="20"/>
          <w:szCs w:val="20"/>
          <w:lang w:eastAsia="en-NZ"/>
        </w:rPr>
        <w:br/>
      </w:r>
    </w:p>
    <w:p w14:paraId="39DB1B24" w14:textId="77777777" w:rsidR="0081169A" w:rsidRDefault="0081169A" w:rsidP="00872585">
      <w:pPr>
        <w:pStyle w:val="ListParagraph"/>
        <w:numPr>
          <w:ilvl w:val="0"/>
          <w:numId w:val="23"/>
        </w:numPr>
        <w:autoSpaceDE w:val="0"/>
        <w:autoSpaceDN w:val="0"/>
        <w:adjustRightInd w:val="0"/>
        <w:spacing w:after="240" w:line="240" w:lineRule="auto"/>
        <w:ind w:left="357" w:hanging="357"/>
        <w:rPr>
          <w:rFonts w:ascii="Verdana" w:hAnsi="Verdana"/>
          <w:sz w:val="20"/>
          <w:szCs w:val="20"/>
          <w:lang w:eastAsia="en-NZ"/>
        </w:rPr>
      </w:pPr>
      <w:r w:rsidRPr="00027FFA">
        <w:rPr>
          <w:rFonts w:ascii="Verdana" w:hAnsi="Verdana"/>
          <w:b/>
          <w:sz w:val="20"/>
          <w:szCs w:val="20"/>
          <w:lang w:eastAsia="en-NZ"/>
        </w:rPr>
        <w:t>Determine whether the service is covered by the settlement agreement</w:t>
      </w:r>
      <w:r w:rsidRPr="00027FFA">
        <w:rPr>
          <w:rFonts w:ascii="Verdana" w:hAnsi="Verdana"/>
          <w:sz w:val="20"/>
          <w:szCs w:val="20"/>
          <w:lang w:eastAsia="en-NZ"/>
        </w:rPr>
        <w:t xml:space="preserve"> (see definition below).</w:t>
      </w:r>
    </w:p>
    <w:tbl>
      <w:tblPr>
        <w:tblStyle w:val="TableGrid"/>
        <w:tblW w:w="0" w:type="auto"/>
        <w:tblInd w:w="137" w:type="dxa"/>
        <w:tblCellMar>
          <w:top w:w="284" w:type="dxa"/>
          <w:left w:w="284" w:type="dxa"/>
          <w:bottom w:w="284" w:type="dxa"/>
          <w:right w:w="284" w:type="dxa"/>
        </w:tblCellMar>
        <w:tblLook w:val="04A0" w:firstRow="1" w:lastRow="0" w:firstColumn="1" w:lastColumn="0" w:noHBand="0" w:noVBand="1"/>
      </w:tblPr>
      <w:tblGrid>
        <w:gridCol w:w="9207"/>
      </w:tblGrid>
      <w:tr w:rsidR="0081169A" w:rsidRPr="00027FFA" w14:paraId="00FDC8D4" w14:textId="77777777" w:rsidTr="00412C01">
        <w:trPr>
          <w:trHeight w:val="6144"/>
        </w:trPr>
        <w:tc>
          <w:tcPr>
            <w:tcW w:w="9207" w:type="dxa"/>
            <w:shd w:val="clear" w:color="auto" w:fill="F2F2F2" w:themeFill="background1" w:themeFillShade="F2"/>
          </w:tcPr>
          <w:p w14:paraId="25ACFEDC" w14:textId="77777777" w:rsidR="0081169A" w:rsidRPr="00872585" w:rsidRDefault="0081169A" w:rsidP="003662FC">
            <w:pPr>
              <w:keepNext/>
              <w:spacing w:after="240" w:line="240" w:lineRule="auto"/>
              <w:ind w:right="-45"/>
              <w:textAlignment w:val="baseline"/>
              <w:rPr>
                <w:rFonts w:ascii="Verdana" w:eastAsia="Arial" w:hAnsi="Verdana" w:cs="Arial"/>
                <w:sz w:val="20"/>
                <w:szCs w:val="20"/>
              </w:rPr>
            </w:pPr>
            <w:r w:rsidRPr="00872585">
              <w:rPr>
                <w:rFonts w:ascii="Verdana" w:eastAsia="Arial" w:hAnsi="Verdana" w:cs="Arial"/>
                <w:b/>
                <w:sz w:val="20"/>
                <w:szCs w:val="20"/>
              </w:rPr>
              <w:t xml:space="preserve">Services </w:t>
            </w:r>
            <w:r w:rsidRPr="00872585">
              <w:rPr>
                <w:rFonts w:ascii="Verdana" w:eastAsia="Arial" w:hAnsi="Verdana" w:cs="Arial"/>
                <w:sz w:val="20"/>
                <w:szCs w:val="20"/>
              </w:rPr>
              <w:t>means:</w:t>
            </w:r>
          </w:p>
          <w:p w14:paraId="78B9FC09" w14:textId="77777777" w:rsidR="0081169A" w:rsidRPr="00872585" w:rsidRDefault="0081169A" w:rsidP="003662FC">
            <w:pPr>
              <w:pStyle w:val="ListParagraph"/>
              <w:numPr>
                <w:ilvl w:val="0"/>
                <w:numId w:val="25"/>
              </w:numPr>
              <w:spacing w:after="240" w:line="240" w:lineRule="auto"/>
              <w:ind w:right="-46"/>
              <w:contextualSpacing w:val="0"/>
              <w:textAlignment w:val="baseline"/>
              <w:rPr>
                <w:rFonts w:ascii="Verdana" w:eastAsia="Arial" w:hAnsi="Verdana" w:cs="Arial"/>
                <w:sz w:val="20"/>
                <w:szCs w:val="20"/>
              </w:rPr>
            </w:pPr>
            <w:r w:rsidRPr="00872585">
              <w:rPr>
                <w:rFonts w:ascii="Verdana" w:eastAsia="Arial" w:hAnsi="Verdana" w:cs="Arial"/>
                <w:sz w:val="20"/>
                <w:szCs w:val="20"/>
              </w:rPr>
              <w:t>Mental health and addiction support services;</w:t>
            </w:r>
          </w:p>
          <w:p w14:paraId="1206D55E" w14:textId="77777777" w:rsidR="0081169A" w:rsidRPr="00872585" w:rsidRDefault="0081169A" w:rsidP="003662FC">
            <w:pPr>
              <w:pStyle w:val="ListParagraph"/>
              <w:numPr>
                <w:ilvl w:val="0"/>
                <w:numId w:val="25"/>
              </w:numPr>
              <w:spacing w:after="240" w:line="240" w:lineRule="auto"/>
              <w:ind w:right="-46"/>
              <w:contextualSpacing w:val="0"/>
              <w:textAlignment w:val="baseline"/>
              <w:rPr>
                <w:rFonts w:ascii="Verdana" w:eastAsia="Arial" w:hAnsi="Verdana" w:cs="Arial"/>
                <w:sz w:val="20"/>
                <w:szCs w:val="20"/>
              </w:rPr>
            </w:pPr>
            <w:r w:rsidRPr="00872585">
              <w:rPr>
                <w:rFonts w:ascii="Verdana" w:eastAsia="Arial" w:hAnsi="Verdana" w:cs="Arial"/>
                <w:sz w:val="20"/>
                <w:szCs w:val="20"/>
              </w:rPr>
              <w:t xml:space="preserve">Does not include: </w:t>
            </w:r>
          </w:p>
          <w:p w14:paraId="2B34206F" w14:textId="77777777" w:rsidR="0081169A" w:rsidRPr="00872585" w:rsidRDefault="0081169A" w:rsidP="00872585">
            <w:pPr>
              <w:numPr>
                <w:ilvl w:val="0"/>
                <w:numId w:val="26"/>
              </w:numPr>
              <w:spacing w:line="240" w:lineRule="auto"/>
              <w:ind w:left="1407" w:right="-46" w:hanging="709"/>
              <w:textAlignment w:val="baseline"/>
              <w:rPr>
                <w:rFonts w:ascii="Verdana" w:eastAsia="Arial" w:hAnsi="Verdana" w:cs="Arial"/>
                <w:sz w:val="20"/>
                <w:szCs w:val="20"/>
              </w:rPr>
            </w:pPr>
            <w:r w:rsidRPr="00872585">
              <w:rPr>
                <w:rFonts w:ascii="Verdana" w:eastAsia="Arial" w:hAnsi="Verdana" w:cs="Arial"/>
                <w:sz w:val="20"/>
                <w:szCs w:val="20"/>
              </w:rPr>
              <w:t>other services;</w:t>
            </w:r>
          </w:p>
          <w:p w14:paraId="09CD1F64" w14:textId="77777777" w:rsidR="0081169A" w:rsidRPr="00872585" w:rsidRDefault="0081169A" w:rsidP="00872585">
            <w:pPr>
              <w:numPr>
                <w:ilvl w:val="0"/>
                <w:numId w:val="26"/>
              </w:numPr>
              <w:spacing w:line="240" w:lineRule="auto"/>
              <w:ind w:left="1407" w:right="-46" w:hanging="709"/>
              <w:textAlignment w:val="baseline"/>
              <w:rPr>
                <w:rFonts w:ascii="Verdana" w:eastAsia="Arial" w:hAnsi="Verdana" w:cs="Arial"/>
                <w:sz w:val="20"/>
                <w:szCs w:val="20"/>
              </w:rPr>
            </w:pPr>
            <w:r w:rsidRPr="00872585">
              <w:rPr>
                <w:rFonts w:ascii="Verdana" w:eastAsia="Arial" w:hAnsi="Verdana" w:cs="Arial"/>
                <w:sz w:val="20"/>
                <w:szCs w:val="20"/>
              </w:rPr>
              <w:t>services provided directly by Employees of DHBs under a Crown Funding Agreement;</w:t>
            </w:r>
          </w:p>
          <w:p w14:paraId="1D39E35F" w14:textId="6EB67C86" w:rsidR="0081169A" w:rsidRPr="00872585" w:rsidRDefault="0081169A" w:rsidP="00872585">
            <w:pPr>
              <w:numPr>
                <w:ilvl w:val="0"/>
                <w:numId w:val="26"/>
              </w:numPr>
              <w:spacing w:line="240" w:lineRule="auto"/>
              <w:ind w:left="1407" w:right="-46" w:hanging="709"/>
              <w:textAlignment w:val="baseline"/>
              <w:rPr>
                <w:rFonts w:ascii="Verdana" w:hAnsi="Verdana" w:cs="Arial"/>
                <w:sz w:val="20"/>
                <w:szCs w:val="20"/>
              </w:rPr>
            </w:pPr>
            <w:proofErr w:type="gramStart"/>
            <w:r w:rsidRPr="00872585">
              <w:rPr>
                <w:rFonts w:ascii="Verdana" w:eastAsia="Arial" w:hAnsi="Verdana" w:cs="Arial"/>
                <w:sz w:val="20"/>
                <w:szCs w:val="20"/>
              </w:rPr>
              <w:t>private</w:t>
            </w:r>
            <w:proofErr w:type="gramEnd"/>
            <w:r w:rsidRPr="00872585">
              <w:rPr>
                <w:rFonts w:ascii="Verdana" w:eastAsia="Arial" w:hAnsi="Verdana" w:cs="Arial"/>
                <w:sz w:val="20"/>
                <w:szCs w:val="20"/>
              </w:rPr>
              <w:t xml:space="preserve"> services to a client, by a person whether or not they are performing those services as an Employee.</w:t>
            </w:r>
          </w:p>
          <w:p w14:paraId="69D41CD5" w14:textId="77777777" w:rsidR="00872585" w:rsidRPr="00872585" w:rsidRDefault="00872585" w:rsidP="00872585">
            <w:pPr>
              <w:tabs>
                <w:tab w:val="left" w:pos="1440"/>
              </w:tabs>
              <w:spacing w:line="240" w:lineRule="auto"/>
              <w:ind w:right="-46"/>
              <w:textAlignment w:val="baseline"/>
              <w:rPr>
                <w:rFonts w:ascii="Verdana" w:hAnsi="Verdana" w:cs="Arial"/>
                <w:sz w:val="20"/>
                <w:szCs w:val="20"/>
              </w:rPr>
            </w:pPr>
          </w:p>
          <w:p w14:paraId="50D47526" w14:textId="096316D6" w:rsidR="0081169A" w:rsidRPr="00872585" w:rsidRDefault="0081169A" w:rsidP="003662FC">
            <w:pPr>
              <w:spacing w:after="240" w:line="240" w:lineRule="auto"/>
              <w:ind w:right="-46"/>
              <w:textAlignment w:val="baseline"/>
              <w:rPr>
                <w:rFonts w:ascii="Verdana" w:eastAsia="Arial" w:hAnsi="Verdana" w:cs="Arial"/>
                <w:b/>
                <w:sz w:val="20"/>
                <w:szCs w:val="20"/>
              </w:rPr>
            </w:pPr>
            <w:r w:rsidRPr="00872585">
              <w:rPr>
                <w:rFonts w:ascii="Verdana" w:eastAsia="Arial" w:hAnsi="Verdana" w:cs="Arial"/>
                <w:b/>
                <w:sz w:val="20"/>
                <w:szCs w:val="20"/>
              </w:rPr>
              <w:t xml:space="preserve">Mental health and addiction support services </w:t>
            </w:r>
            <w:r w:rsidRPr="00872585">
              <w:rPr>
                <w:rFonts w:ascii="Verdana" w:eastAsia="Arial" w:hAnsi="Verdana" w:cs="Arial"/>
                <w:sz w:val="20"/>
                <w:szCs w:val="20"/>
              </w:rPr>
              <w:t xml:space="preserve">means </w:t>
            </w:r>
            <w:r w:rsidRPr="00872585">
              <w:rPr>
                <w:rFonts w:ascii="Verdana" w:hAnsi="Verdana" w:cs="Arial"/>
                <w:sz w:val="20"/>
                <w:szCs w:val="20"/>
              </w:rPr>
              <w:t>services funded under a funding agreement that are performed in a person’s home, or home-like setting or workplace, or in a provider or Employer facility or in a community facility for the purpose of</w:t>
            </w:r>
            <w:r w:rsidR="00872585">
              <w:rPr>
                <w:rFonts w:ascii="Verdana" w:hAnsi="Verdana" w:cs="Arial"/>
                <w:sz w:val="20"/>
                <w:szCs w:val="20"/>
              </w:rPr>
              <w:t xml:space="preserve"> </w:t>
            </w:r>
            <w:r w:rsidRPr="00872585">
              <w:rPr>
                <w:rFonts w:ascii="Verdana" w:hAnsi="Verdana" w:cs="Arial"/>
                <w:sz w:val="20"/>
                <w:szCs w:val="20"/>
              </w:rPr>
              <w:t>—</w:t>
            </w:r>
          </w:p>
          <w:p w14:paraId="019F1125" w14:textId="77777777" w:rsidR="0081169A" w:rsidRPr="00872585" w:rsidRDefault="0081169A" w:rsidP="003662FC">
            <w:pPr>
              <w:pStyle w:val="ListParagraph"/>
              <w:numPr>
                <w:ilvl w:val="0"/>
                <w:numId w:val="27"/>
              </w:numPr>
              <w:spacing w:after="240" w:line="240" w:lineRule="auto"/>
              <w:ind w:left="698" w:right="-46" w:hanging="698"/>
              <w:contextualSpacing w:val="0"/>
              <w:textAlignment w:val="baseline"/>
              <w:rPr>
                <w:rFonts w:ascii="Verdana" w:hAnsi="Verdana" w:cs="Arial"/>
                <w:sz w:val="20"/>
                <w:szCs w:val="20"/>
              </w:rPr>
            </w:pPr>
            <w:r w:rsidRPr="00872585">
              <w:rPr>
                <w:rFonts w:ascii="Verdana" w:hAnsi="Verdana" w:cs="Arial"/>
                <w:sz w:val="20"/>
                <w:szCs w:val="20"/>
              </w:rPr>
              <w:t>assisting a person who has a mental health or addiction need to achieve their goals to:</w:t>
            </w:r>
          </w:p>
          <w:p w14:paraId="4E615FDA" w14:textId="77777777" w:rsidR="0081169A" w:rsidRPr="00872585" w:rsidRDefault="0081169A" w:rsidP="00872585">
            <w:pPr>
              <w:numPr>
                <w:ilvl w:val="0"/>
                <w:numId w:val="28"/>
              </w:numPr>
              <w:tabs>
                <w:tab w:val="clear" w:pos="1440"/>
              </w:tabs>
              <w:spacing w:line="240" w:lineRule="auto"/>
              <w:ind w:left="1406" w:right="-45" w:hanging="709"/>
              <w:textAlignment w:val="baseline"/>
              <w:rPr>
                <w:rFonts w:ascii="Verdana" w:eastAsia="Arial" w:hAnsi="Verdana" w:cs="Arial"/>
                <w:sz w:val="20"/>
                <w:szCs w:val="20"/>
              </w:rPr>
            </w:pPr>
            <w:r w:rsidRPr="00872585">
              <w:rPr>
                <w:rFonts w:ascii="Verdana" w:eastAsia="Arial" w:hAnsi="Verdana" w:cs="Arial"/>
                <w:sz w:val="20"/>
                <w:szCs w:val="20"/>
              </w:rPr>
              <w:t>continue to live in the person’s home or in the community (such as personal care and household management services); or</w:t>
            </w:r>
          </w:p>
          <w:p w14:paraId="08A71CDF" w14:textId="77777777" w:rsidR="0081169A" w:rsidRPr="00872585" w:rsidRDefault="0081169A" w:rsidP="00872585">
            <w:pPr>
              <w:numPr>
                <w:ilvl w:val="0"/>
                <w:numId w:val="28"/>
              </w:numPr>
              <w:tabs>
                <w:tab w:val="clear" w:pos="1440"/>
              </w:tabs>
              <w:spacing w:line="240" w:lineRule="auto"/>
              <w:ind w:left="1406" w:right="-45" w:hanging="709"/>
              <w:textAlignment w:val="baseline"/>
              <w:rPr>
                <w:rFonts w:ascii="Verdana" w:eastAsia="Arial" w:hAnsi="Verdana" w:cs="Arial"/>
                <w:sz w:val="20"/>
                <w:szCs w:val="20"/>
              </w:rPr>
            </w:pPr>
            <w:r w:rsidRPr="00872585">
              <w:rPr>
                <w:rFonts w:ascii="Verdana" w:eastAsia="Arial" w:hAnsi="Verdana" w:cs="Arial"/>
                <w:sz w:val="20"/>
                <w:szCs w:val="20"/>
              </w:rPr>
              <w:t>work in the community; or</w:t>
            </w:r>
          </w:p>
          <w:p w14:paraId="0E0B3A75" w14:textId="77777777" w:rsidR="0081169A" w:rsidRPr="00872585" w:rsidRDefault="0081169A" w:rsidP="00872585">
            <w:pPr>
              <w:numPr>
                <w:ilvl w:val="0"/>
                <w:numId w:val="28"/>
              </w:numPr>
              <w:tabs>
                <w:tab w:val="clear" w:pos="1440"/>
              </w:tabs>
              <w:spacing w:line="240" w:lineRule="auto"/>
              <w:ind w:left="1406" w:right="-45" w:hanging="709"/>
              <w:textAlignment w:val="baseline"/>
              <w:rPr>
                <w:rFonts w:ascii="Verdana" w:eastAsia="Arial" w:hAnsi="Verdana" w:cs="Arial"/>
                <w:sz w:val="20"/>
                <w:szCs w:val="20"/>
              </w:rPr>
            </w:pPr>
            <w:r w:rsidRPr="00872585">
              <w:rPr>
                <w:rFonts w:ascii="Verdana" w:eastAsia="Arial" w:hAnsi="Verdana" w:cs="Arial"/>
                <w:sz w:val="20"/>
                <w:szCs w:val="20"/>
              </w:rPr>
              <w:t xml:space="preserve">participate in activities in their communities of interest to them; or </w:t>
            </w:r>
          </w:p>
          <w:p w14:paraId="5FCE4AC2" w14:textId="77777777" w:rsidR="0081169A" w:rsidRPr="00872585" w:rsidRDefault="0081169A" w:rsidP="00872585">
            <w:pPr>
              <w:numPr>
                <w:ilvl w:val="0"/>
                <w:numId w:val="28"/>
              </w:numPr>
              <w:tabs>
                <w:tab w:val="clear" w:pos="1440"/>
              </w:tabs>
              <w:spacing w:line="240" w:lineRule="auto"/>
              <w:ind w:left="1406" w:right="-45" w:hanging="709"/>
              <w:textAlignment w:val="baseline"/>
              <w:rPr>
                <w:rFonts w:ascii="Verdana" w:eastAsia="Arial" w:hAnsi="Verdana" w:cs="Arial"/>
                <w:sz w:val="20"/>
                <w:szCs w:val="20"/>
              </w:rPr>
            </w:pPr>
            <w:r w:rsidRPr="00872585">
              <w:rPr>
                <w:rFonts w:ascii="Verdana" w:eastAsia="Arial" w:hAnsi="Verdana" w:cs="Arial"/>
                <w:sz w:val="20"/>
                <w:szCs w:val="20"/>
              </w:rPr>
              <w:t>contribute to their communities in ways valued by them and their communities; or</w:t>
            </w:r>
          </w:p>
          <w:p w14:paraId="0816CD6C" w14:textId="77777777" w:rsidR="0081169A" w:rsidRPr="00872585" w:rsidRDefault="0081169A" w:rsidP="00872585">
            <w:pPr>
              <w:numPr>
                <w:ilvl w:val="0"/>
                <w:numId w:val="28"/>
              </w:numPr>
              <w:tabs>
                <w:tab w:val="clear" w:pos="1440"/>
              </w:tabs>
              <w:spacing w:line="240" w:lineRule="auto"/>
              <w:ind w:left="1406" w:right="-45" w:hanging="709"/>
              <w:textAlignment w:val="baseline"/>
              <w:rPr>
                <w:rFonts w:ascii="Verdana" w:eastAsia="Arial" w:hAnsi="Verdana" w:cs="Arial"/>
                <w:sz w:val="20"/>
                <w:szCs w:val="20"/>
              </w:rPr>
            </w:pPr>
            <w:r w:rsidRPr="00872585">
              <w:rPr>
                <w:rFonts w:ascii="Verdana" w:eastAsia="Arial" w:hAnsi="Verdana" w:cs="Arial"/>
                <w:sz w:val="20"/>
                <w:szCs w:val="20"/>
              </w:rPr>
              <w:t>learn new skills to help them manage their lives and overall well-being, and to participate and work in their communities; or</w:t>
            </w:r>
          </w:p>
          <w:p w14:paraId="6DD34CA6" w14:textId="77777777" w:rsidR="0081169A" w:rsidRPr="00872585" w:rsidRDefault="0081169A" w:rsidP="00872585">
            <w:pPr>
              <w:numPr>
                <w:ilvl w:val="0"/>
                <w:numId w:val="28"/>
              </w:numPr>
              <w:tabs>
                <w:tab w:val="clear" w:pos="1440"/>
              </w:tabs>
              <w:spacing w:line="240" w:lineRule="auto"/>
              <w:ind w:left="1407" w:right="-46" w:hanging="709"/>
              <w:textAlignment w:val="baseline"/>
              <w:rPr>
                <w:rFonts w:ascii="Verdana" w:hAnsi="Verdana" w:cs="Arial"/>
                <w:sz w:val="20"/>
                <w:szCs w:val="20"/>
              </w:rPr>
            </w:pPr>
            <w:r w:rsidRPr="00872585">
              <w:rPr>
                <w:rFonts w:ascii="Verdana" w:eastAsia="Arial" w:hAnsi="Verdana" w:cs="Arial"/>
                <w:sz w:val="20"/>
                <w:szCs w:val="20"/>
              </w:rPr>
              <w:t>maintain</w:t>
            </w:r>
            <w:r w:rsidRPr="00872585">
              <w:rPr>
                <w:rFonts w:ascii="Verdana" w:hAnsi="Verdana" w:cs="Arial"/>
                <w:sz w:val="20"/>
                <w:szCs w:val="20"/>
              </w:rPr>
              <w:t xml:space="preserve"> and develop social and support networks</w:t>
            </w:r>
          </w:p>
          <w:p w14:paraId="07927576" w14:textId="77777777" w:rsidR="00872585" w:rsidRPr="00872585" w:rsidRDefault="00872585" w:rsidP="00872585">
            <w:pPr>
              <w:tabs>
                <w:tab w:val="left" w:pos="1440"/>
              </w:tabs>
              <w:spacing w:line="240" w:lineRule="auto"/>
              <w:ind w:right="-46"/>
              <w:textAlignment w:val="baseline"/>
              <w:rPr>
                <w:rFonts w:ascii="Verdana" w:hAnsi="Verdana" w:cs="Arial"/>
                <w:sz w:val="20"/>
                <w:szCs w:val="20"/>
              </w:rPr>
            </w:pPr>
          </w:p>
          <w:p w14:paraId="5E3060C8" w14:textId="6E043C58" w:rsidR="0081169A" w:rsidRPr="00872585" w:rsidRDefault="0081169A" w:rsidP="003662FC">
            <w:pPr>
              <w:pStyle w:val="ListParagraph"/>
              <w:numPr>
                <w:ilvl w:val="0"/>
                <w:numId w:val="27"/>
              </w:numPr>
              <w:spacing w:after="240" w:line="240" w:lineRule="auto"/>
              <w:ind w:left="698" w:right="-46" w:hanging="698"/>
              <w:contextualSpacing w:val="0"/>
              <w:textAlignment w:val="baseline"/>
              <w:rPr>
                <w:rFonts w:ascii="Verdana" w:hAnsi="Verdana" w:cs="Arial"/>
                <w:sz w:val="20"/>
                <w:szCs w:val="20"/>
              </w:rPr>
            </w:pPr>
            <w:r w:rsidRPr="00872585">
              <w:rPr>
                <w:rFonts w:ascii="Verdana" w:hAnsi="Verdana" w:cs="Arial"/>
                <w:sz w:val="20"/>
                <w:szCs w:val="20"/>
              </w:rPr>
              <w:t xml:space="preserve">supporting a person’s rehabilitation from a mental injury covered by the </w:t>
            </w:r>
            <w:hyperlink r:id="rId10" w:anchor="DLM99493" w:history="1">
              <w:r w:rsidRPr="00872585">
                <w:rPr>
                  <w:rFonts w:ascii="Verdana" w:hAnsi="Verdana" w:cs="Arial"/>
                  <w:sz w:val="20"/>
                  <w:szCs w:val="20"/>
                </w:rPr>
                <w:t>Accident Compensation Act 2001</w:t>
              </w:r>
            </w:hyperlink>
            <w:r w:rsidRPr="00872585">
              <w:rPr>
                <w:rFonts w:ascii="Verdana" w:hAnsi="Verdana" w:cs="Arial"/>
                <w:sz w:val="20"/>
                <w:szCs w:val="20"/>
              </w:rPr>
              <w:t xml:space="preserve"> and to achieve and sustain the person’s maximum level of</w:t>
            </w:r>
            <w:r w:rsidR="00751902">
              <w:rPr>
                <w:rFonts w:ascii="Verdana" w:hAnsi="Verdana" w:cs="Arial"/>
                <w:sz w:val="20"/>
                <w:szCs w:val="20"/>
              </w:rPr>
              <w:t xml:space="preserve"> participation in everyday life</w:t>
            </w:r>
          </w:p>
        </w:tc>
      </w:tr>
    </w:tbl>
    <w:p w14:paraId="6F85B901" w14:textId="6EA6778D" w:rsidR="00751902" w:rsidRDefault="00751902" w:rsidP="003662FC">
      <w:pPr>
        <w:autoSpaceDE w:val="0"/>
        <w:autoSpaceDN w:val="0"/>
        <w:adjustRightInd w:val="0"/>
        <w:spacing w:line="240" w:lineRule="auto"/>
        <w:rPr>
          <w:rFonts w:ascii="Verdana" w:hAnsi="Verdana"/>
          <w:sz w:val="20"/>
          <w:szCs w:val="20"/>
          <w:lang w:eastAsia="en-NZ"/>
        </w:rPr>
      </w:pPr>
    </w:p>
    <w:p w14:paraId="0345568C" w14:textId="77777777" w:rsidR="00751902" w:rsidRDefault="00751902">
      <w:pPr>
        <w:spacing w:line="240" w:lineRule="auto"/>
        <w:rPr>
          <w:rFonts w:ascii="Verdana" w:hAnsi="Verdana"/>
          <w:sz w:val="20"/>
          <w:szCs w:val="20"/>
          <w:lang w:eastAsia="en-NZ"/>
        </w:rPr>
      </w:pPr>
      <w:r>
        <w:rPr>
          <w:rFonts w:ascii="Verdana" w:hAnsi="Verdana"/>
          <w:sz w:val="20"/>
          <w:szCs w:val="20"/>
          <w:lang w:eastAsia="en-NZ"/>
        </w:rPr>
        <w:br w:type="page"/>
      </w:r>
    </w:p>
    <w:p w14:paraId="78175801" w14:textId="77777777" w:rsidR="0081169A" w:rsidRPr="00027FFA" w:rsidRDefault="0081169A" w:rsidP="003662FC">
      <w:pPr>
        <w:pStyle w:val="ListParagraph"/>
        <w:numPr>
          <w:ilvl w:val="0"/>
          <w:numId w:val="23"/>
        </w:numPr>
        <w:autoSpaceDE w:val="0"/>
        <w:autoSpaceDN w:val="0"/>
        <w:adjustRightInd w:val="0"/>
        <w:spacing w:line="240" w:lineRule="auto"/>
        <w:ind w:left="357" w:hanging="357"/>
        <w:rPr>
          <w:rFonts w:ascii="Verdana" w:hAnsi="Verdana"/>
          <w:sz w:val="20"/>
          <w:szCs w:val="20"/>
          <w:lang w:eastAsia="en-NZ"/>
        </w:rPr>
      </w:pPr>
      <w:r w:rsidRPr="00027FFA">
        <w:rPr>
          <w:rFonts w:ascii="Verdana" w:hAnsi="Verdana"/>
          <w:b/>
          <w:sz w:val="20"/>
          <w:szCs w:val="20"/>
          <w:lang w:eastAsia="en-NZ"/>
        </w:rPr>
        <w:lastRenderedPageBreak/>
        <w:t>Determine whether the employee is within scope of the proposed settlement agreement</w:t>
      </w:r>
      <w:r w:rsidRPr="00027FFA">
        <w:rPr>
          <w:rFonts w:ascii="Verdana" w:hAnsi="Verdana"/>
          <w:sz w:val="20"/>
          <w:szCs w:val="20"/>
          <w:lang w:eastAsia="en-NZ"/>
        </w:rPr>
        <w:t xml:space="preserve"> (see definition below). </w:t>
      </w:r>
      <w:r w:rsidRPr="00027FFA">
        <w:rPr>
          <w:rFonts w:ascii="Verdana" w:hAnsi="Verdana"/>
          <w:sz w:val="20"/>
          <w:szCs w:val="20"/>
          <w:lang w:eastAsia="en-NZ"/>
        </w:rPr>
        <w:br/>
      </w:r>
    </w:p>
    <w:tbl>
      <w:tblPr>
        <w:tblStyle w:val="TableGrid"/>
        <w:tblW w:w="0" w:type="auto"/>
        <w:tblInd w:w="137" w:type="dxa"/>
        <w:tblCellMar>
          <w:top w:w="284" w:type="dxa"/>
          <w:left w:w="284" w:type="dxa"/>
          <w:bottom w:w="284" w:type="dxa"/>
          <w:right w:w="284" w:type="dxa"/>
        </w:tblCellMar>
        <w:tblLook w:val="04A0" w:firstRow="1" w:lastRow="0" w:firstColumn="1" w:lastColumn="0" w:noHBand="0" w:noVBand="1"/>
      </w:tblPr>
      <w:tblGrid>
        <w:gridCol w:w="9207"/>
      </w:tblGrid>
      <w:tr w:rsidR="0081169A" w:rsidRPr="00027FFA" w14:paraId="737E448D" w14:textId="77777777" w:rsidTr="00412C01">
        <w:tc>
          <w:tcPr>
            <w:tcW w:w="9207" w:type="dxa"/>
            <w:shd w:val="clear" w:color="auto" w:fill="F2F2F2" w:themeFill="background1" w:themeFillShade="F2"/>
          </w:tcPr>
          <w:p w14:paraId="32981187" w14:textId="77777777" w:rsidR="0081169A" w:rsidRPr="00027FFA" w:rsidRDefault="0081169A" w:rsidP="003662FC">
            <w:pPr>
              <w:keepNext/>
              <w:spacing w:line="240" w:lineRule="auto"/>
              <w:ind w:right="-45"/>
              <w:textAlignment w:val="baseline"/>
              <w:rPr>
                <w:rFonts w:ascii="Verdana" w:eastAsia="Arial" w:hAnsi="Verdana" w:cs="Arial"/>
                <w:b/>
                <w:sz w:val="20"/>
                <w:szCs w:val="20"/>
              </w:rPr>
            </w:pPr>
            <w:r w:rsidRPr="00027FFA">
              <w:rPr>
                <w:rFonts w:ascii="Verdana" w:eastAsia="Arial" w:hAnsi="Verdana" w:cs="Arial"/>
                <w:b/>
                <w:sz w:val="20"/>
                <w:szCs w:val="20"/>
              </w:rPr>
              <w:t xml:space="preserve">Employee — </w:t>
            </w:r>
          </w:p>
          <w:p w14:paraId="0EE548EE" w14:textId="77777777" w:rsidR="0081169A" w:rsidRPr="00027FFA" w:rsidRDefault="0081169A" w:rsidP="00872585">
            <w:pPr>
              <w:pStyle w:val="ListParagraph"/>
              <w:keepNext/>
              <w:numPr>
                <w:ilvl w:val="0"/>
                <w:numId w:val="24"/>
              </w:numPr>
              <w:spacing w:before="240" w:after="240" w:line="240" w:lineRule="auto"/>
              <w:ind w:right="-45"/>
              <w:contextualSpacing w:val="0"/>
              <w:textAlignment w:val="baseline"/>
              <w:rPr>
                <w:rFonts w:ascii="Verdana" w:eastAsia="Arial" w:hAnsi="Verdana" w:cs="Arial"/>
                <w:sz w:val="20"/>
                <w:szCs w:val="20"/>
              </w:rPr>
            </w:pPr>
            <w:r w:rsidRPr="00027FFA">
              <w:rPr>
                <w:rFonts w:ascii="Verdana" w:eastAsia="Arial" w:hAnsi="Verdana" w:cs="Arial"/>
                <w:sz w:val="20"/>
                <w:szCs w:val="20"/>
              </w:rPr>
              <w:t>means a mental health and addiction support worker, employed by an Employer who performs</w:t>
            </w:r>
            <w:r w:rsidRPr="00027FFA">
              <w:rPr>
                <w:rFonts w:ascii="Verdana" w:eastAsia="Arial" w:hAnsi="Verdana"/>
                <w:sz w:val="20"/>
                <w:szCs w:val="20"/>
              </w:rPr>
              <w:t xml:space="preserve"> </w:t>
            </w:r>
            <w:r w:rsidRPr="00027FFA">
              <w:rPr>
                <w:rFonts w:ascii="Verdana" w:eastAsia="Arial" w:hAnsi="Verdana" w:cs="Arial"/>
                <w:sz w:val="20"/>
                <w:szCs w:val="20"/>
              </w:rPr>
              <w:t>the Services;</w:t>
            </w:r>
          </w:p>
          <w:p w14:paraId="0D2B809F" w14:textId="77777777" w:rsidR="0081169A" w:rsidRPr="00027FFA" w:rsidRDefault="0081169A" w:rsidP="00872585">
            <w:pPr>
              <w:pStyle w:val="ListParagraph"/>
              <w:numPr>
                <w:ilvl w:val="0"/>
                <w:numId w:val="24"/>
              </w:numPr>
              <w:spacing w:before="240" w:after="240" w:line="240" w:lineRule="auto"/>
              <w:ind w:right="-46"/>
              <w:contextualSpacing w:val="0"/>
              <w:textAlignment w:val="baseline"/>
              <w:rPr>
                <w:rFonts w:ascii="Verdana" w:eastAsia="Arial" w:hAnsi="Verdana" w:cs="Arial"/>
                <w:sz w:val="20"/>
                <w:szCs w:val="20"/>
              </w:rPr>
            </w:pPr>
            <w:r w:rsidRPr="00027FFA">
              <w:rPr>
                <w:rFonts w:ascii="Verdana" w:eastAsia="Arial" w:hAnsi="Verdana" w:cs="Arial"/>
                <w:sz w:val="20"/>
                <w:szCs w:val="20"/>
              </w:rPr>
              <w:t>includes any person who has been employed by an Employer as an Employee who has, between the Application date and the day before Settlement Date:</w:t>
            </w:r>
          </w:p>
          <w:p w14:paraId="58F2030A" w14:textId="77777777" w:rsidR="0081169A" w:rsidRPr="00027FFA" w:rsidRDefault="0081169A" w:rsidP="00872585">
            <w:pPr>
              <w:numPr>
                <w:ilvl w:val="0"/>
                <w:numId w:val="29"/>
              </w:numPr>
              <w:tabs>
                <w:tab w:val="left" w:pos="1440"/>
              </w:tabs>
              <w:spacing w:line="240" w:lineRule="auto"/>
              <w:ind w:left="851" w:right="-45" w:hanging="567"/>
              <w:textAlignment w:val="baseline"/>
              <w:rPr>
                <w:rFonts w:ascii="Verdana" w:eastAsia="Arial" w:hAnsi="Verdana" w:cs="Arial"/>
                <w:sz w:val="20"/>
                <w:szCs w:val="20"/>
              </w:rPr>
            </w:pPr>
            <w:r w:rsidRPr="00027FFA">
              <w:rPr>
                <w:rFonts w:ascii="Verdana" w:eastAsia="Arial" w:hAnsi="Verdana" w:cs="Arial"/>
                <w:sz w:val="20"/>
                <w:szCs w:val="20"/>
              </w:rPr>
              <w:t>exited their employment with an Employer and exited the sector;</w:t>
            </w:r>
          </w:p>
          <w:p w14:paraId="576B8813" w14:textId="77777777" w:rsidR="0081169A" w:rsidRPr="00027FFA" w:rsidRDefault="0081169A" w:rsidP="00872585">
            <w:pPr>
              <w:numPr>
                <w:ilvl w:val="0"/>
                <w:numId w:val="29"/>
              </w:numPr>
              <w:tabs>
                <w:tab w:val="left" w:pos="1440"/>
              </w:tabs>
              <w:spacing w:line="240" w:lineRule="auto"/>
              <w:ind w:left="851" w:right="-45" w:hanging="567"/>
              <w:textAlignment w:val="baseline"/>
              <w:rPr>
                <w:rFonts w:ascii="Verdana" w:eastAsia="Arial" w:hAnsi="Verdana" w:cs="Arial"/>
                <w:sz w:val="20"/>
                <w:szCs w:val="20"/>
              </w:rPr>
            </w:pPr>
            <w:r w:rsidRPr="00027FFA">
              <w:rPr>
                <w:rFonts w:ascii="Verdana" w:eastAsia="Arial" w:hAnsi="Verdana" w:cs="Arial"/>
                <w:sz w:val="20"/>
                <w:szCs w:val="20"/>
              </w:rPr>
              <w:t>transferred to another Employer and is performing the Services;</w:t>
            </w:r>
          </w:p>
          <w:p w14:paraId="53501AE4" w14:textId="77777777" w:rsidR="0081169A" w:rsidRPr="00027FFA" w:rsidRDefault="0081169A" w:rsidP="00872585">
            <w:pPr>
              <w:numPr>
                <w:ilvl w:val="0"/>
                <w:numId w:val="29"/>
              </w:numPr>
              <w:tabs>
                <w:tab w:val="left" w:pos="1440"/>
              </w:tabs>
              <w:spacing w:line="240" w:lineRule="auto"/>
              <w:ind w:left="851" w:right="-45" w:hanging="567"/>
              <w:textAlignment w:val="baseline"/>
              <w:rPr>
                <w:rFonts w:ascii="Verdana" w:eastAsia="Arial" w:hAnsi="Verdana" w:cs="Arial"/>
                <w:sz w:val="20"/>
                <w:szCs w:val="20"/>
              </w:rPr>
            </w:pPr>
            <w:r w:rsidRPr="00027FFA">
              <w:rPr>
                <w:rFonts w:ascii="Verdana" w:eastAsia="Arial" w:hAnsi="Verdana" w:cs="Arial"/>
                <w:sz w:val="20"/>
                <w:szCs w:val="20"/>
              </w:rPr>
              <w:t>transferred to another Employer as defined in the 2017 Settlement Agreement;</w:t>
            </w:r>
          </w:p>
          <w:p w14:paraId="43247C70" w14:textId="77777777" w:rsidR="0081169A" w:rsidRPr="00027FFA" w:rsidRDefault="0081169A" w:rsidP="00872585">
            <w:pPr>
              <w:numPr>
                <w:ilvl w:val="0"/>
                <w:numId w:val="29"/>
              </w:numPr>
              <w:tabs>
                <w:tab w:val="left" w:pos="1440"/>
              </w:tabs>
              <w:spacing w:line="240" w:lineRule="auto"/>
              <w:ind w:left="851" w:right="-45" w:hanging="567"/>
              <w:textAlignment w:val="baseline"/>
              <w:rPr>
                <w:rFonts w:ascii="Verdana" w:eastAsia="Arial" w:hAnsi="Verdana" w:cs="Arial"/>
                <w:sz w:val="20"/>
                <w:szCs w:val="20"/>
              </w:rPr>
            </w:pPr>
            <w:r w:rsidRPr="00027FFA">
              <w:rPr>
                <w:rFonts w:ascii="Verdana" w:eastAsia="Arial" w:hAnsi="Verdana" w:cs="Arial"/>
                <w:sz w:val="20"/>
                <w:szCs w:val="20"/>
              </w:rPr>
              <w:t>changed roles with their current or former Employer to a non-Care and Support Worker role;</w:t>
            </w:r>
          </w:p>
          <w:p w14:paraId="69C6A5D5" w14:textId="77777777" w:rsidR="0081169A" w:rsidRPr="00027FFA" w:rsidRDefault="0081169A" w:rsidP="00872585">
            <w:pPr>
              <w:numPr>
                <w:ilvl w:val="0"/>
                <w:numId w:val="29"/>
              </w:numPr>
              <w:tabs>
                <w:tab w:val="left" w:pos="1440"/>
              </w:tabs>
              <w:spacing w:line="240" w:lineRule="auto"/>
              <w:ind w:left="851" w:right="-45" w:hanging="567"/>
              <w:textAlignment w:val="baseline"/>
              <w:rPr>
                <w:rFonts w:ascii="Verdana" w:eastAsia="Arial" w:hAnsi="Verdana" w:cs="Arial"/>
                <w:sz w:val="20"/>
                <w:szCs w:val="20"/>
              </w:rPr>
            </w:pPr>
            <w:proofErr w:type="gramStart"/>
            <w:r w:rsidRPr="00027FFA">
              <w:rPr>
                <w:rFonts w:ascii="Verdana" w:eastAsia="Arial" w:hAnsi="Verdana" w:cs="Arial"/>
                <w:sz w:val="20"/>
                <w:szCs w:val="20"/>
              </w:rPr>
              <w:t>transferred</w:t>
            </w:r>
            <w:proofErr w:type="gramEnd"/>
            <w:r w:rsidRPr="00027FFA">
              <w:rPr>
                <w:rFonts w:ascii="Verdana" w:eastAsia="Arial" w:hAnsi="Verdana" w:cs="Arial"/>
                <w:sz w:val="20"/>
                <w:szCs w:val="20"/>
              </w:rPr>
              <w:t xml:space="preserve"> to a non-funded service, but still employed by an Employer.</w:t>
            </w:r>
          </w:p>
          <w:p w14:paraId="04D4D1B8" w14:textId="77777777" w:rsidR="0081169A" w:rsidRPr="00027FFA" w:rsidRDefault="0081169A" w:rsidP="00872585">
            <w:pPr>
              <w:pStyle w:val="ListParagraph"/>
              <w:numPr>
                <w:ilvl w:val="0"/>
                <w:numId w:val="24"/>
              </w:numPr>
              <w:spacing w:before="240" w:after="240" w:line="240" w:lineRule="auto"/>
              <w:ind w:left="357" w:right="-45" w:hanging="357"/>
              <w:contextualSpacing w:val="0"/>
              <w:textAlignment w:val="baseline"/>
              <w:rPr>
                <w:rFonts w:ascii="Verdana" w:eastAsia="Arial" w:hAnsi="Verdana" w:cs="Arial"/>
                <w:sz w:val="20"/>
                <w:szCs w:val="20"/>
              </w:rPr>
            </w:pPr>
            <w:proofErr w:type="gramStart"/>
            <w:r w:rsidRPr="00027FFA">
              <w:rPr>
                <w:rFonts w:ascii="Verdana" w:eastAsia="Arial" w:hAnsi="Verdana" w:cs="Arial"/>
                <w:sz w:val="20"/>
                <w:szCs w:val="20"/>
              </w:rPr>
              <w:t>does</w:t>
            </w:r>
            <w:proofErr w:type="gramEnd"/>
            <w:r w:rsidRPr="00027FFA">
              <w:rPr>
                <w:rFonts w:ascii="Verdana" w:eastAsia="Arial" w:hAnsi="Verdana" w:cs="Arial"/>
                <w:sz w:val="20"/>
                <w:szCs w:val="20"/>
              </w:rPr>
              <w:t xml:space="preserve"> not include employees who do not perform the Services</w:t>
            </w:r>
            <w:r w:rsidRPr="00027FFA">
              <w:rPr>
                <w:rFonts w:ascii="Verdana" w:eastAsia="Arial" w:hAnsi="Verdana"/>
                <w:sz w:val="20"/>
                <w:szCs w:val="20"/>
              </w:rPr>
              <w:t>.</w:t>
            </w:r>
          </w:p>
        </w:tc>
      </w:tr>
    </w:tbl>
    <w:p w14:paraId="273F851C" w14:textId="77777777" w:rsidR="00D55D9A" w:rsidRPr="005C0844" w:rsidRDefault="00D55D9A"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Services that are not eligible</w:t>
      </w:r>
    </w:p>
    <w:p w14:paraId="4AE25AD6"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Mental health and addiction services provided by DHB employees</w:t>
      </w:r>
    </w:p>
    <w:p w14:paraId="68C3B183"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 xml:space="preserve">Behavioural support services </w:t>
      </w:r>
    </w:p>
    <w:p w14:paraId="367DCC67"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 xml:space="preserve">Caregiver support </w:t>
      </w:r>
    </w:p>
    <w:p w14:paraId="13174EC8"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 xml:space="preserve">Child development services </w:t>
      </w:r>
    </w:p>
    <w:p w14:paraId="00360D73"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 xml:space="preserve">Environmental support </w:t>
      </w:r>
    </w:p>
    <w:p w14:paraId="34AEB07F"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Sleep-over payments</w:t>
      </w:r>
    </w:p>
    <w:p w14:paraId="2CB5C910"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In-between travel payments</w:t>
      </w:r>
    </w:p>
    <w:p w14:paraId="54EF3344"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Funded family care</w:t>
      </w:r>
    </w:p>
    <w:p w14:paraId="778EAA57" w14:textId="77777777" w:rsidR="00D55D9A" w:rsidRPr="00027FFA" w:rsidRDefault="00D55D9A" w:rsidP="003662FC">
      <w:pPr>
        <w:pStyle w:val="ListParagraph"/>
        <w:numPr>
          <w:ilvl w:val="0"/>
          <w:numId w:val="33"/>
        </w:numPr>
        <w:spacing w:line="240" w:lineRule="auto"/>
        <w:ind w:right="15"/>
        <w:rPr>
          <w:rFonts w:ascii="Verdana" w:hAnsi="Verdana"/>
          <w:sz w:val="20"/>
          <w:szCs w:val="20"/>
        </w:rPr>
      </w:pPr>
      <w:r w:rsidRPr="00027FFA">
        <w:rPr>
          <w:rFonts w:ascii="Verdana" w:hAnsi="Verdana"/>
          <w:sz w:val="20"/>
          <w:szCs w:val="20"/>
        </w:rPr>
        <w:t>Services provided to private payers</w:t>
      </w:r>
    </w:p>
    <w:p w14:paraId="58F85BE5" w14:textId="77777777" w:rsidR="00D55D9A" w:rsidRPr="005C0844" w:rsidRDefault="00D55D9A"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Workers that are not eligible</w:t>
      </w:r>
    </w:p>
    <w:p w14:paraId="1402E06C" w14:textId="77777777" w:rsidR="00607F0C" w:rsidRPr="00607F0C" w:rsidRDefault="00607F0C" w:rsidP="00607F0C">
      <w:pPr>
        <w:pStyle w:val="ListParagraph"/>
        <w:numPr>
          <w:ilvl w:val="0"/>
          <w:numId w:val="38"/>
        </w:numPr>
        <w:rPr>
          <w:rFonts w:ascii="Verdana" w:hAnsi="Verdana" w:cs="Arial Mäori"/>
          <w:color w:val="000000"/>
          <w:sz w:val="20"/>
          <w:szCs w:val="20"/>
          <w:lang w:eastAsia="en-NZ"/>
        </w:rPr>
      </w:pPr>
      <w:r w:rsidRPr="00607F0C">
        <w:rPr>
          <w:rFonts w:ascii="Verdana" w:hAnsi="Verdana" w:cs="Arial Mäori"/>
          <w:color w:val="000000"/>
          <w:sz w:val="20"/>
          <w:szCs w:val="20"/>
          <w:lang w:eastAsia="en-NZ"/>
        </w:rPr>
        <w:t>Care support workers covered by the covered by the Care and Support Workers (Pay Equity) Act</w:t>
      </w:r>
    </w:p>
    <w:p w14:paraId="4AEA3E4D"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Counsellors</w:t>
      </w:r>
    </w:p>
    <w:p w14:paraId="1764EF36"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Occupational therapists</w:t>
      </w:r>
    </w:p>
    <w:p w14:paraId="163998ED" w14:textId="68938DEA"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Team leaders</w:t>
      </w:r>
      <w:r w:rsidR="00E51083">
        <w:rPr>
          <w:rFonts w:ascii="Verdana" w:hAnsi="Verdana" w:cs="Arial Mäori"/>
          <w:color w:val="000000"/>
          <w:sz w:val="20"/>
          <w:szCs w:val="20"/>
          <w:lang w:eastAsia="en-NZ"/>
        </w:rPr>
        <w:t xml:space="preserve"> and staff supervisors</w:t>
      </w:r>
    </w:p>
    <w:p w14:paraId="3AAC7951"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Enrolled/registered nurses</w:t>
      </w:r>
    </w:p>
    <w:p w14:paraId="05B6DB44"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Cooks</w:t>
      </w:r>
    </w:p>
    <w:p w14:paraId="53067414"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Cleaners</w:t>
      </w:r>
    </w:p>
    <w:p w14:paraId="399FFBD5" w14:textId="77777777" w:rsidR="00D55D9A" w:rsidRPr="00027FF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Managers</w:t>
      </w:r>
    </w:p>
    <w:p w14:paraId="498CE8AE" w14:textId="77777777" w:rsidR="00D55D9A" w:rsidRDefault="00D55D9A"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sidRPr="00027FFA">
        <w:rPr>
          <w:rFonts w:ascii="Verdana" w:hAnsi="Verdana" w:cs="Arial Mäori"/>
          <w:color w:val="000000"/>
          <w:sz w:val="20"/>
          <w:szCs w:val="20"/>
          <w:lang w:eastAsia="en-NZ"/>
        </w:rPr>
        <w:t>Social workers</w:t>
      </w:r>
    </w:p>
    <w:p w14:paraId="322C8164" w14:textId="420703F9" w:rsidR="00E51083" w:rsidRPr="00027FFA" w:rsidRDefault="00E51083" w:rsidP="003662FC">
      <w:pPr>
        <w:numPr>
          <w:ilvl w:val="0"/>
          <w:numId w:val="9"/>
        </w:numPr>
        <w:autoSpaceDE w:val="0"/>
        <w:autoSpaceDN w:val="0"/>
        <w:adjustRightInd w:val="0"/>
        <w:spacing w:line="240" w:lineRule="auto"/>
        <w:ind w:left="720" w:hanging="357"/>
        <w:rPr>
          <w:rFonts w:ascii="Verdana" w:hAnsi="Verdana" w:cs="Arial Mäori"/>
          <w:color w:val="000000"/>
          <w:sz w:val="20"/>
          <w:szCs w:val="20"/>
          <w:lang w:eastAsia="en-NZ"/>
        </w:rPr>
      </w:pPr>
      <w:r>
        <w:rPr>
          <w:rFonts w:ascii="Verdana" w:hAnsi="Verdana" w:cs="Arial Mäori"/>
          <w:color w:val="000000"/>
          <w:sz w:val="20"/>
          <w:szCs w:val="20"/>
          <w:lang w:eastAsia="en-NZ"/>
        </w:rPr>
        <w:t>Finance, marketing, and business enterprises workers</w:t>
      </w:r>
    </w:p>
    <w:p w14:paraId="1D39F1AF" w14:textId="77777777" w:rsidR="00D55D9A" w:rsidRDefault="00D55D9A" w:rsidP="003662FC">
      <w:pPr>
        <w:pStyle w:val="ListParagraph"/>
        <w:numPr>
          <w:ilvl w:val="0"/>
          <w:numId w:val="33"/>
        </w:numPr>
        <w:spacing w:line="240" w:lineRule="auto"/>
        <w:ind w:right="15" w:hanging="357"/>
        <w:rPr>
          <w:rFonts w:ascii="Verdana" w:hAnsi="Verdana"/>
          <w:sz w:val="20"/>
          <w:szCs w:val="20"/>
        </w:rPr>
      </w:pPr>
      <w:r w:rsidRPr="00027FFA">
        <w:rPr>
          <w:rFonts w:ascii="Verdana" w:hAnsi="Verdana"/>
          <w:sz w:val="20"/>
          <w:szCs w:val="20"/>
        </w:rPr>
        <w:t>Health practitioners registered under and in accordance with the Health Practitioners Competence Assurance Act 2003, and working in a role that required the employee to be a health practitioner</w:t>
      </w:r>
    </w:p>
    <w:p w14:paraId="6A9CAC49" w14:textId="77777777" w:rsidR="00E51083" w:rsidRDefault="00D55D9A" w:rsidP="00E51083">
      <w:pPr>
        <w:pStyle w:val="ListParagraph"/>
        <w:numPr>
          <w:ilvl w:val="0"/>
          <w:numId w:val="33"/>
        </w:numPr>
        <w:spacing w:line="240" w:lineRule="auto"/>
        <w:ind w:right="15" w:hanging="357"/>
        <w:rPr>
          <w:rFonts w:ascii="Verdana" w:hAnsi="Verdana"/>
          <w:sz w:val="20"/>
          <w:szCs w:val="20"/>
        </w:rPr>
      </w:pPr>
      <w:r w:rsidRPr="00E51083">
        <w:rPr>
          <w:rFonts w:ascii="Verdana" w:hAnsi="Verdana"/>
          <w:sz w:val="20"/>
          <w:szCs w:val="20"/>
        </w:rPr>
        <w:t>An employee whose primary work purpose is not support even if support is incidental to their primary work</w:t>
      </w:r>
    </w:p>
    <w:p w14:paraId="4BC49A35" w14:textId="178A5D5D" w:rsidR="00E51083" w:rsidRPr="00E51083" w:rsidRDefault="00E51083" w:rsidP="00E51083">
      <w:pPr>
        <w:pStyle w:val="ListParagraph"/>
        <w:numPr>
          <w:ilvl w:val="0"/>
          <w:numId w:val="33"/>
        </w:numPr>
        <w:spacing w:line="240" w:lineRule="auto"/>
        <w:ind w:right="15" w:hanging="357"/>
        <w:rPr>
          <w:rFonts w:ascii="Verdana" w:hAnsi="Verdana"/>
          <w:sz w:val="20"/>
          <w:szCs w:val="20"/>
        </w:rPr>
      </w:pPr>
      <w:r w:rsidRPr="00E51083">
        <w:rPr>
          <w:rFonts w:ascii="Verdana" w:hAnsi="Verdana"/>
          <w:sz w:val="20"/>
          <w:szCs w:val="20"/>
        </w:rPr>
        <w:t xml:space="preserve">Workers supporting employment where the services primarily involve management, supervision, marketing, finance, negotiating/finding a job on behalf of a person or </w:t>
      </w:r>
      <w:r w:rsidRPr="00E51083">
        <w:rPr>
          <w:rFonts w:ascii="Verdana" w:hAnsi="Verdana"/>
          <w:sz w:val="20"/>
          <w:szCs w:val="20"/>
        </w:rPr>
        <w:lastRenderedPageBreak/>
        <w:t>people and general job search, finding jobs, networking with employers, negotiating a placement with employers or labour market research.</w:t>
      </w:r>
    </w:p>
    <w:p w14:paraId="44A9A4CE" w14:textId="280379B5" w:rsidR="005D35B7" w:rsidRPr="005D35B7" w:rsidRDefault="005D35B7" w:rsidP="003662FC">
      <w:pPr>
        <w:spacing w:before="240" w:after="240" w:line="240" w:lineRule="auto"/>
        <w:ind w:right="15"/>
        <w:rPr>
          <w:rFonts w:ascii="Verdana" w:hAnsi="Verdana"/>
          <w:b/>
          <w:sz w:val="28"/>
          <w:szCs w:val="20"/>
        </w:rPr>
      </w:pPr>
      <w:r w:rsidRPr="005D35B7">
        <w:rPr>
          <w:rFonts w:ascii="Verdana" w:hAnsi="Verdana"/>
          <w:b/>
          <w:sz w:val="28"/>
          <w:szCs w:val="20"/>
        </w:rPr>
        <w:t>Casual employees</w:t>
      </w:r>
    </w:p>
    <w:p w14:paraId="20BEED42" w14:textId="2C3BE43C" w:rsidR="0081169A" w:rsidRPr="005C0844" w:rsidRDefault="0081169A" w:rsidP="003662FC">
      <w:pPr>
        <w:spacing w:line="240" w:lineRule="auto"/>
        <w:rPr>
          <w:rFonts w:ascii="Verdana" w:hAnsi="Verdana"/>
          <w:b/>
          <w:sz w:val="20"/>
          <w:szCs w:val="20"/>
        </w:rPr>
      </w:pPr>
      <w:r w:rsidRPr="005C0844">
        <w:rPr>
          <w:rFonts w:ascii="Verdana" w:hAnsi="Verdana"/>
          <w:sz w:val="20"/>
          <w:szCs w:val="20"/>
        </w:rPr>
        <w:t xml:space="preserve">A ‘casual employee’ isn’t specifically defined in employment legislation, but the term is used to refer to a situation where the employee has no guaranteed hours of work, no regular pattern of work, and no </w:t>
      </w:r>
      <w:proofErr w:type="spellStart"/>
      <w:r w:rsidRPr="005C0844">
        <w:rPr>
          <w:rFonts w:ascii="Verdana" w:hAnsi="Verdana"/>
          <w:sz w:val="20"/>
          <w:szCs w:val="20"/>
        </w:rPr>
        <w:t>ongoing</w:t>
      </w:r>
      <w:proofErr w:type="spellEnd"/>
      <w:r w:rsidRPr="005C0844">
        <w:rPr>
          <w:rFonts w:ascii="Verdana" w:hAnsi="Verdana"/>
          <w:sz w:val="20"/>
          <w:szCs w:val="20"/>
        </w:rPr>
        <w:t xml:space="preserve"> expectation of employment. </w:t>
      </w:r>
    </w:p>
    <w:p w14:paraId="57A0C9ED" w14:textId="77777777" w:rsidR="0081169A" w:rsidRPr="005C0844" w:rsidRDefault="0081169A" w:rsidP="003662FC">
      <w:pPr>
        <w:spacing w:line="240" w:lineRule="auto"/>
        <w:rPr>
          <w:rFonts w:ascii="Verdana" w:hAnsi="Verdana"/>
          <w:b/>
          <w:sz w:val="20"/>
          <w:szCs w:val="20"/>
        </w:rPr>
      </w:pPr>
    </w:p>
    <w:p w14:paraId="4E6F77D7" w14:textId="77777777" w:rsidR="0081169A" w:rsidRPr="005C0844" w:rsidRDefault="0081169A" w:rsidP="003662FC">
      <w:pPr>
        <w:spacing w:line="240" w:lineRule="auto"/>
        <w:rPr>
          <w:rFonts w:ascii="Verdana" w:hAnsi="Verdana"/>
          <w:b/>
          <w:sz w:val="20"/>
          <w:szCs w:val="20"/>
        </w:rPr>
      </w:pPr>
      <w:r w:rsidRPr="005C0844">
        <w:rPr>
          <w:rFonts w:ascii="Verdana" w:hAnsi="Verdana"/>
          <w:sz w:val="20"/>
          <w:szCs w:val="20"/>
        </w:rPr>
        <w:t xml:space="preserve">Casual employees are eligible for the new pay rates, however they </w:t>
      </w:r>
      <w:r w:rsidR="00DB1A71" w:rsidRPr="005C0844">
        <w:rPr>
          <w:rFonts w:ascii="Verdana" w:hAnsi="Verdana"/>
          <w:sz w:val="20"/>
          <w:szCs w:val="20"/>
        </w:rPr>
        <w:t>do not have</w:t>
      </w:r>
      <w:r w:rsidRPr="005C0844">
        <w:rPr>
          <w:rFonts w:ascii="Verdana" w:hAnsi="Verdana"/>
          <w:sz w:val="20"/>
          <w:szCs w:val="20"/>
        </w:rPr>
        <w:t xml:space="preserve"> continuous employment </w:t>
      </w:r>
      <w:r w:rsidR="004E51A6" w:rsidRPr="005C0844">
        <w:rPr>
          <w:rFonts w:ascii="Verdana" w:hAnsi="Verdana"/>
          <w:sz w:val="20"/>
          <w:szCs w:val="20"/>
        </w:rPr>
        <w:t xml:space="preserve">under the settlement agreement </w:t>
      </w:r>
      <w:r w:rsidRPr="005C0844">
        <w:rPr>
          <w:rFonts w:ascii="Verdana" w:hAnsi="Verdana"/>
          <w:sz w:val="20"/>
          <w:szCs w:val="20"/>
        </w:rPr>
        <w:t xml:space="preserve">and </w:t>
      </w:r>
      <w:r w:rsidR="004E51A6" w:rsidRPr="005C0844">
        <w:rPr>
          <w:rFonts w:ascii="Verdana" w:hAnsi="Verdana"/>
          <w:sz w:val="20"/>
          <w:szCs w:val="20"/>
        </w:rPr>
        <w:t xml:space="preserve">so </w:t>
      </w:r>
      <w:r w:rsidRPr="005C0844">
        <w:rPr>
          <w:rFonts w:ascii="Verdana" w:hAnsi="Verdana"/>
          <w:sz w:val="20"/>
          <w:szCs w:val="20"/>
        </w:rPr>
        <w:t xml:space="preserve">minimum hourly wage pay rates will be calculated on the basis of qualification alone. </w:t>
      </w:r>
    </w:p>
    <w:p w14:paraId="25555EC8" w14:textId="77777777" w:rsidR="0081169A" w:rsidRPr="005C0844" w:rsidRDefault="0081169A" w:rsidP="003662FC">
      <w:pPr>
        <w:spacing w:line="240" w:lineRule="auto"/>
        <w:rPr>
          <w:rFonts w:ascii="Verdana" w:hAnsi="Verdana"/>
          <w:b/>
          <w:sz w:val="20"/>
          <w:szCs w:val="20"/>
        </w:rPr>
      </w:pPr>
    </w:p>
    <w:p w14:paraId="5721D2CE" w14:textId="49DB445E" w:rsidR="0081169A" w:rsidRPr="005C0844" w:rsidRDefault="0081169A" w:rsidP="003662FC">
      <w:pPr>
        <w:spacing w:line="240" w:lineRule="auto"/>
        <w:rPr>
          <w:rFonts w:ascii="Verdana" w:hAnsi="Verdana"/>
          <w:b/>
          <w:sz w:val="20"/>
          <w:szCs w:val="20"/>
        </w:rPr>
      </w:pPr>
      <w:r w:rsidRPr="005C0844">
        <w:rPr>
          <w:rFonts w:ascii="Verdana" w:hAnsi="Verdana"/>
          <w:sz w:val="20"/>
          <w:szCs w:val="20"/>
        </w:rPr>
        <w:t xml:space="preserve">If an employer believes that some of their casual employees are permanent part-time employees with continuous </w:t>
      </w:r>
      <w:r w:rsidRPr="00156D59">
        <w:rPr>
          <w:rFonts w:ascii="Verdana" w:hAnsi="Verdana"/>
          <w:sz w:val="20"/>
          <w:szCs w:val="20"/>
        </w:rPr>
        <w:t>service (including getting professional employment relations advice), the employer needs to document</w:t>
      </w:r>
      <w:r w:rsidRPr="005C0844">
        <w:rPr>
          <w:rFonts w:ascii="Verdana" w:hAnsi="Verdana"/>
          <w:sz w:val="20"/>
          <w:szCs w:val="20"/>
        </w:rPr>
        <w:t xml:space="preserve"> the decision </w:t>
      </w:r>
      <w:r w:rsidR="004E51A6" w:rsidRPr="005C0844">
        <w:rPr>
          <w:rFonts w:ascii="Verdana" w:hAnsi="Verdana"/>
          <w:sz w:val="20"/>
          <w:szCs w:val="20"/>
        </w:rPr>
        <w:t xml:space="preserve">and </w:t>
      </w:r>
      <w:r w:rsidRPr="005C0844">
        <w:rPr>
          <w:rFonts w:ascii="Verdana" w:hAnsi="Verdana"/>
          <w:sz w:val="20"/>
          <w:szCs w:val="20"/>
        </w:rPr>
        <w:t>support</w:t>
      </w:r>
      <w:r w:rsidR="004E51A6" w:rsidRPr="005C0844">
        <w:rPr>
          <w:rFonts w:ascii="Verdana" w:hAnsi="Verdana"/>
          <w:sz w:val="20"/>
          <w:szCs w:val="20"/>
        </w:rPr>
        <w:t xml:space="preserve"> it with documentation that covers</w:t>
      </w:r>
      <w:r w:rsidRPr="005C0844">
        <w:rPr>
          <w:rFonts w:ascii="Verdana" w:hAnsi="Verdana"/>
          <w:sz w:val="20"/>
          <w:szCs w:val="20"/>
        </w:rPr>
        <w:t xml:space="preserve"> legitimate expectation of work, absence or presence of predictability and regularity, length of the arrangement, payment of holiday</w:t>
      </w:r>
      <w:r w:rsidR="00185977" w:rsidRPr="005C0844">
        <w:rPr>
          <w:rFonts w:ascii="Verdana" w:hAnsi="Verdana"/>
          <w:sz w:val="20"/>
          <w:szCs w:val="20"/>
        </w:rPr>
        <w:t>s</w:t>
      </w:r>
      <w:r w:rsidR="00607F0C">
        <w:rPr>
          <w:rFonts w:ascii="Verdana" w:hAnsi="Verdana"/>
          <w:sz w:val="20"/>
          <w:szCs w:val="20"/>
        </w:rPr>
        <w:t>,</w:t>
      </w:r>
      <w:r w:rsidR="00185977" w:rsidRPr="005C0844">
        <w:rPr>
          <w:rFonts w:ascii="Verdana" w:hAnsi="Verdana"/>
          <w:sz w:val="20"/>
          <w:szCs w:val="20"/>
        </w:rPr>
        <w:t xml:space="preserve"> and the </w:t>
      </w:r>
      <w:r w:rsidRPr="005C0844">
        <w:rPr>
          <w:rFonts w:ascii="Verdana" w:hAnsi="Verdana"/>
          <w:sz w:val="20"/>
          <w:szCs w:val="20"/>
        </w:rPr>
        <w:t xml:space="preserve">date on which each employee’s status changed from casual to permanent part-time.  </w:t>
      </w:r>
    </w:p>
    <w:p w14:paraId="47A112DC" w14:textId="77777777" w:rsidR="0081169A" w:rsidRPr="005C0844" w:rsidRDefault="0081169A" w:rsidP="003662FC">
      <w:pPr>
        <w:spacing w:line="240" w:lineRule="auto"/>
        <w:rPr>
          <w:rFonts w:ascii="Verdana" w:hAnsi="Verdana"/>
          <w:b/>
          <w:sz w:val="20"/>
          <w:szCs w:val="20"/>
        </w:rPr>
      </w:pPr>
    </w:p>
    <w:p w14:paraId="095D5C97" w14:textId="77777777" w:rsidR="0081169A" w:rsidRPr="005C0844" w:rsidRDefault="0081169A" w:rsidP="003662FC">
      <w:pPr>
        <w:spacing w:line="240" w:lineRule="auto"/>
        <w:rPr>
          <w:rFonts w:ascii="Verdana" w:hAnsi="Verdana" w:cs="Arial"/>
          <w:b/>
          <w:sz w:val="20"/>
          <w:szCs w:val="20"/>
        </w:rPr>
      </w:pPr>
      <w:r w:rsidRPr="005C0844">
        <w:rPr>
          <w:rFonts w:ascii="Verdana" w:hAnsi="Verdana" w:cs="Georgia"/>
          <w:color w:val="000000"/>
          <w:sz w:val="20"/>
          <w:szCs w:val="20"/>
        </w:rPr>
        <w:t xml:space="preserve">Guidance on what is casual employment can be found on the </w:t>
      </w:r>
      <w:hyperlink r:id="rId11" w:history="1">
        <w:r w:rsidRPr="005C0844">
          <w:rPr>
            <w:rStyle w:val="Hyperlink"/>
            <w:rFonts w:ascii="Verdana" w:hAnsi="Verdana" w:cs="Georgia"/>
            <w:sz w:val="20"/>
            <w:szCs w:val="20"/>
          </w:rPr>
          <w:t>Ministry of Business Innovation and Employment website</w:t>
        </w:r>
      </w:hyperlink>
      <w:r w:rsidRPr="005C0844">
        <w:rPr>
          <w:rFonts w:ascii="Verdana" w:hAnsi="Verdana" w:cs="Georgia"/>
          <w:color w:val="000000"/>
          <w:sz w:val="20"/>
          <w:szCs w:val="20"/>
        </w:rPr>
        <w:t>.</w:t>
      </w:r>
    </w:p>
    <w:p w14:paraId="1F641CC7" w14:textId="77777777" w:rsidR="0081169A" w:rsidRPr="00EC2E8F" w:rsidRDefault="0081169A" w:rsidP="003662FC">
      <w:pPr>
        <w:spacing w:before="240" w:after="240" w:line="240" w:lineRule="auto"/>
        <w:rPr>
          <w:rFonts w:ascii="Verdana" w:hAnsi="Verdana"/>
          <w:b/>
          <w:sz w:val="24"/>
          <w:lang w:val="en"/>
        </w:rPr>
      </w:pPr>
      <w:proofErr w:type="spellStart"/>
      <w:r w:rsidRPr="00EC2E8F">
        <w:rPr>
          <w:rFonts w:ascii="Verdana" w:hAnsi="Verdana"/>
          <w:b/>
          <w:sz w:val="24"/>
          <w:lang w:val="en"/>
        </w:rPr>
        <w:t>Individualised</w:t>
      </w:r>
      <w:proofErr w:type="spellEnd"/>
      <w:r w:rsidR="00DB1A71" w:rsidRPr="00EC2E8F">
        <w:rPr>
          <w:rFonts w:ascii="Verdana" w:hAnsi="Verdana"/>
          <w:b/>
          <w:sz w:val="24"/>
          <w:lang w:val="en"/>
        </w:rPr>
        <w:t xml:space="preserve"> funding</w:t>
      </w:r>
    </w:p>
    <w:p w14:paraId="5EB0D0A3" w14:textId="77777777" w:rsidR="0081169A" w:rsidRPr="005C0844" w:rsidRDefault="00412C01" w:rsidP="003662FC">
      <w:pPr>
        <w:pStyle w:val="Numbering"/>
        <w:numPr>
          <w:ilvl w:val="0"/>
          <w:numId w:val="0"/>
        </w:numPr>
        <w:spacing w:line="240" w:lineRule="auto"/>
        <w:rPr>
          <w:lang w:eastAsia="en-US"/>
        </w:rPr>
      </w:pPr>
      <w:r w:rsidRPr="00027FFA">
        <w:rPr>
          <w:rFonts w:ascii="Verdana" w:hAnsi="Verdana"/>
          <w:b w:val="0"/>
          <w:sz w:val="20"/>
          <w:szCs w:val="20"/>
          <w:lang w:eastAsia="en-US"/>
        </w:rPr>
        <w:t>M</w:t>
      </w:r>
      <w:r w:rsidR="00DB1A71" w:rsidRPr="00027FFA">
        <w:rPr>
          <w:rFonts w:ascii="Verdana" w:hAnsi="Verdana"/>
          <w:b w:val="0"/>
          <w:sz w:val="20"/>
          <w:szCs w:val="20"/>
          <w:lang w:eastAsia="en-US"/>
        </w:rPr>
        <w:t>ental health and addiction</w:t>
      </w:r>
      <w:r w:rsidR="0081169A" w:rsidRPr="00027FFA">
        <w:rPr>
          <w:rFonts w:ascii="Verdana" w:hAnsi="Verdana"/>
          <w:b w:val="0"/>
          <w:sz w:val="20"/>
          <w:szCs w:val="20"/>
          <w:lang w:eastAsia="en-US"/>
        </w:rPr>
        <w:t xml:space="preserve"> support workers providing support under Individualised Funding or Enhanced Individualised Funding as employees (</w:t>
      </w:r>
      <w:r w:rsidR="00DB1A71" w:rsidRPr="00027FFA">
        <w:rPr>
          <w:rFonts w:ascii="Verdana" w:hAnsi="Verdana"/>
          <w:b w:val="0"/>
          <w:sz w:val="20"/>
          <w:szCs w:val="20"/>
          <w:lang w:eastAsia="en-US"/>
        </w:rPr>
        <w:t xml:space="preserve">in </w:t>
      </w:r>
      <w:r w:rsidR="0081169A" w:rsidRPr="00027FFA">
        <w:rPr>
          <w:rFonts w:ascii="Verdana" w:hAnsi="Verdana"/>
          <w:b w:val="0"/>
          <w:sz w:val="20"/>
          <w:szCs w:val="20"/>
          <w:lang w:eastAsia="en-US"/>
        </w:rPr>
        <w:t>qualifying servi</w:t>
      </w:r>
      <w:r w:rsidR="00DB1A71" w:rsidRPr="00027FFA">
        <w:rPr>
          <w:rFonts w:ascii="Verdana" w:hAnsi="Verdana"/>
          <w:b w:val="0"/>
          <w:sz w:val="20"/>
          <w:szCs w:val="20"/>
          <w:lang w:eastAsia="en-US"/>
        </w:rPr>
        <w:t>ces</w:t>
      </w:r>
      <w:r w:rsidR="0081169A" w:rsidRPr="00027FFA">
        <w:rPr>
          <w:rFonts w:ascii="Verdana" w:hAnsi="Verdana"/>
          <w:b w:val="0"/>
          <w:sz w:val="20"/>
          <w:szCs w:val="20"/>
          <w:lang w:eastAsia="en-US"/>
        </w:rPr>
        <w:t>) are eligible</w:t>
      </w:r>
      <w:r w:rsidR="00D55D9A" w:rsidRPr="00027FFA">
        <w:rPr>
          <w:rFonts w:ascii="Verdana" w:hAnsi="Verdana"/>
          <w:b w:val="0"/>
          <w:sz w:val="20"/>
          <w:szCs w:val="20"/>
          <w:lang w:eastAsia="en-US"/>
        </w:rPr>
        <w:t>.</w:t>
      </w:r>
    </w:p>
    <w:p w14:paraId="161BFC81" w14:textId="77777777" w:rsidR="0081169A" w:rsidRPr="00EC2E8F" w:rsidRDefault="0081169A" w:rsidP="003662FC">
      <w:pPr>
        <w:pStyle w:val="Heading3"/>
        <w:spacing w:line="240" w:lineRule="auto"/>
        <w:rPr>
          <w:rFonts w:ascii="Verdana" w:hAnsi="Verdana"/>
          <w:sz w:val="24"/>
          <w:lang w:val="en"/>
        </w:rPr>
      </w:pPr>
      <w:r w:rsidRPr="00EC2E8F">
        <w:rPr>
          <w:rFonts w:ascii="Verdana" w:hAnsi="Verdana"/>
          <w:sz w:val="24"/>
          <w:lang w:val="en"/>
        </w:rPr>
        <w:t>Union membership</w:t>
      </w:r>
    </w:p>
    <w:p w14:paraId="44164F8E" w14:textId="7F63F1B8" w:rsidR="00412C01" w:rsidRDefault="0081169A" w:rsidP="003662FC">
      <w:pPr>
        <w:spacing w:line="240" w:lineRule="auto"/>
        <w:rPr>
          <w:rFonts w:ascii="Verdana" w:hAnsi="Verdana"/>
          <w:sz w:val="20"/>
          <w:szCs w:val="20"/>
          <w:lang w:eastAsia="en-NZ"/>
        </w:rPr>
      </w:pPr>
      <w:r w:rsidRPr="00027FFA">
        <w:rPr>
          <w:rFonts w:ascii="Verdana" w:hAnsi="Verdana"/>
          <w:sz w:val="20"/>
          <w:szCs w:val="20"/>
          <w:lang w:val="en-US" w:eastAsia="en-NZ"/>
        </w:rPr>
        <w:t>Eligible mental health and addiction support workers receive the new wage rates whether or not they belong to a union.</w:t>
      </w:r>
    </w:p>
    <w:p w14:paraId="10AFAC8A" w14:textId="0A639D8C" w:rsidR="005D35B7" w:rsidRPr="00EC2E8F" w:rsidRDefault="005D35B7" w:rsidP="003662FC">
      <w:pPr>
        <w:pStyle w:val="Heading2"/>
        <w:spacing w:line="240" w:lineRule="auto"/>
        <w:rPr>
          <w:rFonts w:ascii="Verdana" w:hAnsi="Verdana"/>
          <w:sz w:val="28"/>
          <w:lang w:eastAsia="en-NZ"/>
        </w:rPr>
      </w:pPr>
      <w:r w:rsidRPr="00EC2E8F">
        <w:rPr>
          <w:rFonts w:ascii="Verdana" w:hAnsi="Verdana"/>
          <w:sz w:val="28"/>
          <w:lang w:eastAsia="en-NZ"/>
        </w:rPr>
        <w:t>Funding</w:t>
      </w:r>
    </w:p>
    <w:p w14:paraId="6842B41E" w14:textId="77777777" w:rsidR="00E84F01" w:rsidRPr="005C0844" w:rsidRDefault="00E84F01"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On-costs</w:t>
      </w:r>
      <w:r w:rsidR="00F33114" w:rsidRPr="005C0844">
        <w:rPr>
          <w:rFonts w:ascii="Verdana" w:hAnsi="Verdana"/>
          <w:sz w:val="24"/>
          <w:szCs w:val="20"/>
          <w:lang w:val="en"/>
        </w:rPr>
        <w:t xml:space="preserve"> </w:t>
      </w:r>
    </w:p>
    <w:p w14:paraId="6204D9E2" w14:textId="7AE0B9D3" w:rsidR="00E84F01" w:rsidRPr="005C0844" w:rsidRDefault="00F33114" w:rsidP="003662FC">
      <w:pPr>
        <w:spacing w:line="240" w:lineRule="auto"/>
        <w:rPr>
          <w:rFonts w:ascii="Verdana" w:hAnsi="Verdana"/>
          <w:sz w:val="20"/>
        </w:rPr>
      </w:pPr>
      <w:r w:rsidRPr="005C0844">
        <w:rPr>
          <w:rFonts w:ascii="Verdana" w:hAnsi="Verdana"/>
          <w:sz w:val="20"/>
        </w:rPr>
        <w:t>On-cost funding</w:t>
      </w:r>
      <w:r w:rsidR="00E84F01" w:rsidRPr="005C0844">
        <w:rPr>
          <w:rFonts w:ascii="Verdana" w:hAnsi="Verdana"/>
          <w:sz w:val="20"/>
        </w:rPr>
        <w:t xml:space="preserve"> is to cover statutory minimum costs in addition to wages.  These include annual leave, statutory holidays, sick days, time and a half for work on public holidays, ACC levies</w:t>
      </w:r>
      <w:r w:rsidR="00B2364A">
        <w:rPr>
          <w:rFonts w:ascii="Verdana" w:hAnsi="Verdana"/>
          <w:sz w:val="20"/>
        </w:rPr>
        <w:t>,</w:t>
      </w:r>
      <w:r w:rsidR="00E84F01" w:rsidRPr="005C0844">
        <w:rPr>
          <w:rFonts w:ascii="Verdana" w:hAnsi="Verdana"/>
          <w:sz w:val="20"/>
        </w:rPr>
        <w:t xml:space="preserve"> and </w:t>
      </w:r>
      <w:proofErr w:type="spellStart"/>
      <w:r w:rsidR="00E84F01" w:rsidRPr="005C0844">
        <w:rPr>
          <w:rFonts w:ascii="Verdana" w:hAnsi="Verdana"/>
          <w:sz w:val="20"/>
        </w:rPr>
        <w:t>KiwiSaver</w:t>
      </w:r>
      <w:proofErr w:type="spellEnd"/>
      <w:r w:rsidR="00E84F01" w:rsidRPr="005C0844">
        <w:rPr>
          <w:rFonts w:ascii="Verdana" w:hAnsi="Verdana"/>
          <w:sz w:val="20"/>
        </w:rPr>
        <w:t xml:space="preserve">. Funding to support training is also included. </w:t>
      </w:r>
      <w:r w:rsidR="00E84F01" w:rsidRPr="005C0844">
        <w:rPr>
          <w:rFonts w:ascii="Verdana" w:hAnsi="Verdana"/>
          <w:sz w:val="20"/>
        </w:rPr>
        <w:br/>
      </w:r>
    </w:p>
    <w:p w14:paraId="6F279E06" w14:textId="77777777" w:rsidR="00E84F01" w:rsidRPr="005C0844" w:rsidRDefault="00E84F01" w:rsidP="003662FC">
      <w:pPr>
        <w:spacing w:line="240" w:lineRule="auto"/>
        <w:rPr>
          <w:rFonts w:ascii="Verdana" w:hAnsi="Verdana"/>
          <w:sz w:val="20"/>
        </w:rPr>
      </w:pPr>
      <w:r w:rsidRPr="005C0844">
        <w:rPr>
          <w:rFonts w:ascii="Verdana" w:hAnsi="Verdana"/>
          <w:sz w:val="20"/>
        </w:rPr>
        <w:t xml:space="preserve">The total on-costs providers will be funded for is 21.7 </w:t>
      </w:r>
      <w:proofErr w:type="spellStart"/>
      <w:r w:rsidRPr="005C0844">
        <w:rPr>
          <w:rFonts w:ascii="Verdana" w:hAnsi="Verdana"/>
          <w:sz w:val="20"/>
        </w:rPr>
        <w:t>percent</w:t>
      </w:r>
      <w:proofErr w:type="spellEnd"/>
      <w:r w:rsidRPr="005C0844">
        <w:rPr>
          <w:rFonts w:ascii="Verdana" w:hAnsi="Verdana"/>
          <w:sz w:val="20"/>
        </w:rPr>
        <w:t>. This includes:</w:t>
      </w:r>
    </w:p>
    <w:p w14:paraId="5DE62DBC"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20 days annual leave</w:t>
      </w:r>
    </w:p>
    <w:p w14:paraId="62757251"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 xml:space="preserve">11 days statutory holidays </w:t>
      </w:r>
    </w:p>
    <w:p w14:paraId="4EAF7247"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5.5 days (time and a half for time worked on statutory holidays)</w:t>
      </w:r>
    </w:p>
    <w:p w14:paraId="3BBFFA5D"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5 days sick leave</w:t>
      </w:r>
    </w:p>
    <w:p w14:paraId="4EF4A331"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 xml:space="preserve">0.8 </w:t>
      </w:r>
      <w:proofErr w:type="spellStart"/>
      <w:r w:rsidRPr="00027FFA">
        <w:rPr>
          <w:rFonts w:ascii="Verdana" w:hAnsi="Verdana" w:cs="Arial"/>
          <w:color w:val="000000"/>
          <w:sz w:val="20"/>
          <w:szCs w:val="20"/>
        </w:rPr>
        <w:t>percent</w:t>
      </w:r>
      <w:proofErr w:type="spellEnd"/>
      <w:r w:rsidRPr="00027FFA">
        <w:rPr>
          <w:rFonts w:ascii="Verdana" w:hAnsi="Verdana" w:cs="Arial"/>
          <w:color w:val="000000"/>
          <w:sz w:val="20"/>
          <w:szCs w:val="20"/>
        </w:rPr>
        <w:t xml:space="preserve"> contribution to training</w:t>
      </w:r>
    </w:p>
    <w:p w14:paraId="1A256DBD"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 xml:space="preserve">3 </w:t>
      </w:r>
      <w:proofErr w:type="spellStart"/>
      <w:r w:rsidRPr="00027FFA">
        <w:rPr>
          <w:rFonts w:ascii="Verdana" w:hAnsi="Verdana" w:cs="Arial"/>
          <w:color w:val="000000"/>
          <w:sz w:val="20"/>
          <w:szCs w:val="20"/>
        </w:rPr>
        <w:t>percent</w:t>
      </w:r>
      <w:proofErr w:type="spellEnd"/>
      <w:r w:rsidRPr="00027FFA">
        <w:rPr>
          <w:rFonts w:ascii="Verdana" w:hAnsi="Verdana" w:cs="Arial"/>
          <w:color w:val="000000"/>
          <w:sz w:val="20"/>
          <w:szCs w:val="20"/>
        </w:rPr>
        <w:t xml:space="preserve"> </w:t>
      </w:r>
      <w:proofErr w:type="spellStart"/>
      <w:r w:rsidRPr="00027FFA">
        <w:rPr>
          <w:rFonts w:ascii="Verdana" w:hAnsi="Verdana" w:cs="Arial"/>
          <w:color w:val="000000"/>
          <w:sz w:val="20"/>
          <w:szCs w:val="20"/>
        </w:rPr>
        <w:t>KiwiSaver</w:t>
      </w:r>
      <w:proofErr w:type="spellEnd"/>
      <w:r w:rsidRPr="00027FFA">
        <w:rPr>
          <w:rFonts w:ascii="Verdana" w:hAnsi="Verdana" w:cs="Arial"/>
          <w:color w:val="000000"/>
          <w:sz w:val="20"/>
          <w:szCs w:val="20"/>
        </w:rPr>
        <w:t xml:space="preserve"> employer contribution</w:t>
      </w:r>
    </w:p>
    <w:p w14:paraId="28EFA475" w14:textId="77777777" w:rsidR="00E84F01" w:rsidRPr="00027FFA" w:rsidRDefault="00E84F01" w:rsidP="00B2364A">
      <w:pPr>
        <w:numPr>
          <w:ilvl w:val="0"/>
          <w:numId w:val="9"/>
        </w:numPr>
        <w:autoSpaceDE w:val="0"/>
        <w:autoSpaceDN w:val="0"/>
        <w:adjustRightInd w:val="0"/>
        <w:spacing w:line="240" w:lineRule="auto"/>
        <w:ind w:left="851" w:hanging="360"/>
        <w:rPr>
          <w:rFonts w:ascii="Verdana" w:hAnsi="Verdana" w:cs="Arial"/>
          <w:color w:val="000000"/>
          <w:sz w:val="20"/>
          <w:szCs w:val="20"/>
        </w:rPr>
      </w:pPr>
      <w:r w:rsidRPr="00027FFA">
        <w:rPr>
          <w:rFonts w:ascii="Verdana" w:hAnsi="Verdana" w:cs="Arial"/>
          <w:color w:val="000000"/>
          <w:sz w:val="20"/>
          <w:szCs w:val="20"/>
        </w:rPr>
        <w:t xml:space="preserve">2 </w:t>
      </w:r>
      <w:proofErr w:type="spellStart"/>
      <w:r w:rsidRPr="00027FFA">
        <w:rPr>
          <w:rFonts w:ascii="Verdana" w:hAnsi="Verdana" w:cs="Arial"/>
          <w:color w:val="000000"/>
          <w:sz w:val="20"/>
          <w:szCs w:val="20"/>
        </w:rPr>
        <w:t>percent</w:t>
      </w:r>
      <w:proofErr w:type="spellEnd"/>
      <w:r w:rsidRPr="00027FFA">
        <w:rPr>
          <w:rFonts w:ascii="Verdana" w:hAnsi="Verdana" w:cs="Arial"/>
          <w:color w:val="000000"/>
          <w:sz w:val="20"/>
          <w:szCs w:val="20"/>
        </w:rPr>
        <w:t xml:space="preserve"> for ACC levies.</w:t>
      </w:r>
    </w:p>
    <w:p w14:paraId="6219B497" w14:textId="77777777" w:rsidR="00283773" w:rsidRPr="005C0844" w:rsidRDefault="00283773"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Retrospective funding</w:t>
      </w:r>
    </w:p>
    <w:p w14:paraId="0F31EDAF" w14:textId="77777777" w:rsidR="00283773" w:rsidRPr="00027FFA" w:rsidRDefault="00283773" w:rsidP="003662FC">
      <w:pPr>
        <w:spacing w:line="240" w:lineRule="auto"/>
        <w:rPr>
          <w:rFonts w:ascii="Verdana" w:hAnsi="Verdana"/>
          <w:sz w:val="20"/>
          <w:szCs w:val="20"/>
        </w:rPr>
      </w:pPr>
      <w:r w:rsidRPr="00027FFA">
        <w:rPr>
          <w:rFonts w:ascii="Verdana" w:hAnsi="Verdana"/>
          <w:sz w:val="20"/>
          <w:szCs w:val="20"/>
        </w:rPr>
        <w:t>Retrospective funding is to enable employers to pay their workers back-pay from 1 July 2017</w:t>
      </w:r>
      <w:r w:rsidR="00185977" w:rsidRPr="00027FFA">
        <w:rPr>
          <w:rFonts w:ascii="Verdana" w:hAnsi="Verdana"/>
          <w:sz w:val="20"/>
          <w:szCs w:val="20"/>
        </w:rPr>
        <w:t xml:space="preserve"> </w:t>
      </w:r>
      <w:r w:rsidRPr="00027FFA">
        <w:rPr>
          <w:rFonts w:ascii="Verdana" w:hAnsi="Verdana"/>
          <w:sz w:val="20"/>
          <w:szCs w:val="20"/>
        </w:rPr>
        <w:t>– 30 June 2018.</w:t>
      </w:r>
    </w:p>
    <w:p w14:paraId="09780A79" w14:textId="77777777" w:rsidR="00185977" w:rsidRPr="00027FFA" w:rsidRDefault="00185977" w:rsidP="003662FC">
      <w:pPr>
        <w:spacing w:line="240" w:lineRule="auto"/>
        <w:rPr>
          <w:rFonts w:ascii="Verdana" w:hAnsi="Verdana"/>
          <w:sz w:val="20"/>
          <w:szCs w:val="20"/>
        </w:rPr>
      </w:pPr>
    </w:p>
    <w:p w14:paraId="78297C6F" w14:textId="77777777" w:rsidR="005C0844" w:rsidRDefault="00185977" w:rsidP="003662FC">
      <w:pPr>
        <w:spacing w:line="240" w:lineRule="auto"/>
        <w:ind w:left="-15" w:right="15"/>
        <w:rPr>
          <w:rFonts w:ascii="Verdana" w:hAnsi="Verdana"/>
          <w:sz w:val="20"/>
          <w:szCs w:val="20"/>
        </w:rPr>
      </w:pPr>
      <w:r w:rsidRPr="00027FFA">
        <w:rPr>
          <w:rFonts w:ascii="Verdana" w:hAnsi="Verdana"/>
          <w:sz w:val="20"/>
          <w:szCs w:val="20"/>
        </w:rPr>
        <w:lastRenderedPageBreak/>
        <w:t>The</w:t>
      </w:r>
      <w:r w:rsidR="00283773" w:rsidRPr="00027FFA">
        <w:rPr>
          <w:rFonts w:ascii="Verdana" w:hAnsi="Verdana"/>
          <w:sz w:val="20"/>
          <w:szCs w:val="20"/>
        </w:rPr>
        <w:t xml:space="preserve"> funding is </w:t>
      </w:r>
      <w:r w:rsidRPr="00027FFA">
        <w:rPr>
          <w:rFonts w:ascii="Verdana" w:hAnsi="Verdana"/>
          <w:sz w:val="20"/>
          <w:szCs w:val="20"/>
        </w:rPr>
        <w:t xml:space="preserve">for </w:t>
      </w:r>
      <w:r w:rsidR="00283773" w:rsidRPr="00027FFA">
        <w:rPr>
          <w:rFonts w:ascii="Verdana" w:hAnsi="Verdana"/>
          <w:sz w:val="20"/>
          <w:szCs w:val="20"/>
        </w:rPr>
        <w:t>the difference between each employee</w:t>
      </w:r>
      <w:r w:rsidRPr="00027FFA">
        <w:rPr>
          <w:rFonts w:ascii="Verdana" w:hAnsi="Verdana"/>
          <w:sz w:val="20"/>
          <w:szCs w:val="20"/>
        </w:rPr>
        <w:t>’</w:t>
      </w:r>
      <w:r w:rsidR="00283773" w:rsidRPr="00027FFA">
        <w:rPr>
          <w:rFonts w:ascii="Verdana" w:hAnsi="Verdana"/>
          <w:sz w:val="20"/>
          <w:szCs w:val="20"/>
        </w:rPr>
        <w:t>s hourly pay rate on 30 June 2017 and their appropriate pay rate on 1 July 2017</w:t>
      </w:r>
      <w:r w:rsidRPr="00027FFA">
        <w:rPr>
          <w:rFonts w:ascii="Verdana" w:hAnsi="Verdana"/>
          <w:sz w:val="20"/>
          <w:szCs w:val="20"/>
        </w:rPr>
        <w:t>,</w:t>
      </w:r>
      <w:r w:rsidR="00283773" w:rsidRPr="00027FFA">
        <w:rPr>
          <w:rFonts w:ascii="Verdana" w:hAnsi="Verdana"/>
          <w:sz w:val="20"/>
          <w:szCs w:val="20"/>
        </w:rPr>
        <w:t xml:space="preserve"> plus on-costs. </w:t>
      </w:r>
    </w:p>
    <w:p w14:paraId="10764DA2" w14:textId="4BC6BF90" w:rsidR="00186125" w:rsidRPr="005C0844" w:rsidRDefault="00607F0C" w:rsidP="003662FC">
      <w:pPr>
        <w:pStyle w:val="Heading3"/>
        <w:shd w:val="clear" w:color="auto" w:fill="FFFFFF"/>
        <w:spacing w:line="240" w:lineRule="auto"/>
        <w:rPr>
          <w:rFonts w:ascii="Verdana" w:hAnsi="Verdana"/>
          <w:sz w:val="24"/>
          <w:szCs w:val="20"/>
          <w:lang w:val="en"/>
        </w:rPr>
      </w:pPr>
      <w:r>
        <w:rPr>
          <w:rFonts w:ascii="Verdana" w:hAnsi="Verdana"/>
          <w:sz w:val="24"/>
          <w:szCs w:val="20"/>
          <w:lang w:val="en"/>
        </w:rPr>
        <w:t xml:space="preserve">Contribution to </w:t>
      </w:r>
      <w:r w:rsidR="00751902">
        <w:rPr>
          <w:rFonts w:ascii="Verdana" w:hAnsi="Verdana"/>
          <w:sz w:val="24"/>
          <w:szCs w:val="20"/>
          <w:lang w:val="en"/>
        </w:rPr>
        <w:t>l</w:t>
      </w:r>
      <w:r w:rsidR="00186125" w:rsidRPr="005C0844">
        <w:rPr>
          <w:rFonts w:ascii="Verdana" w:hAnsi="Verdana"/>
          <w:sz w:val="24"/>
          <w:szCs w:val="20"/>
          <w:lang w:val="en"/>
        </w:rPr>
        <w:t>eave liability</w:t>
      </w:r>
    </w:p>
    <w:p w14:paraId="2CF21D15" w14:textId="29FA5B63" w:rsidR="00186125" w:rsidRPr="00027FFA" w:rsidRDefault="00F33114" w:rsidP="00B2364A">
      <w:pPr>
        <w:spacing w:line="240" w:lineRule="auto"/>
        <w:rPr>
          <w:rFonts w:ascii="Verdana" w:hAnsi="Verdana"/>
          <w:sz w:val="20"/>
          <w:szCs w:val="20"/>
        </w:rPr>
      </w:pPr>
      <w:r w:rsidRPr="00027FFA">
        <w:rPr>
          <w:rFonts w:ascii="Verdana" w:hAnsi="Verdana"/>
          <w:sz w:val="20"/>
          <w:szCs w:val="20"/>
        </w:rPr>
        <w:t>Funding</w:t>
      </w:r>
      <w:r w:rsidR="00186125" w:rsidRPr="00027FFA">
        <w:rPr>
          <w:rFonts w:ascii="Verdana" w:hAnsi="Verdana"/>
          <w:sz w:val="20"/>
          <w:szCs w:val="20"/>
        </w:rPr>
        <w:t xml:space="preserve"> to </w:t>
      </w:r>
      <w:r w:rsidRPr="00027FFA">
        <w:rPr>
          <w:rFonts w:ascii="Verdana" w:hAnsi="Verdana"/>
          <w:sz w:val="20"/>
          <w:szCs w:val="20"/>
        </w:rPr>
        <w:t xml:space="preserve">cover </w:t>
      </w:r>
      <w:r w:rsidR="00186125" w:rsidRPr="00027FFA">
        <w:rPr>
          <w:rFonts w:ascii="Verdana" w:hAnsi="Verdana"/>
          <w:sz w:val="20"/>
          <w:szCs w:val="20"/>
        </w:rPr>
        <w:t xml:space="preserve">the increase in leave liability </w:t>
      </w:r>
      <w:r w:rsidR="00E84F01" w:rsidRPr="00027FFA">
        <w:rPr>
          <w:rFonts w:ascii="Verdana" w:hAnsi="Verdana"/>
          <w:sz w:val="20"/>
          <w:szCs w:val="20"/>
        </w:rPr>
        <w:t>is a one-</w:t>
      </w:r>
      <w:r w:rsidR="00186125" w:rsidRPr="00027FFA">
        <w:rPr>
          <w:rFonts w:ascii="Verdana" w:hAnsi="Verdana"/>
          <w:sz w:val="20"/>
          <w:szCs w:val="20"/>
        </w:rPr>
        <w:t xml:space="preserve">off payment </w:t>
      </w:r>
      <w:r w:rsidR="00E84F01" w:rsidRPr="00027FFA">
        <w:rPr>
          <w:rFonts w:ascii="Verdana" w:hAnsi="Verdana"/>
          <w:sz w:val="20"/>
          <w:szCs w:val="20"/>
        </w:rPr>
        <w:t>of the</w:t>
      </w:r>
      <w:r w:rsidR="00186125" w:rsidRPr="00027FFA">
        <w:rPr>
          <w:rFonts w:ascii="Verdana" w:hAnsi="Verdana"/>
          <w:sz w:val="20"/>
          <w:szCs w:val="20"/>
        </w:rPr>
        <w:t xml:space="preserve"> difference between the cost of leave liability on 30 June 2017 and 1 July 2017</w:t>
      </w:r>
      <w:r w:rsidR="00F374BF" w:rsidRPr="00027FFA">
        <w:rPr>
          <w:rFonts w:ascii="Verdana" w:hAnsi="Verdana"/>
          <w:sz w:val="20"/>
          <w:szCs w:val="20"/>
        </w:rPr>
        <w:t>,</w:t>
      </w:r>
      <w:r w:rsidR="00186125" w:rsidRPr="00027FFA">
        <w:rPr>
          <w:rFonts w:ascii="Verdana" w:hAnsi="Verdana"/>
          <w:sz w:val="20"/>
          <w:szCs w:val="20"/>
        </w:rPr>
        <w:t xml:space="preserve"> up to </w:t>
      </w:r>
      <w:r w:rsidR="00B2364A">
        <w:rPr>
          <w:rFonts w:ascii="Verdana" w:hAnsi="Verdana"/>
          <w:sz w:val="20"/>
          <w:szCs w:val="20"/>
        </w:rPr>
        <w:t>a maximum of 160 hours per full-</w:t>
      </w:r>
      <w:r w:rsidR="00186125" w:rsidRPr="00027FFA">
        <w:rPr>
          <w:rFonts w:ascii="Verdana" w:hAnsi="Verdana"/>
          <w:sz w:val="20"/>
          <w:szCs w:val="20"/>
        </w:rPr>
        <w:t>time employee.</w:t>
      </w:r>
    </w:p>
    <w:p w14:paraId="5F528685" w14:textId="77777777" w:rsidR="00E84F01" w:rsidRPr="005C0844" w:rsidRDefault="00E84F01"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Advance funding</w:t>
      </w:r>
    </w:p>
    <w:p w14:paraId="4848CF33" w14:textId="77777777" w:rsidR="00B2364A" w:rsidRPr="00B2364A" w:rsidRDefault="00B2364A" w:rsidP="00B2364A">
      <w:pPr>
        <w:spacing w:after="240" w:line="240" w:lineRule="auto"/>
        <w:rPr>
          <w:rFonts w:ascii="Verdana" w:hAnsi="Verdana"/>
          <w:sz w:val="20"/>
          <w:szCs w:val="20"/>
        </w:rPr>
      </w:pPr>
      <w:r w:rsidRPr="00B2364A">
        <w:rPr>
          <w:rFonts w:ascii="Verdana" w:hAnsi="Verdana"/>
          <w:sz w:val="20"/>
          <w:szCs w:val="20"/>
        </w:rPr>
        <w:t>Three months’ advance funding (July –Dec 2018) will be made at the same time as the retrospective funding and the one-off funding for increased leave liability to ensure providers have sufficient funding to cover payment of the new rates to workers.</w:t>
      </w:r>
    </w:p>
    <w:p w14:paraId="728F80BE" w14:textId="77777777" w:rsidR="00186125" w:rsidRPr="005C0844" w:rsidRDefault="00186125" w:rsidP="003662FC">
      <w:pPr>
        <w:pStyle w:val="Heading3"/>
        <w:shd w:val="clear" w:color="auto" w:fill="FFFFFF"/>
        <w:spacing w:line="240" w:lineRule="auto"/>
        <w:rPr>
          <w:rFonts w:ascii="Verdana" w:hAnsi="Verdana"/>
          <w:sz w:val="24"/>
          <w:szCs w:val="20"/>
          <w:lang w:val="en"/>
        </w:rPr>
      </w:pPr>
      <w:r w:rsidRPr="005C0844">
        <w:rPr>
          <w:rFonts w:ascii="Verdana" w:hAnsi="Verdana"/>
          <w:sz w:val="24"/>
          <w:szCs w:val="20"/>
          <w:lang w:val="en"/>
        </w:rPr>
        <w:t>Wash-up and future funding</w:t>
      </w:r>
    </w:p>
    <w:p w14:paraId="064B00F2" w14:textId="377BC26C" w:rsidR="00186125" w:rsidRPr="00027FFA" w:rsidRDefault="00186125" w:rsidP="00B2364A">
      <w:pPr>
        <w:spacing w:after="240" w:line="240" w:lineRule="auto"/>
        <w:rPr>
          <w:rFonts w:ascii="Verdana" w:hAnsi="Verdana"/>
          <w:sz w:val="20"/>
          <w:szCs w:val="20"/>
        </w:rPr>
      </w:pPr>
      <w:r w:rsidRPr="00027FFA">
        <w:rPr>
          <w:rFonts w:ascii="Verdana" w:hAnsi="Verdana"/>
          <w:sz w:val="20"/>
          <w:szCs w:val="20"/>
        </w:rPr>
        <w:t>The workforce data provided by em</w:t>
      </w:r>
      <w:r w:rsidR="00B2364A">
        <w:rPr>
          <w:rFonts w:ascii="Verdana" w:hAnsi="Verdana"/>
          <w:sz w:val="20"/>
          <w:szCs w:val="20"/>
        </w:rPr>
        <w:t xml:space="preserve">ployers in May 2018 enabled MSD </w:t>
      </w:r>
      <w:r w:rsidRPr="00027FFA">
        <w:rPr>
          <w:rFonts w:ascii="Verdana" w:hAnsi="Verdana"/>
          <w:sz w:val="20"/>
          <w:szCs w:val="20"/>
        </w:rPr>
        <w:t>to estim</w:t>
      </w:r>
      <w:r w:rsidR="00185977" w:rsidRPr="00027FFA">
        <w:rPr>
          <w:rFonts w:ascii="Verdana" w:hAnsi="Verdana"/>
          <w:sz w:val="20"/>
          <w:szCs w:val="20"/>
        </w:rPr>
        <w:t>ate the additional cost of the settlement a</w:t>
      </w:r>
      <w:r w:rsidRPr="00027FFA">
        <w:rPr>
          <w:rFonts w:ascii="Verdana" w:hAnsi="Verdana"/>
          <w:sz w:val="20"/>
          <w:szCs w:val="20"/>
        </w:rPr>
        <w:t xml:space="preserve">greement to employers.  A wash-up process will occur </w:t>
      </w:r>
      <w:r w:rsidR="00751902">
        <w:rPr>
          <w:rFonts w:ascii="Verdana" w:hAnsi="Verdana"/>
          <w:sz w:val="20"/>
          <w:szCs w:val="20"/>
        </w:rPr>
        <w:t>later this calendar year</w:t>
      </w:r>
      <w:r w:rsidRPr="00027FFA">
        <w:rPr>
          <w:rFonts w:ascii="Verdana" w:hAnsi="Verdana"/>
          <w:sz w:val="20"/>
          <w:szCs w:val="20"/>
        </w:rPr>
        <w:t xml:space="preserve"> to adjust the estimate to the actual costs.  </w:t>
      </w:r>
    </w:p>
    <w:p w14:paraId="535F6476" w14:textId="77777777" w:rsidR="002B344E" w:rsidRPr="00027FFA" w:rsidRDefault="001A7934" w:rsidP="003662FC">
      <w:pPr>
        <w:pStyle w:val="Heading2"/>
        <w:spacing w:line="240" w:lineRule="auto"/>
        <w:rPr>
          <w:rFonts w:ascii="Verdana" w:hAnsi="Verdana"/>
          <w:sz w:val="28"/>
        </w:rPr>
      </w:pPr>
      <w:r w:rsidRPr="00027FFA">
        <w:rPr>
          <w:rFonts w:ascii="Verdana" w:hAnsi="Verdana"/>
          <w:sz w:val="28"/>
        </w:rPr>
        <w:t>Training</w:t>
      </w:r>
    </w:p>
    <w:p w14:paraId="0D9DE1CE" w14:textId="792386F4" w:rsidR="004B2D04" w:rsidRPr="00B2364A" w:rsidRDefault="00FC6FA7" w:rsidP="00182655">
      <w:pPr>
        <w:spacing w:line="240" w:lineRule="auto"/>
        <w:rPr>
          <w:rFonts w:ascii="Verdana" w:hAnsi="Verdana"/>
          <w:sz w:val="20"/>
        </w:rPr>
      </w:pPr>
      <w:r w:rsidRPr="00027FFA">
        <w:rPr>
          <w:rFonts w:ascii="Verdana" w:hAnsi="Verdana" w:cs="Georgia"/>
          <w:color w:val="000000"/>
          <w:sz w:val="20"/>
          <w:szCs w:val="20"/>
        </w:rPr>
        <w:t xml:space="preserve">The </w:t>
      </w:r>
      <w:r w:rsidR="00F129EF">
        <w:rPr>
          <w:rFonts w:ascii="Verdana" w:hAnsi="Verdana" w:cs="Georgia"/>
          <w:color w:val="000000"/>
          <w:sz w:val="20"/>
          <w:szCs w:val="20"/>
        </w:rPr>
        <w:t>Mental Health and Addiction</w:t>
      </w:r>
      <w:r w:rsidRPr="00027FFA">
        <w:rPr>
          <w:rFonts w:ascii="Verdana" w:hAnsi="Verdana" w:cs="Georgia"/>
          <w:color w:val="000000"/>
          <w:sz w:val="20"/>
          <w:szCs w:val="20"/>
        </w:rPr>
        <w:t xml:space="preserve"> Support Worker (Pay Equity) Settlement Act </w:t>
      </w:r>
      <w:r w:rsidR="004B2D04" w:rsidRPr="00027FFA">
        <w:rPr>
          <w:rFonts w:ascii="Verdana" w:hAnsi="Verdana" w:cs="Arial"/>
          <w:sz w:val="20"/>
          <w:szCs w:val="20"/>
          <w:lang w:val="en"/>
        </w:rPr>
        <w:t>require</w:t>
      </w:r>
      <w:r w:rsidR="00255113" w:rsidRPr="00027FFA">
        <w:rPr>
          <w:rFonts w:ascii="Verdana" w:hAnsi="Verdana" w:cs="Arial"/>
          <w:sz w:val="20"/>
          <w:szCs w:val="20"/>
          <w:lang w:val="en"/>
        </w:rPr>
        <w:t>s</w:t>
      </w:r>
      <w:r w:rsidR="004B2D04" w:rsidRPr="00027FFA">
        <w:rPr>
          <w:rFonts w:ascii="Verdana" w:hAnsi="Verdana" w:cs="Arial"/>
          <w:sz w:val="20"/>
          <w:szCs w:val="20"/>
          <w:lang w:val="en"/>
        </w:rPr>
        <w:t xml:space="preserve"> employers to provide support to enable workers covered by the settlement to reach the following </w:t>
      </w:r>
      <w:r w:rsidR="00341610" w:rsidRPr="00027FFA">
        <w:rPr>
          <w:rFonts w:ascii="Verdana" w:hAnsi="Verdana" w:cs="Arial"/>
          <w:sz w:val="20"/>
          <w:szCs w:val="20"/>
          <w:lang w:val="en"/>
        </w:rPr>
        <w:t>level</w:t>
      </w:r>
      <w:r w:rsidR="007C53D3" w:rsidRPr="00027FFA">
        <w:rPr>
          <w:rFonts w:ascii="Verdana" w:hAnsi="Verdana" w:cs="Arial"/>
          <w:sz w:val="20"/>
          <w:szCs w:val="20"/>
          <w:lang w:val="en"/>
        </w:rPr>
        <w:t>s</w:t>
      </w:r>
      <w:r w:rsidR="00341610" w:rsidRPr="00027FFA">
        <w:rPr>
          <w:rFonts w:ascii="Verdana" w:hAnsi="Verdana" w:cs="Arial"/>
          <w:sz w:val="20"/>
          <w:szCs w:val="20"/>
          <w:lang w:val="en"/>
        </w:rPr>
        <w:t xml:space="preserve"> on the</w:t>
      </w:r>
      <w:r w:rsidR="007C53D3" w:rsidRPr="00027FFA">
        <w:rPr>
          <w:rFonts w:ascii="Verdana" w:hAnsi="Verdana" w:cs="Arial"/>
          <w:sz w:val="20"/>
          <w:szCs w:val="20"/>
          <w:lang w:val="en"/>
        </w:rPr>
        <w:t xml:space="preserve"> </w:t>
      </w:r>
      <w:r w:rsidR="004B2D04" w:rsidRPr="00027FFA">
        <w:rPr>
          <w:rFonts w:ascii="Verdana" w:hAnsi="Verdana" w:cs="Arial"/>
          <w:sz w:val="20"/>
          <w:szCs w:val="20"/>
          <w:lang w:val="en"/>
        </w:rPr>
        <w:t xml:space="preserve">NZ </w:t>
      </w:r>
      <w:r w:rsidR="004B2D04" w:rsidRPr="00B2364A">
        <w:rPr>
          <w:rFonts w:ascii="Verdana" w:hAnsi="Verdana"/>
          <w:sz w:val="20"/>
        </w:rPr>
        <w:t xml:space="preserve">Qualifications Authority Health and Wellbeing Certificate (or </w:t>
      </w:r>
      <w:r w:rsidR="00341610" w:rsidRPr="00B2364A">
        <w:rPr>
          <w:rFonts w:ascii="Verdana" w:hAnsi="Verdana"/>
          <w:sz w:val="20"/>
        </w:rPr>
        <w:t>its</w:t>
      </w:r>
      <w:r w:rsidR="004B2D04" w:rsidRPr="00B2364A">
        <w:rPr>
          <w:rFonts w:ascii="Verdana" w:hAnsi="Verdana"/>
          <w:sz w:val="20"/>
        </w:rPr>
        <w:t xml:space="preserve"> equivalent):</w:t>
      </w:r>
    </w:p>
    <w:p w14:paraId="7CEC54A1" w14:textId="77777777" w:rsidR="004B2D04" w:rsidRPr="00B2364A" w:rsidRDefault="004B2D04" w:rsidP="00182655">
      <w:pPr>
        <w:pStyle w:val="ListParagraph"/>
        <w:numPr>
          <w:ilvl w:val="0"/>
          <w:numId w:val="39"/>
        </w:numPr>
        <w:spacing w:line="240" w:lineRule="auto"/>
        <w:rPr>
          <w:rFonts w:ascii="Verdana" w:hAnsi="Verdana"/>
          <w:sz w:val="20"/>
        </w:rPr>
      </w:pPr>
      <w:r w:rsidRPr="00B2364A">
        <w:rPr>
          <w:rFonts w:ascii="Verdana" w:hAnsi="Verdana"/>
          <w:sz w:val="20"/>
        </w:rPr>
        <w:t>Level 2 NZ Certificate – within 12 months of employment,</w:t>
      </w:r>
    </w:p>
    <w:p w14:paraId="1177988E" w14:textId="77777777" w:rsidR="004B2D04" w:rsidRPr="00B2364A" w:rsidRDefault="004B2D04" w:rsidP="00182655">
      <w:pPr>
        <w:pStyle w:val="ListParagraph"/>
        <w:numPr>
          <w:ilvl w:val="0"/>
          <w:numId w:val="39"/>
        </w:numPr>
        <w:spacing w:line="240" w:lineRule="auto"/>
        <w:rPr>
          <w:rFonts w:ascii="Verdana" w:hAnsi="Verdana"/>
          <w:sz w:val="20"/>
        </w:rPr>
      </w:pPr>
      <w:r w:rsidRPr="00B2364A">
        <w:rPr>
          <w:rFonts w:ascii="Verdana" w:hAnsi="Verdana"/>
          <w:sz w:val="20"/>
        </w:rPr>
        <w:t>Level 3 NZ Certificate – within 3 years of employment,</w:t>
      </w:r>
    </w:p>
    <w:p w14:paraId="34244100" w14:textId="77777777" w:rsidR="004B2D04" w:rsidRPr="00B2364A" w:rsidRDefault="004B2D04" w:rsidP="00182655">
      <w:pPr>
        <w:pStyle w:val="ListParagraph"/>
        <w:numPr>
          <w:ilvl w:val="0"/>
          <w:numId w:val="39"/>
        </w:numPr>
        <w:spacing w:line="240" w:lineRule="auto"/>
        <w:rPr>
          <w:rFonts w:ascii="Verdana" w:hAnsi="Verdana"/>
          <w:sz w:val="20"/>
        </w:rPr>
      </w:pPr>
      <w:r w:rsidRPr="00B2364A">
        <w:rPr>
          <w:rFonts w:ascii="Verdana" w:hAnsi="Verdana"/>
          <w:sz w:val="20"/>
        </w:rPr>
        <w:t>Level 4 NZ Certificate – within 6 years of employment.</w:t>
      </w:r>
    </w:p>
    <w:p w14:paraId="6DDE666D" w14:textId="77777777" w:rsidR="004B2D04" w:rsidRPr="00027FFA" w:rsidRDefault="004B2D04" w:rsidP="003662FC">
      <w:pPr>
        <w:pStyle w:val="NormalWeb"/>
        <w:shd w:val="clear" w:color="auto" w:fill="FFFFFF"/>
        <w:spacing w:before="0" w:after="0"/>
        <w:rPr>
          <w:rFonts w:ascii="Verdana" w:hAnsi="Verdana" w:cs="Arial"/>
          <w:color w:val="002639"/>
          <w:sz w:val="20"/>
          <w:szCs w:val="20"/>
          <w:lang w:val="en"/>
        </w:rPr>
      </w:pPr>
    </w:p>
    <w:p w14:paraId="080C641A" w14:textId="77777777" w:rsidR="008320F7" w:rsidRPr="00027FFA" w:rsidRDefault="008320F7" w:rsidP="00182655">
      <w:pPr>
        <w:autoSpaceDE w:val="0"/>
        <w:autoSpaceDN w:val="0"/>
        <w:adjustRightInd w:val="0"/>
        <w:spacing w:after="240" w:line="240" w:lineRule="auto"/>
        <w:rPr>
          <w:rFonts w:ascii="Verdana" w:hAnsi="Verdana" w:cs="Georgia"/>
          <w:color w:val="000000"/>
          <w:sz w:val="20"/>
          <w:szCs w:val="20"/>
          <w:lang w:eastAsia="en-NZ"/>
        </w:rPr>
      </w:pPr>
      <w:r w:rsidRPr="00027FFA">
        <w:rPr>
          <w:rFonts w:ascii="Verdana" w:hAnsi="Verdana" w:cs="Georgia"/>
          <w:color w:val="000000"/>
          <w:sz w:val="20"/>
          <w:szCs w:val="20"/>
          <w:lang w:eastAsia="en-NZ"/>
        </w:rPr>
        <w:t xml:space="preserve">The Act states that providers must “take all reasonably practical steps to ensure a care and support worker is able to attain" the NZQA Health </w:t>
      </w:r>
      <w:r w:rsidR="00566798" w:rsidRPr="00027FFA">
        <w:rPr>
          <w:rFonts w:ascii="Verdana" w:hAnsi="Verdana" w:cs="Georgia"/>
          <w:color w:val="000000"/>
          <w:sz w:val="20"/>
          <w:szCs w:val="20"/>
          <w:lang w:eastAsia="en-NZ"/>
        </w:rPr>
        <w:t>and</w:t>
      </w:r>
      <w:r w:rsidRPr="00027FFA">
        <w:rPr>
          <w:rFonts w:ascii="Verdana" w:hAnsi="Verdana" w:cs="Georgia"/>
          <w:color w:val="000000"/>
          <w:sz w:val="20"/>
          <w:szCs w:val="20"/>
          <w:lang w:eastAsia="en-NZ"/>
        </w:rPr>
        <w:t xml:space="preserve"> Wellbeing Certificate Level 2, 3 or 4 qualifications. </w:t>
      </w:r>
    </w:p>
    <w:p w14:paraId="7D4CC943" w14:textId="2B84758A" w:rsidR="00E72D6F" w:rsidRDefault="008320F7" w:rsidP="00182655">
      <w:pPr>
        <w:autoSpaceDE w:val="0"/>
        <w:autoSpaceDN w:val="0"/>
        <w:adjustRightInd w:val="0"/>
        <w:spacing w:after="240" w:line="240" w:lineRule="auto"/>
        <w:rPr>
          <w:rFonts w:ascii="Verdana" w:hAnsi="Verdana" w:cs="Georgia"/>
          <w:color w:val="000000"/>
          <w:sz w:val="20"/>
          <w:szCs w:val="20"/>
          <w:lang w:eastAsia="en-NZ"/>
        </w:rPr>
      </w:pPr>
      <w:r w:rsidRPr="00027FFA">
        <w:rPr>
          <w:rFonts w:ascii="Verdana" w:hAnsi="Verdana" w:cs="Georgia"/>
          <w:color w:val="000000"/>
          <w:sz w:val="20"/>
          <w:szCs w:val="20"/>
          <w:lang w:eastAsia="en-NZ"/>
        </w:rPr>
        <w:t xml:space="preserve">What is “reasonably practical” depends on the circumstances. </w:t>
      </w:r>
      <w:r w:rsidR="00182655">
        <w:rPr>
          <w:rFonts w:ascii="Verdana" w:hAnsi="Verdana" w:cs="Georgia"/>
          <w:color w:val="000000"/>
          <w:sz w:val="20"/>
          <w:szCs w:val="20"/>
          <w:lang w:eastAsia="en-NZ"/>
        </w:rPr>
        <w:t>A flexible</w:t>
      </w:r>
      <w:r w:rsidRPr="00027FFA">
        <w:rPr>
          <w:rFonts w:ascii="Verdana" w:hAnsi="Verdana" w:cs="Georgia"/>
          <w:color w:val="000000"/>
          <w:sz w:val="20"/>
          <w:szCs w:val="20"/>
          <w:lang w:eastAsia="en-NZ"/>
        </w:rPr>
        <w:t xml:space="preserve"> approach suited to the needs of the workers and the clients</w:t>
      </w:r>
      <w:r w:rsidR="00182655">
        <w:rPr>
          <w:rFonts w:ascii="Verdana" w:hAnsi="Verdana" w:cs="Georgia"/>
          <w:color w:val="000000"/>
          <w:sz w:val="20"/>
          <w:szCs w:val="20"/>
          <w:lang w:eastAsia="en-NZ"/>
        </w:rPr>
        <w:t xml:space="preserve"> is expected</w:t>
      </w:r>
      <w:r w:rsidRPr="00027FFA">
        <w:rPr>
          <w:rFonts w:ascii="Verdana" w:hAnsi="Verdana" w:cs="Georgia"/>
          <w:color w:val="000000"/>
          <w:sz w:val="20"/>
          <w:szCs w:val="20"/>
          <w:lang w:eastAsia="en-NZ"/>
        </w:rPr>
        <w:t>.</w:t>
      </w:r>
      <w:r w:rsidR="000B3112">
        <w:rPr>
          <w:rFonts w:ascii="Verdana" w:hAnsi="Verdana" w:cs="Georgia"/>
          <w:color w:val="000000"/>
          <w:sz w:val="20"/>
          <w:szCs w:val="20"/>
          <w:lang w:eastAsia="en-NZ"/>
        </w:rPr>
        <w:t xml:space="preserve"> </w:t>
      </w:r>
      <w:r w:rsidR="004E106E" w:rsidRPr="00027FFA">
        <w:rPr>
          <w:rFonts w:ascii="Verdana" w:hAnsi="Verdana" w:cs="Georgia"/>
          <w:color w:val="000000"/>
          <w:sz w:val="20"/>
          <w:szCs w:val="20"/>
          <w:lang w:eastAsia="en-NZ"/>
        </w:rPr>
        <w:t xml:space="preserve">It </w:t>
      </w:r>
      <w:r w:rsidRPr="00027FFA">
        <w:rPr>
          <w:rFonts w:ascii="Verdana" w:hAnsi="Verdana" w:cs="Georgia"/>
          <w:color w:val="000000"/>
          <w:sz w:val="20"/>
          <w:szCs w:val="20"/>
          <w:lang w:eastAsia="en-NZ"/>
        </w:rPr>
        <w:t>include</w:t>
      </w:r>
      <w:r w:rsidR="003D1081" w:rsidRPr="00027FFA">
        <w:rPr>
          <w:rFonts w:ascii="Verdana" w:hAnsi="Verdana" w:cs="Georgia"/>
          <w:color w:val="000000"/>
          <w:sz w:val="20"/>
          <w:szCs w:val="20"/>
          <w:lang w:eastAsia="en-NZ"/>
        </w:rPr>
        <w:t>s</w:t>
      </w:r>
      <w:r w:rsidRPr="00027FFA">
        <w:rPr>
          <w:rFonts w:ascii="Verdana" w:hAnsi="Verdana" w:cs="Georgia"/>
          <w:color w:val="000000"/>
          <w:sz w:val="20"/>
          <w:szCs w:val="20"/>
          <w:lang w:eastAsia="en-NZ"/>
        </w:rPr>
        <w:t xml:space="preserve"> facilitating online and on-the-job training, time off for training and examinations, course fees, and the like. </w:t>
      </w:r>
    </w:p>
    <w:p w14:paraId="6488F1D0" w14:textId="77777777" w:rsidR="00986A64" w:rsidRPr="00010157" w:rsidRDefault="004E795C" w:rsidP="00010157">
      <w:pPr>
        <w:pStyle w:val="Heading2"/>
        <w:spacing w:line="240" w:lineRule="auto"/>
        <w:rPr>
          <w:rFonts w:ascii="Verdana" w:hAnsi="Verdana"/>
          <w:sz w:val="28"/>
        </w:rPr>
      </w:pPr>
      <w:r w:rsidRPr="00010157">
        <w:rPr>
          <w:rFonts w:ascii="Verdana" w:hAnsi="Verdana"/>
          <w:sz w:val="28"/>
        </w:rPr>
        <w:t>Implementation</w:t>
      </w:r>
    </w:p>
    <w:p w14:paraId="5EA004AE" w14:textId="77777777" w:rsidR="00E72D6F" w:rsidRPr="00010157" w:rsidRDefault="005E6C2E" w:rsidP="00010157">
      <w:pPr>
        <w:pStyle w:val="Heading3"/>
        <w:shd w:val="clear" w:color="auto" w:fill="FFFFFF"/>
        <w:spacing w:line="240" w:lineRule="auto"/>
        <w:rPr>
          <w:rFonts w:ascii="Verdana" w:hAnsi="Verdana"/>
          <w:sz w:val="24"/>
          <w:szCs w:val="20"/>
          <w:lang w:val="en"/>
        </w:rPr>
      </w:pPr>
      <w:r w:rsidRPr="00010157">
        <w:rPr>
          <w:rFonts w:ascii="Verdana" w:hAnsi="Verdana"/>
          <w:sz w:val="24"/>
          <w:szCs w:val="20"/>
          <w:lang w:val="en"/>
        </w:rPr>
        <w:t>Employees’</w:t>
      </w:r>
      <w:r w:rsidR="00E72D6F" w:rsidRPr="00010157">
        <w:rPr>
          <w:rFonts w:ascii="Verdana" w:hAnsi="Verdana"/>
          <w:sz w:val="24"/>
          <w:szCs w:val="20"/>
          <w:lang w:val="en"/>
        </w:rPr>
        <w:t xml:space="preserve"> other conditions of </w:t>
      </w:r>
      <w:r w:rsidRPr="00010157">
        <w:rPr>
          <w:rFonts w:ascii="Verdana" w:hAnsi="Verdana"/>
          <w:sz w:val="24"/>
          <w:szCs w:val="20"/>
          <w:lang w:val="en"/>
        </w:rPr>
        <w:t>employment</w:t>
      </w:r>
    </w:p>
    <w:p w14:paraId="61009765" w14:textId="77777777" w:rsidR="00755350" w:rsidRPr="00010157" w:rsidRDefault="00755350" w:rsidP="00010157">
      <w:pPr>
        <w:spacing w:after="240" w:line="240" w:lineRule="auto"/>
        <w:rPr>
          <w:rFonts w:ascii="Verdana" w:hAnsi="Verdana"/>
          <w:sz w:val="20"/>
          <w:lang w:eastAsia="en-NZ"/>
        </w:rPr>
      </w:pPr>
      <w:r w:rsidRPr="00010157">
        <w:rPr>
          <w:rFonts w:ascii="Verdana" w:hAnsi="Verdana"/>
          <w:sz w:val="20"/>
          <w:lang w:eastAsia="en-NZ"/>
        </w:rPr>
        <w:t>Generally, all other conditions of employment remain the same. However, service and qualification allowances have been extinguished because they have been replaced by the new qualifications-based pay structure. Weekend and penal rates in employment agreements remain but those that are calculated as a percentage of base pay have been converted to allowances.</w:t>
      </w:r>
    </w:p>
    <w:p w14:paraId="20DB3021" w14:textId="4CD2E3B1" w:rsidR="00755350" w:rsidRPr="00010157" w:rsidRDefault="00755350" w:rsidP="00010157">
      <w:pPr>
        <w:spacing w:after="240" w:line="240" w:lineRule="auto"/>
        <w:rPr>
          <w:rFonts w:ascii="Verdana" w:hAnsi="Verdana"/>
          <w:sz w:val="20"/>
          <w:lang w:eastAsia="en-NZ"/>
        </w:rPr>
      </w:pPr>
      <w:r w:rsidRPr="00010157">
        <w:rPr>
          <w:rFonts w:ascii="Verdana" w:hAnsi="Verdana"/>
          <w:sz w:val="20"/>
          <w:lang w:eastAsia="en-NZ"/>
        </w:rPr>
        <w:t>The Mental Health and Addiction</w:t>
      </w:r>
      <w:r w:rsidR="00B11D15">
        <w:rPr>
          <w:rFonts w:ascii="Verdana" w:hAnsi="Verdana"/>
          <w:sz w:val="20"/>
          <w:lang w:eastAsia="en-NZ"/>
        </w:rPr>
        <w:t xml:space="preserve"> Support</w:t>
      </w:r>
      <w:r w:rsidRPr="00010157">
        <w:rPr>
          <w:rFonts w:ascii="Verdana" w:hAnsi="Verdana"/>
          <w:sz w:val="20"/>
          <w:lang w:eastAsia="en-NZ"/>
        </w:rPr>
        <w:t xml:space="preserve"> Worker (Pay Equity) Settlement Act provides that weekend and night penal rates that were expressed as a percentage prior to the commencement of the Act must be converted to a flat rate dollar value. For example, if the base hourly rate prior to pay equity was $18 and the penal rate was an additional 50 </w:t>
      </w:r>
      <w:proofErr w:type="spellStart"/>
      <w:r w:rsidRPr="00010157">
        <w:rPr>
          <w:rFonts w:ascii="Verdana" w:hAnsi="Verdana"/>
          <w:sz w:val="20"/>
          <w:lang w:eastAsia="en-NZ"/>
        </w:rPr>
        <w:t>percent</w:t>
      </w:r>
      <w:proofErr w:type="spellEnd"/>
      <w:r w:rsidRPr="00010157">
        <w:rPr>
          <w:rFonts w:ascii="Verdana" w:hAnsi="Verdana"/>
          <w:sz w:val="20"/>
          <w:lang w:eastAsia="en-NZ"/>
        </w:rPr>
        <w:t>, then the penal rate after 1 July 2017 is $9.</w:t>
      </w:r>
    </w:p>
    <w:p w14:paraId="783DB11E" w14:textId="28CA803F" w:rsidR="00755350" w:rsidRPr="00010157" w:rsidRDefault="00755350" w:rsidP="00010157">
      <w:pPr>
        <w:spacing w:after="240" w:line="240" w:lineRule="auto"/>
        <w:rPr>
          <w:rFonts w:ascii="Verdana" w:hAnsi="Verdana"/>
          <w:sz w:val="20"/>
          <w:lang w:eastAsia="en-NZ"/>
        </w:rPr>
      </w:pPr>
      <w:r w:rsidRPr="00010157">
        <w:rPr>
          <w:rFonts w:ascii="Verdana" w:hAnsi="Verdana"/>
          <w:sz w:val="20"/>
          <w:lang w:eastAsia="en-NZ"/>
        </w:rPr>
        <w:lastRenderedPageBreak/>
        <w:t xml:space="preserve">For employees who commenced after 1 July 2017, providers need to make a business decision about weekend and night penal rates. Factors to consider may </w:t>
      </w:r>
      <w:proofErr w:type="gramStart"/>
      <w:r w:rsidRPr="00010157">
        <w:rPr>
          <w:rFonts w:ascii="Verdana" w:hAnsi="Verdana"/>
          <w:sz w:val="20"/>
          <w:lang w:eastAsia="en-NZ"/>
        </w:rPr>
        <w:t>include,</w:t>
      </w:r>
      <w:proofErr w:type="gramEnd"/>
      <w:r w:rsidRPr="00010157">
        <w:rPr>
          <w:rFonts w:ascii="Verdana" w:hAnsi="Verdana"/>
          <w:sz w:val="20"/>
          <w:lang w:eastAsia="en-NZ"/>
        </w:rPr>
        <w:t xml:space="preserve"> any business imperatives, fairness and equity considerations</w:t>
      </w:r>
      <w:r w:rsidR="00B11D15">
        <w:rPr>
          <w:rFonts w:ascii="Verdana" w:hAnsi="Verdana"/>
          <w:sz w:val="20"/>
          <w:lang w:eastAsia="en-NZ"/>
        </w:rPr>
        <w:t>,</w:t>
      </w:r>
      <w:r w:rsidRPr="00010157">
        <w:rPr>
          <w:rFonts w:ascii="Verdana" w:hAnsi="Verdana"/>
          <w:sz w:val="20"/>
          <w:lang w:eastAsia="en-NZ"/>
        </w:rPr>
        <w:t xml:space="preserve"> and any relevant contractual and statutory obligations. Potential options include paying a dollar value penal rate based on the base hourly rate that would have applied to that employee prior to 1 July 2017, or some other option that meets all statutory and contractual obligations. </w:t>
      </w:r>
    </w:p>
    <w:p w14:paraId="71C348FA" w14:textId="77777777" w:rsidR="005706A1" w:rsidRPr="00010157" w:rsidRDefault="007B57F9" w:rsidP="00010157">
      <w:pPr>
        <w:pStyle w:val="Heading3"/>
        <w:shd w:val="clear" w:color="auto" w:fill="FFFFFF"/>
        <w:spacing w:line="240" w:lineRule="auto"/>
        <w:rPr>
          <w:rFonts w:ascii="Verdana" w:hAnsi="Verdana"/>
          <w:sz w:val="24"/>
          <w:szCs w:val="20"/>
          <w:lang w:val="en"/>
        </w:rPr>
      </w:pPr>
      <w:r w:rsidRPr="00010157">
        <w:rPr>
          <w:rFonts w:ascii="Verdana" w:hAnsi="Verdana"/>
          <w:sz w:val="24"/>
          <w:szCs w:val="20"/>
          <w:lang w:val="en"/>
        </w:rPr>
        <w:t>P</w:t>
      </w:r>
      <w:r w:rsidR="005E6C2E" w:rsidRPr="00010157">
        <w:rPr>
          <w:rFonts w:ascii="Verdana" w:hAnsi="Verdana"/>
          <w:sz w:val="24"/>
          <w:szCs w:val="20"/>
          <w:lang w:val="en"/>
        </w:rPr>
        <w:t xml:space="preserve">ay rates </w:t>
      </w:r>
      <w:r w:rsidRPr="00010157">
        <w:rPr>
          <w:rFonts w:ascii="Verdana" w:hAnsi="Verdana"/>
          <w:sz w:val="24"/>
          <w:szCs w:val="20"/>
          <w:lang w:val="en"/>
        </w:rPr>
        <w:t>for employees</w:t>
      </w:r>
      <w:r w:rsidR="005706A1" w:rsidRPr="00010157">
        <w:rPr>
          <w:rFonts w:ascii="Verdana" w:hAnsi="Verdana"/>
          <w:sz w:val="24"/>
          <w:szCs w:val="20"/>
          <w:lang w:val="en"/>
        </w:rPr>
        <w:t xml:space="preserve"> </w:t>
      </w:r>
      <w:r w:rsidRPr="00010157">
        <w:rPr>
          <w:rFonts w:ascii="Verdana" w:hAnsi="Verdana"/>
          <w:sz w:val="24"/>
          <w:szCs w:val="20"/>
          <w:lang w:val="en"/>
        </w:rPr>
        <w:t xml:space="preserve">who perform both </w:t>
      </w:r>
      <w:proofErr w:type="spellStart"/>
      <w:r w:rsidRPr="00010157">
        <w:rPr>
          <w:rFonts w:ascii="Verdana" w:hAnsi="Verdana"/>
          <w:sz w:val="24"/>
          <w:szCs w:val="20"/>
          <w:lang w:val="en"/>
        </w:rPr>
        <w:t>elibible</w:t>
      </w:r>
      <w:proofErr w:type="spellEnd"/>
      <w:r w:rsidRPr="00010157">
        <w:rPr>
          <w:rFonts w:ascii="Verdana" w:hAnsi="Verdana"/>
          <w:sz w:val="24"/>
          <w:szCs w:val="20"/>
          <w:lang w:val="en"/>
        </w:rPr>
        <w:t xml:space="preserve"> and ineligible </w:t>
      </w:r>
      <w:r w:rsidR="005706A1" w:rsidRPr="00010157">
        <w:rPr>
          <w:rFonts w:ascii="Verdana" w:hAnsi="Verdana"/>
          <w:sz w:val="24"/>
          <w:szCs w:val="20"/>
          <w:lang w:val="en"/>
        </w:rPr>
        <w:t xml:space="preserve">services </w:t>
      </w:r>
    </w:p>
    <w:p w14:paraId="18084C44" w14:textId="77777777" w:rsidR="00755350" w:rsidRPr="00010157" w:rsidRDefault="00755350" w:rsidP="00010157">
      <w:pPr>
        <w:pStyle w:val="Heading2"/>
        <w:spacing w:before="0" w:line="240" w:lineRule="auto"/>
        <w:rPr>
          <w:rFonts w:ascii="Verdana" w:hAnsi="Verdana" w:cs="Times New Roman"/>
          <w:b w:val="0"/>
          <w:bCs w:val="0"/>
          <w:iCs w:val="0"/>
          <w:sz w:val="20"/>
          <w:szCs w:val="20"/>
          <w:lang w:eastAsia="en-NZ"/>
        </w:rPr>
      </w:pPr>
      <w:r w:rsidRPr="00010157">
        <w:rPr>
          <w:rFonts w:ascii="Verdana" w:hAnsi="Verdana" w:cs="Times New Roman"/>
          <w:b w:val="0"/>
          <w:bCs w:val="0"/>
          <w:iCs w:val="0"/>
          <w:sz w:val="20"/>
          <w:szCs w:val="20"/>
          <w:lang w:eastAsia="en-NZ"/>
        </w:rPr>
        <w:t xml:space="preserve">Employees can receive more than one pay rate. Employers must pay the in-scope services at the appropriate pay band when work is performed on these services. Out of scope services pay rates are a business decision for the provider. If these are at a separate rate, then this should be reflected by dual rates in the worker’s employment contract. </w:t>
      </w:r>
    </w:p>
    <w:p w14:paraId="1374D98B" w14:textId="77777777" w:rsidR="00755350" w:rsidRPr="00010157" w:rsidRDefault="00755350" w:rsidP="00010157">
      <w:pPr>
        <w:pStyle w:val="Heading2"/>
        <w:spacing w:line="240" w:lineRule="auto"/>
        <w:rPr>
          <w:rFonts w:ascii="Verdana" w:hAnsi="Verdana"/>
          <w:sz w:val="28"/>
        </w:rPr>
      </w:pPr>
      <w:r w:rsidRPr="00010157">
        <w:rPr>
          <w:rFonts w:ascii="Verdana" w:hAnsi="Verdana"/>
          <w:sz w:val="28"/>
        </w:rPr>
        <w:t>More information</w:t>
      </w:r>
    </w:p>
    <w:p w14:paraId="04CA775A" w14:textId="77777777" w:rsidR="00755350" w:rsidRPr="00010157" w:rsidRDefault="00755350" w:rsidP="00010157">
      <w:pPr>
        <w:pStyle w:val="Heading3"/>
        <w:spacing w:line="240" w:lineRule="auto"/>
        <w:rPr>
          <w:rFonts w:ascii="Verdana" w:hAnsi="Verdana"/>
          <w:sz w:val="24"/>
        </w:rPr>
      </w:pPr>
      <w:r w:rsidRPr="00010157">
        <w:rPr>
          <w:rFonts w:ascii="Verdana" w:hAnsi="Verdana"/>
          <w:sz w:val="24"/>
        </w:rPr>
        <w:t xml:space="preserve">Sleepover rates </w:t>
      </w:r>
    </w:p>
    <w:p w14:paraId="6651609B" w14:textId="77777777" w:rsidR="00755350" w:rsidRPr="00010157" w:rsidRDefault="00755350" w:rsidP="00010157">
      <w:pPr>
        <w:pStyle w:val="Heading2"/>
        <w:spacing w:before="0" w:line="240" w:lineRule="auto"/>
        <w:rPr>
          <w:rFonts w:ascii="Verdana" w:hAnsi="Verdana" w:cs="Times New Roman"/>
          <w:b w:val="0"/>
          <w:bCs w:val="0"/>
          <w:iCs w:val="0"/>
          <w:sz w:val="20"/>
          <w:szCs w:val="20"/>
          <w:lang w:eastAsia="en-NZ"/>
        </w:rPr>
      </w:pPr>
      <w:r w:rsidRPr="00010157">
        <w:rPr>
          <w:rFonts w:ascii="Verdana" w:hAnsi="Verdana" w:cs="Times New Roman"/>
          <w:b w:val="0"/>
          <w:bCs w:val="0"/>
          <w:iCs w:val="0"/>
          <w:sz w:val="20"/>
          <w:szCs w:val="20"/>
          <w:lang w:eastAsia="en-NZ"/>
        </w:rPr>
        <w:t xml:space="preserve">There have been a number of government </w:t>
      </w:r>
      <w:proofErr w:type="spellStart"/>
      <w:r w:rsidRPr="00010157">
        <w:rPr>
          <w:rFonts w:ascii="Verdana" w:hAnsi="Verdana" w:cs="Times New Roman"/>
          <w:b w:val="0"/>
          <w:bCs w:val="0"/>
          <w:iCs w:val="0"/>
          <w:sz w:val="20"/>
          <w:szCs w:val="20"/>
          <w:lang w:eastAsia="en-NZ"/>
        </w:rPr>
        <w:t>initiaties</w:t>
      </w:r>
      <w:proofErr w:type="spellEnd"/>
      <w:r w:rsidRPr="00010157">
        <w:rPr>
          <w:rFonts w:ascii="Verdana" w:hAnsi="Verdana" w:cs="Times New Roman"/>
          <w:b w:val="0"/>
          <w:bCs w:val="0"/>
          <w:iCs w:val="0"/>
          <w:sz w:val="20"/>
          <w:szCs w:val="20"/>
          <w:lang w:eastAsia="en-NZ"/>
        </w:rPr>
        <w:t xml:space="preserve"> in recent years that have resulted in payments based on minimum wage rates, in circumstances where there had previously been no payments. </w:t>
      </w:r>
    </w:p>
    <w:p w14:paraId="5CECDBD6" w14:textId="458BB7F8" w:rsidR="00755350" w:rsidRPr="00010157" w:rsidRDefault="00755350" w:rsidP="00010157">
      <w:pPr>
        <w:pStyle w:val="Heading2"/>
        <w:spacing w:before="0" w:line="240" w:lineRule="auto"/>
        <w:rPr>
          <w:rFonts w:ascii="Verdana" w:hAnsi="Verdana" w:cs="Times New Roman"/>
          <w:b w:val="0"/>
          <w:bCs w:val="0"/>
          <w:iCs w:val="0"/>
          <w:sz w:val="20"/>
          <w:szCs w:val="20"/>
          <w:lang w:eastAsia="en-NZ"/>
        </w:rPr>
      </w:pPr>
      <w:r w:rsidRPr="00010157">
        <w:rPr>
          <w:rFonts w:ascii="Verdana" w:hAnsi="Verdana" w:cs="Times New Roman"/>
          <w:b w:val="0"/>
          <w:bCs w:val="0"/>
          <w:iCs w:val="0"/>
          <w:sz w:val="20"/>
          <w:szCs w:val="20"/>
          <w:lang w:eastAsia="en-NZ"/>
        </w:rPr>
        <w:t>These include funded family care, sleep-over payments</w:t>
      </w:r>
      <w:r w:rsidR="00B11D15">
        <w:rPr>
          <w:rFonts w:ascii="Verdana" w:hAnsi="Verdana" w:cs="Times New Roman"/>
          <w:b w:val="0"/>
          <w:bCs w:val="0"/>
          <w:iCs w:val="0"/>
          <w:sz w:val="20"/>
          <w:szCs w:val="20"/>
          <w:lang w:eastAsia="en-NZ"/>
        </w:rPr>
        <w:t>,</w:t>
      </w:r>
      <w:r w:rsidRPr="00010157">
        <w:rPr>
          <w:rFonts w:ascii="Verdana" w:hAnsi="Verdana" w:cs="Times New Roman"/>
          <w:b w:val="0"/>
          <w:bCs w:val="0"/>
          <w:iCs w:val="0"/>
          <w:sz w:val="20"/>
          <w:szCs w:val="20"/>
          <w:lang w:eastAsia="en-NZ"/>
        </w:rPr>
        <w:t xml:space="preserve"> and in-between travel payments. All of these initiatives have been confirmed and protected by legislation. The legislation and funding arrangements for payment of sleepovers, in-between travel</w:t>
      </w:r>
      <w:r w:rsidR="00B11D15">
        <w:rPr>
          <w:rFonts w:ascii="Verdana" w:hAnsi="Verdana" w:cs="Times New Roman"/>
          <w:b w:val="0"/>
          <w:bCs w:val="0"/>
          <w:iCs w:val="0"/>
          <w:sz w:val="20"/>
          <w:szCs w:val="20"/>
          <w:lang w:eastAsia="en-NZ"/>
        </w:rPr>
        <w:t>,</w:t>
      </w:r>
      <w:r w:rsidRPr="00010157">
        <w:rPr>
          <w:rFonts w:ascii="Verdana" w:hAnsi="Verdana" w:cs="Times New Roman"/>
          <w:b w:val="0"/>
          <w:bCs w:val="0"/>
          <w:iCs w:val="0"/>
          <w:sz w:val="20"/>
          <w:szCs w:val="20"/>
          <w:lang w:eastAsia="en-NZ"/>
        </w:rPr>
        <w:t xml:space="preserve"> and funded family care have not been changed by the settlement and payment must continue at a minimum of the minimum wage. </w:t>
      </w:r>
    </w:p>
    <w:p w14:paraId="5FD4E297" w14:textId="286952A4" w:rsidR="00755350" w:rsidRPr="00010157" w:rsidRDefault="00010157" w:rsidP="00010157">
      <w:pPr>
        <w:pStyle w:val="Heading3"/>
        <w:spacing w:line="240" w:lineRule="auto"/>
        <w:rPr>
          <w:rFonts w:ascii="Verdana" w:hAnsi="Verdana"/>
          <w:sz w:val="24"/>
        </w:rPr>
      </w:pPr>
      <w:r>
        <w:rPr>
          <w:rFonts w:ascii="Verdana" w:hAnsi="Verdana"/>
          <w:sz w:val="24"/>
        </w:rPr>
        <w:t>S</w:t>
      </w:r>
      <w:r w:rsidR="00755350" w:rsidRPr="00010157">
        <w:rPr>
          <w:rFonts w:ascii="Verdana" w:hAnsi="Verdana"/>
          <w:sz w:val="24"/>
        </w:rPr>
        <w:t xml:space="preserve">upervisor or manager </w:t>
      </w:r>
      <w:r>
        <w:rPr>
          <w:rFonts w:ascii="Verdana" w:hAnsi="Verdana"/>
          <w:sz w:val="24"/>
        </w:rPr>
        <w:t>pay rates</w:t>
      </w:r>
    </w:p>
    <w:p w14:paraId="290E4DDC" w14:textId="5DD47EAF" w:rsidR="00755350" w:rsidRPr="00010157" w:rsidRDefault="00755350" w:rsidP="00010157">
      <w:pPr>
        <w:autoSpaceDE w:val="0"/>
        <w:autoSpaceDN w:val="0"/>
        <w:adjustRightInd w:val="0"/>
        <w:spacing w:after="240" w:line="240" w:lineRule="auto"/>
        <w:rPr>
          <w:rFonts w:ascii="Verdana" w:hAnsi="Verdana"/>
          <w:sz w:val="20"/>
          <w:lang w:eastAsia="en-NZ"/>
        </w:rPr>
      </w:pPr>
      <w:r w:rsidRPr="00010157">
        <w:rPr>
          <w:rFonts w:ascii="Verdana" w:hAnsi="Verdana"/>
          <w:sz w:val="20"/>
          <w:lang w:eastAsia="en-NZ"/>
        </w:rPr>
        <w:t>The settlement covers support workers. Supervisors are outside of the scope of this settlement. The pay rates supervisors and managers receive are a business decision for the provider</w:t>
      </w:r>
      <w:r w:rsidR="00010157">
        <w:rPr>
          <w:rFonts w:ascii="Verdana" w:hAnsi="Verdana"/>
          <w:sz w:val="20"/>
          <w:lang w:eastAsia="en-NZ"/>
        </w:rPr>
        <w:t xml:space="preserve"> and are not claimable under this agreement</w:t>
      </w:r>
      <w:r w:rsidRPr="00010157">
        <w:rPr>
          <w:rFonts w:ascii="Verdana" w:hAnsi="Verdana"/>
          <w:sz w:val="20"/>
          <w:lang w:eastAsia="en-NZ"/>
        </w:rPr>
        <w:t>.</w:t>
      </w:r>
    </w:p>
    <w:p w14:paraId="1F95F5FB" w14:textId="77777777" w:rsidR="00443D97" w:rsidRPr="00751902" w:rsidRDefault="00443D97" w:rsidP="00751902">
      <w:pPr>
        <w:autoSpaceDE w:val="0"/>
        <w:autoSpaceDN w:val="0"/>
        <w:adjustRightInd w:val="0"/>
        <w:spacing w:after="240" w:line="240" w:lineRule="auto"/>
        <w:rPr>
          <w:rFonts w:ascii="Verdana" w:hAnsi="Verdana" w:cs="Arial"/>
          <w:sz w:val="20"/>
          <w:szCs w:val="20"/>
          <w:lang w:val="en"/>
        </w:rPr>
      </w:pPr>
    </w:p>
    <w:sectPr w:rsidR="00443D97" w:rsidRPr="00751902" w:rsidSect="007F366E">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418" w:header="284" w:footer="42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D97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E150" w14:textId="77777777" w:rsidR="002A7943" w:rsidRDefault="002A7943">
      <w:r>
        <w:separator/>
      </w:r>
    </w:p>
  </w:endnote>
  <w:endnote w:type="continuationSeparator" w:id="0">
    <w:p w14:paraId="170613D2" w14:textId="77777777" w:rsidR="002A7943" w:rsidRDefault="002A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070C" w14:textId="77777777" w:rsidR="00F33114" w:rsidRDefault="00F33114" w:rsidP="002402CA">
    <w:pPr>
      <w:pStyle w:val="Footer"/>
      <w:pBdr>
        <w:top w:val="single" w:sz="4" w:space="4" w:color="auto"/>
      </w:pBdr>
      <w:tabs>
        <w:tab w:val="clear" w:pos="8647"/>
        <w:tab w:val="clear" w:pos="9356"/>
        <w:tab w:val="left" w:pos="1425"/>
      </w:tabs>
      <w:ind w:left="567" w:hanging="567"/>
    </w:pPr>
    <w:r>
      <w:rPr>
        <w:rStyle w:val="PageNumber"/>
      </w:rPr>
      <w:fldChar w:fldCharType="begin"/>
    </w:r>
    <w:r>
      <w:rPr>
        <w:rStyle w:val="PageNumber"/>
      </w:rPr>
      <w:instrText xml:space="preserve"> PAGE </w:instrText>
    </w:r>
    <w:r>
      <w:rPr>
        <w:rStyle w:val="PageNumber"/>
      </w:rPr>
      <w:fldChar w:fldCharType="separate"/>
    </w:r>
    <w:r w:rsidR="00225051">
      <w:rPr>
        <w:rStyle w:val="PageNumber"/>
        <w:noProof/>
      </w:rPr>
      <w:t>2</w:t>
    </w:r>
    <w:r>
      <w:rPr>
        <w:rStyle w:val="PageNumber"/>
      </w:rPr>
      <w:fldChar w:fldCharType="end"/>
    </w:r>
    <w:r>
      <w:rPr>
        <w:rStyle w:val="PageNumber"/>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7632" w14:textId="77777777" w:rsidR="00F33114" w:rsidRPr="00343CC9" w:rsidRDefault="00F33114" w:rsidP="007F366E">
    <w:pPr>
      <w:pStyle w:val="Footer"/>
      <w:pBdr>
        <w:top w:val="single" w:sz="4" w:space="4" w:color="auto"/>
      </w:pBdr>
    </w:pPr>
    <w:r>
      <w:tab/>
    </w:r>
    <w:r>
      <w:tab/>
    </w:r>
    <w:r>
      <w:rPr>
        <w:rStyle w:val="PageNumber"/>
      </w:rPr>
      <w:fldChar w:fldCharType="begin"/>
    </w:r>
    <w:r>
      <w:rPr>
        <w:rStyle w:val="PageNumber"/>
      </w:rPr>
      <w:instrText xml:space="preserve"> PAGE </w:instrText>
    </w:r>
    <w:r>
      <w:rPr>
        <w:rStyle w:val="PageNumber"/>
      </w:rPr>
      <w:fldChar w:fldCharType="separate"/>
    </w:r>
    <w:r w:rsidR="00225051">
      <w:rPr>
        <w:rStyle w:val="PageNumber"/>
        <w:noProof/>
      </w:rPr>
      <w:t>7</w:t>
    </w:r>
    <w:r>
      <w:rPr>
        <w:rStyle w:val="PageNumber"/>
      </w:rPr>
      <w:fldChar w:fldCharType="end"/>
    </w:r>
    <w:r>
      <w:br/>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90D4" w14:textId="77777777" w:rsidR="00F33114" w:rsidRDefault="00F33114" w:rsidP="007F366E">
    <w:pPr>
      <w:pStyle w:val="Footer"/>
      <w:pBdr>
        <w:top w:val="single" w:sz="4" w:space="4" w:color="auto"/>
      </w:pBdr>
    </w:pPr>
    <w:r>
      <w:tab/>
    </w:r>
    <w:r>
      <w:tab/>
    </w:r>
    <w:r>
      <w:rPr>
        <w:rStyle w:val="PageNumber"/>
      </w:rPr>
      <w:fldChar w:fldCharType="begin"/>
    </w:r>
    <w:r>
      <w:rPr>
        <w:rStyle w:val="PageNumber"/>
      </w:rPr>
      <w:instrText xml:space="preserve"> PAGE </w:instrText>
    </w:r>
    <w:r>
      <w:rPr>
        <w:rStyle w:val="PageNumber"/>
      </w:rPr>
      <w:fldChar w:fldCharType="separate"/>
    </w:r>
    <w:r w:rsidR="0022505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74A65" w14:textId="77777777" w:rsidR="002A7943" w:rsidRPr="00680D2D" w:rsidRDefault="002A7943" w:rsidP="00680D2D">
      <w:pPr>
        <w:pStyle w:val="Footer"/>
      </w:pPr>
    </w:p>
  </w:footnote>
  <w:footnote w:type="continuationSeparator" w:id="0">
    <w:p w14:paraId="72F6D0CC" w14:textId="77777777" w:rsidR="002A7943" w:rsidRDefault="002A7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709B" w14:textId="67ADC434" w:rsidR="00E4662C" w:rsidRDefault="00E46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F31BB" w14:textId="104CFF19" w:rsidR="00E4662C" w:rsidRDefault="00E46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C2C56" w14:textId="2FCD07B7" w:rsidR="00F33114" w:rsidRDefault="00F33114" w:rsidP="0092659B">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FAFF48"/>
    <w:lvl w:ilvl="0">
      <w:start w:val="1"/>
      <w:numFmt w:val="bullet"/>
      <w:pStyle w:val="Bullet1"/>
      <w:lvlText w:val=""/>
      <w:lvlJc w:val="left"/>
      <w:pPr>
        <w:tabs>
          <w:tab w:val="num" w:pos="360"/>
        </w:tabs>
        <w:ind w:left="360" w:hanging="360"/>
      </w:pPr>
      <w:rPr>
        <w:rFonts w:ascii="Symbol" w:hAnsi="Symbol" w:hint="default"/>
      </w:rPr>
    </w:lvl>
  </w:abstractNum>
  <w:abstractNum w:abstractNumId="1">
    <w:nsid w:val="FFFFFFFE"/>
    <w:multiLevelType w:val="singleLevel"/>
    <w:tmpl w:val="4266BAF6"/>
    <w:lvl w:ilvl="0">
      <w:numFmt w:val="bullet"/>
      <w:lvlText w:val="*"/>
      <w:lvlJc w:val="left"/>
    </w:lvl>
  </w:abstractNum>
  <w:abstractNum w:abstractNumId="2">
    <w:nsid w:val="08833667"/>
    <w:multiLevelType w:val="multilevel"/>
    <w:tmpl w:val="A8D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A3614"/>
    <w:multiLevelType w:val="hybridMultilevel"/>
    <w:tmpl w:val="C9BCE67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0DE53E7A"/>
    <w:multiLevelType w:val="hybridMultilevel"/>
    <w:tmpl w:val="1B4EE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4900675"/>
    <w:multiLevelType w:val="hybridMultilevel"/>
    <w:tmpl w:val="BF6C0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6019E5"/>
    <w:multiLevelType w:val="hybridMultilevel"/>
    <w:tmpl w:val="D30CEB5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8704958"/>
    <w:multiLevelType w:val="hybridMultilevel"/>
    <w:tmpl w:val="D132FAE8"/>
    <w:lvl w:ilvl="0" w:tplc="ADD2BEE6">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87B6EF9"/>
    <w:multiLevelType w:val="hybridMultilevel"/>
    <w:tmpl w:val="5A26D42A"/>
    <w:lvl w:ilvl="0" w:tplc="EA2AE484">
      <w:start w:val="5"/>
      <w:numFmt w:val="bullet"/>
      <w:lvlText w:val="-"/>
      <w:lvlJc w:val="left"/>
      <w:pPr>
        <w:ind w:left="345" w:hanging="360"/>
      </w:pPr>
      <w:rPr>
        <w:rFonts w:ascii="Georgia" w:eastAsia="Georgia" w:hAnsi="Georgia" w:cs="Georgia" w:hint="default"/>
      </w:rPr>
    </w:lvl>
    <w:lvl w:ilvl="1" w:tplc="14090003" w:tentative="1">
      <w:start w:val="1"/>
      <w:numFmt w:val="bullet"/>
      <w:lvlText w:val="o"/>
      <w:lvlJc w:val="left"/>
      <w:pPr>
        <w:ind w:left="1065" w:hanging="360"/>
      </w:pPr>
      <w:rPr>
        <w:rFonts w:ascii="Courier New" w:hAnsi="Courier New" w:cs="Courier New" w:hint="default"/>
      </w:rPr>
    </w:lvl>
    <w:lvl w:ilvl="2" w:tplc="14090005" w:tentative="1">
      <w:start w:val="1"/>
      <w:numFmt w:val="bullet"/>
      <w:lvlText w:val=""/>
      <w:lvlJc w:val="left"/>
      <w:pPr>
        <w:ind w:left="1785" w:hanging="360"/>
      </w:pPr>
      <w:rPr>
        <w:rFonts w:ascii="Wingdings" w:hAnsi="Wingdings" w:hint="default"/>
      </w:rPr>
    </w:lvl>
    <w:lvl w:ilvl="3" w:tplc="14090001" w:tentative="1">
      <w:start w:val="1"/>
      <w:numFmt w:val="bullet"/>
      <w:lvlText w:val=""/>
      <w:lvlJc w:val="left"/>
      <w:pPr>
        <w:ind w:left="2505" w:hanging="360"/>
      </w:pPr>
      <w:rPr>
        <w:rFonts w:ascii="Symbol" w:hAnsi="Symbol" w:hint="default"/>
      </w:rPr>
    </w:lvl>
    <w:lvl w:ilvl="4" w:tplc="14090003" w:tentative="1">
      <w:start w:val="1"/>
      <w:numFmt w:val="bullet"/>
      <w:lvlText w:val="o"/>
      <w:lvlJc w:val="left"/>
      <w:pPr>
        <w:ind w:left="3225" w:hanging="360"/>
      </w:pPr>
      <w:rPr>
        <w:rFonts w:ascii="Courier New" w:hAnsi="Courier New" w:cs="Courier New" w:hint="default"/>
      </w:rPr>
    </w:lvl>
    <w:lvl w:ilvl="5" w:tplc="14090005" w:tentative="1">
      <w:start w:val="1"/>
      <w:numFmt w:val="bullet"/>
      <w:lvlText w:val=""/>
      <w:lvlJc w:val="left"/>
      <w:pPr>
        <w:ind w:left="3945" w:hanging="360"/>
      </w:pPr>
      <w:rPr>
        <w:rFonts w:ascii="Wingdings" w:hAnsi="Wingdings" w:hint="default"/>
      </w:rPr>
    </w:lvl>
    <w:lvl w:ilvl="6" w:tplc="14090001" w:tentative="1">
      <w:start w:val="1"/>
      <w:numFmt w:val="bullet"/>
      <w:lvlText w:val=""/>
      <w:lvlJc w:val="left"/>
      <w:pPr>
        <w:ind w:left="4665" w:hanging="360"/>
      </w:pPr>
      <w:rPr>
        <w:rFonts w:ascii="Symbol" w:hAnsi="Symbol" w:hint="default"/>
      </w:rPr>
    </w:lvl>
    <w:lvl w:ilvl="7" w:tplc="14090003" w:tentative="1">
      <w:start w:val="1"/>
      <w:numFmt w:val="bullet"/>
      <w:lvlText w:val="o"/>
      <w:lvlJc w:val="left"/>
      <w:pPr>
        <w:ind w:left="5385" w:hanging="360"/>
      </w:pPr>
      <w:rPr>
        <w:rFonts w:ascii="Courier New" w:hAnsi="Courier New" w:cs="Courier New" w:hint="default"/>
      </w:rPr>
    </w:lvl>
    <w:lvl w:ilvl="8" w:tplc="14090005" w:tentative="1">
      <w:start w:val="1"/>
      <w:numFmt w:val="bullet"/>
      <w:lvlText w:val=""/>
      <w:lvlJc w:val="left"/>
      <w:pPr>
        <w:ind w:left="6105" w:hanging="360"/>
      </w:pPr>
      <w:rPr>
        <w:rFonts w:ascii="Wingdings" w:hAnsi="Wingdings" w:hint="default"/>
      </w:rPr>
    </w:lvl>
  </w:abstractNum>
  <w:abstractNum w:abstractNumId="9">
    <w:nsid w:val="240333EC"/>
    <w:multiLevelType w:val="multilevel"/>
    <w:tmpl w:val="ADC28AF0"/>
    <w:lvl w:ilvl="0">
      <w:start w:val="1"/>
      <w:numFmt w:val="lowerRoman"/>
      <w:lvlText w:val="(%1)"/>
      <w:lvlJc w:val="left"/>
      <w:pPr>
        <w:tabs>
          <w:tab w:val="left" w:pos="1440"/>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C2482"/>
    <w:multiLevelType w:val="multilevel"/>
    <w:tmpl w:val="A1B411BC"/>
    <w:lvl w:ilvl="0">
      <w:start w:val="1"/>
      <w:numFmt w:val="lowerRoman"/>
      <w:lvlText w:val="(%1)"/>
      <w:lvlJc w:val="left"/>
      <w:pPr>
        <w:tabs>
          <w:tab w:val="left" w:pos="1440"/>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026A5"/>
    <w:multiLevelType w:val="hybridMultilevel"/>
    <w:tmpl w:val="7F74FA7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D887300"/>
    <w:multiLevelType w:val="hybridMultilevel"/>
    <w:tmpl w:val="3640A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AFE5C17"/>
    <w:multiLevelType w:val="hybridMultilevel"/>
    <w:tmpl w:val="84F07864"/>
    <w:lvl w:ilvl="0" w:tplc="146CCB2A">
      <w:start w:val="1"/>
      <w:numFmt w:val="decimal"/>
      <w:lvlText w:val="%1."/>
      <w:lvlJc w:val="left"/>
      <w:pPr>
        <w:ind w:left="155" w:hanging="360"/>
      </w:pPr>
      <w:rPr>
        <w:rFonts w:hint="default"/>
        <w:b/>
        <w:i w:val="0"/>
      </w:rPr>
    </w:lvl>
    <w:lvl w:ilvl="1" w:tplc="47F61D56">
      <w:start w:val="1"/>
      <w:numFmt w:val="decimal"/>
      <w:lvlText w:val="%2."/>
      <w:lvlJc w:val="left"/>
      <w:pPr>
        <w:ind w:left="875" w:hanging="360"/>
      </w:pPr>
      <w:rPr>
        <w:rFonts w:hint="default"/>
      </w:rPr>
    </w:lvl>
    <w:lvl w:ilvl="2" w:tplc="0470BA1C">
      <w:start w:val="1"/>
      <w:numFmt w:val="lowerLetter"/>
      <w:lvlText w:val="(%3)"/>
      <w:lvlJc w:val="left"/>
      <w:pPr>
        <w:ind w:left="1985" w:hanging="570"/>
      </w:pPr>
      <w:rPr>
        <w:rFonts w:hint="default"/>
      </w:rPr>
    </w:lvl>
    <w:lvl w:ilvl="3" w:tplc="1409000F" w:tentative="1">
      <w:start w:val="1"/>
      <w:numFmt w:val="decimal"/>
      <w:lvlText w:val="%4."/>
      <w:lvlJc w:val="left"/>
      <w:pPr>
        <w:ind w:left="2315" w:hanging="360"/>
      </w:pPr>
    </w:lvl>
    <w:lvl w:ilvl="4" w:tplc="14090019" w:tentative="1">
      <w:start w:val="1"/>
      <w:numFmt w:val="lowerLetter"/>
      <w:lvlText w:val="%5."/>
      <w:lvlJc w:val="left"/>
      <w:pPr>
        <w:ind w:left="3035" w:hanging="360"/>
      </w:pPr>
    </w:lvl>
    <w:lvl w:ilvl="5" w:tplc="1409001B" w:tentative="1">
      <w:start w:val="1"/>
      <w:numFmt w:val="lowerRoman"/>
      <w:lvlText w:val="%6."/>
      <w:lvlJc w:val="right"/>
      <w:pPr>
        <w:ind w:left="3755" w:hanging="180"/>
      </w:pPr>
    </w:lvl>
    <w:lvl w:ilvl="6" w:tplc="1409000F" w:tentative="1">
      <w:start w:val="1"/>
      <w:numFmt w:val="decimal"/>
      <w:lvlText w:val="%7."/>
      <w:lvlJc w:val="left"/>
      <w:pPr>
        <w:ind w:left="4475" w:hanging="360"/>
      </w:pPr>
    </w:lvl>
    <w:lvl w:ilvl="7" w:tplc="14090019" w:tentative="1">
      <w:start w:val="1"/>
      <w:numFmt w:val="lowerLetter"/>
      <w:lvlText w:val="%8."/>
      <w:lvlJc w:val="left"/>
      <w:pPr>
        <w:ind w:left="5195" w:hanging="360"/>
      </w:pPr>
    </w:lvl>
    <w:lvl w:ilvl="8" w:tplc="1409001B" w:tentative="1">
      <w:start w:val="1"/>
      <w:numFmt w:val="lowerRoman"/>
      <w:lvlText w:val="%9."/>
      <w:lvlJc w:val="right"/>
      <w:pPr>
        <w:ind w:left="5915" w:hanging="180"/>
      </w:pPr>
    </w:lvl>
  </w:abstractNum>
  <w:abstractNum w:abstractNumId="14">
    <w:nsid w:val="3BA20781"/>
    <w:multiLevelType w:val="hybridMultilevel"/>
    <w:tmpl w:val="FFB8ECA6"/>
    <w:lvl w:ilvl="0" w:tplc="14090001">
      <w:start w:val="1"/>
      <w:numFmt w:val="bullet"/>
      <w:lvlText w:val=""/>
      <w:lvlJc w:val="left"/>
      <w:pPr>
        <w:ind w:left="715" w:hanging="360"/>
      </w:pPr>
      <w:rPr>
        <w:rFonts w:ascii="Symbol" w:hAnsi="Symbol" w:hint="default"/>
      </w:rPr>
    </w:lvl>
    <w:lvl w:ilvl="1" w:tplc="14090003" w:tentative="1">
      <w:start w:val="1"/>
      <w:numFmt w:val="bullet"/>
      <w:lvlText w:val="o"/>
      <w:lvlJc w:val="left"/>
      <w:pPr>
        <w:ind w:left="1435" w:hanging="360"/>
      </w:pPr>
      <w:rPr>
        <w:rFonts w:ascii="Courier New" w:hAnsi="Courier New" w:cs="Courier New" w:hint="default"/>
      </w:rPr>
    </w:lvl>
    <w:lvl w:ilvl="2" w:tplc="14090005" w:tentative="1">
      <w:start w:val="1"/>
      <w:numFmt w:val="bullet"/>
      <w:lvlText w:val=""/>
      <w:lvlJc w:val="left"/>
      <w:pPr>
        <w:ind w:left="2155" w:hanging="360"/>
      </w:pPr>
      <w:rPr>
        <w:rFonts w:ascii="Wingdings" w:hAnsi="Wingdings" w:hint="default"/>
      </w:rPr>
    </w:lvl>
    <w:lvl w:ilvl="3" w:tplc="14090001" w:tentative="1">
      <w:start w:val="1"/>
      <w:numFmt w:val="bullet"/>
      <w:lvlText w:val=""/>
      <w:lvlJc w:val="left"/>
      <w:pPr>
        <w:ind w:left="2875" w:hanging="360"/>
      </w:pPr>
      <w:rPr>
        <w:rFonts w:ascii="Symbol" w:hAnsi="Symbol" w:hint="default"/>
      </w:rPr>
    </w:lvl>
    <w:lvl w:ilvl="4" w:tplc="14090003" w:tentative="1">
      <w:start w:val="1"/>
      <w:numFmt w:val="bullet"/>
      <w:lvlText w:val="o"/>
      <w:lvlJc w:val="left"/>
      <w:pPr>
        <w:ind w:left="3595" w:hanging="360"/>
      </w:pPr>
      <w:rPr>
        <w:rFonts w:ascii="Courier New" w:hAnsi="Courier New" w:cs="Courier New" w:hint="default"/>
      </w:rPr>
    </w:lvl>
    <w:lvl w:ilvl="5" w:tplc="14090005" w:tentative="1">
      <w:start w:val="1"/>
      <w:numFmt w:val="bullet"/>
      <w:lvlText w:val=""/>
      <w:lvlJc w:val="left"/>
      <w:pPr>
        <w:ind w:left="4315" w:hanging="360"/>
      </w:pPr>
      <w:rPr>
        <w:rFonts w:ascii="Wingdings" w:hAnsi="Wingdings" w:hint="default"/>
      </w:rPr>
    </w:lvl>
    <w:lvl w:ilvl="6" w:tplc="14090001" w:tentative="1">
      <w:start w:val="1"/>
      <w:numFmt w:val="bullet"/>
      <w:lvlText w:val=""/>
      <w:lvlJc w:val="left"/>
      <w:pPr>
        <w:ind w:left="5035" w:hanging="360"/>
      </w:pPr>
      <w:rPr>
        <w:rFonts w:ascii="Symbol" w:hAnsi="Symbol" w:hint="default"/>
      </w:rPr>
    </w:lvl>
    <w:lvl w:ilvl="7" w:tplc="14090003" w:tentative="1">
      <w:start w:val="1"/>
      <w:numFmt w:val="bullet"/>
      <w:lvlText w:val="o"/>
      <w:lvlJc w:val="left"/>
      <w:pPr>
        <w:ind w:left="5755" w:hanging="360"/>
      </w:pPr>
      <w:rPr>
        <w:rFonts w:ascii="Courier New" w:hAnsi="Courier New" w:cs="Courier New" w:hint="default"/>
      </w:rPr>
    </w:lvl>
    <w:lvl w:ilvl="8" w:tplc="14090005" w:tentative="1">
      <w:start w:val="1"/>
      <w:numFmt w:val="bullet"/>
      <w:lvlText w:val=""/>
      <w:lvlJc w:val="left"/>
      <w:pPr>
        <w:ind w:left="6475" w:hanging="360"/>
      </w:pPr>
      <w:rPr>
        <w:rFonts w:ascii="Wingdings" w:hAnsi="Wingdings" w:hint="default"/>
      </w:rPr>
    </w:lvl>
  </w:abstractNum>
  <w:abstractNum w:abstractNumId="15">
    <w:nsid w:val="40C75347"/>
    <w:multiLevelType w:val="hybridMultilevel"/>
    <w:tmpl w:val="360260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4E245D2"/>
    <w:multiLevelType w:val="hybridMultilevel"/>
    <w:tmpl w:val="FFC6D880"/>
    <w:lvl w:ilvl="0" w:tplc="2828D9BE">
      <w:start w:val="1"/>
      <w:numFmt w:val="lowerLetter"/>
      <w:lvlText w:val="(%1)"/>
      <w:lvlJc w:val="left"/>
      <w:pPr>
        <w:ind w:left="1080" w:hanging="360"/>
      </w:pPr>
      <w:rPr>
        <w:rFonts w:ascii="Verdana" w:hAnsi="Verdana" w:cs="Arial" w:hint="default"/>
        <w:sz w:val="20"/>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468E691B"/>
    <w:multiLevelType w:val="hybridMultilevel"/>
    <w:tmpl w:val="EC76198E"/>
    <w:lvl w:ilvl="0" w:tplc="14090001">
      <w:start w:val="1"/>
      <w:numFmt w:val="bullet"/>
      <w:lvlText w:val=""/>
      <w:lvlJc w:val="left"/>
      <w:pPr>
        <w:ind w:left="1080" w:hanging="360"/>
      </w:pPr>
      <w:rPr>
        <w:rFonts w:ascii="Symbol" w:hAnsi="Symbol" w:hint="default"/>
        <w:sz w:val="22"/>
      </w:rPr>
    </w:lvl>
    <w:lvl w:ilvl="1" w:tplc="1166FBC0">
      <w:start w:val="19"/>
      <w:numFmt w:val="bullet"/>
      <w:lvlText w:val="-"/>
      <w:lvlJc w:val="left"/>
      <w:pPr>
        <w:ind w:left="1800" w:hanging="360"/>
      </w:pPr>
      <w:rPr>
        <w:rFonts w:ascii="Calibri" w:eastAsiaTheme="minorHAnsi" w:hAnsi="Calibri" w:cstheme="minorBidi"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470B35E5"/>
    <w:multiLevelType w:val="hybridMultilevel"/>
    <w:tmpl w:val="E4C039BA"/>
    <w:lvl w:ilvl="0" w:tplc="238635A0">
      <w:start w:val="1"/>
      <w:numFmt w:val="lowerLetter"/>
      <w:lvlText w:val="(%1)"/>
      <w:lvlJc w:val="left"/>
      <w:pPr>
        <w:ind w:left="360" w:hanging="360"/>
      </w:pPr>
      <w:rPr>
        <w:rFonts w:ascii="Verdana" w:hAnsi="Verdana" w:cs="Arial" w:hint="default"/>
        <w:sz w:val="2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47B81079"/>
    <w:multiLevelType w:val="hybridMultilevel"/>
    <w:tmpl w:val="62A83F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nsid w:val="4AE9180B"/>
    <w:multiLevelType w:val="hybridMultilevel"/>
    <w:tmpl w:val="52501D8E"/>
    <w:lvl w:ilvl="0" w:tplc="34425350">
      <w:start w:val="1"/>
      <w:numFmt w:val="lowerLetter"/>
      <w:lvlText w:val="(%1)"/>
      <w:lvlJc w:val="left"/>
      <w:pPr>
        <w:ind w:left="720" w:hanging="720"/>
      </w:pPr>
      <w:rPr>
        <w:rFonts w:ascii="Verdana" w:hAnsi="Verdana" w:cs="Arial" w:hint="default"/>
        <w:b w:val="0"/>
        <w:sz w:val="20"/>
        <w:szCs w:val="22"/>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4C8B2ACD"/>
    <w:multiLevelType w:val="hybridMultilevel"/>
    <w:tmpl w:val="5D7CCBCE"/>
    <w:lvl w:ilvl="0" w:tplc="64383090">
      <w:start w:val="1"/>
      <w:numFmt w:val="decimal"/>
      <w:pStyle w:val="Numbering"/>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E362F63"/>
    <w:multiLevelType w:val="hybridMultilevel"/>
    <w:tmpl w:val="58A056F6"/>
    <w:lvl w:ilvl="0" w:tplc="14090017">
      <w:start w:val="1"/>
      <w:numFmt w:val="lowerLetter"/>
      <w:lvlText w:val="%1)"/>
      <w:lvlJc w:val="left"/>
      <w:pPr>
        <w:tabs>
          <w:tab w:val="num" w:pos="284"/>
        </w:tabs>
        <w:ind w:left="284" w:hanging="284"/>
      </w:pPr>
      <w:rPr>
        <w:rFonts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B760B47"/>
    <w:multiLevelType w:val="hybridMultilevel"/>
    <w:tmpl w:val="C81A0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E844537"/>
    <w:multiLevelType w:val="multilevel"/>
    <w:tmpl w:val="99888640"/>
    <w:lvl w:ilvl="0">
      <w:start w:val="1"/>
      <w:numFmt w:val="lowerRoman"/>
      <w:lvlText w:val="(%1)"/>
      <w:lvlJc w:val="left"/>
      <w:pPr>
        <w:tabs>
          <w:tab w:val="left" w:pos="-1818"/>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E0AEB"/>
    <w:multiLevelType w:val="hybridMultilevel"/>
    <w:tmpl w:val="0002BFEA"/>
    <w:lvl w:ilvl="0" w:tplc="9B9A0A8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4EA365C"/>
    <w:multiLevelType w:val="hybridMultilevel"/>
    <w:tmpl w:val="04CC523A"/>
    <w:lvl w:ilvl="0" w:tplc="FA5E9048">
      <w:start w:val="1"/>
      <w:numFmt w:val="lowerRoman"/>
      <w:lvlText w:val="(%1)"/>
      <w:lvlJc w:val="left"/>
      <w:pPr>
        <w:ind w:left="1440" w:hanging="360"/>
      </w:pPr>
      <w:rPr>
        <w:rFonts w:ascii="Verdana" w:eastAsia="Georgia" w:hAnsi="Verdana" w:cs="Georgia"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9">
    <w:nsid w:val="69D84A13"/>
    <w:multiLevelType w:val="hybridMultilevel"/>
    <w:tmpl w:val="A85ED30C"/>
    <w:lvl w:ilvl="0" w:tplc="07DE290C">
      <w:start w:val="1"/>
      <w:numFmt w:val="decimal"/>
      <w:pStyle w:val="Numberingbold"/>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6F0976E9"/>
    <w:multiLevelType w:val="hybridMultilevel"/>
    <w:tmpl w:val="36CA30FA"/>
    <w:lvl w:ilvl="0" w:tplc="4C4A0DC2">
      <w:start w:val="1"/>
      <w:numFmt w:val="bullet"/>
      <w:lvlText w:val="•"/>
      <w:lvlJc w:val="left"/>
      <w:pPr>
        <w:tabs>
          <w:tab w:val="num" w:pos="720"/>
        </w:tabs>
        <w:ind w:left="720" w:hanging="360"/>
      </w:pPr>
      <w:rPr>
        <w:rFonts w:ascii="Arial" w:hAnsi="Arial" w:hint="default"/>
      </w:rPr>
    </w:lvl>
    <w:lvl w:ilvl="1" w:tplc="375AF250">
      <w:start w:val="1"/>
      <w:numFmt w:val="bullet"/>
      <w:lvlText w:val="•"/>
      <w:lvlJc w:val="left"/>
      <w:pPr>
        <w:tabs>
          <w:tab w:val="num" w:pos="1440"/>
        </w:tabs>
        <w:ind w:left="1440" w:hanging="360"/>
      </w:pPr>
      <w:rPr>
        <w:rFonts w:ascii="Arial" w:hAnsi="Arial" w:hint="default"/>
      </w:rPr>
    </w:lvl>
    <w:lvl w:ilvl="2" w:tplc="8A288AF4">
      <w:start w:val="183"/>
      <w:numFmt w:val="bullet"/>
      <w:lvlText w:val="•"/>
      <w:lvlJc w:val="left"/>
      <w:pPr>
        <w:tabs>
          <w:tab w:val="num" w:pos="2160"/>
        </w:tabs>
        <w:ind w:left="2160" w:hanging="360"/>
      </w:pPr>
      <w:rPr>
        <w:rFonts w:ascii="Arial" w:hAnsi="Arial" w:hint="default"/>
      </w:rPr>
    </w:lvl>
    <w:lvl w:ilvl="3" w:tplc="44DC0C38">
      <w:start w:val="1"/>
      <w:numFmt w:val="bullet"/>
      <w:lvlText w:val="•"/>
      <w:lvlJc w:val="left"/>
      <w:pPr>
        <w:tabs>
          <w:tab w:val="num" w:pos="2880"/>
        </w:tabs>
        <w:ind w:left="2880" w:hanging="360"/>
      </w:pPr>
      <w:rPr>
        <w:rFonts w:ascii="Arial" w:hAnsi="Arial" w:hint="default"/>
      </w:rPr>
    </w:lvl>
    <w:lvl w:ilvl="4" w:tplc="FC6AFB20" w:tentative="1">
      <w:start w:val="1"/>
      <w:numFmt w:val="bullet"/>
      <w:lvlText w:val="•"/>
      <w:lvlJc w:val="left"/>
      <w:pPr>
        <w:tabs>
          <w:tab w:val="num" w:pos="3600"/>
        </w:tabs>
        <w:ind w:left="3600" w:hanging="360"/>
      </w:pPr>
      <w:rPr>
        <w:rFonts w:ascii="Arial" w:hAnsi="Arial" w:hint="default"/>
      </w:rPr>
    </w:lvl>
    <w:lvl w:ilvl="5" w:tplc="9AAE8C70" w:tentative="1">
      <w:start w:val="1"/>
      <w:numFmt w:val="bullet"/>
      <w:lvlText w:val="•"/>
      <w:lvlJc w:val="left"/>
      <w:pPr>
        <w:tabs>
          <w:tab w:val="num" w:pos="4320"/>
        </w:tabs>
        <w:ind w:left="4320" w:hanging="360"/>
      </w:pPr>
      <w:rPr>
        <w:rFonts w:ascii="Arial" w:hAnsi="Arial" w:hint="default"/>
      </w:rPr>
    </w:lvl>
    <w:lvl w:ilvl="6" w:tplc="1B341738" w:tentative="1">
      <w:start w:val="1"/>
      <w:numFmt w:val="bullet"/>
      <w:lvlText w:val="•"/>
      <w:lvlJc w:val="left"/>
      <w:pPr>
        <w:tabs>
          <w:tab w:val="num" w:pos="5040"/>
        </w:tabs>
        <w:ind w:left="5040" w:hanging="360"/>
      </w:pPr>
      <w:rPr>
        <w:rFonts w:ascii="Arial" w:hAnsi="Arial" w:hint="default"/>
      </w:rPr>
    </w:lvl>
    <w:lvl w:ilvl="7" w:tplc="0CC8AC66" w:tentative="1">
      <w:start w:val="1"/>
      <w:numFmt w:val="bullet"/>
      <w:lvlText w:val="•"/>
      <w:lvlJc w:val="left"/>
      <w:pPr>
        <w:tabs>
          <w:tab w:val="num" w:pos="5760"/>
        </w:tabs>
        <w:ind w:left="5760" w:hanging="360"/>
      </w:pPr>
      <w:rPr>
        <w:rFonts w:ascii="Arial" w:hAnsi="Arial" w:hint="default"/>
      </w:rPr>
    </w:lvl>
    <w:lvl w:ilvl="8" w:tplc="55EA4982" w:tentative="1">
      <w:start w:val="1"/>
      <w:numFmt w:val="bullet"/>
      <w:lvlText w:val="•"/>
      <w:lvlJc w:val="left"/>
      <w:pPr>
        <w:tabs>
          <w:tab w:val="num" w:pos="6480"/>
        </w:tabs>
        <w:ind w:left="6480" w:hanging="360"/>
      </w:pPr>
      <w:rPr>
        <w:rFonts w:ascii="Arial" w:hAnsi="Arial" w:hint="default"/>
      </w:rPr>
    </w:lvl>
  </w:abstractNum>
  <w:abstractNum w:abstractNumId="31">
    <w:nsid w:val="72655506"/>
    <w:multiLevelType w:val="hybridMultilevel"/>
    <w:tmpl w:val="098EF978"/>
    <w:lvl w:ilvl="0" w:tplc="087CF2CC">
      <w:start w:val="3"/>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2">
    <w:nsid w:val="744551FE"/>
    <w:multiLevelType w:val="hybridMultilevel"/>
    <w:tmpl w:val="7F963F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60B6789"/>
    <w:multiLevelType w:val="hybridMultilevel"/>
    <w:tmpl w:val="FCCA8176"/>
    <w:lvl w:ilvl="0" w:tplc="ED2EA61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nsid w:val="794B1625"/>
    <w:multiLevelType w:val="multilevel"/>
    <w:tmpl w:val="8C0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2390F"/>
    <w:multiLevelType w:val="hybridMultilevel"/>
    <w:tmpl w:val="EEEC688E"/>
    <w:lvl w:ilvl="0" w:tplc="F0E076A4">
      <w:start w:val="1"/>
      <w:numFmt w:val="decimal"/>
      <w:lvlText w:val="%1."/>
      <w:lvlJc w:val="left"/>
      <w:pPr>
        <w:ind w:left="720" w:hanging="360"/>
      </w:pPr>
      <w:rPr>
        <w:rFonts w:hint="default"/>
        <w:b/>
        <w:i w:val="0"/>
        <w:sz w:val="2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7F4600FE"/>
    <w:multiLevelType w:val="hybridMultilevel"/>
    <w:tmpl w:val="7388AB60"/>
    <w:lvl w:ilvl="0" w:tplc="FB66306A">
      <w:start w:val="1"/>
      <w:numFmt w:val="lowerLetter"/>
      <w:lvlText w:val="%1)"/>
      <w:lvlJc w:val="left"/>
      <w:pPr>
        <w:ind w:left="6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D2DE1EB8">
      <w:start w:val="1"/>
      <w:numFmt w:val="lowerLetter"/>
      <w:lvlText w:val="%2"/>
      <w:lvlJc w:val="left"/>
      <w:pPr>
        <w:ind w:left="14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262D1E2">
      <w:start w:val="1"/>
      <w:numFmt w:val="lowerRoman"/>
      <w:lvlText w:val="%3"/>
      <w:lvlJc w:val="left"/>
      <w:pPr>
        <w:ind w:left="21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8D49DD4">
      <w:start w:val="1"/>
      <w:numFmt w:val="decimal"/>
      <w:lvlText w:val="%4"/>
      <w:lvlJc w:val="left"/>
      <w:pPr>
        <w:ind w:left="28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AE0DE2">
      <w:start w:val="1"/>
      <w:numFmt w:val="lowerLetter"/>
      <w:lvlText w:val="%5"/>
      <w:lvlJc w:val="left"/>
      <w:pPr>
        <w:ind w:left="36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FEA21998">
      <w:start w:val="1"/>
      <w:numFmt w:val="lowerRoman"/>
      <w:lvlText w:val="%6"/>
      <w:lvlJc w:val="left"/>
      <w:pPr>
        <w:ind w:left="43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BDCB160">
      <w:start w:val="1"/>
      <w:numFmt w:val="decimal"/>
      <w:lvlText w:val="%7"/>
      <w:lvlJc w:val="left"/>
      <w:pPr>
        <w:ind w:left="50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359A9C9A">
      <w:start w:val="1"/>
      <w:numFmt w:val="lowerLetter"/>
      <w:lvlText w:val="%8"/>
      <w:lvlJc w:val="left"/>
      <w:pPr>
        <w:ind w:left="5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25E4FFF6">
      <w:start w:val="1"/>
      <w:numFmt w:val="lowerRoman"/>
      <w:lvlText w:val="%9"/>
      <w:lvlJc w:val="left"/>
      <w:pPr>
        <w:ind w:left="6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28"/>
  </w:num>
  <w:num w:numId="3">
    <w:abstractNumId w:val="21"/>
  </w:num>
  <w:num w:numId="4">
    <w:abstractNumId w:val="19"/>
  </w:num>
  <w:num w:numId="5">
    <w:abstractNumId w:val="5"/>
  </w:num>
  <w:num w:numId="6">
    <w:abstractNumId w:val="29"/>
  </w:num>
  <w:num w:numId="7">
    <w:abstractNumId w:val="34"/>
  </w:num>
  <w:num w:numId="8">
    <w:abstractNumId w:val="4"/>
  </w:num>
  <w:num w:numId="9">
    <w:abstractNumId w:val="1"/>
    <w:lvlOverride w:ilvl="0">
      <w:lvl w:ilvl="0">
        <w:numFmt w:val="bullet"/>
        <w:lvlText w:val=""/>
        <w:legacy w:legacy="1" w:legacySpace="0" w:legacyIndent="0"/>
        <w:lvlJc w:val="left"/>
        <w:rPr>
          <w:rFonts w:ascii="Symbol" w:hAnsi="Symbol" w:hint="default"/>
          <w:sz w:val="22"/>
        </w:rPr>
      </w:lvl>
    </w:lvlOverride>
  </w:num>
  <w:num w:numId="10">
    <w:abstractNumId w:val="7"/>
  </w:num>
  <w:num w:numId="11">
    <w:abstractNumId w:val="15"/>
  </w:num>
  <w:num w:numId="12">
    <w:abstractNumId w:val="25"/>
  </w:num>
  <w:num w:numId="13">
    <w:abstractNumId w:val="30"/>
  </w:num>
  <w:num w:numId="14">
    <w:abstractNumId w:val="2"/>
  </w:num>
  <w:num w:numId="15">
    <w:abstractNumId w:val="35"/>
  </w:num>
  <w:num w:numId="16">
    <w:abstractNumId w:val="17"/>
  </w:num>
  <w:num w:numId="17">
    <w:abstractNumId w:val="6"/>
  </w:num>
  <w:num w:numId="18">
    <w:abstractNumId w:val="21"/>
  </w:num>
  <w:num w:numId="19">
    <w:abstractNumId w:val="21"/>
    <w:lvlOverride w:ilvl="0">
      <w:startOverride w:val="3"/>
    </w:lvlOverride>
  </w:num>
  <w:num w:numId="20">
    <w:abstractNumId w:val="26"/>
  </w:num>
  <w:num w:numId="21">
    <w:abstractNumId w:val="3"/>
  </w:num>
  <w:num w:numId="22">
    <w:abstractNumId w:val="33"/>
  </w:num>
  <w:num w:numId="23">
    <w:abstractNumId w:val="13"/>
  </w:num>
  <w:num w:numId="24">
    <w:abstractNumId w:val="18"/>
  </w:num>
  <w:num w:numId="25">
    <w:abstractNumId w:val="20"/>
  </w:num>
  <w:num w:numId="26">
    <w:abstractNumId w:val="9"/>
  </w:num>
  <w:num w:numId="27">
    <w:abstractNumId w:val="16"/>
  </w:num>
  <w:num w:numId="28">
    <w:abstractNumId w:val="10"/>
  </w:num>
  <w:num w:numId="29">
    <w:abstractNumId w:val="24"/>
  </w:num>
  <w:num w:numId="30">
    <w:abstractNumId w:val="31"/>
  </w:num>
  <w:num w:numId="31">
    <w:abstractNumId w:val="32"/>
  </w:num>
  <w:num w:numId="32">
    <w:abstractNumId w:val="8"/>
  </w:num>
  <w:num w:numId="33">
    <w:abstractNumId w:val="14"/>
  </w:num>
  <w:num w:numId="34">
    <w:abstractNumId w:val="36"/>
  </w:num>
  <w:num w:numId="35">
    <w:abstractNumId w:val="21"/>
  </w:num>
  <w:num w:numId="36">
    <w:abstractNumId w:val="11"/>
  </w:num>
  <w:num w:numId="37">
    <w:abstractNumId w:val="22"/>
  </w:num>
  <w:num w:numId="38">
    <w:abstractNumId w:val="23"/>
  </w:num>
  <w:num w:numId="39">
    <w:abstractNumId w:val="12"/>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37"/>
    <w:rsid w:val="00006D06"/>
    <w:rsid w:val="00010157"/>
    <w:rsid w:val="00010649"/>
    <w:rsid w:val="000123DF"/>
    <w:rsid w:val="000248EE"/>
    <w:rsid w:val="00027A89"/>
    <w:rsid w:val="00027FFA"/>
    <w:rsid w:val="00055DEB"/>
    <w:rsid w:val="000703B1"/>
    <w:rsid w:val="000734DB"/>
    <w:rsid w:val="00075ED0"/>
    <w:rsid w:val="0008601A"/>
    <w:rsid w:val="00095852"/>
    <w:rsid w:val="000A5E24"/>
    <w:rsid w:val="000A6BCB"/>
    <w:rsid w:val="000A7E63"/>
    <w:rsid w:val="000B0F12"/>
    <w:rsid w:val="000B1E21"/>
    <w:rsid w:val="000B3112"/>
    <w:rsid w:val="000B6957"/>
    <w:rsid w:val="000B6BD8"/>
    <w:rsid w:val="000C3896"/>
    <w:rsid w:val="000C3F39"/>
    <w:rsid w:val="000D0170"/>
    <w:rsid w:val="000E093C"/>
    <w:rsid w:val="000E5175"/>
    <w:rsid w:val="000E663A"/>
    <w:rsid w:val="000F1B71"/>
    <w:rsid w:val="000F265B"/>
    <w:rsid w:val="001009C3"/>
    <w:rsid w:val="00104CBD"/>
    <w:rsid w:val="00105DB9"/>
    <w:rsid w:val="00113CBD"/>
    <w:rsid w:val="001175B4"/>
    <w:rsid w:val="001227B0"/>
    <w:rsid w:val="00123376"/>
    <w:rsid w:val="00130CE3"/>
    <w:rsid w:val="0013229D"/>
    <w:rsid w:val="001336C6"/>
    <w:rsid w:val="00137BE7"/>
    <w:rsid w:val="00142C45"/>
    <w:rsid w:val="001438D7"/>
    <w:rsid w:val="00144B8F"/>
    <w:rsid w:val="00145D5F"/>
    <w:rsid w:val="00156D59"/>
    <w:rsid w:val="0016641C"/>
    <w:rsid w:val="001705DC"/>
    <w:rsid w:val="00176A7A"/>
    <w:rsid w:val="001805EE"/>
    <w:rsid w:val="00182655"/>
    <w:rsid w:val="00185977"/>
    <w:rsid w:val="00186125"/>
    <w:rsid w:val="0018777F"/>
    <w:rsid w:val="001900ED"/>
    <w:rsid w:val="001A115C"/>
    <w:rsid w:val="001A1966"/>
    <w:rsid w:val="001A3A19"/>
    <w:rsid w:val="001A4C5D"/>
    <w:rsid w:val="001A6406"/>
    <w:rsid w:val="001A7934"/>
    <w:rsid w:val="001C0196"/>
    <w:rsid w:val="001D1F63"/>
    <w:rsid w:val="001E1749"/>
    <w:rsid w:val="001F5811"/>
    <w:rsid w:val="001F682D"/>
    <w:rsid w:val="00203A2C"/>
    <w:rsid w:val="00206DC0"/>
    <w:rsid w:val="00207D96"/>
    <w:rsid w:val="0021088A"/>
    <w:rsid w:val="002222BC"/>
    <w:rsid w:val="00225051"/>
    <w:rsid w:val="0022557E"/>
    <w:rsid w:val="00236D30"/>
    <w:rsid w:val="002402CA"/>
    <w:rsid w:val="00240554"/>
    <w:rsid w:val="00242743"/>
    <w:rsid w:val="002441EF"/>
    <w:rsid w:val="002542A3"/>
    <w:rsid w:val="00254ED0"/>
    <w:rsid w:val="00255113"/>
    <w:rsid w:val="00255D89"/>
    <w:rsid w:val="002640CC"/>
    <w:rsid w:val="002649C4"/>
    <w:rsid w:val="00265322"/>
    <w:rsid w:val="0026669F"/>
    <w:rsid w:val="0026708A"/>
    <w:rsid w:val="00272F4E"/>
    <w:rsid w:val="00275166"/>
    <w:rsid w:val="00275C1B"/>
    <w:rsid w:val="00281EAA"/>
    <w:rsid w:val="00283773"/>
    <w:rsid w:val="00285375"/>
    <w:rsid w:val="0028738D"/>
    <w:rsid w:val="002924C1"/>
    <w:rsid w:val="00296F98"/>
    <w:rsid w:val="002A38BC"/>
    <w:rsid w:val="002A39D7"/>
    <w:rsid w:val="002A4A8A"/>
    <w:rsid w:val="002A7943"/>
    <w:rsid w:val="002B344E"/>
    <w:rsid w:val="002B34DC"/>
    <w:rsid w:val="002C1F8F"/>
    <w:rsid w:val="002D22F2"/>
    <w:rsid w:val="002E049D"/>
    <w:rsid w:val="002F51BF"/>
    <w:rsid w:val="003005C4"/>
    <w:rsid w:val="0030143F"/>
    <w:rsid w:val="003030F4"/>
    <w:rsid w:val="0030383B"/>
    <w:rsid w:val="00306307"/>
    <w:rsid w:val="00307CE5"/>
    <w:rsid w:val="003107B7"/>
    <w:rsid w:val="003142C1"/>
    <w:rsid w:val="003151EE"/>
    <w:rsid w:val="00316E05"/>
    <w:rsid w:val="00331B3C"/>
    <w:rsid w:val="00334085"/>
    <w:rsid w:val="00341610"/>
    <w:rsid w:val="00343CC9"/>
    <w:rsid w:val="00344A3F"/>
    <w:rsid w:val="003510E2"/>
    <w:rsid w:val="00351AC8"/>
    <w:rsid w:val="00357114"/>
    <w:rsid w:val="003579BD"/>
    <w:rsid w:val="00363CA9"/>
    <w:rsid w:val="003662FC"/>
    <w:rsid w:val="00367836"/>
    <w:rsid w:val="003717C9"/>
    <w:rsid w:val="003731B9"/>
    <w:rsid w:val="0037521E"/>
    <w:rsid w:val="00377C88"/>
    <w:rsid w:val="00377F02"/>
    <w:rsid w:val="00395630"/>
    <w:rsid w:val="003A0523"/>
    <w:rsid w:val="003A128B"/>
    <w:rsid w:val="003A21EA"/>
    <w:rsid w:val="003A779C"/>
    <w:rsid w:val="003B145F"/>
    <w:rsid w:val="003B3537"/>
    <w:rsid w:val="003B4E0B"/>
    <w:rsid w:val="003B7FA2"/>
    <w:rsid w:val="003C5779"/>
    <w:rsid w:val="003C7B88"/>
    <w:rsid w:val="003D1081"/>
    <w:rsid w:val="003D1398"/>
    <w:rsid w:val="003E0420"/>
    <w:rsid w:val="003E6828"/>
    <w:rsid w:val="003F0969"/>
    <w:rsid w:val="003F63E5"/>
    <w:rsid w:val="004014CB"/>
    <w:rsid w:val="00410413"/>
    <w:rsid w:val="00412C01"/>
    <w:rsid w:val="0041467A"/>
    <w:rsid w:val="0041621B"/>
    <w:rsid w:val="0042183D"/>
    <w:rsid w:val="00423830"/>
    <w:rsid w:val="00426C78"/>
    <w:rsid w:val="00440B18"/>
    <w:rsid w:val="00440BC8"/>
    <w:rsid w:val="00443649"/>
    <w:rsid w:val="00443D97"/>
    <w:rsid w:val="004440DF"/>
    <w:rsid w:val="004518F6"/>
    <w:rsid w:val="00451D8E"/>
    <w:rsid w:val="00451EA6"/>
    <w:rsid w:val="004535A4"/>
    <w:rsid w:val="00454E17"/>
    <w:rsid w:val="00462635"/>
    <w:rsid w:val="00477773"/>
    <w:rsid w:val="00477783"/>
    <w:rsid w:val="004845E0"/>
    <w:rsid w:val="0048760A"/>
    <w:rsid w:val="00487EE6"/>
    <w:rsid w:val="00490AEE"/>
    <w:rsid w:val="00490CF0"/>
    <w:rsid w:val="00492913"/>
    <w:rsid w:val="004933FE"/>
    <w:rsid w:val="004A5B0C"/>
    <w:rsid w:val="004A6CC1"/>
    <w:rsid w:val="004B28B7"/>
    <w:rsid w:val="004B2D04"/>
    <w:rsid w:val="004D021E"/>
    <w:rsid w:val="004D17ED"/>
    <w:rsid w:val="004D68C6"/>
    <w:rsid w:val="004E106E"/>
    <w:rsid w:val="004E420D"/>
    <w:rsid w:val="004E51A6"/>
    <w:rsid w:val="004E795C"/>
    <w:rsid w:val="004F2F6C"/>
    <w:rsid w:val="00523CAB"/>
    <w:rsid w:val="0052451B"/>
    <w:rsid w:val="0052507D"/>
    <w:rsid w:val="00525F48"/>
    <w:rsid w:val="005363DD"/>
    <w:rsid w:val="0053782C"/>
    <w:rsid w:val="00537ECC"/>
    <w:rsid w:val="00542A7F"/>
    <w:rsid w:val="00545BA3"/>
    <w:rsid w:val="00546D2C"/>
    <w:rsid w:val="005534D8"/>
    <w:rsid w:val="00554E9C"/>
    <w:rsid w:val="00563001"/>
    <w:rsid w:val="00566574"/>
    <w:rsid w:val="00566798"/>
    <w:rsid w:val="005706A1"/>
    <w:rsid w:val="00572A2E"/>
    <w:rsid w:val="00577711"/>
    <w:rsid w:val="00581525"/>
    <w:rsid w:val="00582EA7"/>
    <w:rsid w:val="00590D07"/>
    <w:rsid w:val="00593EE6"/>
    <w:rsid w:val="005950A6"/>
    <w:rsid w:val="00597F47"/>
    <w:rsid w:val="005A480B"/>
    <w:rsid w:val="005A51F6"/>
    <w:rsid w:val="005B2223"/>
    <w:rsid w:val="005C0844"/>
    <w:rsid w:val="005C24A3"/>
    <w:rsid w:val="005C3C6C"/>
    <w:rsid w:val="005C3EF1"/>
    <w:rsid w:val="005D35B7"/>
    <w:rsid w:val="005D3D35"/>
    <w:rsid w:val="005D5FDE"/>
    <w:rsid w:val="005E2D49"/>
    <w:rsid w:val="005E3AC7"/>
    <w:rsid w:val="005E44CE"/>
    <w:rsid w:val="005E52FA"/>
    <w:rsid w:val="005E6C2E"/>
    <w:rsid w:val="005F08EA"/>
    <w:rsid w:val="00607F0C"/>
    <w:rsid w:val="00615B5A"/>
    <w:rsid w:val="00616847"/>
    <w:rsid w:val="00620375"/>
    <w:rsid w:val="00622810"/>
    <w:rsid w:val="006306C9"/>
    <w:rsid w:val="00632F91"/>
    <w:rsid w:val="006339A0"/>
    <w:rsid w:val="00636D3A"/>
    <w:rsid w:val="00640014"/>
    <w:rsid w:val="006417F8"/>
    <w:rsid w:val="00655528"/>
    <w:rsid w:val="006612BB"/>
    <w:rsid w:val="00672B8B"/>
    <w:rsid w:val="00673303"/>
    <w:rsid w:val="006744E6"/>
    <w:rsid w:val="00676929"/>
    <w:rsid w:val="00680D2D"/>
    <w:rsid w:val="00684539"/>
    <w:rsid w:val="00694B11"/>
    <w:rsid w:val="006A2DA7"/>
    <w:rsid w:val="006A4BD4"/>
    <w:rsid w:val="006C3771"/>
    <w:rsid w:val="006C407C"/>
    <w:rsid w:val="006D0009"/>
    <w:rsid w:val="006D11B0"/>
    <w:rsid w:val="006D2458"/>
    <w:rsid w:val="006D3291"/>
    <w:rsid w:val="006D5C83"/>
    <w:rsid w:val="006E0E1E"/>
    <w:rsid w:val="006E3A51"/>
    <w:rsid w:val="006E636A"/>
    <w:rsid w:val="006F544C"/>
    <w:rsid w:val="0070246F"/>
    <w:rsid w:val="00716158"/>
    <w:rsid w:val="007302E6"/>
    <w:rsid w:val="0073664F"/>
    <w:rsid w:val="00737F49"/>
    <w:rsid w:val="00740786"/>
    <w:rsid w:val="0074188F"/>
    <w:rsid w:val="00751902"/>
    <w:rsid w:val="00755350"/>
    <w:rsid w:val="00760E80"/>
    <w:rsid w:val="00761961"/>
    <w:rsid w:val="00762FC9"/>
    <w:rsid w:val="00766D1F"/>
    <w:rsid w:val="00771B0E"/>
    <w:rsid w:val="007722FD"/>
    <w:rsid w:val="00773168"/>
    <w:rsid w:val="00783974"/>
    <w:rsid w:val="0078547F"/>
    <w:rsid w:val="00790152"/>
    <w:rsid w:val="007915E6"/>
    <w:rsid w:val="0079797E"/>
    <w:rsid w:val="007A21D3"/>
    <w:rsid w:val="007A2863"/>
    <w:rsid w:val="007B45B9"/>
    <w:rsid w:val="007B4758"/>
    <w:rsid w:val="007B57F9"/>
    <w:rsid w:val="007C3953"/>
    <w:rsid w:val="007C53D3"/>
    <w:rsid w:val="007D664E"/>
    <w:rsid w:val="007E44CF"/>
    <w:rsid w:val="007E5F4D"/>
    <w:rsid w:val="007F2B0C"/>
    <w:rsid w:val="007F2DE5"/>
    <w:rsid w:val="007F366E"/>
    <w:rsid w:val="007F7762"/>
    <w:rsid w:val="00801FF3"/>
    <w:rsid w:val="008067DF"/>
    <w:rsid w:val="0080749B"/>
    <w:rsid w:val="0081034D"/>
    <w:rsid w:val="0081169A"/>
    <w:rsid w:val="00813104"/>
    <w:rsid w:val="00813CF6"/>
    <w:rsid w:val="008156D1"/>
    <w:rsid w:val="0081671E"/>
    <w:rsid w:val="00821AB7"/>
    <w:rsid w:val="008234EC"/>
    <w:rsid w:val="0083009C"/>
    <w:rsid w:val="00830E4F"/>
    <w:rsid w:val="00832071"/>
    <w:rsid w:val="008320F7"/>
    <w:rsid w:val="0083369F"/>
    <w:rsid w:val="00834126"/>
    <w:rsid w:val="008357B6"/>
    <w:rsid w:val="00836F81"/>
    <w:rsid w:val="008422B8"/>
    <w:rsid w:val="00842851"/>
    <w:rsid w:val="0084791E"/>
    <w:rsid w:val="0085124D"/>
    <w:rsid w:val="0085584B"/>
    <w:rsid w:val="0086178A"/>
    <w:rsid w:val="00861961"/>
    <w:rsid w:val="008619D3"/>
    <w:rsid w:val="00862E00"/>
    <w:rsid w:val="00864ED2"/>
    <w:rsid w:val="00870489"/>
    <w:rsid w:val="00871DCD"/>
    <w:rsid w:val="00872585"/>
    <w:rsid w:val="00874284"/>
    <w:rsid w:val="00874CFF"/>
    <w:rsid w:val="008772CA"/>
    <w:rsid w:val="00883416"/>
    <w:rsid w:val="008851F7"/>
    <w:rsid w:val="00893C90"/>
    <w:rsid w:val="0089613C"/>
    <w:rsid w:val="008A26AF"/>
    <w:rsid w:val="008B11A4"/>
    <w:rsid w:val="008B36A4"/>
    <w:rsid w:val="008B6A36"/>
    <w:rsid w:val="008C1DC9"/>
    <w:rsid w:val="008C6C9F"/>
    <w:rsid w:val="008D51C7"/>
    <w:rsid w:val="008D7C4A"/>
    <w:rsid w:val="008F09D8"/>
    <w:rsid w:val="008F2E4A"/>
    <w:rsid w:val="008F7A81"/>
    <w:rsid w:val="009024B2"/>
    <w:rsid w:val="00902F19"/>
    <w:rsid w:val="00906164"/>
    <w:rsid w:val="009064E6"/>
    <w:rsid w:val="00906855"/>
    <w:rsid w:val="009126F6"/>
    <w:rsid w:val="00920A63"/>
    <w:rsid w:val="009230E0"/>
    <w:rsid w:val="00923D37"/>
    <w:rsid w:val="00925481"/>
    <w:rsid w:val="0092659B"/>
    <w:rsid w:val="00935CFE"/>
    <w:rsid w:val="009401CC"/>
    <w:rsid w:val="0094065C"/>
    <w:rsid w:val="00942757"/>
    <w:rsid w:val="00945920"/>
    <w:rsid w:val="00947E2E"/>
    <w:rsid w:val="0095076C"/>
    <w:rsid w:val="009545CD"/>
    <w:rsid w:val="009602C6"/>
    <w:rsid w:val="009641ED"/>
    <w:rsid w:val="00972032"/>
    <w:rsid w:val="00973036"/>
    <w:rsid w:val="00983EB4"/>
    <w:rsid w:val="009842E4"/>
    <w:rsid w:val="00986969"/>
    <w:rsid w:val="00986A64"/>
    <w:rsid w:val="009874FB"/>
    <w:rsid w:val="00993F56"/>
    <w:rsid w:val="009948F8"/>
    <w:rsid w:val="009A3D52"/>
    <w:rsid w:val="009B3F80"/>
    <w:rsid w:val="009B5859"/>
    <w:rsid w:val="009C1EE3"/>
    <w:rsid w:val="009C39E2"/>
    <w:rsid w:val="009D2BA0"/>
    <w:rsid w:val="009D56C9"/>
    <w:rsid w:val="009F1222"/>
    <w:rsid w:val="009F1BFF"/>
    <w:rsid w:val="009F4CBC"/>
    <w:rsid w:val="00A0032E"/>
    <w:rsid w:val="00A00DBD"/>
    <w:rsid w:val="00A10A2C"/>
    <w:rsid w:val="00A14C1E"/>
    <w:rsid w:val="00A15C69"/>
    <w:rsid w:val="00A1661F"/>
    <w:rsid w:val="00A2337F"/>
    <w:rsid w:val="00A23E4E"/>
    <w:rsid w:val="00A27B28"/>
    <w:rsid w:val="00A31F67"/>
    <w:rsid w:val="00A3619A"/>
    <w:rsid w:val="00A41A77"/>
    <w:rsid w:val="00A41C59"/>
    <w:rsid w:val="00A50872"/>
    <w:rsid w:val="00A7037D"/>
    <w:rsid w:val="00A821D8"/>
    <w:rsid w:val="00A8585C"/>
    <w:rsid w:val="00A86CC7"/>
    <w:rsid w:val="00A92321"/>
    <w:rsid w:val="00AA7466"/>
    <w:rsid w:val="00AA7D06"/>
    <w:rsid w:val="00AB0789"/>
    <w:rsid w:val="00AB1FC9"/>
    <w:rsid w:val="00AB4432"/>
    <w:rsid w:val="00AB60A2"/>
    <w:rsid w:val="00AB7102"/>
    <w:rsid w:val="00AC5FA4"/>
    <w:rsid w:val="00AC6F82"/>
    <w:rsid w:val="00AD25C3"/>
    <w:rsid w:val="00AD426C"/>
    <w:rsid w:val="00AE7AF8"/>
    <w:rsid w:val="00B00003"/>
    <w:rsid w:val="00B02C38"/>
    <w:rsid w:val="00B102DF"/>
    <w:rsid w:val="00B11D15"/>
    <w:rsid w:val="00B220C1"/>
    <w:rsid w:val="00B2364A"/>
    <w:rsid w:val="00B242C0"/>
    <w:rsid w:val="00B26E86"/>
    <w:rsid w:val="00B27C03"/>
    <w:rsid w:val="00B30B70"/>
    <w:rsid w:val="00B33CCA"/>
    <w:rsid w:val="00B41E8B"/>
    <w:rsid w:val="00B52D24"/>
    <w:rsid w:val="00B530A4"/>
    <w:rsid w:val="00B57C49"/>
    <w:rsid w:val="00B61631"/>
    <w:rsid w:val="00B65B0A"/>
    <w:rsid w:val="00B66C5D"/>
    <w:rsid w:val="00B7079A"/>
    <w:rsid w:val="00B70D1A"/>
    <w:rsid w:val="00B75827"/>
    <w:rsid w:val="00B75C16"/>
    <w:rsid w:val="00B86EB7"/>
    <w:rsid w:val="00B86FF2"/>
    <w:rsid w:val="00B87088"/>
    <w:rsid w:val="00B87811"/>
    <w:rsid w:val="00B916E4"/>
    <w:rsid w:val="00B91D02"/>
    <w:rsid w:val="00B92AC6"/>
    <w:rsid w:val="00B94CCA"/>
    <w:rsid w:val="00B958CC"/>
    <w:rsid w:val="00B96CEA"/>
    <w:rsid w:val="00BA2189"/>
    <w:rsid w:val="00BA3696"/>
    <w:rsid w:val="00BB1441"/>
    <w:rsid w:val="00BC2FB8"/>
    <w:rsid w:val="00BC4B9D"/>
    <w:rsid w:val="00BC61BF"/>
    <w:rsid w:val="00BC6919"/>
    <w:rsid w:val="00BD1FB6"/>
    <w:rsid w:val="00BD23EA"/>
    <w:rsid w:val="00BD3A6F"/>
    <w:rsid w:val="00BD6FDB"/>
    <w:rsid w:val="00BE3BEA"/>
    <w:rsid w:val="00BE5D75"/>
    <w:rsid w:val="00BE75E1"/>
    <w:rsid w:val="00BF23CB"/>
    <w:rsid w:val="00BF6A85"/>
    <w:rsid w:val="00C003CA"/>
    <w:rsid w:val="00C00529"/>
    <w:rsid w:val="00C018E6"/>
    <w:rsid w:val="00C05555"/>
    <w:rsid w:val="00C077F5"/>
    <w:rsid w:val="00C07E3F"/>
    <w:rsid w:val="00C11E8C"/>
    <w:rsid w:val="00C169F3"/>
    <w:rsid w:val="00C22717"/>
    <w:rsid w:val="00C22B35"/>
    <w:rsid w:val="00C25485"/>
    <w:rsid w:val="00C260A1"/>
    <w:rsid w:val="00C30790"/>
    <w:rsid w:val="00C3103F"/>
    <w:rsid w:val="00C32E23"/>
    <w:rsid w:val="00C37086"/>
    <w:rsid w:val="00C44CE3"/>
    <w:rsid w:val="00C5449C"/>
    <w:rsid w:val="00C65D88"/>
    <w:rsid w:val="00C660B5"/>
    <w:rsid w:val="00C80EC7"/>
    <w:rsid w:val="00C836A2"/>
    <w:rsid w:val="00C8457A"/>
    <w:rsid w:val="00CA2A9E"/>
    <w:rsid w:val="00CB53B2"/>
    <w:rsid w:val="00CB6E4F"/>
    <w:rsid w:val="00CC140B"/>
    <w:rsid w:val="00CD373C"/>
    <w:rsid w:val="00CD6D75"/>
    <w:rsid w:val="00CE689F"/>
    <w:rsid w:val="00CF54FE"/>
    <w:rsid w:val="00CF580E"/>
    <w:rsid w:val="00CF7EBD"/>
    <w:rsid w:val="00D022D1"/>
    <w:rsid w:val="00D02407"/>
    <w:rsid w:val="00D0569E"/>
    <w:rsid w:val="00D06B19"/>
    <w:rsid w:val="00D1061D"/>
    <w:rsid w:val="00D20C0C"/>
    <w:rsid w:val="00D24A2A"/>
    <w:rsid w:val="00D307BA"/>
    <w:rsid w:val="00D30984"/>
    <w:rsid w:val="00D36191"/>
    <w:rsid w:val="00D40578"/>
    <w:rsid w:val="00D44183"/>
    <w:rsid w:val="00D44409"/>
    <w:rsid w:val="00D518A4"/>
    <w:rsid w:val="00D52304"/>
    <w:rsid w:val="00D532EE"/>
    <w:rsid w:val="00D55D9A"/>
    <w:rsid w:val="00D56D8D"/>
    <w:rsid w:val="00D66822"/>
    <w:rsid w:val="00D67409"/>
    <w:rsid w:val="00D67D08"/>
    <w:rsid w:val="00D738F0"/>
    <w:rsid w:val="00D76A3D"/>
    <w:rsid w:val="00D77BB3"/>
    <w:rsid w:val="00D80FAC"/>
    <w:rsid w:val="00D81249"/>
    <w:rsid w:val="00D86FE7"/>
    <w:rsid w:val="00D95B42"/>
    <w:rsid w:val="00D95DA3"/>
    <w:rsid w:val="00D96F46"/>
    <w:rsid w:val="00DA01C7"/>
    <w:rsid w:val="00DA050F"/>
    <w:rsid w:val="00DA12D6"/>
    <w:rsid w:val="00DA1DDB"/>
    <w:rsid w:val="00DA30E7"/>
    <w:rsid w:val="00DA5318"/>
    <w:rsid w:val="00DA56D5"/>
    <w:rsid w:val="00DB1A71"/>
    <w:rsid w:val="00DB1C0C"/>
    <w:rsid w:val="00DB411E"/>
    <w:rsid w:val="00DB6037"/>
    <w:rsid w:val="00DD22A9"/>
    <w:rsid w:val="00DD3C07"/>
    <w:rsid w:val="00DD423B"/>
    <w:rsid w:val="00DD680F"/>
    <w:rsid w:val="00DE0A3D"/>
    <w:rsid w:val="00DE5F1D"/>
    <w:rsid w:val="00DF0496"/>
    <w:rsid w:val="00DF16E6"/>
    <w:rsid w:val="00DF5ACD"/>
    <w:rsid w:val="00E07F42"/>
    <w:rsid w:val="00E2207D"/>
    <w:rsid w:val="00E228D3"/>
    <w:rsid w:val="00E2772A"/>
    <w:rsid w:val="00E30087"/>
    <w:rsid w:val="00E362D1"/>
    <w:rsid w:val="00E40493"/>
    <w:rsid w:val="00E43A89"/>
    <w:rsid w:val="00E44733"/>
    <w:rsid w:val="00E4662C"/>
    <w:rsid w:val="00E51083"/>
    <w:rsid w:val="00E52760"/>
    <w:rsid w:val="00E5476D"/>
    <w:rsid w:val="00E54AB1"/>
    <w:rsid w:val="00E55114"/>
    <w:rsid w:val="00E55159"/>
    <w:rsid w:val="00E57257"/>
    <w:rsid w:val="00E617EB"/>
    <w:rsid w:val="00E67C6A"/>
    <w:rsid w:val="00E72D6F"/>
    <w:rsid w:val="00E76C6D"/>
    <w:rsid w:val="00E80597"/>
    <w:rsid w:val="00E84F01"/>
    <w:rsid w:val="00E93AE4"/>
    <w:rsid w:val="00E960C8"/>
    <w:rsid w:val="00EA1E95"/>
    <w:rsid w:val="00EA3611"/>
    <w:rsid w:val="00EA5579"/>
    <w:rsid w:val="00EB1603"/>
    <w:rsid w:val="00EB3D8A"/>
    <w:rsid w:val="00EB79B6"/>
    <w:rsid w:val="00EC2E8F"/>
    <w:rsid w:val="00EC2F05"/>
    <w:rsid w:val="00ED15B8"/>
    <w:rsid w:val="00ED414F"/>
    <w:rsid w:val="00EE08D3"/>
    <w:rsid w:val="00EE1FAA"/>
    <w:rsid w:val="00EF1CA8"/>
    <w:rsid w:val="00EF20E5"/>
    <w:rsid w:val="00EF3820"/>
    <w:rsid w:val="00F02679"/>
    <w:rsid w:val="00F06432"/>
    <w:rsid w:val="00F0672C"/>
    <w:rsid w:val="00F10386"/>
    <w:rsid w:val="00F11884"/>
    <w:rsid w:val="00F129EF"/>
    <w:rsid w:val="00F22952"/>
    <w:rsid w:val="00F251A0"/>
    <w:rsid w:val="00F33114"/>
    <w:rsid w:val="00F3470C"/>
    <w:rsid w:val="00F35C16"/>
    <w:rsid w:val="00F374BF"/>
    <w:rsid w:val="00F43F43"/>
    <w:rsid w:val="00F44338"/>
    <w:rsid w:val="00F45052"/>
    <w:rsid w:val="00F54680"/>
    <w:rsid w:val="00F57118"/>
    <w:rsid w:val="00F60810"/>
    <w:rsid w:val="00F612A9"/>
    <w:rsid w:val="00F6682D"/>
    <w:rsid w:val="00F66FAC"/>
    <w:rsid w:val="00F67B2A"/>
    <w:rsid w:val="00F74042"/>
    <w:rsid w:val="00F75AA1"/>
    <w:rsid w:val="00F824C7"/>
    <w:rsid w:val="00F95ABD"/>
    <w:rsid w:val="00FA5819"/>
    <w:rsid w:val="00FA5B0D"/>
    <w:rsid w:val="00FB525F"/>
    <w:rsid w:val="00FC3B66"/>
    <w:rsid w:val="00FC4D37"/>
    <w:rsid w:val="00FC6FA7"/>
    <w:rsid w:val="00FD1EEA"/>
    <w:rsid w:val="00FD305C"/>
    <w:rsid w:val="00FE363D"/>
    <w:rsid w:val="00FE54F2"/>
    <w:rsid w:val="00FF07C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
    </o:shapedefaults>
    <o:shapelayout v:ext="edit">
      <o:idmap v:ext="edit" data="1"/>
    </o:shapelayout>
  </w:shapeDefaults>
  <w:decimalSymbol w:val="."/>
  <w:listSeparator w:val=","/>
  <w14:docId w14:val="6285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link w:val="Heading2Char"/>
    <w:qFormat/>
    <w:rsid w:val="00265322"/>
    <w:pPr>
      <w:keepNext/>
      <w:spacing w:before="360" w:after="120"/>
      <w:outlineLvl w:val="1"/>
    </w:pPr>
    <w:rPr>
      <w:rFonts w:cs="Arial"/>
      <w:b/>
      <w:bCs/>
      <w:iCs/>
      <w:sz w:val="36"/>
      <w:szCs w:val="28"/>
    </w:rPr>
  </w:style>
  <w:style w:type="paragraph" w:styleId="Heading3">
    <w:name w:val="heading 3"/>
    <w:basedOn w:val="Normal"/>
    <w:next w:val="Normal"/>
    <w:link w:val="Heading3Char"/>
    <w:qFormat/>
    <w:rsid w:val="002B344E"/>
    <w:pPr>
      <w:keepNext/>
      <w:spacing w:before="360" w:after="120"/>
      <w:outlineLvl w:val="2"/>
    </w:pPr>
    <w:rPr>
      <w:rFonts w:cs="Arial"/>
      <w:b/>
      <w:bCs/>
      <w:sz w:val="28"/>
      <w:szCs w:val="26"/>
    </w:rPr>
  </w:style>
  <w:style w:type="paragraph" w:styleId="Heading4">
    <w:name w:val="heading 4"/>
    <w:basedOn w:val="Normal"/>
    <w:next w:val="Normal"/>
    <w:link w:val="Heading4Char"/>
    <w:uiPriority w:val="9"/>
    <w:semiHidden/>
    <w:unhideWhenUsed/>
    <w:qFormat/>
    <w:rsid w:val="007915E6"/>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uiPriority w:val="99"/>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BalloonText">
    <w:name w:val="Balloon Text"/>
    <w:basedOn w:val="Normal"/>
    <w:link w:val="BalloonTextChar"/>
    <w:uiPriority w:val="99"/>
    <w:semiHidden/>
    <w:unhideWhenUsed/>
    <w:rsid w:val="00075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D0"/>
    <w:rPr>
      <w:rFonts w:ascii="Tahoma" w:hAnsi="Tahoma" w:cs="Tahoma"/>
      <w:sz w:val="16"/>
      <w:szCs w:val="16"/>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ListParagraph">
    <w:name w:val="List Paragraph"/>
    <w:basedOn w:val="Normal"/>
    <w:link w:val="ListParagraphChar"/>
    <w:uiPriority w:val="34"/>
    <w:qFormat/>
    <w:rsid w:val="00316E05"/>
    <w:pPr>
      <w:ind w:left="720"/>
      <w:contextualSpacing/>
    </w:pPr>
  </w:style>
  <w:style w:type="character" w:styleId="CommentReference">
    <w:name w:val="annotation reference"/>
    <w:basedOn w:val="DefaultParagraphFont"/>
    <w:uiPriority w:val="99"/>
    <w:semiHidden/>
    <w:unhideWhenUsed/>
    <w:rsid w:val="00316E05"/>
    <w:rPr>
      <w:sz w:val="16"/>
      <w:szCs w:val="16"/>
    </w:rPr>
  </w:style>
  <w:style w:type="paragraph" w:styleId="CommentText">
    <w:name w:val="annotation text"/>
    <w:basedOn w:val="Normal"/>
    <w:link w:val="CommentTextChar"/>
    <w:uiPriority w:val="99"/>
    <w:semiHidden/>
    <w:unhideWhenUsed/>
    <w:rsid w:val="00316E05"/>
    <w:pPr>
      <w:spacing w:line="240" w:lineRule="auto"/>
    </w:pPr>
    <w:rPr>
      <w:sz w:val="20"/>
      <w:szCs w:val="20"/>
    </w:rPr>
  </w:style>
  <w:style w:type="character" w:customStyle="1" w:styleId="CommentTextChar">
    <w:name w:val="Comment Text Char"/>
    <w:basedOn w:val="DefaultParagraphFont"/>
    <w:link w:val="CommentText"/>
    <w:uiPriority w:val="99"/>
    <w:semiHidden/>
    <w:rsid w:val="00316E05"/>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316E05"/>
    <w:rPr>
      <w:b/>
      <w:bCs/>
    </w:rPr>
  </w:style>
  <w:style w:type="character" w:customStyle="1" w:styleId="CommentSubjectChar">
    <w:name w:val="Comment Subject Char"/>
    <w:basedOn w:val="CommentTextChar"/>
    <w:link w:val="CommentSubject"/>
    <w:uiPriority w:val="99"/>
    <w:semiHidden/>
    <w:rsid w:val="00316E05"/>
    <w:rPr>
      <w:rFonts w:ascii="Georgia" w:hAnsi="Georgia"/>
      <w:b/>
      <w:bCs/>
      <w:lang w:eastAsia="en-US"/>
    </w:rPr>
  </w:style>
  <w:style w:type="character" w:customStyle="1" w:styleId="Heading3Char">
    <w:name w:val="Heading 3 Char"/>
    <w:basedOn w:val="DefaultParagraphFont"/>
    <w:link w:val="Heading3"/>
    <w:rsid w:val="005C24A3"/>
    <w:rPr>
      <w:rFonts w:ascii="Georgia" w:hAnsi="Georgia" w:cs="Arial"/>
      <w:b/>
      <w:bCs/>
      <w:sz w:val="28"/>
      <w:szCs w:val="26"/>
      <w:lang w:eastAsia="en-US"/>
    </w:rPr>
  </w:style>
  <w:style w:type="character" w:customStyle="1" w:styleId="Heading2Char">
    <w:name w:val="Heading 2 Char"/>
    <w:basedOn w:val="DefaultParagraphFont"/>
    <w:link w:val="Heading2"/>
    <w:rsid w:val="00265322"/>
    <w:rPr>
      <w:rFonts w:ascii="Georgia" w:hAnsi="Georgia" w:cs="Arial"/>
      <w:b/>
      <w:bCs/>
      <w:iCs/>
      <w:sz w:val="36"/>
      <w:szCs w:val="28"/>
      <w:lang w:eastAsia="en-US"/>
    </w:rPr>
  </w:style>
  <w:style w:type="paragraph" w:customStyle="1" w:styleId="Numbering">
    <w:name w:val="Numbering"/>
    <w:basedOn w:val="ListParagraph"/>
    <w:next w:val="Heading4"/>
    <w:link w:val="NumberingChar"/>
    <w:qFormat/>
    <w:rsid w:val="007915E6"/>
    <w:pPr>
      <w:numPr>
        <w:numId w:val="3"/>
      </w:numPr>
    </w:pPr>
    <w:rPr>
      <w:b/>
      <w:lang w:eastAsia="en-NZ"/>
    </w:rPr>
  </w:style>
  <w:style w:type="character" w:customStyle="1" w:styleId="ListParagraphChar">
    <w:name w:val="List Paragraph Char"/>
    <w:basedOn w:val="DefaultParagraphFont"/>
    <w:link w:val="ListParagraph"/>
    <w:uiPriority w:val="34"/>
    <w:rsid w:val="007915E6"/>
    <w:rPr>
      <w:rFonts w:ascii="Georgia" w:hAnsi="Georgia"/>
      <w:sz w:val="21"/>
      <w:szCs w:val="24"/>
      <w:lang w:eastAsia="en-US"/>
    </w:rPr>
  </w:style>
  <w:style w:type="character" w:customStyle="1" w:styleId="NumberingChar">
    <w:name w:val="Numbering Char"/>
    <w:basedOn w:val="ListParagraphChar"/>
    <w:link w:val="Numbering"/>
    <w:rsid w:val="007915E6"/>
    <w:rPr>
      <w:rFonts w:ascii="Georgia" w:hAnsi="Georgia"/>
      <w:b/>
      <w:sz w:val="21"/>
      <w:szCs w:val="24"/>
      <w:lang w:eastAsia="en-US"/>
    </w:rPr>
  </w:style>
  <w:style w:type="character" w:customStyle="1" w:styleId="Heading4Char">
    <w:name w:val="Heading 4 Char"/>
    <w:basedOn w:val="DefaultParagraphFont"/>
    <w:link w:val="Heading4"/>
    <w:uiPriority w:val="9"/>
    <w:semiHidden/>
    <w:rsid w:val="007915E6"/>
    <w:rPr>
      <w:rFonts w:asciiTheme="majorHAnsi" w:eastAsiaTheme="majorEastAsia" w:hAnsiTheme="majorHAnsi" w:cstheme="majorBidi"/>
      <w:i/>
      <w:iCs/>
      <w:color w:val="A5A5A5" w:themeColor="accent1" w:themeShade="BF"/>
      <w:sz w:val="21"/>
      <w:szCs w:val="24"/>
      <w:lang w:eastAsia="en-US"/>
    </w:rPr>
  </w:style>
  <w:style w:type="paragraph" w:customStyle="1" w:styleId="Default">
    <w:name w:val="Default"/>
    <w:rsid w:val="00E30087"/>
    <w:pPr>
      <w:autoSpaceDE w:val="0"/>
      <w:autoSpaceDN w:val="0"/>
      <w:adjustRightInd w:val="0"/>
    </w:pPr>
    <w:rPr>
      <w:rFonts w:ascii="Georgia" w:eastAsiaTheme="minorHAnsi" w:hAnsi="Georgia" w:cs="Georgia"/>
      <w:color w:val="000000"/>
      <w:sz w:val="24"/>
      <w:szCs w:val="24"/>
      <w:lang w:eastAsia="en-US"/>
    </w:rPr>
  </w:style>
  <w:style w:type="paragraph" w:customStyle="1" w:styleId="Numberingbold">
    <w:name w:val="Numbering bold"/>
    <w:basedOn w:val="ListParagraph"/>
    <w:link w:val="NumberingboldChar"/>
    <w:qFormat/>
    <w:rsid w:val="005A51F6"/>
    <w:pPr>
      <w:numPr>
        <w:numId w:val="6"/>
      </w:numPr>
      <w:spacing w:before="240" w:after="120" w:line="264" w:lineRule="auto"/>
      <w:ind w:left="357" w:hanging="357"/>
    </w:pPr>
    <w:rPr>
      <w:b/>
      <w:sz w:val="22"/>
    </w:rPr>
  </w:style>
  <w:style w:type="character" w:customStyle="1" w:styleId="NumberingboldChar">
    <w:name w:val="Numbering bold Char"/>
    <w:basedOn w:val="ListParagraphChar"/>
    <w:link w:val="Numberingbold"/>
    <w:rsid w:val="005A51F6"/>
    <w:rPr>
      <w:rFonts w:ascii="Georgia" w:hAnsi="Georgia"/>
      <w:b/>
      <w:sz w:val="22"/>
      <w:szCs w:val="24"/>
      <w:lang w:eastAsia="en-US"/>
    </w:rPr>
  </w:style>
  <w:style w:type="paragraph" w:styleId="NormalWeb">
    <w:name w:val="Normal (Web)"/>
    <w:basedOn w:val="Normal"/>
    <w:uiPriority w:val="99"/>
    <w:unhideWhenUsed/>
    <w:rsid w:val="00E80597"/>
    <w:pPr>
      <w:spacing w:before="360" w:after="360" w:line="240" w:lineRule="auto"/>
    </w:pPr>
    <w:rPr>
      <w:rFonts w:ascii="Times New Roman" w:hAnsi="Times New Roman"/>
      <w:sz w:val="24"/>
      <w:lang w:eastAsia="en-NZ"/>
    </w:rPr>
  </w:style>
  <w:style w:type="character" w:styleId="FollowedHyperlink">
    <w:name w:val="FollowedHyperlink"/>
    <w:basedOn w:val="DefaultParagraphFont"/>
    <w:uiPriority w:val="99"/>
    <w:semiHidden/>
    <w:unhideWhenUsed/>
    <w:rsid w:val="005C0844"/>
    <w:rPr>
      <w:color w:val="919191" w:themeColor="followedHyperlink"/>
      <w:u w:val="single"/>
    </w:rPr>
  </w:style>
  <w:style w:type="paragraph" w:customStyle="1" w:styleId="Bullet1">
    <w:name w:val="Bullet1"/>
    <w:basedOn w:val="Normal"/>
    <w:qFormat/>
    <w:rsid w:val="006C3771"/>
    <w:pPr>
      <w:numPr>
        <w:numId w:val="40"/>
      </w:numPr>
      <w:suppressAutoHyphens/>
      <w:autoSpaceDE w:val="0"/>
      <w:autoSpaceDN w:val="0"/>
      <w:adjustRightInd w:val="0"/>
      <w:spacing w:after="120" w:line="288" w:lineRule="auto"/>
    </w:pPr>
    <w:rPr>
      <w:rFonts w:ascii="Verdana" w:hAnsi="Verdana" w:cs="Arial"/>
      <w:kern w:val="28"/>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link w:val="Heading2Char"/>
    <w:qFormat/>
    <w:rsid w:val="00265322"/>
    <w:pPr>
      <w:keepNext/>
      <w:spacing w:before="360" w:after="120"/>
      <w:outlineLvl w:val="1"/>
    </w:pPr>
    <w:rPr>
      <w:rFonts w:cs="Arial"/>
      <w:b/>
      <w:bCs/>
      <w:iCs/>
      <w:sz w:val="36"/>
      <w:szCs w:val="28"/>
    </w:rPr>
  </w:style>
  <w:style w:type="paragraph" w:styleId="Heading3">
    <w:name w:val="heading 3"/>
    <w:basedOn w:val="Normal"/>
    <w:next w:val="Normal"/>
    <w:link w:val="Heading3Char"/>
    <w:qFormat/>
    <w:rsid w:val="002B344E"/>
    <w:pPr>
      <w:keepNext/>
      <w:spacing w:before="360" w:after="120"/>
      <w:outlineLvl w:val="2"/>
    </w:pPr>
    <w:rPr>
      <w:rFonts w:cs="Arial"/>
      <w:b/>
      <w:bCs/>
      <w:sz w:val="28"/>
      <w:szCs w:val="26"/>
    </w:rPr>
  </w:style>
  <w:style w:type="paragraph" w:styleId="Heading4">
    <w:name w:val="heading 4"/>
    <w:basedOn w:val="Normal"/>
    <w:next w:val="Normal"/>
    <w:link w:val="Heading4Char"/>
    <w:uiPriority w:val="9"/>
    <w:semiHidden/>
    <w:unhideWhenUsed/>
    <w:qFormat/>
    <w:rsid w:val="007915E6"/>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uiPriority w:val="99"/>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BalloonText">
    <w:name w:val="Balloon Text"/>
    <w:basedOn w:val="Normal"/>
    <w:link w:val="BalloonTextChar"/>
    <w:uiPriority w:val="99"/>
    <w:semiHidden/>
    <w:unhideWhenUsed/>
    <w:rsid w:val="00075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D0"/>
    <w:rPr>
      <w:rFonts w:ascii="Tahoma" w:hAnsi="Tahoma" w:cs="Tahoma"/>
      <w:sz w:val="16"/>
      <w:szCs w:val="16"/>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ListParagraph">
    <w:name w:val="List Paragraph"/>
    <w:basedOn w:val="Normal"/>
    <w:link w:val="ListParagraphChar"/>
    <w:uiPriority w:val="34"/>
    <w:qFormat/>
    <w:rsid w:val="00316E05"/>
    <w:pPr>
      <w:ind w:left="720"/>
      <w:contextualSpacing/>
    </w:pPr>
  </w:style>
  <w:style w:type="character" w:styleId="CommentReference">
    <w:name w:val="annotation reference"/>
    <w:basedOn w:val="DefaultParagraphFont"/>
    <w:uiPriority w:val="99"/>
    <w:semiHidden/>
    <w:unhideWhenUsed/>
    <w:rsid w:val="00316E05"/>
    <w:rPr>
      <w:sz w:val="16"/>
      <w:szCs w:val="16"/>
    </w:rPr>
  </w:style>
  <w:style w:type="paragraph" w:styleId="CommentText">
    <w:name w:val="annotation text"/>
    <w:basedOn w:val="Normal"/>
    <w:link w:val="CommentTextChar"/>
    <w:uiPriority w:val="99"/>
    <w:semiHidden/>
    <w:unhideWhenUsed/>
    <w:rsid w:val="00316E05"/>
    <w:pPr>
      <w:spacing w:line="240" w:lineRule="auto"/>
    </w:pPr>
    <w:rPr>
      <w:sz w:val="20"/>
      <w:szCs w:val="20"/>
    </w:rPr>
  </w:style>
  <w:style w:type="character" w:customStyle="1" w:styleId="CommentTextChar">
    <w:name w:val="Comment Text Char"/>
    <w:basedOn w:val="DefaultParagraphFont"/>
    <w:link w:val="CommentText"/>
    <w:uiPriority w:val="99"/>
    <w:semiHidden/>
    <w:rsid w:val="00316E05"/>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316E05"/>
    <w:rPr>
      <w:b/>
      <w:bCs/>
    </w:rPr>
  </w:style>
  <w:style w:type="character" w:customStyle="1" w:styleId="CommentSubjectChar">
    <w:name w:val="Comment Subject Char"/>
    <w:basedOn w:val="CommentTextChar"/>
    <w:link w:val="CommentSubject"/>
    <w:uiPriority w:val="99"/>
    <w:semiHidden/>
    <w:rsid w:val="00316E05"/>
    <w:rPr>
      <w:rFonts w:ascii="Georgia" w:hAnsi="Georgia"/>
      <w:b/>
      <w:bCs/>
      <w:lang w:eastAsia="en-US"/>
    </w:rPr>
  </w:style>
  <w:style w:type="character" w:customStyle="1" w:styleId="Heading3Char">
    <w:name w:val="Heading 3 Char"/>
    <w:basedOn w:val="DefaultParagraphFont"/>
    <w:link w:val="Heading3"/>
    <w:rsid w:val="005C24A3"/>
    <w:rPr>
      <w:rFonts w:ascii="Georgia" w:hAnsi="Georgia" w:cs="Arial"/>
      <w:b/>
      <w:bCs/>
      <w:sz w:val="28"/>
      <w:szCs w:val="26"/>
      <w:lang w:eastAsia="en-US"/>
    </w:rPr>
  </w:style>
  <w:style w:type="character" w:customStyle="1" w:styleId="Heading2Char">
    <w:name w:val="Heading 2 Char"/>
    <w:basedOn w:val="DefaultParagraphFont"/>
    <w:link w:val="Heading2"/>
    <w:rsid w:val="00265322"/>
    <w:rPr>
      <w:rFonts w:ascii="Georgia" w:hAnsi="Georgia" w:cs="Arial"/>
      <w:b/>
      <w:bCs/>
      <w:iCs/>
      <w:sz w:val="36"/>
      <w:szCs w:val="28"/>
      <w:lang w:eastAsia="en-US"/>
    </w:rPr>
  </w:style>
  <w:style w:type="paragraph" w:customStyle="1" w:styleId="Numbering">
    <w:name w:val="Numbering"/>
    <w:basedOn w:val="ListParagraph"/>
    <w:next w:val="Heading4"/>
    <w:link w:val="NumberingChar"/>
    <w:qFormat/>
    <w:rsid w:val="007915E6"/>
    <w:pPr>
      <w:numPr>
        <w:numId w:val="3"/>
      </w:numPr>
    </w:pPr>
    <w:rPr>
      <w:b/>
      <w:lang w:eastAsia="en-NZ"/>
    </w:rPr>
  </w:style>
  <w:style w:type="character" w:customStyle="1" w:styleId="ListParagraphChar">
    <w:name w:val="List Paragraph Char"/>
    <w:basedOn w:val="DefaultParagraphFont"/>
    <w:link w:val="ListParagraph"/>
    <w:uiPriority w:val="34"/>
    <w:rsid w:val="007915E6"/>
    <w:rPr>
      <w:rFonts w:ascii="Georgia" w:hAnsi="Georgia"/>
      <w:sz w:val="21"/>
      <w:szCs w:val="24"/>
      <w:lang w:eastAsia="en-US"/>
    </w:rPr>
  </w:style>
  <w:style w:type="character" w:customStyle="1" w:styleId="NumberingChar">
    <w:name w:val="Numbering Char"/>
    <w:basedOn w:val="ListParagraphChar"/>
    <w:link w:val="Numbering"/>
    <w:rsid w:val="007915E6"/>
    <w:rPr>
      <w:rFonts w:ascii="Georgia" w:hAnsi="Georgia"/>
      <w:b/>
      <w:sz w:val="21"/>
      <w:szCs w:val="24"/>
      <w:lang w:eastAsia="en-US"/>
    </w:rPr>
  </w:style>
  <w:style w:type="character" w:customStyle="1" w:styleId="Heading4Char">
    <w:name w:val="Heading 4 Char"/>
    <w:basedOn w:val="DefaultParagraphFont"/>
    <w:link w:val="Heading4"/>
    <w:uiPriority w:val="9"/>
    <w:semiHidden/>
    <w:rsid w:val="007915E6"/>
    <w:rPr>
      <w:rFonts w:asciiTheme="majorHAnsi" w:eastAsiaTheme="majorEastAsia" w:hAnsiTheme="majorHAnsi" w:cstheme="majorBidi"/>
      <w:i/>
      <w:iCs/>
      <w:color w:val="A5A5A5" w:themeColor="accent1" w:themeShade="BF"/>
      <w:sz w:val="21"/>
      <w:szCs w:val="24"/>
      <w:lang w:eastAsia="en-US"/>
    </w:rPr>
  </w:style>
  <w:style w:type="paragraph" w:customStyle="1" w:styleId="Default">
    <w:name w:val="Default"/>
    <w:rsid w:val="00E30087"/>
    <w:pPr>
      <w:autoSpaceDE w:val="0"/>
      <w:autoSpaceDN w:val="0"/>
      <w:adjustRightInd w:val="0"/>
    </w:pPr>
    <w:rPr>
      <w:rFonts w:ascii="Georgia" w:eastAsiaTheme="minorHAnsi" w:hAnsi="Georgia" w:cs="Georgia"/>
      <w:color w:val="000000"/>
      <w:sz w:val="24"/>
      <w:szCs w:val="24"/>
      <w:lang w:eastAsia="en-US"/>
    </w:rPr>
  </w:style>
  <w:style w:type="paragraph" w:customStyle="1" w:styleId="Numberingbold">
    <w:name w:val="Numbering bold"/>
    <w:basedOn w:val="ListParagraph"/>
    <w:link w:val="NumberingboldChar"/>
    <w:qFormat/>
    <w:rsid w:val="005A51F6"/>
    <w:pPr>
      <w:numPr>
        <w:numId w:val="6"/>
      </w:numPr>
      <w:spacing w:before="240" w:after="120" w:line="264" w:lineRule="auto"/>
      <w:ind w:left="357" w:hanging="357"/>
    </w:pPr>
    <w:rPr>
      <w:b/>
      <w:sz w:val="22"/>
    </w:rPr>
  </w:style>
  <w:style w:type="character" w:customStyle="1" w:styleId="NumberingboldChar">
    <w:name w:val="Numbering bold Char"/>
    <w:basedOn w:val="ListParagraphChar"/>
    <w:link w:val="Numberingbold"/>
    <w:rsid w:val="005A51F6"/>
    <w:rPr>
      <w:rFonts w:ascii="Georgia" w:hAnsi="Georgia"/>
      <w:b/>
      <w:sz w:val="22"/>
      <w:szCs w:val="24"/>
      <w:lang w:eastAsia="en-US"/>
    </w:rPr>
  </w:style>
  <w:style w:type="paragraph" w:styleId="NormalWeb">
    <w:name w:val="Normal (Web)"/>
    <w:basedOn w:val="Normal"/>
    <w:uiPriority w:val="99"/>
    <w:unhideWhenUsed/>
    <w:rsid w:val="00E80597"/>
    <w:pPr>
      <w:spacing w:before="360" w:after="360" w:line="240" w:lineRule="auto"/>
    </w:pPr>
    <w:rPr>
      <w:rFonts w:ascii="Times New Roman" w:hAnsi="Times New Roman"/>
      <w:sz w:val="24"/>
      <w:lang w:eastAsia="en-NZ"/>
    </w:rPr>
  </w:style>
  <w:style w:type="character" w:styleId="FollowedHyperlink">
    <w:name w:val="FollowedHyperlink"/>
    <w:basedOn w:val="DefaultParagraphFont"/>
    <w:uiPriority w:val="99"/>
    <w:semiHidden/>
    <w:unhideWhenUsed/>
    <w:rsid w:val="005C0844"/>
    <w:rPr>
      <w:color w:val="919191" w:themeColor="followedHyperlink"/>
      <w:u w:val="single"/>
    </w:rPr>
  </w:style>
  <w:style w:type="paragraph" w:customStyle="1" w:styleId="Bullet1">
    <w:name w:val="Bullet1"/>
    <w:basedOn w:val="Normal"/>
    <w:qFormat/>
    <w:rsid w:val="006C3771"/>
    <w:pPr>
      <w:numPr>
        <w:numId w:val="40"/>
      </w:numPr>
      <w:suppressAutoHyphens/>
      <w:autoSpaceDE w:val="0"/>
      <w:autoSpaceDN w:val="0"/>
      <w:adjustRightInd w:val="0"/>
      <w:spacing w:after="120" w:line="288" w:lineRule="auto"/>
    </w:pPr>
    <w:rPr>
      <w:rFonts w:ascii="Verdana" w:hAnsi="Verdana" w:cs="Arial"/>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5841">
      <w:bodyDiv w:val="1"/>
      <w:marLeft w:val="0"/>
      <w:marRight w:val="0"/>
      <w:marTop w:val="0"/>
      <w:marBottom w:val="0"/>
      <w:divBdr>
        <w:top w:val="none" w:sz="0" w:space="0" w:color="auto"/>
        <w:left w:val="none" w:sz="0" w:space="0" w:color="auto"/>
        <w:bottom w:val="none" w:sz="0" w:space="0" w:color="auto"/>
        <w:right w:val="none" w:sz="0" w:space="0" w:color="auto"/>
      </w:divBdr>
    </w:div>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505678295">
      <w:bodyDiv w:val="1"/>
      <w:marLeft w:val="0"/>
      <w:marRight w:val="0"/>
      <w:marTop w:val="0"/>
      <w:marBottom w:val="0"/>
      <w:divBdr>
        <w:top w:val="none" w:sz="0" w:space="0" w:color="auto"/>
        <w:left w:val="none" w:sz="0" w:space="0" w:color="auto"/>
        <w:bottom w:val="none" w:sz="0" w:space="0" w:color="auto"/>
        <w:right w:val="none" w:sz="0" w:space="0" w:color="auto"/>
      </w:divBdr>
      <w:divsChild>
        <w:div w:id="1711374142">
          <w:marLeft w:val="0"/>
          <w:marRight w:val="0"/>
          <w:marTop w:val="0"/>
          <w:marBottom w:val="0"/>
          <w:divBdr>
            <w:top w:val="none" w:sz="0" w:space="0" w:color="auto"/>
            <w:left w:val="none" w:sz="0" w:space="0" w:color="auto"/>
            <w:bottom w:val="none" w:sz="0" w:space="0" w:color="auto"/>
            <w:right w:val="none" w:sz="0" w:space="0" w:color="auto"/>
          </w:divBdr>
          <w:divsChild>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225"/>
                  <w:marRight w:val="-225"/>
                  <w:marTop w:val="0"/>
                  <w:marBottom w:val="0"/>
                  <w:divBdr>
                    <w:top w:val="none" w:sz="0" w:space="0" w:color="auto"/>
                    <w:left w:val="none" w:sz="0" w:space="0" w:color="auto"/>
                    <w:bottom w:val="none" w:sz="0" w:space="0" w:color="auto"/>
                    <w:right w:val="none" w:sz="0" w:space="0" w:color="auto"/>
                  </w:divBdr>
                  <w:divsChild>
                    <w:div w:id="1281841185">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sChild>
                            <w:div w:id="897938646">
                              <w:marLeft w:val="-225"/>
                              <w:marRight w:val="-225"/>
                              <w:marTop w:val="0"/>
                              <w:marBottom w:val="0"/>
                              <w:divBdr>
                                <w:top w:val="none" w:sz="0" w:space="0" w:color="auto"/>
                                <w:left w:val="none" w:sz="0" w:space="0" w:color="auto"/>
                                <w:bottom w:val="none" w:sz="0" w:space="0" w:color="auto"/>
                                <w:right w:val="none" w:sz="0" w:space="0" w:color="auto"/>
                              </w:divBdr>
                              <w:divsChild>
                                <w:div w:id="2044015501">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1048992391">
                                          <w:marLeft w:val="0"/>
                                          <w:marRight w:val="0"/>
                                          <w:marTop w:val="0"/>
                                          <w:marBottom w:val="0"/>
                                          <w:divBdr>
                                            <w:top w:val="none" w:sz="0" w:space="0" w:color="auto"/>
                                            <w:left w:val="none" w:sz="0" w:space="0" w:color="auto"/>
                                            <w:bottom w:val="none" w:sz="0" w:space="0" w:color="auto"/>
                                            <w:right w:val="none" w:sz="0" w:space="0" w:color="auto"/>
                                          </w:divBdr>
                                          <w:divsChild>
                                            <w:div w:id="720518517">
                                              <w:marLeft w:val="0"/>
                                              <w:marRight w:val="0"/>
                                              <w:marTop w:val="0"/>
                                              <w:marBottom w:val="0"/>
                                              <w:divBdr>
                                                <w:top w:val="none" w:sz="0" w:space="0" w:color="auto"/>
                                                <w:left w:val="none" w:sz="0" w:space="0" w:color="auto"/>
                                                <w:bottom w:val="none" w:sz="0" w:space="0" w:color="auto"/>
                                                <w:right w:val="none" w:sz="0" w:space="0" w:color="auto"/>
                                              </w:divBdr>
                                              <w:divsChild>
                                                <w:div w:id="1798985288">
                                                  <w:marLeft w:val="0"/>
                                                  <w:marRight w:val="0"/>
                                                  <w:marTop w:val="0"/>
                                                  <w:marBottom w:val="0"/>
                                                  <w:divBdr>
                                                    <w:top w:val="none" w:sz="0" w:space="0" w:color="auto"/>
                                                    <w:left w:val="none" w:sz="0" w:space="0" w:color="auto"/>
                                                    <w:bottom w:val="none" w:sz="0" w:space="0" w:color="auto"/>
                                                    <w:right w:val="none" w:sz="0" w:space="0" w:color="auto"/>
                                                  </w:divBdr>
                                                  <w:divsChild>
                                                    <w:div w:id="118375181">
                                                      <w:marLeft w:val="0"/>
                                                      <w:marRight w:val="0"/>
                                                      <w:marTop w:val="0"/>
                                                      <w:marBottom w:val="0"/>
                                                      <w:divBdr>
                                                        <w:top w:val="none" w:sz="0" w:space="0" w:color="auto"/>
                                                        <w:left w:val="none" w:sz="0" w:space="0" w:color="auto"/>
                                                        <w:bottom w:val="none" w:sz="0" w:space="0" w:color="auto"/>
                                                        <w:right w:val="none" w:sz="0" w:space="0" w:color="auto"/>
                                                      </w:divBdr>
                                                      <w:divsChild>
                                                        <w:div w:id="1591424749">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29993671">
      <w:bodyDiv w:val="1"/>
      <w:marLeft w:val="0"/>
      <w:marRight w:val="0"/>
      <w:marTop w:val="0"/>
      <w:marBottom w:val="0"/>
      <w:divBdr>
        <w:top w:val="none" w:sz="0" w:space="0" w:color="auto"/>
        <w:left w:val="none" w:sz="0" w:space="0" w:color="auto"/>
        <w:bottom w:val="none" w:sz="0" w:space="0" w:color="auto"/>
        <w:right w:val="none" w:sz="0" w:space="0" w:color="auto"/>
      </w:divBdr>
      <w:divsChild>
        <w:div w:id="1520509442">
          <w:marLeft w:val="0"/>
          <w:marRight w:val="0"/>
          <w:marTop w:val="0"/>
          <w:marBottom w:val="0"/>
          <w:divBdr>
            <w:top w:val="none" w:sz="0" w:space="0" w:color="auto"/>
            <w:left w:val="none" w:sz="0" w:space="0" w:color="auto"/>
            <w:bottom w:val="none" w:sz="0" w:space="0" w:color="auto"/>
            <w:right w:val="none" w:sz="0" w:space="0" w:color="auto"/>
          </w:divBdr>
          <w:divsChild>
            <w:div w:id="1743064387">
              <w:marLeft w:val="0"/>
              <w:marRight w:val="0"/>
              <w:marTop w:val="0"/>
              <w:marBottom w:val="0"/>
              <w:divBdr>
                <w:top w:val="none" w:sz="0" w:space="0" w:color="auto"/>
                <w:left w:val="none" w:sz="0" w:space="0" w:color="auto"/>
                <w:bottom w:val="none" w:sz="0" w:space="0" w:color="auto"/>
                <w:right w:val="none" w:sz="0" w:space="0" w:color="auto"/>
              </w:divBdr>
              <w:divsChild>
                <w:div w:id="806626156">
                  <w:marLeft w:val="-225"/>
                  <w:marRight w:val="-225"/>
                  <w:marTop w:val="0"/>
                  <w:marBottom w:val="0"/>
                  <w:divBdr>
                    <w:top w:val="none" w:sz="0" w:space="0" w:color="auto"/>
                    <w:left w:val="none" w:sz="0" w:space="0" w:color="auto"/>
                    <w:bottom w:val="none" w:sz="0" w:space="0" w:color="auto"/>
                    <w:right w:val="none" w:sz="0" w:space="0" w:color="auto"/>
                  </w:divBdr>
                  <w:divsChild>
                    <w:div w:id="817573989">
                      <w:marLeft w:val="0"/>
                      <w:marRight w:val="0"/>
                      <w:marTop w:val="0"/>
                      <w:marBottom w:val="0"/>
                      <w:divBdr>
                        <w:top w:val="none" w:sz="0" w:space="0" w:color="auto"/>
                        <w:left w:val="none" w:sz="0" w:space="0" w:color="auto"/>
                        <w:bottom w:val="none" w:sz="0" w:space="0" w:color="auto"/>
                        <w:right w:val="none" w:sz="0" w:space="0" w:color="auto"/>
                      </w:divBdr>
                      <w:divsChild>
                        <w:div w:id="704452374">
                          <w:marLeft w:val="0"/>
                          <w:marRight w:val="0"/>
                          <w:marTop w:val="0"/>
                          <w:marBottom w:val="0"/>
                          <w:divBdr>
                            <w:top w:val="none" w:sz="0" w:space="0" w:color="auto"/>
                            <w:left w:val="none" w:sz="0" w:space="0" w:color="auto"/>
                            <w:bottom w:val="none" w:sz="0" w:space="0" w:color="auto"/>
                            <w:right w:val="none" w:sz="0" w:space="0" w:color="auto"/>
                          </w:divBdr>
                          <w:divsChild>
                            <w:div w:id="179440815">
                              <w:marLeft w:val="-225"/>
                              <w:marRight w:val="-225"/>
                              <w:marTop w:val="0"/>
                              <w:marBottom w:val="0"/>
                              <w:divBdr>
                                <w:top w:val="none" w:sz="0" w:space="0" w:color="auto"/>
                                <w:left w:val="none" w:sz="0" w:space="0" w:color="auto"/>
                                <w:bottom w:val="none" w:sz="0" w:space="0" w:color="auto"/>
                                <w:right w:val="none" w:sz="0" w:space="0" w:color="auto"/>
                              </w:divBdr>
                              <w:divsChild>
                                <w:div w:id="1652906321">
                                  <w:marLeft w:val="0"/>
                                  <w:marRight w:val="0"/>
                                  <w:marTop w:val="0"/>
                                  <w:marBottom w:val="0"/>
                                  <w:divBdr>
                                    <w:top w:val="none" w:sz="0" w:space="0" w:color="auto"/>
                                    <w:left w:val="none" w:sz="0" w:space="0" w:color="auto"/>
                                    <w:bottom w:val="none" w:sz="0" w:space="0" w:color="auto"/>
                                    <w:right w:val="none" w:sz="0" w:space="0" w:color="auto"/>
                                  </w:divBdr>
                                  <w:divsChild>
                                    <w:div w:id="2032487365">
                                      <w:marLeft w:val="0"/>
                                      <w:marRight w:val="0"/>
                                      <w:marTop w:val="0"/>
                                      <w:marBottom w:val="0"/>
                                      <w:divBdr>
                                        <w:top w:val="none" w:sz="0" w:space="0" w:color="auto"/>
                                        <w:left w:val="none" w:sz="0" w:space="0" w:color="auto"/>
                                        <w:bottom w:val="none" w:sz="0" w:space="0" w:color="auto"/>
                                        <w:right w:val="none" w:sz="0" w:space="0" w:color="auto"/>
                                      </w:divBdr>
                                      <w:divsChild>
                                        <w:div w:id="1541284512">
                                          <w:marLeft w:val="0"/>
                                          <w:marRight w:val="0"/>
                                          <w:marTop w:val="0"/>
                                          <w:marBottom w:val="0"/>
                                          <w:divBdr>
                                            <w:top w:val="none" w:sz="0" w:space="0" w:color="auto"/>
                                            <w:left w:val="none" w:sz="0" w:space="0" w:color="auto"/>
                                            <w:bottom w:val="none" w:sz="0" w:space="0" w:color="auto"/>
                                            <w:right w:val="none" w:sz="0" w:space="0" w:color="auto"/>
                                          </w:divBdr>
                                          <w:divsChild>
                                            <w:div w:id="170611396">
                                              <w:marLeft w:val="0"/>
                                              <w:marRight w:val="0"/>
                                              <w:marTop w:val="0"/>
                                              <w:marBottom w:val="0"/>
                                              <w:divBdr>
                                                <w:top w:val="none" w:sz="0" w:space="0" w:color="auto"/>
                                                <w:left w:val="none" w:sz="0" w:space="0" w:color="auto"/>
                                                <w:bottom w:val="none" w:sz="0" w:space="0" w:color="auto"/>
                                                <w:right w:val="none" w:sz="0" w:space="0" w:color="auto"/>
                                              </w:divBdr>
                                              <w:divsChild>
                                                <w:div w:id="1177958311">
                                                  <w:marLeft w:val="0"/>
                                                  <w:marRight w:val="0"/>
                                                  <w:marTop w:val="0"/>
                                                  <w:marBottom w:val="0"/>
                                                  <w:divBdr>
                                                    <w:top w:val="none" w:sz="0" w:space="0" w:color="auto"/>
                                                    <w:left w:val="none" w:sz="0" w:space="0" w:color="auto"/>
                                                    <w:bottom w:val="none" w:sz="0" w:space="0" w:color="auto"/>
                                                    <w:right w:val="none" w:sz="0" w:space="0" w:color="auto"/>
                                                  </w:divBdr>
                                                  <w:divsChild>
                                                    <w:div w:id="151719211">
                                                      <w:marLeft w:val="0"/>
                                                      <w:marRight w:val="0"/>
                                                      <w:marTop w:val="0"/>
                                                      <w:marBottom w:val="0"/>
                                                      <w:divBdr>
                                                        <w:top w:val="none" w:sz="0" w:space="0" w:color="auto"/>
                                                        <w:left w:val="none" w:sz="0" w:space="0" w:color="auto"/>
                                                        <w:bottom w:val="none" w:sz="0" w:space="0" w:color="auto"/>
                                                        <w:right w:val="none" w:sz="0" w:space="0" w:color="auto"/>
                                                      </w:divBdr>
                                                      <w:divsChild>
                                                        <w:div w:id="2816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51964545">
      <w:bodyDiv w:val="1"/>
      <w:marLeft w:val="0"/>
      <w:marRight w:val="0"/>
      <w:marTop w:val="0"/>
      <w:marBottom w:val="0"/>
      <w:divBdr>
        <w:top w:val="none" w:sz="0" w:space="0" w:color="auto"/>
        <w:left w:val="none" w:sz="0" w:space="0" w:color="auto"/>
        <w:bottom w:val="none" w:sz="0" w:space="0" w:color="auto"/>
        <w:right w:val="none" w:sz="0" w:space="0" w:color="auto"/>
      </w:divBdr>
    </w:div>
    <w:div w:id="1358003701">
      <w:bodyDiv w:val="1"/>
      <w:marLeft w:val="0"/>
      <w:marRight w:val="0"/>
      <w:marTop w:val="0"/>
      <w:marBottom w:val="0"/>
      <w:divBdr>
        <w:top w:val="none" w:sz="0" w:space="0" w:color="auto"/>
        <w:left w:val="none" w:sz="0" w:space="0" w:color="auto"/>
        <w:bottom w:val="none" w:sz="0" w:space="0" w:color="auto"/>
        <w:right w:val="none" w:sz="0" w:space="0" w:color="auto"/>
      </w:divBdr>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468428479">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865366903">
      <w:bodyDiv w:val="1"/>
      <w:marLeft w:val="0"/>
      <w:marRight w:val="0"/>
      <w:marTop w:val="0"/>
      <w:marBottom w:val="0"/>
      <w:divBdr>
        <w:top w:val="none" w:sz="0" w:space="0" w:color="auto"/>
        <w:left w:val="none" w:sz="0" w:space="0" w:color="auto"/>
        <w:bottom w:val="none" w:sz="0" w:space="0" w:color="auto"/>
        <w:right w:val="none" w:sz="0" w:space="0" w:color="auto"/>
      </w:divBdr>
      <w:divsChild>
        <w:div w:id="179322911">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sChild>
                <w:div w:id="1232739262">
                  <w:marLeft w:val="-225"/>
                  <w:marRight w:val="-225"/>
                  <w:marTop w:val="0"/>
                  <w:marBottom w:val="0"/>
                  <w:divBdr>
                    <w:top w:val="none" w:sz="0" w:space="0" w:color="auto"/>
                    <w:left w:val="none" w:sz="0" w:space="0" w:color="auto"/>
                    <w:bottom w:val="none" w:sz="0" w:space="0" w:color="auto"/>
                    <w:right w:val="none" w:sz="0" w:space="0" w:color="auto"/>
                  </w:divBdr>
                  <w:divsChild>
                    <w:div w:id="1077284877">
                      <w:marLeft w:val="0"/>
                      <w:marRight w:val="0"/>
                      <w:marTop w:val="0"/>
                      <w:marBottom w:val="0"/>
                      <w:divBdr>
                        <w:top w:val="none" w:sz="0" w:space="0" w:color="auto"/>
                        <w:left w:val="none" w:sz="0" w:space="0" w:color="auto"/>
                        <w:bottom w:val="none" w:sz="0" w:space="0" w:color="auto"/>
                        <w:right w:val="none" w:sz="0" w:space="0" w:color="auto"/>
                      </w:divBdr>
                      <w:divsChild>
                        <w:div w:id="867794411">
                          <w:marLeft w:val="0"/>
                          <w:marRight w:val="0"/>
                          <w:marTop w:val="0"/>
                          <w:marBottom w:val="0"/>
                          <w:divBdr>
                            <w:top w:val="none" w:sz="0" w:space="0" w:color="auto"/>
                            <w:left w:val="none" w:sz="0" w:space="0" w:color="auto"/>
                            <w:bottom w:val="none" w:sz="0" w:space="0" w:color="auto"/>
                            <w:right w:val="none" w:sz="0" w:space="0" w:color="auto"/>
                          </w:divBdr>
                          <w:divsChild>
                            <w:div w:id="1947154537">
                              <w:marLeft w:val="-225"/>
                              <w:marRight w:val="-225"/>
                              <w:marTop w:val="0"/>
                              <w:marBottom w:val="0"/>
                              <w:divBdr>
                                <w:top w:val="none" w:sz="0" w:space="0" w:color="auto"/>
                                <w:left w:val="none" w:sz="0" w:space="0" w:color="auto"/>
                                <w:bottom w:val="none" w:sz="0" w:space="0" w:color="auto"/>
                                <w:right w:val="none" w:sz="0" w:space="0" w:color="auto"/>
                              </w:divBdr>
                              <w:divsChild>
                                <w:div w:id="55011011">
                                  <w:marLeft w:val="0"/>
                                  <w:marRight w:val="0"/>
                                  <w:marTop w:val="0"/>
                                  <w:marBottom w:val="0"/>
                                  <w:divBdr>
                                    <w:top w:val="none" w:sz="0" w:space="0" w:color="auto"/>
                                    <w:left w:val="none" w:sz="0" w:space="0" w:color="auto"/>
                                    <w:bottom w:val="none" w:sz="0" w:space="0" w:color="auto"/>
                                    <w:right w:val="none" w:sz="0" w:space="0" w:color="auto"/>
                                  </w:divBdr>
                                  <w:divsChild>
                                    <w:div w:id="1788425383">
                                      <w:marLeft w:val="0"/>
                                      <w:marRight w:val="0"/>
                                      <w:marTop w:val="0"/>
                                      <w:marBottom w:val="0"/>
                                      <w:divBdr>
                                        <w:top w:val="none" w:sz="0" w:space="0" w:color="auto"/>
                                        <w:left w:val="none" w:sz="0" w:space="0" w:color="auto"/>
                                        <w:bottom w:val="none" w:sz="0" w:space="0" w:color="auto"/>
                                        <w:right w:val="none" w:sz="0" w:space="0" w:color="auto"/>
                                      </w:divBdr>
                                      <w:divsChild>
                                        <w:div w:id="66851397">
                                          <w:marLeft w:val="0"/>
                                          <w:marRight w:val="0"/>
                                          <w:marTop w:val="0"/>
                                          <w:marBottom w:val="0"/>
                                          <w:divBdr>
                                            <w:top w:val="none" w:sz="0" w:space="0" w:color="auto"/>
                                            <w:left w:val="none" w:sz="0" w:space="0" w:color="auto"/>
                                            <w:bottom w:val="none" w:sz="0" w:space="0" w:color="auto"/>
                                            <w:right w:val="none" w:sz="0" w:space="0" w:color="auto"/>
                                          </w:divBdr>
                                          <w:divsChild>
                                            <w:div w:id="414207869">
                                              <w:marLeft w:val="0"/>
                                              <w:marRight w:val="0"/>
                                              <w:marTop w:val="0"/>
                                              <w:marBottom w:val="0"/>
                                              <w:divBdr>
                                                <w:top w:val="none" w:sz="0" w:space="0" w:color="auto"/>
                                                <w:left w:val="none" w:sz="0" w:space="0" w:color="auto"/>
                                                <w:bottom w:val="none" w:sz="0" w:space="0" w:color="auto"/>
                                                <w:right w:val="none" w:sz="0" w:space="0" w:color="auto"/>
                                              </w:divBdr>
                                              <w:divsChild>
                                                <w:div w:id="240483651">
                                                  <w:marLeft w:val="0"/>
                                                  <w:marRight w:val="0"/>
                                                  <w:marTop w:val="0"/>
                                                  <w:marBottom w:val="0"/>
                                                  <w:divBdr>
                                                    <w:top w:val="none" w:sz="0" w:space="0" w:color="auto"/>
                                                    <w:left w:val="none" w:sz="0" w:space="0" w:color="auto"/>
                                                    <w:bottom w:val="none" w:sz="0" w:space="0" w:color="auto"/>
                                                    <w:right w:val="none" w:sz="0" w:space="0" w:color="auto"/>
                                                  </w:divBdr>
                                                  <w:divsChild>
                                                    <w:div w:id="10799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86213">
      <w:bodyDiv w:val="1"/>
      <w:marLeft w:val="0"/>
      <w:marRight w:val="0"/>
      <w:marTop w:val="0"/>
      <w:marBottom w:val="0"/>
      <w:divBdr>
        <w:top w:val="none" w:sz="0" w:space="0" w:color="auto"/>
        <w:left w:val="none" w:sz="0" w:space="0" w:color="auto"/>
        <w:bottom w:val="none" w:sz="0" w:space="0" w:color="auto"/>
        <w:right w:val="none" w:sz="0" w:space="0" w:color="auto"/>
      </w:divBdr>
      <w:divsChild>
        <w:div w:id="1567691700">
          <w:marLeft w:val="0"/>
          <w:marRight w:val="0"/>
          <w:marTop w:val="0"/>
          <w:marBottom w:val="0"/>
          <w:divBdr>
            <w:top w:val="none" w:sz="0" w:space="0" w:color="auto"/>
            <w:left w:val="none" w:sz="0" w:space="0" w:color="auto"/>
            <w:bottom w:val="none" w:sz="0" w:space="0" w:color="auto"/>
            <w:right w:val="none" w:sz="0" w:space="0" w:color="auto"/>
          </w:divBdr>
          <w:divsChild>
            <w:div w:id="1948612108">
              <w:marLeft w:val="0"/>
              <w:marRight w:val="0"/>
              <w:marTop w:val="0"/>
              <w:marBottom w:val="0"/>
              <w:divBdr>
                <w:top w:val="none" w:sz="0" w:space="0" w:color="auto"/>
                <w:left w:val="none" w:sz="0" w:space="0" w:color="auto"/>
                <w:bottom w:val="none" w:sz="0" w:space="0" w:color="auto"/>
                <w:right w:val="none" w:sz="0" w:space="0" w:color="auto"/>
              </w:divBdr>
              <w:divsChild>
                <w:div w:id="1191071626">
                  <w:marLeft w:val="-225"/>
                  <w:marRight w:val="-225"/>
                  <w:marTop w:val="0"/>
                  <w:marBottom w:val="0"/>
                  <w:divBdr>
                    <w:top w:val="none" w:sz="0" w:space="0" w:color="auto"/>
                    <w:left w:val="none" w:sz="0" w:space="0" w:color="auto"/>
                    <w:bottom w:val="none" w:sz="0" w:space="0" w:color="auto"/>
                    <w:right w:val="none" w:sz="0" w:space="0" w:color="auto"/>
                  </w:divBdr>
                  <w:divsChild>
                    <w:div w:id="849568627">
                      <w:marLeft w:val="0"/>
                      <w:marRight w:val="0"/>
                      <w:marTop w:val="0"/>
                      <w:marBottom w:val="0"/>
                      <w:divBdr>
                        <w:top w:val="none" w:sz="0" w:space="0" w:color="auto"/>
                        <w:left w:val="none" w:sz="0" w:space="0" w:color="auto"/>
                        <w:bottom w:val="none" w:sz="0" w:space="0" w:color="auto"/>
                        <w:right w:val="none" w:sz="0" w:space="0" w:color="auto"/>
                      </w:divBdr>
                      <w:divsChild>
                        <w:div w:id="859659839">
                          <w:marLeft w:val="0"/>
                          <w:marRight w:val="0"/>
                          <w:marTop w:val="0"/>
                          <w:marBottom w:val="0"/>
                          <w:divBdr>
                            <w:top w:val="none" w:sz="0" w:space="0" w:color="auto"/>
                            <w:left w:val="none" w:sz="0" w:space="0" w:color="auto"/>
                            <w:bottom w:val="none" w:sz="0" w:space="0" w:color="auto"/>
                            <w:right w:val="none" w:sz="0" w:space="0" w:color="auto"/>
                          </w:divBdr>
                          <w:divsChild>
                            <w:div w:id="1539774887">
                              <w:marLeft w:val="-225"/>
                              <w:marRight w:val="-225"/>
                              <w:marTop w:val="0"/>
                              <w:marBottom w:val="0"/>
                              <w:divBdr>
                                <w:top w:val="none" w:sz="0" w:space="0" w:color="auto"/>
                                <w:left w:val="none" w:sz="0" w:space="0" w:color="auto"/>
                                <w:bottom w:val="none" w:sz="0" w:space="0" w:color="auto"/>
                                <w:right w:val="none" w:sz="0" w:space="0" w:color="auto"/>
                              </w:divBdr>
                              <w:divsChild>
                                <w:div w:id="970206187">
                                  <w:marLeft w:val="0"/>
                                  <w:marRight w:val="0"/>
                                  <w:marTop w:val="0"/>
                                  <w:marBottom w:val="0"/>
                                  <w:divBdr>
                                    <w:top w:val="none" w:sz="0" w:space="0" w:color="auto"/>
                                    <w:left w:val="none" w:sz="0" w:space="0" w:color="auto"/>
                                    <w:bottom w:val="none" w:sz="0" w:space="0" w:color="auto"/>
                                    <w:right w:val="none" w:sz="0" w:space="0" w:color="auto"/>
                                  </w:divBdr>
                                  <w:divsChild>
                                    <w:div w:id="903417014">
                                      <w:marLeft w:val="0"/>
                                      <w:marRight w:val="0"/>
                                      <w:marTop w:val="0"/>
                                      <w:marBottom w:val="0"/>
                                      <w:divBdr>
                                        <w:top w:val="none" w:sz="0" w:space="0" w:color="auto"/>
                                        <w:left w:val="none" w:sz="0" w:space="0" w:color="auto"/>
                                        <w:bottom w:val="none" w:sz="0" w:space="0" w:color="auto"/>
                                        <w:right w:val="none" w:sz="0" w:space="0" w:color="auto"/>
                                      </w:divBdr>
                                      <w:divsChild>
                                        <w:div w:id="1034498026">
                                          <w:marLeft w:val="0"/>
                                          <w:marRight w:val="0"/>
                                          <w:marTop w:val="0"/>
                                          <w:marBottom w:val="0"/>
                                          <w:divBdr>
                                            <w:top w:val="none" w:sz="0" w:space="0" w:color="auto"/>
                                            <w:left w:val="none" w:sz="0" w:space="0" w:color="auto"/>
                                            <w:bottom w:val="none" w:sz="0" w:space="0" w:color="auto"/>
                                            <w:right w:val="none" w:sz="0" w:space="0" w:color="auto"/>
                                          </w:divBdr>
                                          <w:divsChild>
                                            <w:div w:id="1483692727">
                                              <w:marLeft w:val="0"/>
                                              <w:marRight w:val="0"/>
                                              <w:marTop w:val="0"/>
                                              <w:marBottom w:val="0"/>
                                              <w:divBdr>
                                                <w:top w:val="none" w:sz="0" w:space="0" w:color="auto"/>
                                                <w:left w:val="none" w:sz="0" w:space="0" w:color="auto"/>
                                                <w:bottom w:val="none" w:sz="0" w:space="0" w:color="auto"/>
                                                <w:right w:val="none" w:sz="0" w:space="0" w:color="auto"/>
                                              </w:divBdr>
                                              <w:divsChild>
                                                <w:div w:id="1420522406">
                                                  <w:marLeft w:val="0"/>
                                                  <w:marRight w:val="0"/>
                                                  <w:marTop w:val="0"/>
                                                  <w:marBottom w:val="0"/>
                                                  <w:divBdr>
                                                    <w:top w:val="none" w:sz="0" w:space="0" w:color="auto"/>
                                                    <w:left w:val="none" w:sz="0" w:space="0" w:color="auto"/>
                                                    <w:bottom w:val="none" w:sz="0" w:space="0" w:color="auto"/>
                                                    <w:right w:val="none" w:sz="0" w:space="0" w:color="auto"/>
                                                  </w:divBdr>
                                                  <w:divsChild>
                                                    <w:div w:id="1416121972">
                                                      <w:marLeft w:val="0"/>
                                                      <w:marRight w:val="0"/>
                                                      <w:marTop w:val="0"/>
                                                      <w:marBottom w:val="0"/>
                                                      <w:divBdr>
                                                        <w:top w:val="none" w:sz="0" w:space="0" w:color="auto"/>
                                                        <w:left w:val="none" w:sz="0" w:space="0" w:color="auto"/>
                                                        <w:bottom w:val="none" w:sz="0" w:space="0" w:color="auto"/>
                                                        <w:right w:val="none" w:sz="0" w:space="0" w:color="auto"/>
                                                      </w:divBdr>
                                                      <w:divsChild>
                                                        <w:div w:id="1430007808">
                                                          <w:marLeft w:val="0"/>
                                                          <w:marRight w:val="0"/>
                                                          <w:marTop w:val="0"/>
                                                          <w:marBottom w:val="0"/>
                                                          <w:divBdr>
                                                            <w:top w:val="none" w:sz="0" w:space="0" w:color="auto"/>
                                                            <w:left w:val="none" w:sz="0" w:space="0" w:color="auto"/>
                                                            <w:bottom w:val="none" w:sz="0" w:space="0" w:color="auto"/>
                                                            <w:right w:val="none" w:sz="0" w:space="0" w:color="auto"/>
                                                          </w:divBdr>
                                                        </w:div>
                                                        <w:div w:id="20945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ment.govt.nz/starting-employment/who-is-an-employee/types-of-employe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gislation.govt.nz/act/public/2017/0024/latest/link.aspx?id=DLM9949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epiui001\Objective\objective.ssi.govt.nz-8000-epiui001\Objects\WinTalk\f9334898-0c40-44f7-88be-9a9380bdbc69\info@careerforce.org.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487E-CED4-49C6-874B-0912A511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Employer factsheet Care and Support Workers (Pay Equity) Settlement Agreement - Dec 2017</vt:lpstr>
    </vt:vector>
  </TitlesOfParts>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factsheet Care and Support Workers (Pay Equity) Settlement Agreement - Dec 2017</dc:title>
  <dc:creator/>
  <cp:lastModifiedBy/>
  <cp:revision>1</cp:revision>
  <dcterms:created xsi:type="dcterms:W3CDTF">2019-01-16T04:52:00Z</dcterms:created>
  <dcterms:modified xsi:type="dcterms:W3CDTF">2019-01-16T04:52:00Z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A10590922</vt:lpwstr>
  </property>
  <property fmtid="{D5CDD505-2E9C-101B-9397-08002B2CF9AE}" pid="4" name="Objective-Title">
    <vt:lpwstr>Employer fact sheet FINAL FINAL</vt:lpwstr>
  </property>
  <property fmtid="{D5CDD505-2E9C-101B-9397-08002B2CF9AE}" pid="5" name="Objective-Comment">
    <vt:lpwstr/>
  </property>
  <property fmtid="{D5CDD505-2E9C-101B-9397-08002B2CF9AE}" pid="6" name="Objective-CreationStamp">
    <vt:filetime>2018-06-26T23:18:56Z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2018-06-26T23:20:21Z</vt:filetime>
  </property>
  <property fmtid="{D5CDD505-2E9C-101B-9397-08002B2CF9AE}" pid="11" name="Objective-Owner">
    <vt:lpwstr>Emi Piuila-Afitu</vt:lpwstr>
  </property>
  <property fmtid="{D5CDD505-2E9C-101B-9397-08002B2CF9AE}" pid="12" name="Objective-Path">
    <vt:lpwstr>Global Folder:MSD INFORMATION REPOSITORY:Service Delivery:Work and Income:Account Management:Contracting for Services:Vocational Services:Service Development:Pay Equity:Mental Health and Addiction Settlement:</vt:lpwstr>
  </property>
  <property fmtid="{D5CDD505-2E9C-101B-9397-08002B2CF9AE}" pid="13" name="Objective-Parent">
    <vt:lpwstr>Mental Health and Addiction Settlement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