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53A" w:rsidRDefault="000D553A" w:rsidP="00853167">
      <w:pPr>
        <w:pStyle w:val="Heading1"/>
        <w:keepNext w:val="0"/>
        <w:keepLines w:val="0"/>
        <w:pBdr>
          <w:top w:val="single" w:sz="48" w:space="16" w:color="auto"/>
        </w:pBdr>
        <w:spacing w:before="0" w:after="360"/>
        <w:rPr>
          <w:sz w:val="52"/>
        </w:rPr>
      </w:pPr>
      <w:r>
        <w:rPr>
          <w:sz w:val="52"/>
        </w:rPr>
        <w:t xml:space="preserve">Pay Equity Settlement </w:t>
      </w:r>
    </w:p>
    <w:p w:rsidR="00853167" w:rsidRPr="000D553A" w:rsidRDefault="000D553A" w:rsidP="00853167">
      <w:pPr>
        <w:pStyle w:val="Heading1"/>
        <w:keepNext w:val="0"/>
        <w:keepLines w:val="0"/>
        <w:pBdr>
          <w:top w:val="single" w:sz="48" w:space="16" w:color="auto"/>
        </w:pBdr>
        <w:spacing w:before="0" w:after="360"/>
        <w:rPr>
          <w:sz w:val="40"/>
        </w:rPr>
      </w:pPr>
      <w:r w:rsidRPr="000D553A">
        <w:rPr>
          <w:sz w:val="40"/>
        </w:rPr>
        <w:t>Estimation and Invoice Process</w:t>
      </w:r>
      <w:r w:rsidR="00294EBF" w:rsidRPr="000D553A">
        <w:rPr>
          <w:sz w:val="40"/>
        </w:rPr>
        <w:t xml:space="preserve"> </w:t>
      </w:r>
      <w:r w:rsidR="00853167" w:rsidRPr="000D553A">
        <w:rPr>
          <w:sz w:val="40"/>
        </w:rPr>
        <w:t>Guidelines</w:t>
      </w:r>
    </w:p>
    <w:p w:rsidR="00853167" w:rsidRPr="006961E7" w:rsidRDefault="00853167" w:rsidP="00853167">
      <w:pPr>
        <w:rPr>
          <w:rFonts w:ascii="Verdana" w:hAnsi="Verdana"/>
          <w:iCs/>
          <w:sz w:val="20"/>
          <w:lang w:eastAsia="en-NZ"/>
        </w:rPr>
      </w:pPr>
      <w:r w:rsidRPr="006961E7">
        <w:rPr>
          <w:rFonts w:ascii="Verdana" w:hAnsi="Verdana"/>
          <w:iCs/>
          <w:sz w:val="20"/>
          <w:lang w:eastAsia="en-NZ"/>
        </w:rPr>
        <w:t xml:space="preserve">The </w:t>
      </w:r>
      <w:r w:rsidR="003215C0">
        <w:rPr>
          <w:rFonts w:ascii="Verdana" w:hAnsi="Verdana"/>
          <w:iCs/>
          <w:sz w:val="20"/>
          <w:lang w:eastAsia="en-NZ"/>
        </w:rPr>
        <w:t xml:space="preserve">Pay Equity </w:t>
      </w:r>
      <w:r w:rsidRPr="006961E7">
        <w:rPr>
          <w:rFonts w:ascii="Verdana" w:hAnsi="Verdana"/>
          <w:iCs/>
          <w:sz w:val="20"/>
          <w:lang w:eastAsia="en-NZ"/>
        </w:rPr>
        <w:t>Settlement Agreement is the result of the TerraNova case which successfully argued a caregiver’s pay is less than would be paid to a male with the same skill set in a different occupation, because caregivers are predominantly female. The MSD/MVCOT settlement agreement will align the pay rates of disability care and support workers with the pay rates of workers carrying out similar work and covered by the TerraNova Settlement.</w:t>
      </w:r>
    </w:p>
    <w:p w:rsidR="00853167" w:rsidRDefault="00853167" w:rsidP="00853167">
      <w:pPr>
        <w:rPr>
          <w:rFonts w:ascii="Verdana" w:hAnsi="Verdana"/>
          <w:iCs/>
          <w:sz w:val="20"/>
          <w:lang w:eastAsia="en-NZ"/>
        </w:rPr>
      </w:pPr>
    </w:p>
    <w:p w:rsidR="00853167" w:rsidRDefault="00E635DB" w:rsidP="00853167">
      <w:pPr>
        <w:rPr>
          <w:rFonts w:ascii="Verdana" w:hAnsi="Verdana"/>
          <w:iCs/>
          <w:sz w:val="20"/>
          <w:lang w:eastAsia="en-NZ"/>
        </w:rPr>
      </w:pPr>
      <w:r>
        <w:rPr>
          <w:rFonts w:ascii="Verdana" w:hAnsi="Verdana"/>
          <w:iCs/>
          <w:sz w:val="20"/>
          <w:lang w:eastAsia="en-NZ"/>
        </w:rPr>
        <w:t>The Ministry of Social Development (</w:t>
      </w:r>
      <w:r w:rsidR="00853167" w:rsidRPr="006749E9">
        <w:rPr>
          <w:rFonts w:ascii="Verdana" w:hAnsi="Verdana"/>
          <w:iCs/>
          <w:sz w:val="20"/>
          <w:lang w:eastAsia="en-NZ"/>
        </w:rPr>
        <w:t>MSD</w:t>
      </w:r>
      <w:r w:rsidR="001D2C9B">
        <w:rPr>
          <w:rFonts w:ascii="Verdana" w:hAnsi="Verdana"/>
          <w:iCs/>
          <w:sz w:val="20"/>
          <w:lang w:eastAsia="en-NZ"/>
        </w:rPr>
        <w:t xml:space="preserve">) and </w:t>
      </w:r>
      <w:r>
        <w:rPr>
          <w:rFonts w:ascii="Verdana" w:hAnsi="Verdana"/>
          <w:iCs/>
          <w:sz w:val="20"/>
          <w:lang w:eastAsia="en-NZ"/>
        </w:rPr>
        <w:t>the Ministry</w:t>
      </w:r>
      <w:r w:rsidR="001D2C9B">
        <w:rPr>
          <w:rFonts w:ascii="Verdana" w:hAnsi="Verdana"/>
          <w:iCs/>
          <w:sz w:val="20"/>
          <w:lang w:eastAsia="en-NZ"/>
        </w:rPr>
        <w:t xml:space="preserve"> for Vulnerable C</w:t>
      </w:r>
      <w:r>
        <w:rPr>
          <w:rFonts w:ascii="Verdana" w:hAnsi="Verdana"/>
          <w:iCs/>
          <w:sz w:val="20"/>
          <w:lang w:eastAsia="en-NZ"/>
        </w:rPr>
        <w:t>hildren Oranga Tamariki</w:t>
      </w:r>
      <w:r w:rsidR="00853167" w:rsidRPr="006749E9">
        <w:rPr>
          <w:rFonts w:ascii="Verdana" w:hAnsi="Verdana"/>
          <w:iCs/>
          <w:sz w:val="20"/>
          <w:lang w:eastAsia="en-NZ"/>
        </w:rPr>
        <w:t xml:space="preserve"> </w:t>
      </w:r>
      <w:r>
        <w:rPr>
          <w:rFonts w:ascii="Verdana" w:hAnsi="Verdana"/>
          <w:iCs/>
          <w:sz w:val="20"/>
          <w:lang w:eastAsia="en-NZ"/>
        </w:rPr>
        <w:t>(</w:t>
      </w:r>
      <w:r w:rsidR="00853167" w:rsidRPr="006749E9">
        <w:rPr>
          <w:rFonts w:ascii="Verdana" w:hAnsi="Verdana"/>
          <w:iCs/>
          <w:sz w:val="20"/>
          <w:lang w:eastAsia="en-NZ"/>
        </w:rPr>
        <w:t>MVCOT</w:t>
      </w:r>
      <w:r>
        <w:rPr>
          <w:rFonts w:ascii="Verdana" w:hAnsi="Verdana"/>
          <w:iCs/>
          <w:sz w:val="20"/>
          <w:lang w:eastAsia="en-NZ"/>
        </w:rPr>
        <w:t>)</w:t>
      </w:r>
      <w:r w:rsidR="00853167" w:rsidRPr="006749E9">
        <w:rPr>
          <w:rFonts w:ascii="Verdana" w:hAnsi="Verdana"/>
          <w:iCs/>
          <w:sz w:val="20"/>
          <w:lang w:eastAsia="en-NZ"/>
        </w:rPr>
        <w:t xml:space="preserve"> are implementing the pay and equity agreement through contract variations because care &amp; support workers paid through services funded by MSD / MVCOT are not yet covered by legislation.</w:t>
      </w:r>
    </w:p>
    <w:p w:rsidR="00853167" w:rsidRDefault="00853167" w:rsidP="00853167">
      <w:pPr>
        <w:rPr>
          <w:rFonts w:ascii="Verdana" w:hAnsi="Verdana"/>
          <w:iCs/>
          <w:sz w:val="20"/>
          <w:lang w:eastAsia="en-NZ"/>
        </w:rPr>
      </w:pPr>
    </w:p>
    <w:p w:rsidR="00853167" w:rsidRPr="006961E7" w:rsidRDefault="00853167" w:rsidP="00853167">
      <w:pPr>
        <w:pStyle w:val="Heading2"/>
      </w:pPr>
      <w:bookmarkStart w:id="0" w:name="_Toc488741783"/>
      <w:r w:rsidRPr="006961E7">
        <w:t>Eligibility</w:t>
      </w:r>
      <w:bookmarkEnd w:id="0"/>
    </w:p>
    <w:p w:rsidR="00E97C30" w:rsidRPr="008133A8" w:rsidRDefault="00E97C30" w:rsidP="00E97C30">
      <w:pPr>
        <w:spacing w:before="120"/>
        <w:rPr>
          <w:rFonts w:ascii="Verdana" w:hAnsi="Verdana"/>
          <w:sz w:val="20"/>
        </w:rPr>
      </w:pPr>
      <w:bookmarkStart w:id="1" w:name="_Needs_assessment"/>
      <w:bookmarkEnd w:id="1"/>
      <w:r w:rsidRPr="008133A8">
        <w:rPr>
          <w:rFonts w:ascii="Verdana" w:hAnsi="Verdana"/>
          <w:sz w:val="20"/>
        </w:rPr>
        <w:t xml:space="preserve">The </w:t>
      </w:r>
      <w:r>
        <w:rPr>
          <w:rFonts w:ascii="Verdana" w:hAnsi="Verdana"/>
          <w:sz w:val="20"/>
        </w:rPr>
        <w:t>s</w:t>
      </w:r>
      <w:r w:rsidRPr="008133A8">
        <w:rPr>
          <w:rFonts w:ascii="Verdana" w:hAnsi="Verdana"/>
          <w:sz w:val="20"/>
        </w:rPr>
        <w:t xml:space="preserve">ettlement </w:t>
      </w:r>
      <w:r>
        <w:rPr>
          <w:rFonts w:ascii="Verdana" w:hAnsi="Verdana"/>
          <w:sz w:val="20"/>
        </w:rPr>
        <w:t>a</w:t>
      </w:r>
      <w:r w:rsidR="001D2C9B">
        <w:rPr>
          <w:rFonts w:ascii="Verdana" w:hAnsi="Verdana"/>
          <w:sz w:val="20"/>
        </w:rPr>
        <w:t xml:space="preserve">greement covers care &amp; </w:t>
      </w:r>
      <w:r w:rsidRPr="008133A8">
        <w:rPr>
          <w:rFonts w:ascii="Verdana" w:hAnsi="Verdana"/>
          <w:sz w:val="20"/>
        </w:rPr>
        <w:t xml:space="preserve">support workers </w:t>
      </w:r>
      <w:r>
        <w:rPr>
          <w:rFonts w:ascii="Verdana" w:hAnsi="Verdana"/>
          <w:sz w:val="20"/>
        </w:rPr>
        <w:t>employed by</w:t>
      </w:r>
      <w:r w:rsidRPr="008133A8">
        <w:rPr>
          <w:rFonts w:ascii="Verdana" w:hAnsi="Verdana"/>
          <w:sz w:val="20"/>
        </w:rPr>
        <w:t xml:space="preserve"> providers who receive funds through contracts with MSD and MVCOT.</w:t>
      </w:r>
    </w:p>
    <w:p w:rsidR="00E97C30" w:rsidRPr="009D65EB" w:rsidRDefault="00E97C30" w:rsidP="00E97C30">
      <w:pPr>
        <w:spacing w:before="120"/>
        <w:rPr>
          <w:rFonts w:ascii="Verdana" w:hAnsi="Verdana"/>
          <w:sz w:val="20"/>
        </w:rPr>
      </w:pPr>
    </w:p>
    <w:p w:rsidR="00E97C30" w:rsidRPr="006F4340" w:rsidRDefault="00E97C30" w:rsidP="00E97C30">
      <w:pPr>
        <w:pStyle w:val="ListParagraph"/>
        <w:numPr>
          <w:ilvl w:val="0"/>
          <w:numId w:val="35"/>
        </w:numPr>
        <w:spacing w:line="276" w:lineRule="auto"/>
        <w:rPr>
          <w:rFonts w:ascii="Verdana" w:hAnsi="Verdana"/>
          <w:sz w:val="20"/>
        </w:rPr>
      </w:pPr>
      <w:r w:rsidRPr="006F4340">
        <w:rPr>
          <w:rFonts w:ascii="Verdana" w:hAnsi="Verdana"/>
          <w:sz w:val="20"/>
        </w:rPr>
        <w:t>Workers are eligible if they have job titles/job descriptions tha</w:t>
      </w:r>
      <w:r w:rsidR="003215C0">
        <w:rPr>
          <w:rFonts w:ascii="Verdana" w:hAnsi="Verdana"/>
          <w:sz w:val="20"/>
        </w:rPr>
        <w:t>t identify them as care &amp;</w:t>
      </w:r>
      <w:r w:rsidRPr="006F4340">
        <w:rPr>
          <w:rFonts w:ascii="Verdana" w:hAnsi="Verdana"/>
          <w:sz w:val="20"/>
        </w:rPr>
        <w:t xml:space="preserve"> support workers. </w:t>
      </w:r>
    </w:p>
    <w:p w:rsidR="00E97C30" w:rsidRPr="006F4340" w:rsidRDefault="00E97C30" w:rsidP="00E97C30">
      <w:pPr>
        <w:pStyle w:val="ListParagraph"/>
        <w:rPr>
          <w:rFonts w:ascii="Verdana" w:hAnsi="Verdana"/>
          <w:sz w:val="20"/>
        </w:rPr>
      </w:pPr>
    </w:p>
    <w:p w:rsidR="00E97C30" w:rsidRPr="00B42473" w:rsidRDefault="00E97C30" w:rsidP="00E97C30">
      <w:pPr>
        <w:pStyle w:val="ListParagraph"/>
        <w:numPr>
          <w:ilvl w:val="0"/>
          <w:numId w:val="35"/>
        </w:numPr>
        <w:spacing w:line="276" w:lineRule="auto"/>
        <w:rPr>
          <w:rFonts w:ascii="Verdana" w:hAnsi="Verdana"/>
          <w:sz w:val="20"/>
        </w:rPr>
      </w:pPr>
      <w:r w:rsidRPr="008133A8">
        <w:rPr>
          <w:rFonts w:ascii="Verdana" w:hAnsi="Verdana"/>
          <w:sz w:val="20"/>
        </w:rPr>
        <w:t xml:space="preserve">Workers are eligible if they spend more than 50% of their time providing care </w:t>
      </w:r>
      <w:r w:rsidR="003215C0">
        <w:rPr>
          <w:rFonts w:ascii="Verdana" w:hAnsi="Verdana"/>
          <w:sz w:val="20"/>
        </w:rPr>
        <w:t>&amp;</w:t>
      </w:r>
      <w:r w:rsidRPr="008133A8">
        <w:rPr>
          <w:rFonts w:ascii="Verdana" w:hAnsi="Verdana"/>
          <w:sz w:val="20"/>
        </w:rPr>
        <w:t xml:space="preserve"> support services including help to wash, dress and eat, help with the laundry, housework and shopping, or help getting to appointments. </w:t>
      </w:r>
    </w:p>
    <w:p w:rsidR="00E97C30" w:rsidRPr="00B42473" w:rsidRDefault="00E97C30" w:rsidP="00E97C30">
      <w:pPr>
        <w:pStyle w:val="ListParagraph"/>
        <w:rPr>
          <w:rFonts w:ascii="Verdana" w:hAnsi="Verdana"/>
          <w:sz w:val="20"/>
        </w:rPr>
      </w:pPr>
    </w:p>
    <w:p w:rsidR="00E97C30" w:rsidRPr="006F4340" w:rsidRDefault="00E97C30" w:rsidP="00E97C30">
      <w:pPr>
        <w:pStyle w:val="ListParagraph"/>
        <w:numPr>
          <w:ilvl w:val="0"/>
          <w:numId w:val="35"/>
        </w:numPr>
        <w:spacing w:line="276" w:lineRule="auto"/>
        <w:rPr>
          <w:rFonts w:ascii="Verdana" w:hAnsi="Verdana"/>
          <w:sz w:val="20"/>
        </w:rPr>
      </w:pPr>
      <w:r w:rsidRPr="006F4340">
        <w:rPr>
          <w:rFonts w:ascii="Verdana" w:hAnsi="Verdana"/>
          <w:sz w:val="20"/>
        </w:rPr>
        <w:t xml:space="preserve">If a worker is eligible, they may be entitled to the minimum hourly wages for all or part of the care and support services they provide.  A provider will have to decide if some of the services are excluded from entitlement. </w:t>
      </w:r>
    </w:p>
    <w:p w:rsidR="00E97C30" w:rsidRPr="008133A8" w:rsidRDefault="00E97C30" w:rsidP="00E97C30">
      <w:pPr>
        <w:pStyle w:val="ListParagraph"/>
        <w:rPr>
          <w:rFonts w:ascii="Verdana" w:hAnsi="Verdana"/>
          <w:sz w:val="20"/>
        </w:rPr>
      </w:pPr>
    </w:p>
    <w:p w:rsidR="00E97C30" w:rsidRPr="00A305EF" w:rsidRDefault="00E97C30" w:rsidP="00A305EF">
      <w:pPr>
        <w:pStyle w:val="ListParagraph"/>
        <w:numPr>
          <w:ilvl w:val="0"/>
          <w:numId w:val="35"/>
        </w:numPr>
        <w:spacing w:before="120" w:line="276" w:lineRule="auto"/>
        <w:rPr>
          <w:rFonts w:ascii="Verdana" w:hAnsi="Verdana"/>
          <w:sz w:val="20"/>
        </w:rPr>
      </w:pPr>
      <w:r w:rsidRPr="00A305EF">
        <w:rPr>
          <w:rFonts w:ascii="Verdana" w:hAnsi="Verdana"/>
          <w:sz w:val="20"/>
        </w:rPr>
        <w:t>Casual workers are covered by this agreement however they are not regarded as having ‘continuous service’, hence the minimum hourly wage rate is calculated based on qualification</w:t>
      </w:r>
      <w:r w:rsidR="00A305EF">
        <w:rPr>
          <w:rStyle w:val="FootnoteReference"/>
          <w:rFonts w:ascii="Verdana" w:hAnsi="Verdana"/>
          <w:sz w:val="20"/>
        </w:rPr>
        <w:footnoteReference w:id="1"/>
      </w:r>
      <w:r w:rsidRPr="00A305EF">
        <w:rPr>
          <w:rFonts w:ascii="Verdana" w:hAnsi="Verdana"/>
          <w:sz w:val="20"/>
        </w:rPr>
        <w:t>.</w:t>
      </w:r>
      <w:r w:rsidR="00522485" w:rsidRPr="00A305EF">
        <w:rPr>
          <w:rFonts w:ascii="Verdana" w:hAnsi="Verdana"/>
          <w:sz w:val="20"/>
        </w:rPr>
        <w:t xml:space="preserve">  </w:t>
      </w:r>
    </w:p>
    <w:p w:rsidR="00E97C30" w:rsidRPr="006F4340" w:rsidRDefault="00E97C30" w:rsidP="00E97C30">
      <w:pPr>
        <w:pStyle w:val="ListParagraph"/>
        <w:rPr>
          <w:rFonts w:ascii="Verdana" w:hAnsi="Verdana"/>
          <w:sz w:val="20"/>
        </w:rPr>
      </w:pPr>
    </w:p>
    <w:p w:rsidR="00E97C30" w:rsidRPr="008133A8" w:rsidRDefault="00E97C30" w:rsidP="00E97C30">
      <w:pPr>
        <w:pStyle w:val="ListParagraph"/>
        <w:numPr>
          <w:ilvl w:val="0"/>
          <w:numId w:val="35"/>
        </w:numPr>
        <w:spacing w:line="276" w:lineRule="auto"/>
        <w:rPr>
          <w:rFonts w:ascii="Verdana" w:hAnsi="Verdana"/>
          <w:sz w:val="20"/>
        </w:rPr>
      </w:pPr>
      <w:r w:rsidRPr="008133A8">
        <w:rPr>
          <w:rFonts w:ascii="Verdana" w:hAnsi="Verdana"/>
          <w:sz w:val="20"/>
        </w:rPr>
        <w:t>Workers are eligible for the new wage rates regardless of whether or not they belong to a union.</w:t>
      </w:r>
    </w:p>
    <w:p w:rsidR="00E97C30" w:rsidRPr="009D65EB" w:rsidRDefault="00E97C30" w:rsidP="00E97C30">
      <w:pPr>
        <w:rPr>
          <w:rFonts w:ascii="Verdana" w:hAnsi="Verdana"/>
          <w:sz w:val="20"/>
        </w:rPr>
      </w:pPr>
    </w:p>
    <w:p w:rsidR="00E97C30" w:rsidRDefault="00E97C30" w:rsidP="00E97C30">
      <w:pPr>
        <w:pStyle w:val="ListParagraph"/>
        <w:numPr>
          <w:ilvl w:val="0"/>
          <w:numId w:val="35"/>
        </w:numPr>
        <w:spacing w:line="276" w:lineRule="auto"/>
        <w:rPr>
          <w:rFonts w:ascii="Verdana" w:hAnsi="Verdana"/>
          <w:sz w:val="20"/>
        </w:rPr>
      </w:pPr>
      <w:r w:rsidRPr="008133A8">
        <w:rPr>
          <w:rFonts w:ascii="Verdana" w:hAnsi="Verdana"/>
          <w:sz w:val="20"/>
        </w:rPr>
        <w:lastRenderedPageBreak/>
        <w:t>Supervisors are outside of the scope of this settlement. The pay rates supervisors and managers receive are a business decision for the provider.</w:t>
      </w:r>
    </w:p>
    <w:p w:rsidR="00E97C30" w:rsidRPr="001A353D" w:rsidRDefault="00E97C30" w:rsidP="00E97C30">
      <w:pPr>
        <w:pStyle w:val="ListParagraph"/>
        <w:rPr>
          <w:rFonts w:ascii="Verdana" w:hAnsi="Verdana"/>
          <w:sz w:val="20"/>
        </w:rPr>
      </w:pPr>
    </w:p>
    <w:p w:rsidR="007C028F" w:rsidRPr="000A6F0D" w:rsidRDefault="007C028F" w:rsidP="007C028F">
      <w:pPr>
        <w:spacing w:after="120"/>
        <w:rPr>
          <w:rFonts w:ascii="Verdana" w:hAnsi="Verdana"/>
          <w:sz w:val="20"/>
        </w:rPr>
      </w:pPr>
      <w:r w:rsidRPr="000A6F0D">
        <w:rPr>
          <w:rFonts w:ascii="Verdana" w:hAnsi="Verdana"/>
          <w:sz w:val="20"/>
        </w:rPr>
        <w:t>A multi-step decision process needs to be used to assess eligibility of any particular worker:</w:t>
      </w:r>
    </w:p>
    <w:p w:rsidR="007C028F" w:rsidRPr="000A6F0D" w:rsidRDefault="007C028F" w:rsidP="007C028F">
      <w:pPr>
        <w:numPr>
          <w:ilvl w:val="0"/>
          <w:numId w:val="37"/>
        </w:numPr>
        <w:spacing w:after="120"/>
        <w:rPr>
          <w:rFonts w:ascii="Verdana" w:hAnsi="Verdana"/>
          <w:sz w:val="20"/>
        </w:rPr>
      </w:pPr>
      <w:r w:rsidRPr="000A6F0D">
        <w:rPr>
          <w:rFonts w:ascii="Verdana" w:hAnsi="Verdana"/>
          <w:sz w:val="20"/>
        </w:rPr>
        <w:t>Determine whether the service is covered by the Settlement Agreement; and</w:t>
      </w:r>
    </w:p>
    <w:p w:rsidR="007C028F" w:rsidRPr="000A6F0D" w:rsidRDefault="007C028F" w:rsidP="007C028F">
      <w:pPr>
        <w:numPr>
          <w:ilvl w:val="0"/>
          <w:numId w:val="37"/>
        </w:numPr>
        <w:spacing w:after="120"/>
        <w:rPr>
          <w:rFonts w:ascii="Verdana" w:hAnsi="Verdana"/>
          <w:sz w:val="20"/>
        </w:rPr>
      </w:pPr>
      <w:r w:rsidRPr="000A6F0D">
        <w:rPr>
          <w:rFonts w:ascii="Verdana" w:hAnsi="Verdana"/>
          <w:sz w:val="20"/>
        </w:rPr>
        <w:t>Test whether the worker is within the scope of the Settlement Agreement; and</w:t>
      </w:r>
    </w:p>
    <w:p w:rsidR="00853167" w:rsidRPr="00294EBF" w:rsidRDefault="007C028F" w:rsidP="00853167">
      <w:pPr>
        <w:numPr>
          <w:ilvl w:val="0"/>
          <w:numId w:val="37"/>
        </w:numPr>
        <w:spacing w:after="120"/>
        <w:rPr>
          <w:rFonts w:ascii="Verdana" w:hAnsi="Verdana"/>
          <w:sz w:val="20"/>
        </w:rPr>
      </w:pPr>
      <w:r w:rsidRPr="000A6F0D">
        <w:rPr>
          <w:rFonts w:ascii="Verdana" w:hAnsi="Verdana"/>
          <w:sz w:val="20"/>
        </w:rPr>
        <w:t xml:space="preserve">The service must be funded by public monies not private. </w:t>
      </w:r>
    </w:p>
    <w:p w:rsidR="00853167" w:rsidRDefault="00853167" w:rsidP="00853167">
      <w:pPr>
        <w:rPr>
          <w:rFonts w:ascii="Verdana" w:hAnsi="Verdana"/>
          <w:iCs/>
          <w:sz w:val="20"/>
          <w:lang w:eastAsia="en-NZ"/>
        </w:rPr>
      </w:pPr>
    </w:p>
    <w:p w:rsidR="00853167" w:rsidRPr="006961E7" w:rsidRDefault="00853167" w:rsidP="00853167">
      <w:pPr>
        <w:pStyle w:val="Heading2"/>
      </w:pPr>
      <w:bookmarkStart w:id="2" w:name="_Toc488741780"/>
      <w:r w:rsidRPr="006961E7">
        <w:t>New Pay Rates</w:t>
      </w:r>
      <w:bookmarkEnd w:id="2"/>
    </w:p>
    <w:p w:rsidR="00853167" w:rsidRDefault="00853167" w:rsidP="00853167">
      <w:pPr>
        <w:rPr>
          <w:rFonts w:ascii="Verdana" w:hAnsi="Verdana"/>
          <w:iCs/>
          <w:sz w:val="20"/>
          <w:lang w:eastAsia="en-NZ"/>
        </w:rPr>
      </w:pPr>
    </w:p>
    <w:p w:rsidR="00853167" w:rsidRPr="005F3FFB" w:rsidRDefault="00853167" w:rsidP="00853167">
      <w:pPr>
        <w:rPr>
          <w:rFonts w:ascii="Verdana" w:hAnsi="Verdana"/>
          <w:iCs/>
          <w:sz w:val="20"/>
          <w:lang w:eastAsia="en-NZ"/>
        </w:rPr>
      </w:pPr>
      <w:r w:rsidRPr="005F3FFB">
        <w:rPr>
          <w:rFonts w:ascii="Verdana" w:hAnsi="Verdana"/>
          <w:iCs/>
          <w:sz w:val="20"/>
          <w:lang w:eastAsia="en-NZ"/>
        </w:rPr>
        <w:t>Pay rates will increase in line with those agreed in the care and suppo</w:t>
      </w:r>
      <w:r w:rsidR="00E635DB">
        <w:rPr>
          <w:rFonts w:ascii="Verdana" w:hAnsi="Verdana"/>
          <w:iCs/>
          <w:sz w:val="20"/>
          <w:lang w:eastAsia="en-NZ"/>
        </w:rPr>
        <w:t>rt workers agreement (the TerraN</w:t>
      </w:r>
      <w:r w:rsidRPr="005F3FFB">
        <w:rPr>
          <w:rFonts w:ascii="Verdana" w:hAnsi="Verdana"/>
          <w:iCs/>
          <w:sz w:val="20"/>
          <w:lang w:eastAsia="en-NZ"/>
        </w:rPr>
        <w:t>ova Settlement):</w:t>
      </w:r>
    </w:p>
    <w:p w:rsidR="00853167" w:rsidRDefault="00853167" w:rsidP="00853167">
      <w:pPr>
        <w:pStyle w:val="ListParagraph"/>
        <w:numPr>
          <w:ilvl w:val="0"/>
          <w:numId w:val="33"/>
        </w:numPr>
        <w:spacing w:before="120" w:line="240" w:lineRule="auto"/>
        <w:rPr>
          <w:rFonts w:ascii="Verdana" w:hAnsi="Verdana"/>
          <w:iCs/>
          <w:sz w:val="20"/>
          <w:lang w:eastAsia="en-NZ"/>
        </w:rPr>
      </w:pPr>
      <w:r w:rsidRPr="005F3FFB">
        <w:rPr>
          <w:rFonts w:ascii="Verdana" w:hAnsi="Verdana"/>
          <w:iCs/>
          <w:sz w:val="20"/>
          <w:lang w:eastAsia="en-NZ"/>
        </w:rPr>
        <w:t>Hourly wage rates will go up from around $16-$17 (going up to $21-$23) and vary from $19 to $27 per hour, depending on qualifications.</w:t>
      </w:r>
    </w:p>
    <w:p w:rsidR="00F50E6C" w:rsidRPr="005F3FFB" w:rsidRDefault="00F50E6C" w:rsidP="00F50E6C">
      <w:pPr>
        <w:pStyle w:val="ListParagraph"/>
        <w:spacing w:before="120" w:line="240" w:lineRule="auto"/>
        <w:rPr>
          <w:rFonts w:ascii="Verdana" w:hAnsi="Verdana"/>
          <w:iCs/>
          <w:sz w:val="20"/>
          <w:lang w:eastAsia="en-NZ"/>
        </w:rPr>
      </w:pPr>
    </w:p>
    <w:p w:rsidR="00853167" w:rsidRPr="005F3FFB" w:rsidRDefault="00853167" w:rsidP="00853167">
      <w:pPr>
        <w:pStyle w:val="ListParagraph"/>
        <w:numPr>
          <w:ilvl w:val="0"/>
          <w:numId w:val="33"/>
        </w:numPr>
        <w:spacing w:before="120" w:line="240" w:lineRule="auto"/>
        <w:rPr>
          <w:rFonts w:ascii="Verdana" w:hAnsi="Verdana"/>
          <w:iCs/>
          <w:sz w:val="20"/>
          <w:lang w:eastAsia="en-NZ"/>
        </w:rPr>
      </w:pPr>
      <w:r w:rsidRPr="005F3FFB">
        <w:rPr>
          <w:rFonts w:ascii="Verdana" w:hAnsi="Verdana"/>
          <w:iCs/>
          <w:sz w:val="20"/>
          <w:lang w:eastAsia="en-NZ"/>
        </w:rPr>
        <w:t>Wages will increase annually over the next five years (on 1 July 2017, 1 July 2018, 1 July 2019, and 1 July 2021)</w:t>
      </w:r>
      <w:proofErr w:type="gramStart"/>
      <w:r w:rsidRPr="005F3FFB">
        <w:rPr>
          <w:rFonts w:ascii="Verdana" w:hAnsi="Verdana"/>
          <w:iCs/>
          <w:sz w:val="20"/>
          <w:lang w:eastAsia="en-NZ"/>
        </w:rPr>
        <w:t>,</w:t>
      </w:r>
      <w:proofErr w:type="gramEnd"/>
      <w:r w:rsidRPr="005F3FFB">
        <w:rPr>
          <w:rFonts w:ascii="Verdana" w:hAnsi="Verdana"/>
          <w:iCs/>
          <w:sz w:val="20"/>
          <w:lang w:eastAsia="en-NZ"/>
        </w:rPr>
        <w:t xml:space="preserve"> with a further year adjustment should the labour cost index exceed 1.7 per cent average growth over years 1-4.</w:t>
      </w:r>
    </w:p>
    <w:p w:rsidR="00853167" w:rsidRDefault="00853167" w:rsidP="00853167">
      <w:pPr>
        <w:rPr>
          <w:rFonts w:ascii="Verdana" w:hAnsi="Verdana"/>
        </w:rPr>
      </w:pPr>
    </w:p>
    <w:p w:rsidR="00853167" w:rsidRDefault="00853167" w:rsidP="00853167">
      <w:pPr>
        <w:spacing w:before="120"/>
        <w:rPr>
          <w:rFonts w:ascii="Verdana" w:hAnsi="Verdana"/>
          <w:sz w:val="20"/>
        </w:rPr>
      </w:pPr>
      <w:r w:rsidRPr="001A353D">
        <w:rPr>
          <w:rFonts w:ascii="Verdana" w:hAnsi="Verdana"/>
          <w:sz w:val="20"/>
        </w:rPr>
        <w:t xml:space="preserve">All care </w:t>
      </w:r>
      <w:r w:rsidR="00FA2424">
        <w:rPr>
          <w:rFonts w:ascii="Verdana" w:hAnsi="Verdana"/>
          <w:sz w:val="20"/>
        </w:rPr>
        <w:t>&amp;</w:t>
      </w:r>
      <w:r w:rsidRPr="001A353D">
        <w:rPr>
          <w:rFonts w:ascii="Verdana" w:hAnsi="Verdana"/>
          <w:sz w:val="20"/>
        </w:rPr>
        <w:t xml:space="preserve"> support workers </w:t>
      </w:r>
      <w:r w:rsidR="00E45778">
        <w:rPr>
          <w:rFonts w:ascii="Verdana" w:hAnsi="Verdana"/>
          <w:sz w:val="20"/>
        </w:rPr>
        <w:t xml:space="preserve">employed before 1 July 2017 </w:t>
      </w:r>
      <w:r w:rsidRPr="001A353D">
        <w:rPr>
          <w:rFonts w:ascii="Verdana" w:hAnsi="Verdana"/>
          <w:sz w:val="20"/>
        </w:rPr>
        <w:t xml:space="preserve">will increase their pay rates </w:t>
      </w:r>
      <w:r>
        <w:rPr>
          <w:rFonts w:ascii="Verdana" w:hAnsi="Verdana"/>
          <w:sz w:val="20"/>
        </w:rPr>
        <w:t xml:space="preserve">effective 1 July 2017 </w:t>
      </w:r>
      <w:r w:rsidRPr="001A353D">
        <w:rPr>
          <w:rFonts w:ascii="Verdana" w:hAnsi="Verdana"/>
          <w:sz w:val="20"/>
        </w:rPr>
        <w:t>on the basis of either service or qualifications, whichever i</w:t>
      </w:r>
      <w:r>
        <w:rPr>
          <w:rFonts w:ascii="Verdana" w:hAnsi="Verdana"/>
          <w:sz w:val="20"/>
        </w:rPr>
        <w:t>s the most advantageous to them.</w:t>
      </w:r>
    </w:p>
    <w:p w:rsidR="00853167" w:rsidRDefault="00853167" w:rsidP="00853167">
      <w:pPr>
        <w:spacing w:before="120"/>
        <w:rPr>
          <w:rFonts w:ascii="Verdana" w:hAnsi="Verdana"/>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1481"/>
        <w:gridCol w:w="1179"/>
        <w:gridCol w:w="1266"/>
        <w:gridCol w:w="1268"/>
        <w:gridCol w:w="1266"/>
        <w:gridCol w:w="1269"/>
      </w:tblGrid>
      <w:tr w:rsidR="00853167" w:rsidRPr="00536BFC">
        <w:tc>
          <w:tcPr>
            <w:tcW w:w="822" w:type="pct"/>
            <w:tcBorders>
              <w:top w:val="single" w:sz="4" w:space="0" w:color="auto"/>
              <w:left w:val="single" w:sz="4" w:space="0" w:color="auto"/>
              <w:bottom w:val="single" w:sz="4" w:space="0" w:color="auto"/>
              <w:right w:val="single" w:sz="4" w:space="0" w:color="auto"/>
            </w:tcBorders>
            <w:shd w:val="clear" w:color="auto" w:fill="D9D9D9"/>
            <w:vAlign w:val="center"/>
          </w:tcPr>
          <w:p w:rsidR="00853167" w:rsidRPr="00E80597" w:rsidRDefault="00853167" w:rsidP="00E45778">
            <w:pPr>
              <w:jc w:val="center"/>
            </w:pPr>
            <w:r w:rsidRPr="00E80597">
              <w:t>Length of Service</w:t>
            </w:r>
          </w:p>
        </w:tc>
        <w:tc>
          <w:tcPr>
            <w:tcW w:w="783" w:type="pct"/>
            <w:tcBorders>
              <w:top w:val="single" w:sz="4" w:space="0" w:color="auto"/>
              <w:left w:val="single" w:sz="4" w:space="0" w:color="auto"/>
              <w:bottom w:val="single" w:sz="4" w:space="0" w:color="auto"/>
              <w:right w:val="single" w:sz="4" w:space="0" w:color="auto"/>
            </w:tcBorders>
            <w:shd w:val="clear" w:color="auto" w:fill="D9D9D9"/>
            <w:vAlign w:val="center"/>
          </w:tcPr>
          <w:p w:rsidR="00853167" w:rsidRPr="00E80597" w:rsidRDefault="00853167" w:rsidP="00E45778">
            <w:pPr>
              <w:jc w:val="center"/>
            </w:pPr>
            <w:r w:rsidRPr="00E80597">
              <w:t>Qualification</w:t>
            </w:r>
          </w:p>
        </w:tc>
        <w:tc>
          <w:tcPr>
            <w:tcW w:w="641" w:type="pct"/>
            <w:tcBorders>
              <w:top w:val="single" w:sz="4" w:space="0" w:color="auto"/>
              <w:left w:val="single" w:sz="4" w:space="0" w:color="auto"/>
              <w:bottom w:val="single" w:sz="4" w:space="0" w:color="auto"/>
              <w:right w:val="single" w:sz="4" w:space="0" w:color="auto"/>
            </w:tcBorders>
            <w:shd w:val="clear" w:color="auto" w:fill="D9D9D9"/>
            <w:vAlign w:val="center"/>
          </w:tcPr>
          <w:p w:rsidR="00853167" w:rsidRPr="00E80597" w:rsidRDefault="00853167" w:rsidP="00E45778">
            <w:pPr>
              <w:jc w:val="center"/>
            </w:pPr>
            <w:r w:rsidRPr="00E80597">
              <w:t>Pay Band</w:t>
            </w:r>
          </w:p>
        </w:tc>
        <w:tc>
          <w:tcPr>
            <w:tcW w:w="688" w:type="pct"/>
            <w:tcBorders>
              <w:top w:val="single" w:sz="4" w:space="0" w:color="auto"/>
              <w:left w:val="single" w:sz="4" w:space="0" w:color="auto"/>
              <w:bottom w:val="single" w:sz="4" w:space="0" w:color="auto"/>
              <w:right w:val="single" w:sz="4" w:space="0" w:color="auto"/>
            </w:tcBorders>
            <w:shd w:val="clear" w:color="auto" w:fill="D9D9D9"/>
            <w:vAlign w:val="center"/>
          </w:tcPr>
          <w:p w:rsidR="00853167" w:rsidRPr="00E80597" w:rsidRDefault="00853167" w:rsidP="00E45778">
            <w:pPr>
              <w:jc w:val="center"/>
            </w:pPr>
            <w:r w:rsidRPr="00E80597">
              <w:t>1 July 2017</w:t>
            </w:r>
          </w:p>
          <w:p w:rsidR="00853167" w:rsidRPr="00E80597" w:rsidRDefault="00853167" w:rsidP="00E45778">
            <w:pPr>
              <w:jc w:val="center"/>
            </w:pPr>
            <w:r w:rsidRPr="00E80597">
              <w:t>Year 1</w:t>
            </w:r>
          </w:p>
        </w:tc>
        <w:tc>
          <w:tcPr>
            <w:tcW w:w="689" w:type="pct"/>
            <w:tcBorders>
              <w:top w:val="single" w:sz="4" w:space="0" w:color="auto"/>
              <w:left w:val="single" w:sz="4" w:space="0" w:color="auto"/>
              <w:bottom w:val="single" w:sz="4" w:space="0" w:color="auto"/>
              <w:right w:val="single" w:sz="4" w:space="0" w:color="auto"/>
            </w:tcBorders>
            <w:shd w:val="clear" w:color="auto" w:fill="D9D9D9"/>
            <w:vAlign w:val="center"/>
          </w:tcPr>
          <w:p w:rsidR="00853167" w:rsidRPr="00E80597" w:rsidRDefault="00853167" w:rsidP="00E45778">
            <w:pPr>
              <w:jc w:val="center"/>
            </w:pPr>
            <w:r w:rsidRPr="00E80597">
              <w:t>1 July 2018</w:t>
            </w:r>
          </w:p>
          <w:p w:rsidR="00853167" w:rsidRPr="00E80597" w:rsidRDefault="00853167" w:rsidP="00E45778">
            <w:pPr>
              <w:jc w:val="center"/>
            </w:pPr>
            <w:r w:rsidRPr="00E80597">
              <w:t>Year 2</w:t>
            </w:r>
          </w:p>
        </w:tc>
        <w:tc>
          <w:tcPr>
            <w:tcW w:w="688" w:type="pct"/>
            <w:tcBorders>
              <w:top w:val="single" w:sz="4" w:space="0" w:color="auto"/>
              <w:left w:val="single" w:sz="4" w:space="0" w:color="auto"/>
              <w:bottom w:val="single" w:sz="4" w:space="0" w:color="auto"/>
              <w:right w:val="single" w:sz="4" w:space="0" w:color="auto"/>
            </w:tcBorders>
            <w:shd w:val="clear" w:color="auto" w:fill="D9D9D9"/>
            <w:vAlign w:val="center"/>
          </w:tcPr>
          <w:p w:rsidR="00853167" w:rsidRPr="00E80597" w:rsidRDefault="00853167" w:rsidP="00E45778">
            <w:pPr>
              <w:jc w:val="center"/>
            </w:pPr>
            <w:r w:rsidRPr="00E80597">
              <w:t>1 July 2019</w:t>
            </w:r>
          </w:p>
          <w:p w:rsidR="00853167" w:rsidRPr="00E80597" w:rsidRDefault="00853167" w:rsidP="00E45778">
            <w:pPr>
              <w:jc w:val="center"/>
            </w:pPr>
            <w:r w:rsidRPr="00E80597">
              <w:t>Year 3 &amp; 4</w:t>
            </w:r>
          </w:p>
        </w:tc>
        <w:tc>
          <w:tcPr>
            <w:tcW w:w="689" w:type="pct"/>
            <w:tcBorders>
              <w:top w:val="single" w:sz="4" w:space="0" w:color="auto"/>
              <w:left w:val="single" w:sz="4" w:space="0" w:color="auto"/>
              <w:bottom w:val="single" w:sz="4" w:space="0" w:color="auto"/>
              <w:right w:val="single" w:sz="4" w:space="0" w:color="auto"/>
            </w:tcBorders>
            <w:shd w:val="clear" w:color="auto" w:fill="D9D9D9"/>
            <w:vAlign w:val="center"/>
          </w:tcPr>
          <w:p w:rsidR="00853167" w:rsidRPr="00E80597" w:rsidRDefault="00853167" w:rsidP="00E45778">
            <w:pPr>
              <w:jc w:val="center"/>
            </w:pPr>
            <w:r w:rsidRPr="00E80597">
              <w:t>1 July 2021</w:t>
            </w:r>
          </w:p>
          <w:p w:rsidR="00853167" w:rsidRPr="00E80597" w:rsidRDefault="00853167" w:rsidP="00E45778">
            <w:pPr>
              <w:jc w:val="center"/>
            </w:pPr>
            <w:r w:rsidRPr="00E80597">
              <w:t>Year 5</w:t>
            </w:r>
          </w:p>
        </w:tc>
      </w:tr>
      <w:tr w:rsidR="00853167" w:rsidRPr="00536BFC">
        <w:tc>
          <w:tcPr>
            <w:tcW w:w="822" w:type="pct"/>
            <w:tcBorders>
              <w:top w:val="single" w:sz="4" w:space="0" w:color="auto"/>
              <w:left w:val="single" w:sz="4" w:space="0" w:color="auto"/>
              <w:bottom w:val="single" w:sz="4" w:space="0" w:color="auto"/>
              <w:right w:val="single" w:sz="4" w:space="0" w:color="auto"/>
            </w:tcBorders>
            <w:vAlign w:val="center"/>
          </w:tcPr>
          <w:p w:rsidR="00853167" w:rsidRPr="00E80597" w:rsidRDefault="00853167" w:rsidP="00E45778">
            <w:pPr>
              <w:jc w:val="center"/>
            </w:pPr>
            <w:r w:rsidRPr="00E80597">
              <w:t>&lt;3 years’ service OR</w:t>
            </w:r>
          </w:p>
        </w:tc>
        <w:tc>
          <w:tcPr>
            <w:tcW w:w="783" w:type="pct"/>
            <w:tcBorders>
              <w:top w:val="single" w:sz="4" w:space="0" w:color="auto"/>
              <w:left w:val="single" w:sz="4" w:space="0" w:color="auto"/>
              <w:bottom w:val="single" w:sz="4" w:space="0" w:color="auto"/>
              <w:right w:val="single" w:sz="4" w:space="0" w:color="auto"/>
            </w:tcBorders>
            <w:vAlign w:val="center"/>
          </w:tcPr>
          <w:p w:rsidR="00853167" w:rsidRPr="00E80597" w:rsidRDefault="00853167" w:rsidP="00E45778">
            <w:pPr>
              <w:jc w:val="center"/>
            </w:pPr>
            <w:r w:rsidRPr="00E80597">
              <w:t>Level 0*</w:t>
            </w:r>
          </w:p>
        </w:tc>
        <w:tc>
          <w:tcPr>
            <w:tcW w:w="641" w:type="pct"/>
            <w:tcBorders>
              <w:top w:val="single" w:sz="4" w:space="0" w:color="auto"/>
              <w:left w:val="single" w:sz="4" w:space="0" w:color="auto"/>
              <w:bottom w:val="single" w:sz="4" w:space="0" w:color="auto"/>
              <w:right w:val="single" w:sz="4" w:space="0" w:color="auto"/>
            </w:tcBorders>
            <w:vAlign w:val="center"/>
          </w:tcPr>
          <w:p w:rsidR="00853167" w:rsidRPr="00E80597" w:rsidRDefault="00853167" w:rsidP="00E45778">
            <w:pPr>
              <w:jc w:val="center"/>
            </w:pPr>
            <w:r w:rsidRPr="00E80597">
              <w:t>L0</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853167" w:rsidRPr="00E80597" w:rsidRDefault="00853167" w:rsidP="00E45778">
            <w:pPr>
              <w:jc w:val="center"/>
            </w:pPr>
            <w:r w:rsidRPr="00E80597">
              <w:t>$19.00</w:t>
            </w:r>
          </w:p>
        </w:tc>
        <w:tc>
          <w:tcPr>
            <w:tcW w:w="689" w:type="pct"/>
            <w:tcBorders>
              <w:top w:val="single" w:sz="4" w:space="0" w:color="auto"/>
              <w:left w:val="single" w:sz="4" w:space="0" w:color="auto"/>
              <w:bottom w:val="single" w:sz="4" w:space="0" w:color="auto"/>
              <w:right w:val="single" w:sz="4" w:space="0" w:color="auto"/>
            </w:tcBorders>
            <w:vAlign w:val="center"/>
          </w:tcPr>
          <w:p w:rsidR="00853167" w:rsidRPr="00E80597" w:rsidRDefault="00853167" w:rsidP="00E45778">
            <w:pPr>
              <w:jc w:val="center"/>
            </w:pPr>
            <w:r w:rsidRPr="00E80597">
              <w:t>$19.80</w:t>
            </w:r>
          </w:p>
        </w:tc>
        <w:tc>
          <w:tcPr>
            <w:tcW w:w="688" w:type="pct"/>
            <w:tcBorders>
              <w:top w:val="single" w:sz="4" w:space="0" w:color="auto"/>
              <w:left w:val="single" w:sz="4" w:space="0" w:color="auto"/>
              <w:bottom w:val="single" w:sz="4" w:space="0" w:color="auto"/>
              <w:right w:val="single" w:sz="4" w:space="0" w:color="auto"/>
            </w:tcBorders>
            <w:vAlign w:val="center"/>
          </w:tcPr>
          <w:p w:rsidR="00853167" w:rsidRPr="00E80597" w:rsidRDefault="00853167" w:rsidP="00E45778">
            <w:pPr>
              <w:jc w:val="center"/>
            </w:pPr>
            <w:r w:rsidRPr="00E80597">
              <w:t>$20.50</w:t>
            </w:r>
          </w:p>
        </w:tc>
        <w:tc>
          <w:tcPr>
            <w:tcW w:w="689" w:type="pct"/>
            <w:tcBorders>
              <w:top w:val="single" w:sz="4" w:space="0" w:color="auto"/>
              <w:left w:val="single" w:sz="4" w:space="0" w:color="auto"/>
              <w:bottom w:val="single" w:sz="4" w:space="0" w:color="auto"/>
              <w:right w:val="single" w:sz="4" w:space="0" w:color="auto"/>
            </w:tcBorders>
            <w:vAlign w:val="center"/>
          </w:tcPr>
          <w:p w:rsidR="00853167" w:rsidRPr="00E80597" w:rsidRDefault="00853167" w:rsidP="00E45778">
            <w:pPr>
              <w:jc w:val="center"/>
            </w:pPr>
            <w:r w:rsidRPr="00E80597">
              <w:t>$21.50</w:t>
            </w:r>
          </w:p>
        </w:tc>
      </w:tr>
      <w:tr w:rsidR="00853167" w:rsidRPr="00536BFC">
        <w:tc>
          <w:tcPr>
            <w:tcW w:w="822" w:type="pct"/>
            <w:tcBorders>
              <w:top w:val="single" w:sz="4" w:space="0" w:color="auto"/>
              <w:left w:val="single" w:sz="4" w:space="0" w:color="auto"/>
              <w:bottom w:val="single" w:sz="4" w:space="0" w:color="auto"/>
              <w:right w:val="single" w:sz="4" w:space="0" w:color="auto"/>
            </w:tcBorders>
            <w:vAlign w:val="center"/>
          </w:tcPr>
          <w:p w:rsidR="00853167" w:rsidRPr="00E80597" w:rsidRDefault="00853167" w:rsidP="00E45778">
            <w:pPr>
              <w:jc w:val="center"/>
            </w:pPr>
            <w:r w:rsidRPr="00E80597">
              <w:t>3+ to 8 years’ service OR</w:t>
            </w:r>
          </w:p>
        </w:tc>
        <w:tc>
          <w:tcPr>
            <w:tcW w:w="783" w:type="pct"/>
            <w:tcBorders>
              <w:top w:val="single" w:sz="4" w:space="0" w:color="auto"/>
              <w:left w:val="single" w:sz="4" w:space="0" w:color="auto"/>
              <w:bottom w:val="single" w:sz="4" w:space="0" w:color="auto"/>
              <w:right w:val="single" w:sz="4" w:space="0" w:color="auto"/>
            </w:tcBorders>
            <w:vAlign w:val="center"/>
          </w:tcPr>
          <w:p w:rsidR="00853167" w:rsidRPr="00E80597" w:rsidRDefault="00853167" w:rsidP="00E45778">
            <w:pPr>
              <w:jc w:val="center"/>
            </w:pPr>
            <w:r w:rsidRPr="00E80597">
              <w:t>Level 2*</w:t>
            </w:r>
          </w:p>
        </w:tc>
        <w:tc>
          <w:tcPr>
            <w:tcW w:w="641" w:type="pct"/>
            <w:tcBorders>
              <w:top w:val="single" w:sz="4" w:space="0" w:color="auto"/>
              <w:left w:val="single" w:sz="4" w:space="0" w:color="auto"/>
              <w:bottom w:val="single" w:sz="4" w:space="0" w:color="auto"/>
              <w:right w:val="single" w:sz="4" w:space="0" w:color="auto"/>
            </w:tcBorders>
            <w:vAlign w:val="center"/>
          </w:tcPr>
          <w:p w:rsidR="00853167" w:rsidRPr="00E80597" w:rsidRDefault="00853167" w:rsidP="00E45778">
            <w:pPr>
              <w:jc w:val="center"/>
            </w:pPr>
            <w:r w:rsidRPr="00E80597">
              <w:t>L2</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853167" w:rsidRPr="00E80597" w:rsidRDefault="00853167" w:rsidP="00E45778">
            <w:pPr>
              <w:jc w:val="center"/>
            </w:pPr>
            <w:r w:rsidRPr="00E80597">
              <w:t>$20.00</w:t>
            </w:r>
          </w:p>
        </w:tc>
        <w:tc>
          <w:tcPr>
            <w:tcW w:w="689" w:type="pct"/>
            <w:tcBorders>
              <w:top w:val="single" w:sz="4" w:space="0" w:color="auto"/>
              <w:left w:val="single" w:sz="4" w:space="0" w:color="auto"/>
              <w:bottom w:val="single" w:sz="4" w:space="0" w:color="auto"/>
              <w:right w:val="single" w:sz="4" w:space="0" w:color="auto"/>
            </w:tcBorders>
            <w:vAlign w:val="center"/>
          </w:tcPr>
          <w:p w:rsidR="00853167" w:rsidRPr="00E80597" w:rsidRDefault="00853167" w:rsidP="00E45778">
            <w:pPr>
              <w:jc w:val="center"/>
            </w:pPr>
            <w:r w:rsidRPr="00E80597">
              <w:t>$21.00</w:t>
            </w:r>
          </w:p>
        </w:tc>
        <w:tc>
          <w:tcPr>
            <w:tcW w:w="688" w:type="pct"/>
            <w:tcBorders>
              <w:top w:val="single" w:sz="4" w:space="0" w:color="auto"/>
              <w:left w:val="single" w:sz="4" w:space="0" w:color="auto"/>
              <w:bottom w:val="single" w:sz="4" w:space="0" w:color="auto"/>
              <w:right w:val="single" w:sz="4" w:space="0" w:color="auto"/>
            </w:tcBorders>
            <w:vAlign w:val="center"/>
          </w:tcPr>
          <w:p w:rsidR="00853167" w:rsidRPr="00E80597" w:rsidRDefault="00853167" w:rsidP="00E45778">
            <w:pPr>
              <w:jc w:val="center"/>
            </w:pPr>
            <w:r w:rsidRPr="00E80597">
              <w:t>$21.50</w:t>
            </w:r>
          </w:p>
        </w:tc>
        <w:tc>
          <w:tcPr>
            <w:tcW w:w="689" w:type="pct"/>
            <w:tcBorders>
              <w:top w:val="single" w:sz="4" w:space="0" w:color="auto"/>
              <w:left w:val="single" w:sz="4" w:space="0" w:color="auto"/>
              <w:bottom w:val="single" w:sz="4" w:space="0" w:color="auto"/>
              <w:right w:val="single" w:sz="4" w:space="0" w:color="auto"/>
            </w:tcBorders>
            <w:vAlign w:val="center"/>
          </w:tcPr>
          <w:p w:rsidR="00853167" w:rsidRPr="00E80597" w:rsidRDefault="00853167" w:rsidP="00E45778">
            <w:pPr>
              <w:jc w:val="center"/>
            </w:pPr>
            <w:r w:rsidRPr="00E80597">
              <w:t>$23.00</w:t>
            </w:r>
          </w:p>
        </w:tc>
      </w:tr>
      <w:tr w:rsidR="00853167" w:rsidRPr="00536BFC">
        <w:tc>
          <w:tcPr>
            <w:tcW w:w="822" w:type="pct"/>
            <w:tcBorders>
              <w:top w:val="single" w:sz="4" w:space="0" w:color="auto"/>
              <w:left w:val="single" w:sz="4" w:space="0" w:color="auto"/>
              <w:bottom w:val="single" w:sz="4" w:space="0" w:color="auto"/>
              <w:right w:val="single" w:sz="4" w:space="0" w:color="auto"/>
            </w:tcBorders>
            <w:vAlign w:val="center"/>
          </w:tcPr>
          <w:p w:rsidR="00853167" w:rsidRPr="00E80597" w:rsidRDefault="00853167" w:rsidP="00E45778">
            <w:pPr>
              <w:jc w:val="center"/>
            </w:pPr>
            <w:r w:rsidRPr="00E80597">
              <w:t>8+ to 12 years’ service OR</w:t>
            </w:r>
          </w:p>
        </w:tc>
        <w:tc>
          <w:tcPr>
            <w:tcW w:w="783" w:type="pct"/>
            <w:tcBorders>
              <w:top w:val="single" w:sz="4" w:space="0" w:color="auto"/>
              <w:left w:val="single" w:sz="4" w:space="0" w:color="auto"/>
              <w:bottom w:val="single" w:sz="4" w:space="0" w:color="auto"/>
              <w:right w:val="single" w:sz="4" w:space="0" w:color="auto"/>
            </w:tcBorders>
            <w:vAlign w:val="center"/>
          </w:tcPr>
          <w:p w:rsidR="00853167" w:rsidRPr="00E80597" w:rsidRDefault="00853167" w:rsidP="00E45778">
            <w:pPr>
              <w:jc w:val="center"/>
            </w:pPr>
            <w:r w:rsidRPr="00E80597">
              <w:t>Level 3*</w:t>
            </w:r>
          </w:p>
        </w:tc>
        <w:tc>
          <w:tcPr>
            <w:tcW w:w="641" w:type="pct"/>
            <w:tcBorders>
              <w:top w:val="single" w:sz="4" w:space="0" w:color="auto"/>
              <w:left w:val="single" w:sz="4" w:space="0" w:color="auto"/>
              <w:bottom w:val="single" w:sz="4" w:space="0" w:color="auto"/>
              <w:right w:val="single" w:sz="4" w:space="0" w:color="auto"/>
            </w:tcBorders>
            <w:vAlign w:val="center"/>
          </w:tcPr>
          <w:p w:rsidR="00853167" w:rsidRPr="00E80597" w:rsidRDefault="00853167" w:rsidP="00E45778">
            <w:pPr>
              <w:jc w:val="center"/>
            </w:pPr>
            <w:r w:rsidRPr="00E80597">
              <w:t>L3</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853167" w:rsidRPr="00E80597" w:rsidRDefault="00853167" w:rsidP="00E45778">
            <w:pPr>
              <w:jc w:val="center"/>
            </w:pPr>
            <w:r w:rsidRPr="00E80597">
              <w:t>$21.00</w:t>
            </w:r>
          </w:p>
        </w:tc>
        <w:tc>
          <w:tcPr>
            <w:tcW w:w="689" w:type="pct"/>
            <w:tcBorders>
              <w:top w:val="single" w:sz="4" w:space="0" w:color="auto"/>
              <w:left w:val="single" w:sz="4" w:space="0" w:color="auto"/>
              <w:bottom w:val="single" w:sz="4" w:space="0" w:color="auto"/>
              <w:right w:val="single" w:sz="4" w:space="0" w:color="auto"/>
            </w:tcBorders>
            <w:vAlign w:val="center"/>
          </w:tcPr>
          <w:p w:rsidR="00853167" w:rsidRPr="00E80597" w:rsidRDefault="00853167" w:rsidP="00E45778">
            <w:pPr>
              <w:jc w:val="center"/>
            </w:pPr>
            <w:r w:rsidRPr="00E80597">
              <w:t>$22.50</w:t>
            </w:r>
          </w:p>
        </w:tc>
        <w:tc>
          <w:tcPr>
            <w:tcW w:w="688" w:type="pct"/>
            <w:tcBorders>
              <w:top w:val="single" w:sz="4" w:space="0" w:color="auto"/>
              <w:left w:val="single" w:sz="4" w:space="0" w:color="auto"/>
              <w:bottom w:val="single" w:sz="4" w:space="0" w:color="auto"/>
              <w:right w:val="single" w:sz="4" w:space="0" w:color="auto"/>
            </w:tcBorders>
            <w:vAlign w:val="center"/>
          </w:tcPr>
          <w:p w:rsidR="00853167" w:rsidRPr="00E80597" w:rsidRDefault="00853167" w:rsidP="00E45778">
            <w:pPr>
              <w:jc w:val="center"/>
            </w:pPr>
            <w:r w:rsidRPr="00E80597">
              <w:t>$23.00</w:t>
            </w:r>
          </w:p>
        </w:tc>
        <w:tc>
          <w:tcPr>
            <w:tcW w:w="689" w:type="pct"/>
            <w:tcBorders>
              <w:top w:val="single" w:sz="4" w:space="0" w:color="auto"/>
              <w:left w:val="single" w:sz="4" w:space="0" w:color="auto"/>
              <w:bottom w:val="single" w:sz="4" w:space="0" w:color="auto"/>
              <w:right w:val="single" w:sz="4" w:space="0" w:color="auto"/>
            </w:tcBorders>
            <w:vAlign w:val="center"/>
          </w:tcPr>
          <w:p w:rsidR="00853167" w:rsidRPr="00E80597" w:rsidRDefault="00853167" w:rsidP="00E45778">
            <w:pPr>
              <w:jc w:val="center"/>
            </w:pPr>
            <w:r w:rsidRPr="00E80597">
              <w:t>$25.00</w:t>
            </w:r>
          </w:p>
        </w:tc>
      </w:tr>
      <w:tr w:rsidR="00853167" w:rsidRPr="00536BFC">
        <w:tc>
          <w:tcPr>
            <w:tcW w:w="822" w:type="pct"/>
            <w:tcBorders>
              <w:top w:val="single" w:sz="4" w:space="0" w:color="auto"/>
              <w:left w:val="single" w:sz="4" w:space="0" w:color="auto"/>
              <w:bottom w:val="single" w:sz="4" w:space="0" w:color="auto"/>
              <w:right w:val="single" w:sz="4" w:space="0" w:color="auto"/>
            </w:tcBorders>
            <w:vAlign w:val="center"/>
          </w:tcPr>
          <w:p w:rsidR="00853167" w:rsidRPr="00E80597" w:rsidRDefault="00853167" w:rsidP="00E45778">
            <w:pPr>
              <w:jc w:val="center"/>
            </w:pPr>
            <w:r w:rsidRPr="00E80597">
              <w:t>12+ years’ service OR</w:t>
            </w:r>
          </w:p>
        </w:tc>
        <w:tc>
          <w:tcPr>
            <w:tcW w:w="783" w:type="pct"/>
            <w:tcBorders>
              <w:top w:val="single" w:sz="4" w:space="0" w:color="auto"/>
              <w:left w:val="single" w:sz="4" w:space="0" w:color="auto"/>
              <w:bottom w:val="single" w:sz="4" w:space="0" w:color="auto"/>
              <w:right w:val="single" w:sz="4" w:space="0" w:color="auto"/>
            </w:tcBorders>
            <w:vAlign w:val="center"/>
          </w:tcPr>
          <w:p w:rsidR="00853167" w:rsidRPr="00E80597" w:rsidRDefault="00853167" w:rsidP="00E45778">
            <w:pPr>
              <w:jc w:val="center"/>
            </w:pPr>
            <w:r w:rsidRPr="00E80597">
              <w:t>Level 4*</w:t>
            </w:r>
          </w:p>
        </w:tc>
        <w:tc>
          <w:tcPr>
            <w:tcW w:w="641" w:type="pct"/>
            <w:tcBorders>
              <w:top w:val="single" w:sz="4" w:space="0" w:color="auto"/>
              <w:left w:val="single" w:sz="4" w:space="0" w:color="auto"/>
              <w:bottom w:val="single" w:sz="4" w:space="0" w:color="auto"/>
              <w:right w:val="single" w:sz="4" w:space="0" w:color="auto"/>
            </w:tcBorders>
            <w:vAlign w:val="center"/>
          </w:tcPr>
          <w:p w:rsidR="00853167" w:rsidRPr="00E80597" w:rsidRDefault="00853167" w:rsidP="00E45778">
            <w:pPr>
              <w:jc w:val="center"/>
            </w:pPr>
            <w:r w:rsidRPr="00E80597">
              <w:t>L4b</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853167" w:rsidRPr="00E80597" w:rsidRDefault="00853167" w:rsidP="00E45778">
            <w:pPr>
              <w:jc w:val="center"/>
            </w:pPr>
            <w:r w:rsidRPr="00E80597">
              <w:t>$23.50</w:t>
            </w:r>
          </w:p>
        </w:tc>
        <w:tc>
          <w:tcPr>
            <w:tcW w:w="689" w:type="pct"/>
            <w:tcBorders>
              <w:top w:val="single" w:sz="4" w:space="0" w:color="auto"/>
              <w:left w:val="single" w:sz="4" w:space="0" w:color="auto"/>
              <w:bottom w:val="single" w:sz="4" w:space="0" w:color="auto"/>
              <w:right w:val="single" w:sz="4" w:space="0" w:color="auto"/>
            </w:tcBorders>
            <w:vAlign w:val="center"/>
          </w:tcPr>
          <w:p w:rsidR="00853167" w:rsidRPr="00E80597" w:rsidRDefault="00853167" w:rsidP="00E45778">
            <w:pPr>
              <w:jc w:val="center"/>
            </w:pPr>
            <w:r w:rsidRPr="00E80597">
              <w:t>$24.50</w:t>
            </w:r>
          </w:p>
        </w:tc>
        <w:tc>
          <w:tcPr>
            <w:tcW w:w="688" w:type="pct"/>
            <w:tcBorders>
              <w:top w:val="single" w:sz="4" w:space="0" w:color="auto"/>
              <w:left w:val="single" w:sz="4" w:space="0" w:color="auto"/>
              <w:bottom w:val="single" w:sz="4" w:space="0" w:color="auto"/>
              <w:right w:val="single" w:sz="4" w:space="0" w:color="auto"/>
            </w:tcBorders>
            <w:vAlign w:val="center"/>
          </w:tcPr>
          <w:p w:rsidR="00853167" w:rsidRPr="00E80597" w:rsidRDefault="00853167" w:rsidP="00E45778">
            <w:pPr>
              <w:jc w:val="center"/>
            </w:pPr>
            <w:r w:rsidRPr="00E80597">
              <w:t>$25.50</w:t>
            </w:r>
          </w:p>
        </w:tc>
        <w:tc>
          <w:tcPr>
            <w:tcW w:w="689" w:type="pct"/>
            <w:tcBorders>
              <w:top w:val="single" w:sz="4" w:space="0" w:color="auto"/>
              <w:left w:val="single" w:sz="4" w:space="0" w:color="auto"/>
              <w:bottom w:val="single" w:sz="4" w:space="0" w:color="auto"/>
              <w:right w:val="single" w:sz="4" w:space="0" w:color="auto"/>
            </w:tcBorders>
            <w:vAlign w:val="center"/>
          </w:tcPr>
          <w:p w:rsidR="00853167" w:rsidRPr="00E80597" w:rsidRDefault="00853167" w:rsidP="00E45778">
            <w:pPr>
              <w:jc w:val="center"/>
            </w:pPr>
            <w:r w:rsidRPr="00E80597">
              <w:t>$27.00</w:t>
            </w:r>
          </w:p>
        </w:tc>
      </w:tr>
    </w:tbl>
    <w:p w:rsidR="00853167" w:rsidRPr="001A353D" w:rsidRDefault="00853167" w:rsidP="00853167">
      <w:pPr>
        <w:spacing w:before="120"/>
        <w:rPr>
          <w:rFonts w:ascii="Verdana" w:hAnsi="Verdana"/>
          <w:sz w:val="20"/>
        </w:rPr>
      </w:pPr>
    </w:p>
    <w:p w:rsidR="00853167" w:rsidRDefault="00853167" w:rsidP="00853167">
      <w:pPr>
        <w:spacing w:before="120"/>
        <w:rPr>
          <w:rFonts w:ascii="Verdana" w:hAnsi="Verdana"/>
          <w:sz w:val="20"/>
        </w:rPr>
      </w:pPr>
      <w:r w:rsidRPr="001A353D">
        <w:rPr>
          <w:rFonts w:ascii="Verdana" w:hAnsi="Verdana"/>
          <w:sz w:val="20"/>
        </w:rPr>
        <w:t xml:space="preserve">The minimum rates and progression for care and support workers employed after 1 July 2017 will be </w:t>
      </w:r>
      <w:r>
        <w:rPr>
          <w:rFonts w:ascii="Verdana" w:hAnsi="Verdana"/>
          <w:sz w:val="20"/>
        </w:rPr>
        <w:t>based on their level of qualification and the year that they commence empl</w:t>
      </w:r>
      <w:r w:rsidR="001D2C9B">
        <w:rPr>
          <w:rFonts w:ascii="Verdana" w:hAnsi="Verdana"/>
          <w:sz w:val="20"/>
        </w:rPr>
        <w:t xml:space="preserve">oyment. For example, a care &amp; </w:t>
      </w:r>
      <w:r>
        <w:rPr>
          <w:rFonts w:ascii="Verdana" w:hAnsi="Verdana"/>
          <w:sz w:val="20"/>
        </w:rPr>
        <w:t>support worker with a level 2 qualification starting work on 1 July 2018 will be entitled to the minimum hourly rate of $21.00.</w:t>
      </w:r>
    </w:p>
    <w:p w:rsidR="00620FA3" w:rsidRDefault="00620FA3" w:rsidP="00620FA3">
      <w:pPr>
        <w:spacing w:before="120"/>
        <w:rPr>
          <w:rFonts w:ascii="Verdana" w:hAnsi="Verdana"/>
          <w:sz w:val="20"/>
        </w:rPr>
      </w:pPr>
      <w:r>
        <w:rPr>
          <w:rFonts w:ascii="Verdana" w:hAnsi="Verdana"/>
          <w:sz w:val="20"/>
        </w:rPr>
        <w:t xml:space="preserve">For the purposes of this estimation process, all employees who have reached 12 years’ continuous service and who have not achieved Level 4 are treated as having being at the L4b pay band. </w:t>
      </w:r>
    </w:p>
    <w:p w:rsidR="00620FA3" w:rsidRDefault="00620FA3" w:rsidP="00853167">
      <w:pPr>
        <w:spacing w:before="120"/>
        <w:rPr>
          <w:rFonts w:ascii="Verdana" w:hAnsi="Verdana"/>
          <w:sz w:val="20"/>
        </w:rPr>
      </w:pPr>
    </w:p>
    <w:p w:rsidR="00853167" w:rsidRDefault="00853167" w:rsidP="00853167">
      <w:pPr>
        <w:pStyle w:val="Heading2"/>
      </w:pPr>
      <w:bookmarkStart w:id="3" w:name="_Toc488741781"/>
    </w:p>
    <w:p w:rsidR="00853167" w:rsidRPr="006961E7" w:rsidRDefault="00853167" w:rsidP="00853167">
      <w:pPr>
        <w:pStyle w:val="Heading2"/>
      </w:pPr>
      <w:r w:rsidRPr="006961E7">
        <w:t>Qualifications</w:t>
      </w:r>
      <w:bookmarkEnd w:id="3"/>
    </w:p>
    <w:p w:rsidR="00853167" w:rsidRPr="001A353D" w:rsidRDefault="00853167" w:rsidP="00853167">
      <w:pPr>
        <w:spacing w:before="120"/>
        <w:rPr>
          <w:rFonts w:ascii="Verdana" w:hAnsi="Verdana"/>
          <w:sz w:val="20"/>
        </w:rPr>
      </w:pPr>
      <w:r w:rsidRPr="001A353D">
        <w:rPr>
          <w:rFonts w:ascii="Verdana" w:hAnsi="Verdana"/>
          <w:sz w:val="20"/>
        </w:rPr>
        <w:t>The qualification must be a Level 2, 3 or 4 New Zealand certificate in Health and Wellbeing from an NZQA accredited provider or a</w:t>
      </w:r>
      <w:r>
        <w:rPr>
          <w:rFonts w:ascii="Verdana" w:hAnsi="Verdana"/>
          <w:sz w:val="20"/>
        </w:rPr>
        <w:t>n equivalent</w:t>
      </w:r>
      <w:r w:rsidRPr="001A353D">
        <w:rPr>
          <w:rFonts w:ascii="Verdana" w:hAnsi="Verdana"/>
          <w:sz w:val="20"/>
        </w:rPr>
        <w:t xml:space="preserve"> qualification.</w:t>
      </w:r>
    </w:p>
    <w:p w:rsidR="00853167" w:rsidRDefault="00853167" w:rsidP="00853167">
      <w:pPr>
        <w:autoSpaceDE w:val="0"/>
        <w:autoSpaceDN w:val="0"/>
        <w:adjustRightInd w:val="0"/>
        <w:spacing w:after="120" w:line="240" w:lineRule="auto"/>
        <w:rPr>
          <w:rFonts w:ascii="Verdana" w:hAnsi="Verdana"/>
          <w:sz w:val="20"/>
        </w:rPr>
      </w:pPr>
    </w:p>
    <w:p w:rsidR="00853167" w:rsidRDefault="00853167" w:rsidP="00853167">
      <w:pPr>
        <w:spacing w:before="120"/>
        <w:rPr>
          <w:rFonts w:ascii="Verdana" w:hAnsi="Verdana"/>
          <w:sz w:val="20"/>
        </w:rPr>
      </w:pPr>
      <w:r w:rsidRPr="001A353D">
        <w:rPr>
          <w:rFonts w:ascii="Verdana" w:hAnsi="Verdana"/>
          <w:sz w:val="20"/>
        </w:rPr>
        <w:t xml:space="preserve">If employees have questions about their qualifications, they should </w:t>
      </w:r>
      <w:r>
        <w:rPr>
          <w:rFonts w:ascii="Verdana" w:hAnsi="Verdana"/>
          <w:sz w:val="20"/>
        </w:rPr>
        <w:t xml:space="preserve">refer to the Careerforce website </w:t>
      </w:r>
      <w:hyperlink r:id="rId9" w:history="1">
        <w:r w:rsidRPr="00F50E6C">
          <w:rPr>
            <w:rStyle w:val="Hyperlink"/>
            <w:rFonts w:ascii="Verdana" w:eastAsiaTheme="majorEastAsia" w:hAnsi="Verdana"/>
            <w:color w:val="0070C0"/>
            <w:sz w:val="20"/>
          </w:rPr>
          <w:t>www.careerforce.org.nz/pay-equity/equivalencies</w:t>
        </w:r>
      </w:hyperlink>
      <w:r>
        <w:rPr>
          <w:rFonts w:ascii="Verdana" w:hAnsi="Verdana"/>
          <w:sz w:val="20"/>
        </w:rPr>
        <w:t xml:space="preserve">  or </w:t>
      </w:r>
      <w:r w:rsidRPr="001A353D">
        <w:rPr>
          <w:rFonts w:ascii="Verdana" w:hAnsi="Verdana"/>
          <w:sz w:val="20"/>
        </w:rPr>
        <w:t xml:space="preserve">contact Careerforce by calling 0800 277 486 or emailing </w:t>
      </w:r>
      <w:hyperlink r:id="rId10" w:history="1">
        <w:r w:rsidRPr="001A353D">
          <w:rPr>
            <w:rFonts w:ascii="Verdana" w:hAnsi="Verdana"/>
            <w:sz w:val="20"/>
          </w:rPr>
          <w:t>info@careerforce.org.nz</w:t>
        </w:r>
      </w:hyperlink>
      <w:r w:rsidRPr="001A353D">
        <w:rPr>
          <w:rFonts w:ascii="Verdana" w:hAnsi="Verdana"/>
          <w:sz w:val="20"/>
        </w:rPr>
        <w:t xml:space="preserve"> with ‘Pay Equity Qualification Query’ in the subject line.</w:t>
      </w:r>
    </w:p>
    <w:p w:rsidR="00853167" w:rsidRPr="001A353D" w:rsidRDefault="00853167" w:rsidP="00853167">
      <w:pPr>
        <w:autoSpaceDE w:val="0"/>
        <w:autoSpaceDN w:val="0"/>
        <w:adjustRightInd w:val="0"/>
        <w:spacing w:after="120" w:line="240" w:lineRule="auto"/>
        <w:rPr>
          <w:rFonts w:ascii="Verdana" w:hAnsi="Verdana"/>
          <w:sz w:val="20"/>
        </w:rPr>
      </w:pPr>
    </w:p>
    <w:p w:rsidR="00853167" w:rsidRPr="006961E7" w:rsidRDefault="00853167" w:rsidP="00853167">
      <w:pPr>
        <w:pStyle w:val="Heading2"/>
      </w:pPr>
      <w:bookmarkStart w:id="4" w:name="_Toc488741782"/>
      <w:r w:rsidRPr="006961E7">
        <w:t>Training</w:t>
      </w:r>
      <w:bookmarkEnd w:id="4"/>
    </w:p>
    <w:p w:rsidR="00853167" w:rsidRPr="001A353D" w:rsidRDefault="00853167" w:rsidP="00853167">
      <w:pPr>
        <w:spacing w:before="120"/>
        <w:rPr>
          <w:rFonts w:ascii="Verdana" w:hAnsi="Verdana"/>
          <w:sz w:val="20"/>
        </w:rPr>
      </w:pPr>
      <w:r w:rsidRPr="001A353D">
        <w:rPr>
          <w:rFonts w:ascii="Verdana" w:hAnsi="Verdana"/>
          <w:sz w:val="20"/>
        </w:rPr>
        <w:t>Contracts between funders and providers will require employers to provide the necessary systems and support to enable workers covered by the settlement to reach the following NZ Qualifications Authority Health and Wellbeing Certificate qualifications within the following time periods:</w:t>
      </w:r>
    </w:p>
    <w:p w:rsidR="00853167" w:rsidRPr="001A353D" w:rsidRDefault="00853167" w:rsidP="00853167">
      <w:pPr>
        <w:spacing w:before="120"/>
        <w:rPr>
          <w:rFonts w:ascii="Verdana" w:hAnsi="Verdana"/>
          <w:sz w:val="20"/>
        </w:rPr>
      </w:pPr>
    </w:p>
    <w:p w:rsidR="00853167" w:rsidRPr="001A353D" w:rsidRDefault="00853167" w:rsidP="00853167">
      <w:pPr>
        <w:spacing w:before="120"/>
        <w:rPr>
          <w:rFonts w:ascii="Verdana" w:hAnsi="Verdana"/>
          <w:sz w:val="20"/>
        </w:rPr>
      </w:pPr>
      <w:r w:rsidRPr="001A353D">
        <w:rPr>
          <w:rFonts w:ascii="Verdana" w:hAnsi="Verdana"/>
          <w:sz w:val="20"/>
        </w:rPr>
        <w:t>•</w:t>
      </w:r>
      <w:r w:rsidRPr="001A353D">
        <w:rPr>
          <w:rFonts w:ascii="Verdana" w:hAnsi="Verdana"/>
          <w:sz w:val="20"/>
        </w:rPr>
        <w:tab/>
        <w:t>Level 2 NZ Certificate – within 12 months of employment</w:t>
      </w:r>
    </w:p>
    <w:p w:rsidR="00853167" w:rsidRPr="001A353D" w:rsidRDefault="00853167" w:rsidP="00853167">
      <w:pPr>
        <w:spacing w:before="120"/>
        <w:rPr>
          <w:rFonts w:ascii="Verdana" w:hAnsi="Verdana"/>
          <w:sz w:val="20"/>
        </w:rPr>
      </w:pPr>
      <w:r w:rsidRPr="001A353D">
        <w:rPr>
          <w:rFonts w:ascii="Verdana" w:hAnsi="Verdana"/>
          <w:sz w:val="20"/>
        </w:rPr>
        <w:t>•</w:t>
      </w:r>
      <w:r w:rsidRPr="001A353D">
        <w:rPr>
          <w:rFonts w:ascii="Verdana" w:hAnsi="Verdana"/>
          <w:sz w:val="20"/>
        </w:rPr>
        <w:tab/>
        <w:t>Level 3 NZ Certificate – within 3 years of employment</w:t>
      </w:r>
    </w:p>
    <w:p w:rsidR="00853167" w:rsidRPr="006961E7" w:rsidRDefault="00853167" w:rsidP="00853167">
      <w:pPr>
        <w:spacing w:before="120"/>
        <w:rPr>
          <w:rFonts w:ascii="Verdana" w:hAnsi="Verdana"/>
          <w:sz w:val="20"/>
        </w:rPr>
      </w:pPr>
      <w:r w:rsidRPr="001A353D">
        <w:rPr>
          <w:rFonts w:ascii="Verdana" w:hAnsi="Verdana"/>
          <w:sz w:val="20"/>
        </w:rPr>
        <w:t>•</w:t>
      </w:r>
      <w:r w:rsidRPr="001A353D">
        <w:rPr>
          <w:rFonts w:ascii="Verdana" w:hAnsi="Verdana"/>
          <w:sz w:val="20"/>
        </w:rPr>
        <w:tab/>
        <w:t>Level 4 NZ Certificate – within 6 years of employment</w:t>
      </w:r>
    </w:p>
    <w:p w:rsidR="00853167" w:rsidRDefault="00853167" w:rsidP="00853167">
      <w:pPr>
        <w:pStyle w:val="Heading2"/>
      </w:pPr>
      <w:bookmarkStart w:id="5" w:name="_Toc488741784"/>
    </w:p>
    <w:p w:rsidR="00853167" w:rsidRDefault="00853167" w:rsidP="00853167">
      <w:pPr>
        <w:pStyle w:val="Heading2"/>
      </w:pPr>
    </w:p>
    <w:p w:rsidR="00853167" w:rsidRPr="006961E7" w:rsidRDefault="00853167" w:rsidP="00853167">
      <w:pPr>
        <w:pStyle w:val="Heading2"/>
      </w:pPr>
      <w:r w:rsidRPr="006961E7">
        <w:t xml:space="preserve">Process </w:t>
      </w:r>
      <w:r>
        <w:t xml:space="preserve">for </w:t>
      </w:r>
      <w:r w:rsidRPr="006961E7">
        <w:t xml:space="preserve">Quarter </w:t>
      </w:r>
      <w:bookmarkEnd w:id="5"/>
      <w:r w:rsidR="00E97C30">
        <w:t>1</w:t>
      </w:r>
      <w:r>
        <w:t xml:space="preserve"> Payment</w:t>
      </w:r>
    </w:p>
    <w:p w:rsidR="00853167" w:rsidRDefault="00853167" w:rsidP="00853167">
      <w:pPr>
        <w:rPr>
          <w:rFonts w:ascii="Verdana" w:hAnsi="Verdana"/>
          <w:iCs/>
          <w:sz w:val="20"/>
          <w:u w:val="single"/>
          <w:lang w:eastAsia="en-NZ"/>
        </w:rPr>
      </w:pPr>
    </w:p>
    <w:p w:rsidR="00853167" w:rsidRDefault="00853167" w:rsidP="00E97C30">
      <w:pPr>
        <w:rPr>
          <w:rFonts w:ascii="Verdana" w:hAnsi="Verdana"/>
          <w:sz w:val="20"/>
        </w:rPr>
      </w:pPr>
      <w:r w:rsidRPr="006749E9">
        <w:rPr>
          <w:rFonts w:ascii="Verdana" w:hAnsi="Verdana"/>
          <w:iCs/>
          <w:sz w:val="20"/>
          <w:lang w:eastAsia="en-NZ"/>
        </w:rPr>
        <w:t xml:space="preserve">Please review </w:t>
      </w:r>
      <w:r>
        <w:rPr>
          <w:rFonts w:ascii="Verdana" w:hAnsi="Verdana"/>
          <w:iCs/>
          <w:sz w:val="20"/>
          <w:lang w:eastAsia="en-NZ"/>
        </w:rPr>
        <w:t xml:space="preserve">the Variation to Contract sent to you </w:t>
      </w:r>
      <w:r w:rsidRPr="006749E9">
        <w:rPr>
          <w:rFonts w:ascii="Verdana" w:hAnsi="Verdana"/>
          <w:iCs/>
          <w:sz w:val="20"/>
          <w:lang w:eastAsia="en-NZ"/>
        </w:rPr>
        <w:t>and</w:t>
      </w:r>
      <w:r w:rsidR="00E45778">
        <w:rPr>
          <w:rFonts w:ascii="Verdana" w:hAnsi="Verdana"/>
          <w:iCs/>
          <w:sz w:val="20"/>
          <w:lang w:eastAsia="en-NZ"/>
        </w:rPr>
        <w:t>,</w:t>
      </w:r>
      <w:r w:rsidRPr="006749E9">
        <w:rPr>
          <w:rFonts w:ascii="Verdana" w:hAnsi="Verdana"/>
          <w:iCs/>
          <w:sz w:val="20"/>
          <w:lang w:eastAsia="en-NZ"/>
        </w:rPr>
        <w:t xml:space="preserve"> if in agreement, sign and return </w:t>
      </w:r>
      <w:r>
        <w:rPr>
          <w:rFonts w:ascii="Verdana" w:hAnsi="Verdana"/>
          <w:iCs/>
          <w:sz w:val="20"/>
          <w:lang w:eastAsia="en-NZ"/>
        </w:rPr>
        <w:t>it</w:t>
      </w:r>
      <w:r w:rsidRPr="006749E9">
        <w:rPr>
          <w:rFonts w:ascii="Verdana" w:hAnsi="Verdana"/>
          <w:iCs/>
          <w:sz w:val="20"/>
          <w:lang w:eastAsia="en-NZ"/>
        </w:rPr>
        <w:t xml:space="preserve"> together with your invoice </w:t>
      </w:r>
      <w:r>
        <w:rPr>
          <w:rFonts w:ascii="Verdana" w:hAnsi="Verdana"/>
          <w:iCs/>
          <w:sz w:val="20"/>
          <w:lang w:eastAsia="en-NZ"/>
        </w:rPr>
        <w:t xml:space="preserve">and </w:t>
      </w:r>
      <w:r w:rsidR="00FA2424">
        <w:rPr>
          <w:rFonts w:ascii="Verdana" w:hAnsi="Verdana"/>
          <w:sz w:val="20"/>
          <w:szCs w:val="25"/>
          <w:lang w:eastAsia="en-NZ"/>
        </w:rPr>
        <w:t xml:space="preserve">a copy of the Summary Tab from the </w:t>
      </w:r>
      <w:r w:rsidR="00FA2424" w:rsidRPr="003215C0">
        <w:rPr>
          <w:rFonts w:ascii="Verdana" w:hAnsi="Verdana"/>
          <w:sz w:val="20"/>
          <w:szCs w:val="25"/>
          <w:lang w:eastAsia="en-NZ"/>
        </w:rPr>
        <w:t>MSD pay equity estimation tool.xlsx</w:t>
      </w:r>
      <w:r w:rsidR="003B5D35">
        <w:rPr>
          <w:rFonts w:ascii="Verdana" w:hAnsi="Verdana"/>
          <w:iCs/>
          <w:lang w:eastAsia="en-NZ"/>
        </w:rPr>
        <w:t xml:space="preserve">. </w:t>
      </w:r>
      <w:r w:rsidRPr="006749E9">
        <w:rPr>
          <w:rFonts w:ascii="Verdana" w:hAnsi="Verdana"/>
          <w:iCs/>
          <w:sz w:val="20"/>
          <w:lang w:eastAsia="en-NZ"/>
        </w:rPr>
        <w:t>The invoice will generate payment for the incremental cost incurred as a result of your organisation paying eligible workers the new pay rates for the period 1 July to 30 Sept 2017.</w:t>
      </w:r>
      <w:r>
        <w:rPr>
          <w:rFonts w:ascii="Verdana" w:hAnsi="Verdana"/>
          <w:iCs/>
          <w:sz w:val="20"/>
          <w:lang w:eastAsia="en-NZ"/>
        </w:rPr>
        <w:t xml:space="preserve"> </w:t>
      </w:r>
      <w:r w:rsidRPr="006F4340">
        <w:rPr>
          <w:rFonts w:ascii="Verdana" w:hAnsi="Verdana"/>
          <w:sz w:val="20"/>
        </w:rPr>
        <w:t xml:space="preserve">Payment will be made within 10 working days of receipt of all required documentation. </w:t>
      </w:r>
    </w:p>
    <w:p w:rsidR="00E97C30" w:rsidRPr="00E97C30" w:rsidRDefault="00E97C30" w:rsidP="00E97C30">
      <w:pPr>
        <w:rPr>
          <w:rFonts w:ascii="Verdana" w:hAnsi="Verdana"/>
          <w:iCs/>
          <w:sz w:val="20"/>
          <w:lang w:eastAsia="en-NZ"/>
        </w:rPr>
      </w:pPr>
    </w:p>
    <w:p w:rsidR="007A3546" w:rsidRDefault="00F50E6C" w:rsidP="00E97C30">
      <w:pPr>
        <w:rPr>
          <w:rFonts w:ascii="Verdana" w:hAnsi="Verdana"/>
          <w:iCs/>
          <w:sz w:val="20"/>
          <w:lang w:eastAsia="en-NZ"/>
        </w:rPr>
      </w:pPr>
      <w:r>
        <w:rPr>
          <w:rFonts w:ascii="Verdana" w:hAnsi="Verdana"/>
          <w:iCs/>
          <w:sz w:val="20"/>
          <w:lang w:eastAsia="en-NZ"/>
        </w:rPr>
        <w:t>To calculate an estimation of the incremental fundi</w:t>
      </w:r>
      <w:r w:rsidR="007503FA">
        <w:rPr>
          <w:rFonts w:ascii="Verdana" w:hAnsi="Verdana"/>
          <w:iCs/>
          <w:sz w:val="20"/>
          <w:lang w:eastAsia="en-NZ"/>
        </w:rPr>
        <w:t>ng payable to your organisation</w:t>
      </w:r>
      <w:r>
        <w:rPr>
          <w:rFonts w:ascii="Verdana" w:hAnsi="Verdana"/>
          <w:iCs/>
          <w:sz w:val="20"/>
          <w:lang w:eastAsia="en-NZ"/>
        </w:rPr>
        <w:t xml:space="preserve"> </w:t>
      </w:r>
      <w:r w:rsidR="00E635DB">
        <w:rPr>
          <w:rFonts w:ascii="Verdana" w:hAnsi="Verdana"/>
          <w:iCs/>
          <w:sz w:val="20"/>
          <w:lang w:eastAsia="en-NZ"/>
        </w:rPr>
        <w:t>please use the</w:t>
      </w:r>
      <w:r w:rsidR="00E97C30" w:rsidRPr="006749E9">
        <w:rPr>
          <w:rFonts w:ascii="Verdana" w:hAnsi="Verdana"/>
          <w:iCs/>
          <w:sz w:val="20"/>
          <w:lang w:eastAsia="en-NZ"/>
        </w:rPr>
        <w:t xml:space="preserve"> </w:t>
      </w:r>
      <w:r w:rsidR="00E97C30" w:rsidRPr="002D20B6">
        <w:rPr>
          <w:rFonts w:ascii="Verdana" w:hAnsi="Verdana"/>
          <w:iCs/>
          <w:sz w:val="20"/>
          <w:lang w:eastAsia="en-NZ"/>
        </w:rPr>
        <w:t>‘</w:t>
      </w:r>
      <w:r w:rsidR="007D5685" w:rsidRPr="003215C0">
        <w:rPr>
          <w:rFonts w:ascii="Verdana" w:hAnsi="Verdana"/>
          <w:sz w:val="20"/>
          <w:szCs w:val="25"/>
          <w:lang w:eastAsia="en-NZ"/>
        </w:rPr>
        <w:t xml:space="preserve">MSD pay equity estimation </w:t>
      </w:r>
      <w:proofErr w:type="gramStart"/>
      <w:r w:rsidR="007D5685" w:rsidRPr="003215C0">
        <w:rPr>
          <w:rFonts w:ascii="Verdana" w:hAnsi="Verdana"/>
          <w:sz w:val="20"/>
          <w:szCs w:val="25"/>
          <w:lang w:eastAsia="en-NZ"/>
        </w:rPr>
        <w:t>tool.xlsx</w:t>
      </w:r>
      <w:r w:rsidR="007D5685" w:rsidRPr="002D20B6">
        <w:rPr>
          <w:rFonts w:ascii="Verdana" w:hAnsi="Verdana"/>
          <w:iCs/>
          <w:sz w:val="20"/>
          <w:lang w:eastAsia="en-NZ"/>
        </w:rPr>
        <w:t xml:space="preserve"> </w:t>
      </w:r>
      <w:r w:rsidR="00E97C30" w:rsidRPr="002D20B6">
        <w:rPr>
          <w:rFonts w:ascii="Verdana" w:hAnsi="Verdana"/>
          <w:iCs/>
          <w:sz w:val="20"/>
          <w:lang w:eastAsia="en-NZ"/>
        </w:rPr>
        <w:t>’</w:t>
      </w:r>
      <w:proofErr w:type="gramEnd"/>
      <w:r w:rsidR="00E97C30" w:rsidRPr="002D20B6">
        <w:rPr>
          <w:rFonts w:ascii="Verdana" w:hAnsi="Verdana"/>
          <w:iCs/>
          <w:sz w:val="20"/>
          <w:lang w:eastAsia="en-NZ"/>
        </w:rPr>
        <w:t xml:space="preserve"> (spread</w:t>
      </w:r>
      <w:r w:rsidR="00E97C30" w:rsidRPr="006749E9">
        <w:rPr>
          <w:rFonts w:ascii="Verdana" w:hAnsi="Verdana"/>
          <w:iCs/>
          <w:sz w:val="20"/>
          <w:lang w:eastAsia="en-NZ"/>
        </w:rPr>
        <w:t xml:space="preserve"> sheet) </w:t>
      </w:r>
      <w:r w:rsidR="007A3546">
        <w:rPr>
          <w:rFonts w:ascii="Verdana" w:hAnsi="Verdana"/>
          <w:iCs/>
          <w:sz w:val="20"/>
          <w:lang w:eastAsia="en-NZ"/>
        </w:rPr>
        <w:t>on the MSD website:</w:t>
      </w:r>
    </w:p>
    <w:p w:rsidR="007A3546" w:rsidRDefault="007A3546" w:rsidP="00E97C30">
      <w:pPr>
        <w:rPr>
          <w:rFonts w:ascii="Verdana" w:hAnsi="Verdana"/>
          <w:iCs/>
          <w:sz w:val="20"/>
          <w:lang w:eastAsia="en-NZ"/>
        </w:rPr>
      </w:pPr>
    </w:p>
    <w:p w:rsidR="00E97C30" w:rsidRPr="003956D6" w:rsidRDefault="00E86234" w:rsidP="00E97C30">
      <w:pPr>
        <w:rPr>
          <w:rFonts w:ascii="Verdana" w:hAnsi="Verdana"/>
          <w:iCs/>
          <w:color w:val="0070C0"/>
          <w:sz w:val="20"/>
          <w:lang w:eastAsia="en-NZ"/>
        </w:rPr>
      </w:pPr>
      <w:hyperlink r:id="rId11" w:history="1">
        <w:r w:rsidR="00E97C30" w:rsidRPr="003956D6">
          <w:rPr>
            <w:rStyle w:val="Hyperlink"/>
            <w:rFonts w:ascii="Verdana" w:hAnsi="Verdana"/>
            <w:iCs/>
            <w:color w:val="0070C0"/>
            <w:sz w:val="20"/>
            <w:u w:val="single"/>
            <w:lang w:eastAsia="en-NZ"/>
          </w:rPr>
          <w:t>http://www.msd.govt.nz/what-we-can-do/providers/pay-equity-for-vocational-and-disability-care-and-support-workers.html</w:t>
        </w:r>
      </w:hyperlink>
      <w:r w:rsidR="00E97C30" w:rsidRPr="003956D6">
        <w:rPr>
          <w:rFonts w:ascii="Verdana" w:hAnsi="Verdana"/>
          <w:iCs/>
          <w:color w:val="0070C0"/>
          <w:sz w:val="20"/>
          <w:u w:val="single"/>
          <w:lang w:eastAsia="en-NZ"/>
        </w:rPr>
        <w:t xml:space="preserve">. </w:t>
      </w:r>
    </w:p>
    <w:p w:rsidR="00E97C30" w:rsidRDefault="00E97C30" w:rsidP="00E97C30">
      <w:pPr>
        <w:rPr>
          <w:rFonts w:ascii="Verdana" w:hAnsi="Verdana"/>
          <w:iCs/>
          <w:sz w:val="20"/>
          <w:lang w:eastAsia="en-NZ"/>
        </w:rPr>
      </w:pPr>
    </w:p>
    <w:p w:rsidR="00E97C30" w:rsidRPr="00E97C30" w:rsidRDefault="00E97C30" w:rsidP="00E97C30">
      <w:pPr>
        <w:pStyle w:val="ListParagraph"/>
        <w:numPr>
          <w:ilvl w:val="0"/>
          <w:numId w:val="36"/>
        </w:numPr>
        <w:rPr>
          <w:rFonts w:ascii="Verdana" w:hAnsi="Verdana"/>
          <w:iCs/>
          <w:sz w:val="20"/>
          <w:lang w:eastAsia="en-NZ"/>
        </w:rPr>
      </w:pPr>
      <w:r w:rsidRPr="00E97C30">
        <w:rPr>
          <w:rFonts w:ascii="Verdana" w:hAnsi="Verdana"/>
          <w:iCs/>
          <w:sz w:val="20"/>
          <w:lang w:eastAsia="en-NZ"/>
        </w:rPr>
        <w:t xml:space="preserve">Download the spread sheet </w:t>
      </w:r>
      <w:r w:rsidR="003956D6" w:rsidRPr="002D20B6">
        <w:rPr>
          <w:rFonts w:ascii="Verdana" w:hAnsi="Verdana"/>
          <w:iCs/>
          <w:sz w:val="20"/>
          <w:lang w:eastAsia="en-NZ"/>
        </w:rPr>
        <w:t>(‘</w:t>
      </w:r>
      <w:r w:rsidR="007D5685" w:rsidRPr="003215C0">
        <w:rPr>
          <w:rFonts w:ascii="Verdana" w:hAnsi="Verdana"/>
          <w:sz w:val="20"/>
          <w:szCs w:val="25"/>
          <w:lang w:eastAsia="en-NZ"/>
        </w:rPr>
        <w:t>MSD pay equity estimation tool.xlsx’</w:t>
      </w:r>
      <w:r w:rsidR="003956D6" w:rsidRPr="002D20B6">
        <w:rPr>
          <w:rFonts w:ascii="Verdana" w:hAnsi="Verdana"/>
          <w:iCs/>
          <w:sz w:val="20"/>
          <w:lang w:eastAsia="en-NZ"/>
        </w:rPr>
        <w:t>)</w:t>
      </w:r>
    </w:p>
    <w:p w:rsidR="00E97C30" w:rsidRDefault="00E97C30" w:rsidP="00E97C30">
      <w:pPr>
        <w:rPr>
          <w:rFonts w:ascii="Verdana" w:hAnsi="Verdana"/>
          <w:iCs/>
          <w:sz w:val="20"/>
          <w:lang w:eastAsia="en-NZ"/>
        </w:rPr>
      </w:pPr>
    </w:p>
    <w:p w:rsidR="00E97C30" w:rsidRPr="00E97C30" w:rsidRDefault="00E97C30" w:rsidP="00E97C30">
      <w:pPr>
        <w:pStyle w:val="ListParagraph"/>
        <w:numPr>
          <w:ilvl w:val="0"/>
          <w:numId w:val="36"/>
        </w:numPr>
        <w:rPr>
          <w:rFonts w:ascii="Verdana" w:hAnsi="Verdana"/>
          <w:sz w:val="20"/>
        </w:rPr>
      </w:pPr>
      <w:r w:rsidRPr="00E97C30">
        <w:rPr>
          <w:rFonts w:ascii="Verdana" w:hAnsi="Verdana"/>
          <w:iCs/>
          <w:sz w:val="20"/>
          <w:lang w:eastAsia="en-NZ"/>
        </w:rPr>
        <w:t xml:space="preserve">Read the </w:t>
      </w:r>
      <w:r w:rsidRPr="00E97C30">
        <w:rPr>
          <w:rFonts w:ascii="Verdana" w:hAnsi="Verdana"/>
          <w:sz w:val="20"/>
        </w:rPr>
        <w:t xml:space="preserve">instructions </w:t>
      </w:r>
      <w:r w:rsidR="003956D6">
        <w:rPr>
          <w:rFonts w:ascii="Verdana" w:hAnsi="Verdana"/>
          <w:sz w:val="20"/>
        </w:rPr>
        <w:t xml:space="preserve">on </w:t>
      </w:r>
      <w:r w:rsidRPr="00E97C30">
        <w:rPr>
          <w:rFonts w:ascii="Verdana" w:hAnsi="Verdana"/>
          <w:sz w:val="20"/>
        </w:rPr>
        <w:t xml:space="preserve">the first tab </w:t>
      </w:r>
      <w:r w:rsidR="00E635DB">
        <w:rPr>
          <w:rFonts w:ascii="Verdana" w:hAnsi="Verdana"/>
          <w:sz w:val="20"/>
        </w:rPr>
        <w:t xml:space="preserve">(at the left-hand bottom of the screen) </w:t>
      </w:r>
      <w:r w:rsidRPr="00E97C30">
        <w:rPr>
          <w:rFonts w:ascii="Verdana" w:hAnsi="Verdana"/>
          <w:sz w:val="20"/>
        </w:rPr>
        <w:t xml:space="preserve">on the spread sheet </w:t>
      </w:r>
      <w:r w:rsidR="001D2C9B">
        <w:rPr>
          <w:rFonts w:ascii="Verdana" w:hAnsi="Verdana"/>
          <w:sz w:val="20"/>
        </w:rPr>
        <w:t>called</w:t>
      </w:r>
      <w:r w:rsidR="003956D6">
        <w:rPr>
          <w:rFonts w:ascii="Verdana" w:hAnsi="Verdana"/>
          <w:sz w:val="20"/>
        </w:rPr>
        <w:t xml:space="preserve"> </w:t>
      </w:r>
      <w:r w:rsidR="00E45778">
        <w:rPr>
          <w:rFonts w:ascii="Verdana" w:hAnsi="Verdana"/>
          <w:b/>
          <w:sz w:val="20"/>
        </w:rPr>
        <w:t>I</w:t>
      </w:r>
      <w:r w:rsidR="003956D6" w:rsidRPr="003956D6">
        <w:rPr>
          <w:rFonts w:ascii="Verdana" w:hAnsi="Verdana"/>
          <w:b/>
          <w:sz w:val="20"/>
        </w:rPr>
        <w:t>nstructions</w:t>
      </w:r>
    </w:p>
    <w:p w:rsidR="00E97C30" w:rsidRDefault="00E97C30" w:rsidP="00E97C30">
      <w:pPr>
        <w:rPr>
          <w:rFonts w:ascii="Verdana" w:hAnsi="Verdana"/>
          <w:sz w:val="20"/>
        </w:rPr>
      </w:pPr>
    </w:p>
    <w:p w:rsidR="001D2C9B" w:rsidRPr="003215C0" w:rsidRDefault="003956D6" w:rsidP="003215C0">
      <w:pPr>
        <w:pStyle w:val="ListParagraph"/>
        <w:numPr>
          <w:ilvl w:val="0"/>
          <w:numId w:val="36"/>
        </w:numPr>
        <w:rPr>
          <w:rFonts w:ascii="Verdana" w:hAnsi="Verdana"/>
          <w:iCs/>
          <w:sz w:val="20"/>
          <w:lang w:eastAsia="en-NZ"/>
        </w:rPr>
      </w:pPr>
      <w:r>
        <w:rPr>
          <w:rFonts w:ascii="Verdana" w:hAnsi="Verdana"/>
          <w:iCs/>
          <w:sz w:val="20"/>
          <w:lang w:eastAsia="en-NZ"/>
        </w:rPr>
        <w:t xml:space="preserve">Open the </w:t>
      </w:r>
      <w:r w:rsidRPr="003956D6">
        <w:rPr>
          <w:rFonts w:ascii="Verdana" w:hAnsi="Verdana"/>
          <w:b/>
          <w:iCs/>
          <w:sz w:val="20"/>
          <w:lang w:eastAsia="en-NZ"/>
        </w:rPr>
        <w:t xml:space="preserve">Data </w:t>
      </w:r>
      <w:r w:rsidR="00E45778">
        <w:rPr>
          <w:rFonts w:ascii="Verdana" w:hAnsi="Verdana"/>
          <w:b/>
          <w:iCs/>
          <w:sz w:val="20"/>
          <w:lang w:eastAsia="en-NZ"/>
        </w:rPr>
        <w:t>collection</w:t>
      </w:r>
      <w:r w:rsidR="00E45778" w:rsidRPr="00E97C30">
        <w:rPr>
          <w:rFonts w:ascii="Verdana" w:hAnsi="Verdana"/>
          <w:iCs/>
          <w:sz w:val="20"/>
          <w:lang w:eastAsia="en-NZ"/>
        </w:rPr>
        <w:t xml:space="preserve"> </w:t>
      </w:r>
      <w:r w:rsidRPr="00E97C30">
        <w:rPr>
          <w:rFonts w:ascii="Verdana" w:hAnsi="Verdana"/>
          <w:iCs/>
          <w:sz w:val="20"/>
          <w:lang w:eastAsia="en-NZ"/>
        </w:rPr>
        <w:t>tab</w:t>
      </w:r>
      <w:r w:rsidR="001D2C9B">
        <w:rPr>
          <w:rFonts w:ascii="Verdana" w:hAnsi="Verdana"/>
          <w:iCs/>
          <w:sz w:val="20"/>
          <w:lang w:eastAsia="en-NZ"/>
        </w:rPr>
        <w:t xml:space="preserve">. At the top left corner of the </w:t>
      </w:r>
      <w:r w:rsidR="002D20B6">
        <w:rPr>
          <w:rFonts w:ascii="Verdana" w:hAnsi="Verdana"/>
          <w:iCs/>
          <w:sz w:val="20"/>
          <w:lang w:eastAsia="en-NZ"/>
        </w:rPr>
        <w:t>D</w:t>
      </w:r>
      <w:r w:rsidR="001D2C9B" w:rsidRPr="003215C0">
        <w:rPr>
          <w:rFonts w:ascii="Verdana" w:hAnsi="Verdana"/>
          <w:iCs/>
          <w:sz w:val="20"/>
          <w:lang w:eastAsia="en-NZ"/>
        </w:rPr>
        <w:t xml:space="preserve">ata </w:t>
      </w:r>
      <w:r w:rsidR="00E45778" w:rsidRPr="003215C0">
        <w:rPr>
          <w:rFonts w:ascii="Verdana" w:hAnsi="Verdana"/>
          <w:iCs/>
          <w:sz w:val="20"/>
          <w:lang w:eastAsia="en-NZ"/>
        </w:rPr>
        <w:t xml:space="preserve">collection </w:t>
      </w:r>
      <w:r w:rsidR="003B5D35">
        <w:rPr>
          <w:rFonts w:ascii="Verdana" w:hAnsi="Verdana"/>
          <w:iCs/>
          <w:sz w:val="20"/>
          <w:lang w:eastAsia="en-NZ"/>
        </w:rPr>
        <w:t>tab and</w:t>
      </w:r>
      <w:r w:rsidR="001D2C9B" w:rsidRPr="003215C0">
        <w:rPr>
          <w:rFonts w:ascii="Verdana" w:hAnsi="Verdana"/>
          <w:iCs/>
          <w:sz w:val="20"/>
          <w:lang w:eastAsia="en-NZ"/>
        </w:rPr>
        <w:t xml:space="preserve"> enter your provider information. Note your provider number is different from your contract number.</w:t>
      </w:r>
      <w:r w:rsidR="003B5D35">
        <w:rPr>
          <w:rFonts w:ascii="Verdana" w:hAnsi="Verdana"/>
          <w:iCs/>
          <w:sz w:val="20"/>
          <w:lang w:eastAsia="en-NZ"/>
        </w:rPr>
        <w:t xml:space="preserve"> Select your contract number from the drop-down menu.</w:t>
      </w:r>
    </w:p>
    <w:p w:rsidR="001D2C9B" w:rsidRPr="001D2C9B" w:rsidRDefault="001D2C9B" w:rsidP="001D2C9B">
      <w:pPr>
        <w:pStyle w:val="ListParagraph"/>
        <w:rPr>
          <w:rFonts w:ascii="Verdana" w:hAnsi="Verdana"/>
          <w:iCs/>
          <w:sz w:val="20"/>
          <w:lang w:eastAsia="en-NZ"/>
        </w:rPr>
      </w:pPr>
    </w:p>
    <w:p w:rsidR="007A3546" w:rsidRPr="001D2C9B" w:rsidRDefault="001D2C9B" w:rsidP="001D2C9B">
      <w:pPr>
        <w:pStyle w:val="ListParagraph"/>
        <w:numPr>
          <w:ilvl w:val="0"/>
          <w:numId w:val="36"/>
        </w:numPr>
        <w:rPr>
          <w:rFonts w:ascii="Verdana" w:hAnsi="Verdana"/>
          <w:iCs/>
          <w:sz w:val="20"/>
          <w:lang w:eastAsia="en-NZ"/>
        </w:rPr>
      </w:pPr>
      <w:r>
        <w:rPr>
          <w:rFonts w:ascii="Verdana" w:hAnsi="Verdana"/>
          <w:iCs/>
          <w:sz w:val="20"/>
          <w:lang w:eastAsia="en-NZ"/>
        </w:rPr>
        <w:lastRenderedPageBreak/>
        <w:t xml:space="preserve">On </w:t>
      </w:r>
      <w:r w:rsidR="00E45778">
        <w:rPr>
          <w:rFonts w:ascii="Verdana" w:hAnsi="Verdana"/>
          <w:iCs/>
          <w:sz w:val="20"/>
          <w:lang w:eastAsia="en-NZ"/>
        </w:rPr>
        <w:t xml:space="preserve">the </w:t>
      </w:r>
      <w:r>
        <w:rPr>
          <w:rFonts w:ascii="Verdana" w:hAnsi="Verdana"/>
          <w:iCs/>
          <w:sz w:val="20"/>
          <w:lang w:eastAsia="en-NZ"/>
        </w:rPr>
        <w:t xml:space="preserve">data </w:t>
      </w:r>
      <w:r w:rsidR="00E45778">
        <w:rPr>
          <w:rFonts w:ascii="Verdana" w:hAnsi="Verdana"/>
          <w:iCs/>
          <w:sz w:val="20"/>
          <w:lang w:eastAsia="en-NZ"/>
        </w:rPr>
        <w:t xml:space="preserve">collection </w:t>
      </w:r>
      <w:r>
        <w:rPr>
          <w:rFonts w:ascii="Verdana" w:hAnsi="Verdana"/>
          <w:iCs/>
          <w:sz w:val="20"/>
          <w:lang w:eastAsia="en-NZ"/>
        </w:rPr>
        <w:t xml:space="preserve">tab you will see </w:t>
      </w:r>
      <w:r w:rsidR="003956D6" w:rsidRPr="001D2C9B">
        <w:rPr>
          <w:rFonts w:ascii="Verdana" w:hAnsi="Verdana"/>
          <w:iCs/>
          <w:sz w:val="20"/>
          <w:lang w:eastAsia="en-NZ"/>
        </w:rPr>
        <w:t>example data provided under each heading</w:t>
      </w:r>
      <w:r>
        <w:rPr>
          <w:rFonts w:ascii="Verdana" w:hAnsi="Verdana"/>
          <w:iCs/>
          <w:sz w:val="20"/>
          <w:lang w:eastAsia="en-NZ"/>
        </w:rPr>
        <w:t xml:space="preserve">. </w:t>
      </w:r>
      <w:r w:rsidR="00E635DB" w:rsidRPr="001D2C9B">
        <w:rPr>
          <w:rFonts w:ascii="Verdana" w:hAnsi="Verdana"/>
          <w:iCs/>
          <w:sz w:val="20"/>
          <w:lang w:eastAsia="en-NZ"/>
        </w:rPr>
        <w:t>T</w:t>
      </w:r>
      <w:r w:rsidR="007A3546" w:rsidRPr="001D2C9B">
        <w:rPr>
          <w:rFonts w:ascii="Verdana" w:hAnsi="Verdana"/>
          <w:iCs/>
          <w:sz w:val="20"/>
          <w:lang w:eastAsia="en-NZ"/>
        </w:rPr>
        <w:t xml:space="preserve">he </w:t>
      </w:r>
      <w:r w:rsidR="00E635DB" w:rsidRPr="001D2C9B">
        <w:rPr>
          <w:rFonts w:ascii="Verdana" w:hAnsi="Verdana"/>
          <w:iCs/>
          <w:sz w:val="20"/>
          <w:lang w:eastAsia="en-NZ"/>
        </w:rPr>
        <w:t>first column ‘</w:t>
      </w:r>
      <w:r w:rsidR="007A3546" w:rsidRPr="001D2C9B">
        <w:rPr>
          <w:rFonts w:ascii="Verdana" w:hAnsi="Verdana"/>
          <w:iCs/>
          <w:sz w:val="20"/>
          <w:lang w:eastAsia="en-NZ"/>
        </w:rPr>
        <w:t>Record ID</w:t>
      </w:r>
      <w:r w:rsidR="00E635DB" w:rsidRPr="001D2C9B">
        <w:rPr>
          <w:rFonts w:ascii="Verdana" w:hAnsi="Verdana"/>
          <w:iCs/>
          <w:sz w:val="20"/>
          <w:lang w:eastAsia="en-NZ"/>
        </w:rPr>
        <w:t>’</w:t>
      </w:r>
      <w:r w:rsidR="007A3546" w:rsidRPr="001D2C9B">
        <w:rPr>
          <w:rFonts w:ascii="Verdana" w:hAnsi="Verdana"/>
          <w:iCs/>
          <w:sz w:val="20"/>
          <w:lang w:eastAsia="en-NZ"/>
        </w:rPr>
        <w:t xml:space="preserve"> does not require any data entry. The next column in </w:t>
      </w:r>
      <w:r w:rsidR="00E635DB" w:rsidRPr="001D2C9B">
        <w:rPr>
          <w:rFonts w:ascii="Verdana" w:hAnsi="Verdana"/>
          <w:iCs/>
          <w:sz w:val="20"/>
          <w:lang w:eastAsia="en-NZ"/>
        </w:rPr>
        <w:t>the data entry tab ’Staff ID in Payroll System’</w:t>
      </w:r>
      <w:r w:rsidR="007A3546" w:rsidRPr="001D2C9B">
        <w:rPr>
          <w:rFonts w:ascii="Verdana" w:hAnsi="Verdana"/>
          <w:iCs/>
          <w:sz w:val="20"/>
          <w:lang w:eastAsia="en-NZ"/>
        </w:rPr>
        <w:t xml:space="preserve"> requires you to enter </w:t>
      </w:r>
      <w:r w:rsidR="007503FA" w:rsidRPr="001D2C9B">
        <w:rPr>
          <w:rFonts w:ascii="Verdana" w:hAnsi="Verdana"/>
          <w:iCs/>
          <w:sz w:val="20"/>
          <w:lang w:eastAsia="en-NZ"/>
        </w:rPr>
        <w:t>an</w:t>
      </w:r>
      <w:r w:rsidR="007A3546" w:rsidRPr="001D2C9B">
        <w:rPr>
          <w:rFonts w:ascii="Verdana" w:hAnsi="Verdana"/>
          <w:iCs/>
          <w:sz w:val="20"/>
          <w:lang w:eastAsia="en-NZ"/>
        </w:rPr>
        <w:t xml:space="preserve"> individual</w:t>
      </w:r>
      <w:r w:rsidR="007503FA" w:rsidRPr="001D2C9B">
        <w:rPr>
          <w:rFonts w:ascii="Verdana" w:hAnsi="Verdana"/>
          <w:iCs/>
          <w:sz w:val="20"/>
          <w:lang w:eastAsia="en-NZ"/>
        </w:rPr>
        <w:t xml:space="preserve"> </w:t>
      </w:r>
      <w:r w:rsidR="007A3546" w:rsidRPr="001D2C9B">
        <w:rPr>
          <w:rFonts w:ascii="Verdana" w:hAnsi="Verdana"/>
          <w:iCs/>
          <w:sz w:val="20"/>
          <w:lang w:eastAsia="en-NZ"/>
        </w:rPr>
        <w:t>employee number in each row. The employee number identifies the worker to you but protects their privacy as no name is required.</w:t>
      </w:r>
    </w:p>
    <w:p w:rsidR="007A3546" w:rsidRPr="007A3546" w:rsidRDefault="007A3546" w:rsidP="007A3546">
      <w:pPr>
        <w:pStyle w:val="ListParagraph"/>
        <w:rPr>
          <w:rFonts w:ascii="Verdana" w:hAnsi="Verdana"/>
          <w:iCs/>
          <w:sz w:val="20"/>
          <w:lang w:eastAsia="en-NZ"/>
        </w:rPr>
      </w:pPr>
    </w:p>
    <w:p w:rsidR="00E97C30" w:rsidRDefault="007A3546" w:rsidP="00E97C30">
      <w:pPr>
        <w:pStyle w:val="ListParagraph"/>
        <w:numPr>
          <w:ilvl w:val="0"/>
          <w:numId w:val="36"/>
        </w:numPr>
        <w:rPr>
          <w:rFonts w:ascii="Verdana" w:hAnsi="Verdana"/>
          <w:iCs/>
          <w:sz w:val="20"/>
          <w:lang w:eastAsia="en-NZ"/>
        </w:rPr>
      </w:pPr>
      <w:r>
        <w:rPr>
          <w:rFonts w:ascii="Verdana" w:hAnsi="Verdana"/>
          <w:iCs/>
          <w:sz w:val="20"/>
          <w:lang w:eastAsia="en-NZ"/>
        </w:rPr>
        <w:t>When you click on</w:t>
      </w:r>
      <w:r w:rsidR="00E635DB">
        <w:rPr>
          <w:rFonts w:ascii="Verdana" w:hAnsi="Verdana"/>
          <w:iCs/>
          <w:sz w:val="20"/>
          <w:lang w:eastAsia="en-NZ"/>
        </w:rPr>
        <w:t xml:space="preserve"> the column called</w:t>
      </w:r>
      <w:r>
        <w:rPr>
          <w:rFonts w:ascii="Verdana" w:hAnsi="Verdana"/>
          <w:iCs/>
          <w:sz w:val="20"/>
          <w:lang w:eastAsia="en-NZ"/>
        </w:rPr>
        <w:t xml:space="preserve"> ‘employee status’ </w:t>
      </w:r>
      <w:r w:rsidR="003956D6">
        <w:rPr>
          <w:rFonts w:ascii="Verdana" w:hAnsi="Verdana"/>
          <w:iCs/>
          <w:sz w:val="20"/>
          <w:lang w:eastAsia="en-NZ"/>
        </w:rPr>
        <w:t xml:space="preserve">a small grey box with an arrow in it </w:t>
      </w:r>
      <w:r w:rsidR="00E45778">
        <w:rPr>
          <w:rFonts w:ascii="Verdana" w:hAnsi="Verdana"/>
          <w:iCs/>
          <w:sz w:val="20"/>
          <w:lang w:eastAsia="en-NZ"/>
        </w:rPr>
        <w:t xml:space="preserve">should </w:t>
      </w:r>
      <w:r w:rsidR="003956D6">
        <w:rPr>
          <w:rFonts w:ascii="Verdana" w:hAnsi="Verdana"/>
          <w:iCs/>
          <w:sz w:val="20"/>
          <w:lang w:eastAsia="en-NZ"/>
        </w:rPr>
        <w:t xml:space="preserve">appear to the right of the cell. Click on the arrow and a drop down list will appear. Please select from the list. Some cells do not have drop down lists and require you to enter the information </w:t>
      </w:r>
      <w:r w:rsidR="00C10FBC">
        <w:rPr>
          <w:rFonts w:ascii="Verdana" w:hAnsi="Verdana"/>
          <w:iCs/>
          <w:sz w:val="20"/>
          <w:lang w:eastAsia="en-NZ"/>
        </w:rPr>
        <w:t>manually</w:t>
      </w:r>
      <w:r w:rsidR="003956D6">
        <w:rPr>
          <w:rFonts w:ascii="Verdana" w:hAnsi="Verdana"/>
          <w:iCs/>
          <w:sz w:val="20"/>
          <w:lang w:eastAsia="en-NZ"/>
        </w:rPr>
        <w:t>.</w:t>
      </w:r>
    </w:p>
    <w:p w:rsidR="003956D6" w:rsidRPr="003956D6" w:rsidRDefault="003956D6" w:rsidP="003956D6">
      <w:pPr>
        <w:pStyle w:val="ListParagraph"/>
        <w:rPr>
          <w:rFonts w:ascii="Verdana" w:hAnsi="Verdana"/>
          <w:iCs/>
          <w:sz w:val="20"/>
          <w:lang w:eastAsia="en-NZ"/>
        </w:rPr>
      </w:pPr>
    </w:p>
    <w:p w:rsidR="00F50E6C" w:rsidRDefault="003956D6" w:rsidP="00F50E6C">
      <w:pPr>
        <w:pStyle w:val="ListParagraph"/>
        <w:numPr>
          <w:ilvl w:val="0"/>
          <w:numId w:val="36"/>
        </w:numPr>
        <w:rPr>
          <w:rFonts w:ascii="Verdana" w:hAnsi="Verdana"/>
          <w:iCs/>
          <w:sz w:val="20"/>
          <w:lang w:eastAsia="en-NZ"/>
        </w:rPr>
      </w:pPr>
      <w:r w:rsidRPr="001D2C9B">
        <w:rPr>
          <w:rFonts w:ascii="Verdana" w:hAnsi="Verdana"/>
          <w:iCs/>
          <w:sz w:val="20"/>
          <w:lang w:eastAsia="en-NZ"/>
        </w:rPr>
        <w:t xml:space="preserve">When the data entry tab is complete, view the </w:t>
      </w:r>
      <w:r w:rsidR="00F50E6C" w:rsidRPr="001D2C9B">
        <w:rPr>
          <w:rFonts w:ascii="Verdana" w:hAnsi="Verdana"/>
          <w:b/>
          <w:iCs/>
          <w:sz w:val="20"/>
          <w:lang w:eastAsia="en-NZ"/>
        </w:rPr>
        <w:t>S</w:t>
      </w:r>
      <w:r w:rsidRPr="001D2C9B">
        <w:rPr>
          <w:rFonts w:ascii="Verdana" w:hAnsi="Verdana"/>
          <w:b/>
          <w:iCs/>
          <w:sz w:val="20"/>
          <w:lang w:eastAsia="en-NZ"/>
        </w:rPr>
        <w:t>ummary tab</w:t>
      </w:r>
      <w:r w:rsidRPr="001D2C9B">
        <w:rPr>
          <w:rFonts w:ascii="Verdana" w:hAnsi="Verdana"/>
          <w:iCs/>
          <w:sz w:val="20"/>
          <w:lang w:eastAsia="en-NZ"/>
        </w:rPr>
        <w:t xml:space="preserve"> and check </w:t>
      </w:r>
      <w:r w:rsidR="00F50E6C" w:rsidRPr="001D2C9B">
        <w:rPr>
          <w:rFonts w:ascii="Verdana" w:hAnsi="Verdana"/>
          <w:iCs/>
          <w:sz w:val="20"/>
          <w:lang w:eastAsia="en-NZ"/>
        </w:rPr>
        <w:t xml:space="preserve">it </w:t>
      </w:r>
      <w:r w:rsidRPr="001D2C9B">
        <w:rPr>
          <w:rFonts w:ascii="Verdana" w:hAnsi="Verdana"/>
          <w:iCs/>
          <w:sz w:val="20"/>
          <w:lang w:eastAsia="en-NZ"/>
        </w:rPr>
        <w:t xml:space="preserve">for accuracy. </w:t>
      </w:r>
      <w:r w:rsidR="00A87AD0">
        <w:rPr>
          <w:rFonts w:ascii="Verdana" w:hAnsi="Verdana"/>
          <w:iCs/>
          <w:sz w:val="20"/>
          <w:lang w:eastAsia="en-NZ"/>
        </w:rPr>
        <w:t xml:space="preserve">You do not enter any data directly into this tab. It automatically draws data from the data collection tab. </w:t>
      </w:r>
      <w:r w:rsidR="00C10FBC">
        <w:rPr>
          <w:rFonts w:ascii="Verdana" w:hAnsi="Verdana"/>
          <w:iCs/>
          <w:sz w:val="20"/>
          <w:lang w:eastAsia="en-NZ"/>
        </w:rPr>
        <w:t>Go back to the</w:t>
      </w:r>
      <w:r w:rsidRPr="001D2C9B">
        <w:rPr>
          <w:rFonts w:ascii="Verdana" w:hAnsi="Verdana"/>
          <w:iCs/>
          <w:sz w:val="20"/>
          <w:lang w:eastAsia="en-NZ"/>
        </w:rPr>
        <w:t xml:space="preserve"> data </w:t>
      </w:r>
      <w:r w:rsidR="00A87AD0">
        <w:rPr>
          <w:rFonts w:ascii="Verdana" w:hAnsi="Verdana"/>
          <w:iCs/>
          <w:sz w:val="20"/>
          <w:lang w:eastAsia="en-NZ"/>
        </w:rPr>
        <w:t xml:space="preserve">collection </w:t>
      </w:r>
      <w:r w:rsidR="00C10FBC">
        <w:rPr>
          <w:rFonts w:ascii="Verdana" w:hAnsi="Verdana"/>
          <w:iCs/>
          <w:sz w:val="20"/>
          <w:lang w:eastAsia="en-NZ"/>
        </w:rPr>
        <w:t xml:space="preserve">tab </w:t>
      </w:r>
      <w:r w:rsidR="00A87AD0">
        <w:rPr>
          <w:rFonts w:ascii="Verdana" w:hAnsi="Verdana"/>
          <w:iCs/>
          <w:sz w:val="20"/>
          <w:lang w:eastAsia="en-NZ"/>
        </w:rPr>
        <w:t>if you need to make any</w:t>
      </w:r>
      <w:r w:rsidR="00C10FBC">
        <w:rPr>
          <w:rFonts w:ascii="Verdana" w:hAnsi="Verdana"/>
          <w:iCs/>
          <w:sz w:val="20"/>
          <w:lang w:eastAsia="en-NZ"/>
        </w:rPr>
        <w:t xml:space="preserve"> changes.</w:t>
      </w:r>
      <w:r w:rsidR="007503FA" w:rsidRPr="001D2C9B">
        <w:rPr>
          <w:rFonts w:ascii="Verdana" w:hAnsi="Verdana"/>
          <w:iCs/>
          <w:sz w:val="20"/>
          <w:lang w:eastAsia="en-NZ"/>
        </w:rPr>
        <w:t xml:space="preserve"> </w:t>
      </w:r>
    </w:p>
    <w:p w:rsidR="001D2C9B" w:rsidRPr="001D2C9B" w:rsidRDefault="001D2C9B" w:rsidP="001D2C9B">
      <w:pPr>
        <w:rPr>
          <w:rFonts w:ascii="Verdana" w:hAnsi="Verdana"/>
          <w:iCs/>
          <w:sz w:val="20"/>
          <w:lang w:eastAsia="en-NZ"/>
        </w:rPr>
      </w:pPr>
    </w:p>
    <w:p w:rsidR="00F50E6C" w:rsidRPr="00E97C30" w:rsidRDefault="00F50E6C" w:rsidP="00E97C30">
      <w:pPr>
        <w:pStyle w:val="ListParagraph"/>
        <w:numPr>
          <w:ilvl w:val="0"/>
          <w:numId w:val="36"/>
        </w:numPr>
        <w:rPr>
          <w:rFonts w:ascii="Verdana" w:hAnsi="Verdana"/>
          <w:iCs/>
          <w:sz w:val="20"/>
          <w:lang w:eastAsia="en-NZ"/>
        </w:rPr>
      </w:pPr>
      <w:r>
        <w:rPr>
          <w:rFonts w:ascii="Verdana" w:hAnsi="Verdana"/>
          <w:iCs/>
          <w:sz w:val="20"/>
          <w:lang w:eastAsia="en-NZ"/>
        </w:rPr>
        <w:t xml:space="preserve">Save your spread sheet in the format – </w:t>
      </w:r>
      <w:r w:rsidR="007A3546">
        <w:rPr>
          <w:rFonts w:ascii="Verdana" w:hAnsi="Verdana"/>
          <w:iCs/>
          <w:sz w:val="20"/>
          <w:lang w:eastAsia="en-NZ"/>
        </w:rPr>
        <w:t>‘</w:t>
      </w:r>
      <w:r w:rsidR="00C527C0">
        <w:rPr>
          <w:rFonts w:ascii="Verdana" w:hAnsi="Verdana"/>
          <w:iCs/>
          <w:sz w:val="20"/>
          <w:lang w:eastAsia="en-NZ"/>
        </w:rPr>
        <w:t xml:space="preserve">MSD </w:t>
      </w:r>
      <w:r>
        <w:rPr>
          <w:rFonts w:ascii="Verdana" w:hAnsi="Verdana"/>
          <w:iCs/>
          <w:sz w:val="20"/>
          <w:lang w:eastAsia="en-NZ"/>
        </w:rPr>
        <w:t xml:space="preserve">pay </w:t>
      </w:r>
      <w:r w:rsidR="007A3546">
        <w:rPr>
          <w:rFonts w:ascii="Verdana" w:hAnsi="Verdana"/>
          <w:iCs/>
          <w:sz w:val="20"/>
          <w:lang w:eastAsia="en-NZ"/>
        </w:rPr>
        <w:t xml:space="preserve">equity </w:t>
      </w:r>
      <w:r w:rsidR="007D5685">
        <w:rPr>
          <w:rFonts w:ascii="Verdana" w:hAnsi="Verdana"/>
          <w:iCs/>
          <w:sz w:val="20"/>
          <w:lang w:eastAsia="en-NZ"/>
        </w:rPr>
        <w:t xml:space="preserve">estimation tool </w:t>
      </w:r>
      <w:r w:rsidR="00C527C0" w:rsidRPr="001D2C9B">
        <w:rPr>
          <w:rFonts w:ascii="Verdana" w:hAnsi="Verdana"/>
          <w:iCs/>
          <w:sz w:val="20"/>
          <w:u w:val="single"/>
          <w:lang w:eastAsia="en-NZ"/>
        </w:rPr>
        <w:t xml:space="preserve">your </w:t>
      </w:r>
      <w:r w:rsidR="00620FA3">
        <w:rPr>
          <w:rFonts w:ascii="Verdana" w:hAnsi="Verdana"/>
          <w:iCs/>
          <w:sz w:val="20"/>
          <w:u w:val="single"/>
          <w:lang w:eastAsia="en-NZ"/>
        </w:rPr>
        <w:t>contract</w:t>
      </w:r>
      <w:r w:rsidRPr="001D2C9B">
        <w:rPr>
          <w:rFonts w:ascii="Verdana" w:hAnsi="Verdana"/>
          <w:iCs/>
          <w:sz w:val="20"/>
          <w:u w:val="single"/>
          <w:lang w:eastAsia="en-NZ"/>
        </w:rPr>
        <w:t xml:space="preserve"> number</w:t>
      </w:r>
      <w:r w:rsidR="00E45778">
        <w:rPr>
          <w:rFonts w:ascii="Verdana" w:hAnsi="Verdana"/>
          <w:iCs/>
          <w:sz w:val="20"/>
          <w:u w:val="single"/>
          <w:lang w:eastAsia="en-NZ"/>
        </w:rPr>
        <w:t xml:space="preserve"> Q1 2017</w:t>
      </w:r>
      <w:r w:rsidR="007A3546" w:rsidRPr="001D2C9B">
        <w:rPr>
          <w:rFonts w:ascii="Verdana" w:hAnsi="Verdana"/>
          <w:iCs/>
          <w:sz w:val="20"/>
          <w:u w:val="single"/>
          <w:lang w:eastAsia="en-NZ"/>
        </w:rPr>
        <w:t>’</w:t>
      </w:r>
    </w:p>
    <w:p w:rsidR="00E97C30" w:rsidRDefault="00E97C30" w:rsidP="00E97C30">
      <w:pPr>
        <w:rPr>
          <w:rFonts w:ascii="Verdana" w:hAnsi="Verdana"/>
          <w:iCs/>
          <w:sz w:val="20"/>
          <w:lang w:eastAsia="en-NZ"/>
        </w:rPr>
      </w:pPr>
    </w:p>
    <w:p w:rsidR="00F50E6C" w:rsidRDefault="007A3546" w:rsidP="00F50E6C">
      <w:pPr>
        <w:pStyle w:val="ListParagraph"/>
        <w:numPr>
          <w:ilvl w:val="0"/>
          <w:numId w:val="36"/>
        </w:numPr>
        <w:rPr>
          <w:rFonts w:ascii="Verdana" w:hAnsi="Verdana"/>
          <w:iCs/>
          <w:sz w:val="20"/>
          <w:lang w:eastAsia="en-NZ"/>
        </w:rPr>
      </w:pPr>
      <w:r>
        <w:rPr>
          <w:rFonts w:ascii="Verdana" w:hAnsi="Verdana"/>
          <w:iCs/>
          <w:sz w:val="20"/>
          <w:lang w:eastAsia="en-NZ"/>
        </w:rPr>
        <w:t>P</w:t>
      </w:r>
      <w:r w:rsidR="00E97C30" w:rsidRPr="00F50E6C">
        <w:rPr>
          <w:rFonts w:ascii="Verdana" w:hAnsi="Verdana"/>
          <w:iCs/>
          <w:sz w:val="20"/>
          <w:lang w:eastAsia="en-NZ"/>
        </w:rPr>
        <w:t xml:space="preserve">rint out the </w:t>
      </w:r>
      <w:r w:rsidR="00D47113" w:rsidRPr="003215C0">
        <w:rPr>
          <w:rFonts w:ascii="Verdana" w:hAnsi="Verdana"/>
          <w:b/>
          <w:iCs/>
          <w:sz w:val="20"/>
          <w:lang w:eastAsia="en-NZ"/>
        </w:rPr>
        <w:t xml:space="preserve">Summary </w:t>
      </w:r>
      <w:r w:rsidR="002D20B6">
        <w:rPr>
          <w:rFonts w:ascii="Verdana" w:hAnsi="Verdana"/>
          <w:b/>
          <w:iCs/>
          <w:sz w:val="20"/>
          <w:lang w:eastAsia="en-NZ"/>
        </w:rPr>
        <w:t>t</w:t>
      </w:r>
      <w:r w:rsidR="00D47113" w:rsidRPr="003215C0">
        <w:rPr>
          <w:rFonts w:ascii="Verdana" w:hAnsi="Verdana"/>
          <w:b/>
          <w:iCs/>
          <w:sz w:val="20"/>
          <w:lang w:eastAsia="en-NZ"/>
        </w:rPr>
        <w:t>ab</w:t>
      </w:r>
      <w:r w:rsidR="00F50E6C" w:rsidRPr="00F50E6C">
        <w:rPr>
          <w:rFonts w:ascii="Verdana" w:hAnsi="Verdana"/>
          <w:iCs/>
          <w:sz w:val="20"/>
          <w:lang w:eastAsia="en-NZ"/>
        </w:rPr>
        <w:t xml:space="preserve"> page</w:t>
      </w:r>
      <w:r w:rsidR="001D2C9B">
        <w:rPr>
          <w:rFonts w:ascii="Verdana" w:hAnsi="Verdana"/>
          <w:iCs/>
          <w:sz w:val="20"/>
          <w:lang w:eastAsia="en-NZ"/>
        </w:rPr>
        <w:t xml:space="preserve">. This is pre-set so that it should print out automatically fitted to </w:t>
      </w:r>
      <w:r w:rsidR="00A87AD0">
        <w:rPr>
          <w:rFonts w:ascii="Verdana" w:hAnsi="Verdana"/>
          <w:iCs/>
          <w:sz w:val="20"/>
          <w:lang w:eastAsia="en-NZ"/>
        </w:rPr>
        <w:t xml:space="preserve">1 </w:t>
      </w:r>
      <w:r w:rsidR="001D2C9B">
        <w:rPr>
          <w:rFonts w:ascii="Verdana" w:hAnsi="Verdana"/>
          <w:iCs/>
          <w:sz w:val="20"/>
          <w:lang w:eastAsia="en-NZ"/>
        </w:rPr>
        <w:t>page</w:t>
      </w:r>
      <w:r w:rsidR="00A87AD0">
        <w:rPr>
          <w:rFonts w:ascii="Verdana" w:hAnsi="Verdana"/>
          <w:iCs/>
          <w:sz w:val="20"/>
          <w:lang w:eastAsia="en-NZ"/>
        </w:rPr>
        <w:t xml:space="preserve"> in landscape view</w:t>
      </w:r>
      <w:r w:rsidR="001D2C9B">
        <w:rPr>
          <w:rFonts w:ascii="Verdana" w:hAnsi="Verdana"/>
          <w:iCs/>
          <w:sz w:val="20"/>
          <w:lang w:eastAsia="en-NZ"/>
        </w:rPr>
        <w:t>.</w:t>
      </w:r>
      <w:r w:rsidR="00A87AD0">
        <w:rPr>
          <w:rFonts w:ascii="Verdana" w:hAnsi="Verdana"/>
          <w:iCs/>
          <w:sz w:val="20"/>
          <w:lang w:eastAsia="en-NZ"/>
        </w:rPr>
        <w:t xml:space="preserve">  If this does does not happen you will need to adjust your settings under either the ‘page layout’ or ‘print’ options.</w:t>
      </w:r>
    </w:p>
    <w:p w:rsidR="002D20B6" w:rsidRPr="002D20B6" w:rsidRDefault="002D20B6" w:rsidP="003215C0">
      <w:pPr>
        <w:rPr>
          <w:rFonts w:ascii="Verdana" w:hAnsi="Verdana"/>
          <w:iCs/>
          <w:sz w:val="20"/>
          <w:lang w:eastAsia="en-NZ"/>
        </w:rPr>
      </w:pPr>
    </w:p>
    <w:p w:rsidR="002D20B6" w:rsidRPr="00F50E6C" w:rsidRDefault="002D20B6" w:rsidP="00F50E6C">
      <w:pPr>
        <w:pStyle w:val="ListParagraph"/>
        <w:numPr>
          <w:ilvl w:val="0"/>
          <w:numId w:val="36"/>
        </w:numPr>
        <w:rPr>
          <w:rFonts w:ascii="Verdana" w:hAnsi="Verdana"/>
          <w:iCs/>
          <w:sz w:val="20"/>
          <w:lang w:eastAsia="en-NZ"/>
        </w:rPr>
      </w:pPr>
      <w:r>
        <w:rPr>
          <w:rFonts w:ascii="Verdana" w:hAnsi="Verdana"/>
          <w:iCs/>
          <w:sz w:val="20"/>
          <w:lang w:eastAsia="en-NZ"/>
        </w:rPr>
        <w:t xml:space="preserve">If you have made any comments in the </w:t>
      </w:r>
      <w:r>
        <w:rPr>
          <w:rFonts w:ascii="Verdana" w:hAnsi="Verdana"/>
          <w:b/>
          <w:iCs/>
          <w:sz w:val="20"/>
          <w:lang w:eastAsia="en-NZ"/>
        </w:rPr>
        <w:t>Comments</w:t>
      </w:r>
      <w:r>
        <w:rPr>
          <w:rFonts w:ascii="Verdana" w:hAnsi="Verdana"/>
          <w:iCs/>
          <w:sz w:val="20"/>
          <w:lang w:eastAsia="en-NZ"/>
        </w:rPr>
        <w:t xml:space="preserve"> tab of the spread sheet, please print this tab out as well and include it with your printed </w:t>
      </w:r>
      <w:r>
        <w:rPr>
          <w:rFonts w:ascii="Verdana" w:hAnsi="Verdana"/>
          <w:b/>
          <w:iCs/>
          <w:sz w:val="20"/>
          <w:lang w:eastAsia="en-NZ"/>
        </w:rPr>
        <w:t>Summary</w:t>
      </w:r>
      <w:r>
        <w:rPr>
          <w:rFonts w:ascii="Verdana" w:hAnsi="Verdana"/>
          <w:iCs/>
          <w:sz w:val="20"/>
          <w:lang w:eastAsia="en-NZ"/>
        </w:rPr>
        <w:t xml:space="preserve"> tab.</w:t>
      </w:r>
    </w:p>
    <w:p w:rsidR="00F50E6C" w:rsidRDefault="00F50E6C" w:rsidP="00E97C30">
      <w:pPr>
        <w:rPr>
          <w:rFonts w:ascii="Verdana" w:hAnsi="Verdana"/>
          <w:iCs/>
          <w:sz w:val="20"/>
          <w:lang w:eastAsia="en-NZ"/>
        </w:rPr>
      </w:pPr>
    </w:p>
    <w:p w:rsidR="00E97C30" w:rsidRDefault="007A3546" w:rsidP="00F50E6C">
      <w:pPr>
        <w:pStyle w:val="ListParagraph"/>
        <w:numPr>
          <w:ilvl w:val="0"/>
          <w:numId w:val="36"/>
        </w:numPr>
        <w:rPr>
          <w:rFonts w:ascii="Verdana" w:hAnsi="Verdana"/>
          <w:iCs/>
          <w:sz w:val="20"/>
          <w:lang w:eastAsia="en-NZ"/>
        </w:rPr>
      </w:pPr>
      <w:r>
        <w:rPr>
          <w:rFonts w:ascii="Verdana" w:hAnsi="Verdana"/>
          <w:iCs/>
          <w:sz w:val="20"/>
          <w:lang w:eastAsia="en-NZ"/>
        </w:rPr>
        <w:t>E</w:t>
      </w:r>
      <w:r w:rsidR="00E97C30" w:rsidRPr="00F50E6C">
        <w:rPr>
          <w:rFonts w:ascii="Verdana" w:hAnsi="Verdana"/>
          <w:iCs/>
          <w:sz w:val="20"/>
          <w:lang w:eastAsia="en-NZ"/>
        </w:rPr>
        <w:t xml:space="preserve">nter the </w:t>
      </w:r>
      <w:r w:rsidR="00A87AD0">
        <w:rPr>
          <w:rFonts w:ascii="Verdana" w:hAnsi="Verdana"/>
          <w:iCs/>
          <w:sz w:val="20"/>
          <w:lang w:eastAsia="en-NZ"/>
        </w:rPr>
        <w:t>“</w:t>
      </w:r>
      <w:r w:rsidR="00E97C30" w:rsidRPr="00F50E6C">
        <w:rPr>
          <w:rFonts w:ascii="Verdana" w:hAnsi="Verdana"/>
          <w:iCs/>
          <w:sz w:val="20"/>
          <w:lang w:eastAsia="en-NZ"/>
        </w:rPr>
        <w:t>estimated first quarter payment</w:t>
      </w:r>
      <w:r w:rsidR="00A87AD0">
        <w:rPr>
          <w:rFonts w:ascii="Verdana" w:hAnsi="Verdana"/>
          <w:iCs/>
          <w:sz w:val="20"/>
          <w:lang w:eastAsia="en-NZ"/>
        </w:rPr>
        <w:t>”</w:t>
      </w:r>
      <w:r w:rsidR="00E97C30" w:rsidRPr="00F50E6C">
        <w:rPr>
          <w:rFonts w:ascii="Verdana" w:hAnsi="Verdana"/>
          <w:iCs/>
          <w:sz w:val="20"/>
          <w:lang w:eastAsia="en-NZ"/>
        </w:rPr>
        <w:t xml:space="preserve"> </w:t>
      </w:r>
      <w:r w:rsidR="00A87AD0">
        <w:rPr>
          <w:rFonts w:ascii="Verdana" w:hAnsi="Verdana"/>
          <w:iCs/>
          <w:sz w:val="20"/>
          <w:lang w:eastAsia="en-NZ"/>
        </w:rPr>
        <w:t>from</w:t>
      </w:r>
      <w:r w:rsidR="00A87AD0" w:rsidRPr="00F50E6C">
        <w:rPr>
          <w:rFonts w:ascii="Verdana" w:hAnsi="Verdana"/>
          <w:iCs/>
          <w:sz w:val="20"/>
          <w:lang w:eastAsia="en-NZ"/>
        </w:rPr>
        <w:t xml:space="preserve"> </w:t>
      </w:r>
      <w:r w:rsidR="00A87AD0">
        <w:rPr>
          <w:rFonts w:ascii="Verdana" w:hAnsi="Verdana"/>
          <w:iCs/>
          <w:sz w:val="20"/>
          <w:lang w:eastAsia="en-NZ"/>
        </w:rPr>
        <w:t>the</w:t>
      </w:r>
      <w:r w:rsidR="00A87AD0" w:rsidRPr="00F50E6C">
        <w:rPr>
          <w:rFonts w:ascii="Verdana" w:hAnsi="Verdana"/>
          <w:iCs/>
          <w:sz w:val="20"/>
          <w:lang w:eastAsia="en-NZ"/>
        </w:rPr>
        <w:t xml:space="preserve"> </w:t>
      </w:r>
      <w:r w:rsidR="002D20B6" w:rsidRPr="003215C0">
        <w:rPr>
          <w:rFonts w:ascii="Verdana" w:hAnsi="Verdana"/>
          <w:b/>
          <w:iCs/>
          <w:sz w:val="20"/>
          <w:lang w:eastAsia="en-NZ"/>
        </w:rPr>
        <w:t>S</w:t>
      </w:r>
      <w:r w:rsidR="00F50E6C" w:rsidRPr="003215C0">
        <w:rPr>
          <w:rFonts w:ascii="Verdana" w:hAnsi="Verdana"/>
          <w:b/>
          <w:iCs/>
          <w:sz w:val="20"/>
          <w:lang w:eastAsia="en-NZ"/>
        </w:rPr>
        <w:t>ummary</w:t>
      </w:r>
      <w:r w:rsidR="00F50E6C" w:rsidRPr="00F50E6C">
        <w:rPr>
          <w:rFonts w:ascii="Verdana" w:hAnsi="Verdana"/>
          <w:iCs/>
          <w:sz w:val="20"/>
          <w:lang w:eastAsia="en-NZ"/>
        </w:rPr>
        <w:t xml:space="preserve"> </w:t>
      </w:r>
      <w:r w:rsidR="00A87AD0">
        <w:rPr>
          <w:rFonts w:ascii="Verdana" w:hAnsi="Verdana"/>
          <w:iCs/>
          <w:sz w:val="20"/>
          <w:lang w:eastAsia="en-NZ"/>
        </w:rPr>
        <w:t>tab</w:t>
      </w:r>
      <w:r w:rsidR="00A87AD0" w:rsidRPr="00F50E6C">
        <w:rPr>
          <w:rFonts w:ascii="Verdana" w:hAnsi="Verdana"/>
          <w:iCs/>
          <w:sz w:val="20"/>
          <w:lang w:eastAsia="en-NZ"/>
        </w:rPr>
        <w:t xml:space="preserve"> </w:t>
      </w:r>
      <w:r w:rsidR="00F50E6C" w:rsidRPr="00F50E6C">
        <w:rPr>
          <w:rFonts w:ascii="Verdana" w:hAnsi="Verdana"/>
          <w:iCs/>
          <w:sz w:val="20"/>
          <w:lang w:eastAsia="en-NZ"/>
        </w:rPr>
        <w:t>in your invoice</w:t>
      </w:r>
      <w:r w:rsidR="001D2C9B">
        <w:rPr>
          <w:rFonts w:ascii="Verdana" w:hAnsi="Verdana"/>
          <w:iCs/>
          <w:sz w:val="20"/>
          <w:lang w:eastAsia="en-NZ"/>
        </w:rPr>
        <w:t xml:space="preserve"> (from cell M27 on the Summary tab</w:t>
      </w:r>
      <w:r>
        <w:rPr>
          <w:rFonts w:ascii="Verdana" w:hAnsi="Verdana"/>
          <w:iCs/>
          <w:sz w:val="20"/>
          <w:lang w:eastAsia="en-NZ"/>
        </w:rPr>
        <w:t>)</w:t>
      </w:r>
    </w:p>
    <w:p w:rsidR="007A3546" w:rsidRPr="007A3546" w:rsidRDefault="007A3546" w:rsidP="007A3546">
      <w:pPr>
        <w:pStyle w:val="ListParagraph"/>
        <w:rPr>
          <w:rFonts w:ascii="Verdana" w:hAnsi="Verdana"/>
          <w:iCs/>
          <w:sz w:val="20"/>
          <w:lang w:eastAsia="en-NZ"/>
        </w:rPr>
      </w:pPr>
    </w:p>
    <w:p w:rsidR="007A3546" w:rsidRDefault="007A3546" w:rsidP="00F50E6C">
      <w:pPr>
        <w:pStyle w:val="ListParagraph"/>
        <w:numPr>
          <w:ilvl w:val="0"/>
          <w:numId w:val="36"/>
        </w:numPr>
        <w:rPr>
          <w:rFonts w:ascii="Verdana" w:hAnsi="Verdana"/>
          <w:iCs/>
          <w:sz w:val="20"/>
          <w:lang w:eastAsia="en-NZ"/>
        </w:rPr>
      </w:pPr>
      <w:r>
        <w:rPr>
          <w:rFonts w:ascii="Verdana" w:hAnsi="Verdana"/>
          <w:iCs/>
          <w:sz w:val="20"/>
          <w:lang w:eastAsia="en-NZ"/>
        </w:rPr>
        <w:t xml:space="preserve">Enter the estimated annual provisional payment on your variation to contract </w:t>
      </w:r>
      <w:r w:rsidR="009E5407">
        <w:rPr>
          <w:rFonts w:ascii="Verdana" w:hAnsi="Verdana"/>
          <w:iCs/>
          <w:sz w:val="20"/>
          <w:lang w:eastAsia="en-NZ"/>
        </w:rPr>
        <w:t xml:space="preserve">front page </w:t>
      </w:r>
      <w:r>
        <w:rPr>
          <w:rFonts w:ascii="Verdana" w:hAnsi="Verdana"/>
          <w:iCs/>
          <w:sz w:val="20"/>
          <w:lang w:eastAsia="en-NZ"/>
        </w:rPr>
        <w:t>(from cell M25</w:t>
      </w:r>
      <w:r w:rsidR="00C10FBC">
        <w:rPr>
          <w:rFonts w:ascii="Verdana" w:hAnsi="Verdana"/>
          <w:iCs/>
          <w:sz w:val="20"/>
          <w:lang w:eastAsia="en-NZ"/>
        </w:rPr>
        <w:t xml:space="preserve"> on the </w:t>
      </w:r>
      <w:r w:rsidR="00C10FBC" w:rsidRPr="003215C0">
        <w:rPr>
          <w:rFonts w:ascii="Verdana" w:hAnsi="Verdana"/>
          <w:b/>
          <w:iCs/>
          <w:sz w:val="20"/>
          <w:lang w:eastAsia="en-NZ"/>
        </w:rPr>
        <w:t>Summary</w:t>
      </w:r>
      <w:r w:rsidR="00C10FBC">
        <w:rPr>
          <w:rFonts w:ascii="Verdana" w:hAnsi="Verdana"/>
          <w:iCs/>
          <w:sz w:val="20"/>
          <w:lang w:eastAsia="en-NZ"/>
        </w:rPr>
        <w:t xml:space="preserve"> tab</w:t>
      </w:r>
      <w:r>
        <w:rPr>
          <w:rFonts w:ascii="Verdana" w:hAnsi="Verdana"/>
          <w:iCs/>
          <w:sz w:val="20"/>
          <w:lang w:eastAsia="en-NZ"/>
        </w:rPr>
        <w:t>)</w:t>
      </w:r>
      <w:r w:rsidR="00E86234">
        <w:rPr>
          <w:rFonts w:ascii="Verdana" w:hAnsi="Verdana"/>
          <w:iCs/>
          <w:sz w:val="20"/>
          <w:lang w:eastAsia="en-NZ"/>
        </w:rPr>
        <w:t xml:space="preserve">. If you </w:t>
      </w:r>
      <w:bookmarkStart w:id="6" w:name="_GoBack"/>
      <w:bookmarkEnd w:id="6"/>
      <w:r w:rsidR="009E5407">
        <w:rPr>
          <w:rFonts w:ascii="Verdana" w:hAnsi="Verdana"/>
          <w:iCs/>
          <w:sz w:val="20"/>
          <w:lang w:eastAsia="en-NZ"/>
        </w:rPr>
        <w:t>have a variation to contract which does not have a field on the front page for the total variation amount, please state this amount underneath the ‘total contract value’.</w:t>
      </w:r>
    </w:p>
    <w:p w:rsidR="00F50E6C" w:rsidRPr="00F50E6C" w:rsidRDefault="00F50E6C" w:rsidP="00F50E6C">
      <w:pPr>
        <w:pStyle w:val="ListParagraph"/>
        <w:rPr>
          <w:rFonts w:ascii="Verdana" w:hAnsi="Verdana"/>
          <w:iCs/>
          <w:sz w:val="20"/>
          <w:lang w:eastAsia="en-NZ"/>
        </w:rPr>
      </w:pPr>
    </w:p>
    <w:p w:rsidR="00F50E6C" w:rsidRDefault="00F50E6C" w:rsidP="00F50E6C">
      <w:pPr>
        <w:pStyle w:val="ListParagraph"/>
        <w:numPr>
          <w:ilvl w:val="0"/>
          <w:numId w:val="36"/>
        </w:numPr>
        <w:rPr>
          <w:rFonts w:ascii="Verdana" w:hAnsi="Verdana"/>
          <w:iCs/>
          <w:sz w:val="20"/>
          <w:lang w:eastAsia="en-NZ"/>
        </w:rPr>
      </w:pPr>
      <w:r>
        <w:rPr>
          <w:rFonts w:ascii="Verdana" w:hAnsi="Verdana"/>
          <w:iCs/>
          <w:sz w:val="20"/>
          <w:lang w:eastAsia="en-NZ"/>
        </w:rPr>
        <w:t xml:space="preserve">If you have more than one contract which is eligible for the funding increase, please </w:t>
      </w:r>
      <w:r w:rsidR="00A87AD0">
        <w:rPr>
          <w:rFonts w:ascii="Verdana" w:hAnsi="Verdana"/>
          <w:iCs/>
          <w:sz w:val="20"/>
          <w:lang w:eastAsia="en-NZ"/>
        </w:rPr>
        <w:t>fill in separate copies of the MSD pay equity estimation tool</w:t>
      </w:r>
      <w:r>
        <w:rPr>
          <w:rFonts w:ascii="Verdana" w:hAnsi="Verdana"/>
          <w:iCs/>
          <w:sz w:val="20"/>
          <w:lang w:eastAsia="en-NZ"/>
        </w:rPr>
        <w:t xml:space="preserve"> for each contract.</w:t>
      </w:r>
    </w:p>
    <w:p w:rsidR="007503FA" w:rsidRPr="007503FA" w:rsidRDefault="007503FA" w:rsidP="007503FA">
      <w:pPr>
        <w:pStyle w:val="ListParagraph"/>
        <w:rPr>
          <w:rFonts w:ascii="Verdana" w:hAnsi="Verdana"/>
          <w:iCs/>
          <w:sz w:val="20"/>
          <w:lang w:eastAsia="en-NZ"/>
        </w:rPr>
      </w:pPr>
    </w:p>
    <w:p w:rsidR="007503FA" w:rsidRPr="007503FA" w:rsidRDefault="007503FA" w:rsidP="007503FA">
      <w:pPr>
        <w:rPr>
          <w:rFonts w:ascii="Verdana" w:hAnsi="Verdana"/>
          <w:iCs/>
          <w:sz w:val="20"/>
          <w:lang w:eastAsia="en-NZ"/>
        </w:rPr>
      </w:pPr>
    </w:p>
    <w:p w:rsidR="00E97C30" w:rsidRDefault="007503FA" w:rsidP="00853167">
      <w:pPr>
        <w:rPr>
          <w:rFonts w:ascii="Verdana" w:hAnsi="Verdana"/>
          <w:iCs/>
          <w:sz w:val="20"/>
          <w:lang w:eastAsia="en-NZ"/>
        </w:rPr>
      </w:pPr>
      <w:r>
        <w:rPr>
          <w:rFonts w:ascii="Verdana" w:hAnsi="Verdana"/>
          <w:iCs/>
          <w:noProof/>
          <w:sz w:val="20"/>
          <w:lang w:eastAsia="en-NZ"/>
        </w:rPr>
        <w:lastRenderedPageBreak/>
        <w:drawing>
          <wp:inline distT="0" distB="0" distL="0" distR="0" wp14:anchorId="125BE781" wp14:editId="6ACD082B">
            <wp:extent cx="5651500" cy="2387600"/>
            <wp:effectExtent l="0" t="0" r="6350" b="127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853167" w:rsidRDefault="00853167" w:rsidP="00853167">
      <w:pPr>
        <w:rPr>
          <w:rFonts w:ascii="Verdana" w:hAnsi="Verdana"/>
          <w:iCs/>
          <w:sz w:val="20"/>
          <w:lang w:eastAsia="en-NZ"/>
        </w:rPr>
      </w:pPr>
    </w:p>
    <w:p w:rsidR="00853167" w:rsidRPr="006749E9" w:rsidRDefault="00853167" w:rsidP="00853167">
      <w:pPr>
        <w:rPr>
          <w:rFonts w:ascii="Verdana" w:hAnsi="Verdana"/>
          <w:iCs/>
          <w:sz w:val="20"/>
          <w:u w:val="single"/>
          <w:lang w:eastAsia="en-NZ"/>
        </w:rPr>
      </w:pPr>
    </w:p>
    <w:p w:rsidR="00853167" w:rsidRDefault="00853167" w:rsidP="00853167">
      <w:pPr>
        <w:rPr>
          <w:rFonts w:ascii="Verdana" w:hAnsi="Verdana"/>
          <w:iCs/>
          <w:sz w:val="20"/>
          <w:lang w:eastAsia="en-NZ"/>
        </w:rPr>
      </w:pPr>
    </w:p>
    <w:p w:rsidR="00C10FBC" w:rsidRDefault="00C10FBC" w:rsidP="00853167">
      <w:pPr>
        <w:rPr>
          <w:rFonts w:ascii="Verdana" w:hAnsi="Verdana"/>
          <w:iCs/>
          <w:sz w:val="20"/>
          <w:lang w:eastAsia="en-NZ"/>
        </w:rPr>
      </w:pPr>
    </w:p>
    <w:p w:rsidR="00853167" w:rsidRDefault="00853167" w:rsidP="00853167">
      <w:pPr>
        <w:rPr>
          <w:rFonts w:ascii="Verdana" w:hAnsi="Verdana"/>
          <w:iCs/>
          <w:sz w:val="20"/>
          <w:lang w:eastAsia="en-NZ"/>
        </w:rPr>
      </w:pPr>
    </w:p>
    <w:tbl>
      <w:tblPr>
        <w:tblStyle w:val="TableGrid"/>
        <w:tblW w:w="0" w:type="auto"/>
        <w:shd w:val="clear" w:color="auto" w:fill="DBE5F1" w:themeFill="accent1" w:themeFillTint="33"/>
        <w:tblLook w:val="04A0" w:firstRow="1" w:lastRow="0" w:firstColumn="1" w:lastColumn="0" w:noHBand="0" w:noVBand="1"/>
      </w:tblPr>
      <w:tblGrid>
        <w:gridCol w:w="3575"/>
        <w:gridCol w:w="5667"/>
      </w:tblGrid>
      <w:tr w:rsidR="00853167">
        <w:tc>
          <w:tcPr>
            <w:tcW w:w="393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BE5F1" w:themeFill="accent1" w:themeFillTint="33"/>
          </w:tcPr>
          <w:p w:rsidR="00853167" w:rsidRPr="006441C5" w:rsidRDefault="00853167" w:rsidP="006441C5">
            <w:pPr>
              <w:pStyle w:val="Heading2"/>
              <w:outlineLvl w:val="1"/>
            </w:pPr>
            <w:r w:rsidRPr="006441C5">
              <w:t>Questions</w:t>
            </w:r>
          </w:p>
          <w:p w:rsidR="00853167" w:rsidRPr="00D0615A" w:rsidRDefault="00853167" w:rsidP="00E45778">
            <w:pPr>
              <w:rPr>
                <w:rFonts w:ascii="Verdana" w:hAnsi="Verdana"/>
                <w:b/>
                <w:iCs/>
                <w:sz w:val="20"/>
                <w:lang w:eastAsia="en-NZ"/>
              </w:rPr>
            </w:pPr>
          </w:p>
        </w:tc>
        <w:tc>
          <w:tcPr>
            <w:tcW w:w="591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BE5F1" w:themeFill="accent1" w:themeFillTint="33"/>
          </w:tcPr>
          <w:p w:rsidR="00853167" w:rsidRPr="00D0615A" w:rsidRDefault="00853167" w:rsidP="006441C5">
            <w:pPr>
              <w:pStyle w:val="Heading2"/>
              <w:outlineLvl w:val="1"/>
              <w:rPr>
                <w:rFonts w:ascii="Verdana" w:hAnsi="Verdana"/>
                <w:b w:val="0"/>
                <w:iCs/>
                <w:sz w:val="20"/>
                <w:lang w:eastAsia="en-NZ"/>
              </w:rPr>
            </w:pPr>
            <w:r w:rsidRPr="006441C5">
              <w:t>Response</w:t>
            </w:r>
          </w:p>
        </w:tc>
      </w:tr>
      <w:tr w:rsidR="00853167">
        <w:tc>
          <w:tcPr>
            <w:tcW w:w="393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BE5F1" w:themeFill="accent1" w:themeFillTint="33"/>
          </w:tcPr>
          <w:p w:rsidR="00853167" w:rsidRDefault="00853167" w:rsidP="00E45778">
            <w:pPr>
              <w:rPr>
                <w:rFonts w:ascii="Verdana" w:hAnsi="Verdana"/>
                <w:iCs/>
                <w:sz w:val="20"/>
                <w:lang w:eastAsia="en-NZ"/>
              </w:rPr>
            </w:pPr>
            <w:r>
              <w:rPr>
                <w:rFonts w:ascii="Verdana" w:hAnsi="Verdana"/>
                <w:iCs/>
                <w:sz w:val="20"/>
                <w:lang w:eastAsia="en-NZ"/>
              </w:rPr>
              <w:t>What if I can’t find my provider name in the drop down menu?</w:t>
            </w:r>
          </w:p>
          <w:p w:rsidR="00853167" w:rsidRDefault="00853167" w:rsidP="00E45778">
            <w:pPr>
              <w:rPr>
                <w:rFonts w:ascii="Verdana" w:hAnsi="Verdana"/>
                <w:iCs/>
                <w:sz w:val="20"/>
                <w:lang w:eastAsia="en-NZ"/>
              </w:rPr>
            </w:pPr>
          </w:p>
        </w:tc>
        <w:tc>
          <w:tcPr>
            <w:tcW w:w="591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BE5F1" w:themeFill="accent1" w:themeFillTint="33"/>
          </w:tcPr>
          <w:p w:rsidR="00853167" w:rsidRPr="00EF0AA8" w:rsidRDefault="00EF0AA8" w:rsidP="00E45778">
            <w:pPr>
              <w:rPr>
                <w:rFonts w:ascii="Verdana" w:hAnsi="Verdana"/>
                <w:color w:val="0070C0"/>
                <w:sz w:val="20"/>
              </w:rPr>
            </w:pPr>
            <w:r>
              <w:rPr>
                <w:rFonts w:ascii="Verdana" w:hAnsi="Verdana"/>
                <w:iCs/>
                <w:sz w:val="20"/>
                <w:lang w:eastAsia="en-NZ"/>
              </w:rPr>
              <w:t>If your provider name is not included in the drop down menu p</w:t>
            </w:r>
            <w:r w:rsidR="00853167">
              <w:rPr>
                <w:rFonts w:ascii="Verdana" w:hAnsi="Verdana"/>
                <w:iCs/>
                <w:sz w:val="20"/>
                <w:lang w:eastAsia="en-NZ"/>
              </w:rPr>
              <w:t xml:space="preserve">lease email us on </w:t>
            </w:r>
            <w:hyperlink r:id="rId17" w:history="1">
              <w:r w:rsidR="00853167" w:rsidRPr="00EF0AA8">
                <w:rPr>
                  <w:rFonts w:ascii="Verdana" w:hAnsi="Verdana"/>
                  <w:color w:val="0070C0"/>
                  <w:sz w:val="20"/>
                </w:rPr>
                <w:t>payequity_implementation@msd.govt.nz</w:t>
              </w:r>
            </w:hyperlink>
          </w:p>
          <w:p w:rsidR="00853167" w:rsidRDefault="00853167" w:rsidP="00E45778">
            <w:pPr>
              <w:rPr>
                <w:rFonts w:ascii="Verdana" w:hAnsi="Verdana"/>
                <w:iCs/>
                <w:sz w:val="20"/>
                <w:lang w:eastAsia="en-NZ"/>
              </w:rPr>
            </w:pPr>
          </w:p>
        </w:tc>
      </w:tr>
      <w:tr w:rsidR="00853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3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BE5F1" w:themeFill="accent1" w:themeFillTint="33"/>
          </w:tcPr>
          <w:p w:rsidR="00853167" w:rsidRDefault="00853167" w:rsidP="00E45778">
            <w:pPr>
              <w:rPr>
                <w:rFonts w:ascii="Verdana" w:hAnsi="Verdana"/>
                <w:iCs/>
                <w:sz w:val="20"/>
                <w:lang w:eastAsia="en-NZ"/>
              </w:rPr>
            </w:pPr>
            <w:r>
              <w:rPr>
                <w:rFonts w:ascii="Verdana" w:hAnsi="Verdana"/>
                <w:iCs/>
                <w:sz w:val="20"/>
                <w:lang w:eastAsia="en-NZ"/>
              </w:rPr>
              <w:t>Is my provider number different from my contract number?</w:t>
            </w:r>
          </w:p>
          <w:p w:rsidR="00853167" w:rsidRDefault="00853167" w:rsidP="00E45778">
            <w:pPr>
              <w:rPr>
                <w:rFonts w:ascii="Verdana" w:hAnsi="Verdana"/>
                <w:iCs/>
                <w:sz w:val="20"/>
                <w:lang w:eastAsia="en-NZ"/>
              </w:rPr>
            </w:pPr>
          </w:p>
        </w:tc>
        <w:tc>
          <w:tcPr>
            <w:tcW w:w="591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BE5F1" w:themeFill="accent1" w:themeFillTint="33"/>
          </w:tcPr>
          <w:p w:rsidR="00853167" w:rsidRDefault="00853167" w:rsidP="00E45778">
            <w:pPr>
              <w:rPr>
                <w:rFonts w:ascii="Verdana" w:hAnsi="Verdana"/>
                <w:iCs/>
                <w:sz w:val="20"/>
                <w:lang w:eastAsia="en-NZ"/>
              </w:rPr>
            </w:pPr>
            <w:r>
              <w:rPr>
                <w:rFonts w:ascii="Verdana" w:hAnsi="Verdana"/>
                <w:iCs/>
                <w:sz w:val="20"/>
                <w:lang w:eastAsia="en-NZ"/>
              </w:rPr>
              <w:t>Yes, your contract number starts with NATO. This number is different from your provider number.</w:t>
            </w:r>
          </w:p>
        </w:tc>
      </w:tr>
      <w:tr w:rsidR="00853167">
        <w:tc>
          <w:tcPr>
            <w:tcW w:w="393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BE5F1" w:themeFill="accent1" w:themeFillTint="33"/>
          </w:tcPr>
          <w:p w:rsidR="00853167" w:rsidRDefault="00853167" w:rsidP="00E45778">
            <w:pPr>
              <w:rPr>
                <w:rFonts w:ascii="Verdana" w:hAnsi="Verdana"/>
                <w:iCs/>
                <w:sz w:val="20"/>
                <w:lang w:eastAsia="en-NZ"/>
              </w:rPr>
            </w:pPr>
            <w:r>
              <w:rPr>
                <w:rFonts w:ascii="Verdana" w:hAnsi="Verdana"/>
                <w:iCs/>
                <w:sz w:val="20"/>
                <w:lang w:eastAsia="en-NZ"/>
              </w:rPr>
              <w:t>What if I can’t find my contract number in the drop down menu?</w:t>
            </w:r>
          </w:p>
        </w:tc>
        <w:tc>
          <w:tcPr>
            <w:tcW w:w="591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BE5F1" w:themeFill="accent1" w:themeFillTint="33"/>
          </w:tcPr>
          <w:p w:rsidR="00853167" w:rsidRDefault="00853167" w:rsidP="00E45778">
            <w:pPr>
              <w:rPr>
                <w:rFonts w:ascii="Verdana" w:hAnsi="Verdana"/>
                <w:iCs/>
                <w:sz w:val="20"/>
                <w:lang w:eastAsia="en-NZ"/>
              </w:rPr>
            </w:pPr>
            <w:r>
              <w:rPr>
                <w:rFonts w:ascii="Verdana" w:hAnsi="Verdana"/>
                <w:iCs/>
                <w:sz w:val="20"/>
                <w:lang w:eastAsia="en-NZ"/>
              </w:rPr>
              <w:t>We have populated the spread sheet with contract numbers that we believe are eligible for the increased funding. If you can’t find your contract number please check the eligibility criteria and email us if you still believe we have omitted an eligible contract.</w:t>
            </w:r>
          </w:p>
          <w:p w:rsidR="00853167" w:rsidRDefault="00853167" w:rsidP="00E45778">
            <w:pPr>
              <w:rPr>
                <w:rFonts w:ascii="Verdana" w:hAnsi="Verdana"/>
                <w:iCs/>
                <w:sz w:val="20"/>
                <w:lang w:eastAsia="en-NZ"/>
              </w:rPr>
            </w:pPr>
          </w:p>
        </w:tc>
      </w:tr>
      <w:tr w:rsidR="00853167">
        <w:trPr>
          <w:trHeight w:val="2236"/>
        </w:trPr>
        <w:tc>
          <w:tcPr>
            <w:tcW w:w="393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BE5F1" w:themeFill="accent1" w:themeFillTint="33"/>
          </w:tcPr>
          <w:p w:rsidR="00853167" w:rsidRDefault="00853167" w:rsidP="00E45778">
            <w:pPr>
              <w:rPr>
                <w:rFonts w:ascii="Verdana" w:hAnsi="Verdana"/>
                <w:iCs/>
                <w:sz w:val="20"/>
                <w:lang w:eastAsia="en-NZ"/>
              </w:rPr>
            </w:pPr>
            <w:r>
              <w:rPr>
                <w:rFonts w:ascii="Verdana" w:hAnsi="Verdana"/>
                <w:iCs/>
                <w:sz w:val="20"/>
                <w:lang w:eastAsia="en-NZ"/>
              </w:rPr>
              <w:t>Our organisation has more than one eligible contract, what do we do?</w:t>
            </w:r>
          </w:p>
        </w:tc>
        <w:tc>
          <w:tcPr>
            <w:tcW w:w="591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BE5F1" w:themeFill="accent1" w:themeFillTint="33"/>
          </w:tcPr>
          <w:p w:rsidR="00853167" w:rsidRDefault="00853167" w:rsidP="00E45778">
            <w:pPr>
              <w:rPr>
                <w:rFonts w:ascii="Verdana" w:hAnsi="Verdana"/>
                <w:iCs/>
                <w:sz w:val="20"/>
                <w:lang w:eastAsia="en-NZ"/>
              </w:rPr>
            </w:pPr>
            <w:r>
              <w:rPr>
                <w:rFonts w:ascii="Verdana" w:hAnsi="Verdana"/>
                <w:iCs/>
                <w:sz w:val="20"/>
                <w:lang w:eastAsia="en-NZ"/>
              </w:rPr>
              <w:t>Your organisation should have received a separate Variation to Contract for each contract. Please contact us if you haven’t.</w:t>
            </w:r>
          </w:p>
          <w:p w:rsidR="00853167" w:rsidRDefault="00853167" w:rsidP="00E45778">
            <w:pPr>
              <w:rPr>
                <w:rFonts w:ascii="Verdana" w:hAnsi="Verdana"/>
                <w:iCs/>
                <w:sz w:val="20"/>
                <w:lang w:eastAsia="en-NZ"/>
              </w:rPr>
            </w:pPr>
          </w:p>
          <w:p w:rsidR="00853167" w:rsidRDefault="00853167" w:rsidP="00E45778">
            <w:pPr>
              <w:rPr>
                <w:rFonts w:ascii="Verdana" w:hAnsi="Verdana"/>
                <w:iCs/>
                <w:sz w:val="20"/>
                <w:lang w:eastAsia="en-NZ"/>
              </w:rPr>
            </w:pPr>
            <w:r>
              <w:rPr>
                <w:rFonts w:ascii="Verdana" w:hAnsi="Verdana"/>
                <w:iCs/>
                <w:sz w:val="20"/>
                <w:lang w:eastAsia="en-NZ"/>
              </w:rPr>
              <w:t>Please complete a separate spread sheet (</w:t>
            </w:r>
            <w:r w:rsidR="00A87AD0">
              <w:rPr>
                <w:rFonts w:ascii="Verdana" w:hAnsi="Verdana"/>
                <w:iCs/>
                <w:sz w:val="20"/>
                <w:lang w:eastAsia="en-NZ"/>
              </w:rPr>
              <w:t>MSD Pay Equity Estimation Tool</w:t>
            </w:r>
            <w:r>
              <w:rPr>
                <w:rFonts w:ascii="Verdana" w:hAnsi="Verdana"/>
                <w:iCs/>
                <w:sz w:val="20"/>
                <w:lang w:eastAsia="en-NZ"/>
              </w:rPr>
              <w:t xml:space="preserve">) for each contract and return each individual Variation to Contract with a </w:t>
            </w:r>
            <w:r w:rsidR="006441C5">
              <w:rPr>
                <w:rFonts w:ascii="Verdana" w:hAnsi="Verdana"/>
                <w:iCs/>
                <w:sz w:val="20"/>
                <w:lang w:eastAsia="en-NZ"/>
              </w:rPr>
              <w:t xml:space="preserve">printed </w:t>
            </w:r>
            <w:r>
              <w:rPr>
                <w:rFonts w:ascii="Verdana" w:hAnsi="Verdana"/>
                <w:iCs/>
                <w:sz w:val="20"/>
                <w:lang w:eastAsia="en-NZ"/>
              </w:rPr>
              <w:t>Summary Tab page and invoice.</w:t>
            </w:r>
          </w:p>
          <w:p w:rsidR="00853167" w:rsidRDefault="00853167" w:rsidP="00E45778">
            <w:pPr>
              <w:rPr>
                <w:rFonts w:ascii="Verdana" w:hAnsi="Verdana"/>
                <w:iCs/>
                <w:sz w:val="20"/>
                <w:lang w:eastAsia="en-NZ"/>
              </w:rPr>
            </w:pPr>
          </w:p>
        </w:tc>
      </w:tr>
      <w:tr w:rsidR="00853167">
        <w:tc>
          <w:tcPr>
            <w:tcW w:w="393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BE5F1" w:themeFill="accent1" w:themeFillTint="33"/>
          </w:tcPr>
          <w:p w:rsidR="00853167" w:rsidRDefault="00853167" w:rsidP="00E45778">
            <w:pPr>
              <w:rPr>
                <w:rFonts w:ascii="Verdana" w:hAnsi="Verdana"/>
                <w:iCs/>
                <w:sz w:val="20"/>
                <w:lang w:eastAsia="en-NZ"/>
              </w:rPr>
            </w:pPr>
            <w:r>
              <w:rPr>
                <w:rFonts w:ascii="Verdana" w:hAnsi="Verdana"/>
                <w:iCs/>
                <w:sz w:val="20"/>
                <w:lang w:eastAsia="en-NZ"/>
              </w:rPr>
              <w:t>Our organisation is funded for more than one service type, how do we show this on the spread sheet?</w:t>
            </w:r>
          </w:p>
        </w:tc>
        <w:tc>
          <w:tcPr>
            <w:tcW w:w="591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BE5F1" w:themeFill="accent1" w:themeFillTint="33"/>
          </w:tcPr>
          <w:p w:rsidR="006441C5" w:rsidRDefault="00853167" w:rsidP="00E45778">
            <w:pPr>
              <w:rPr>
                <w:rFonts w:ascii="Verdana" w:hAnsi="Verdana"/>
                <w:iCs/>
                <w:sz w:val="20"/>
                <w:lang w:eastAsia="en-NZ"/>
              </w:rPr>
            </w:pPr>
            <w:r>
              <w:rPr>
                <w:rFonts w:ascii="Verdana" w:hAnsi="Verdana"/>
                <w:iCs/>
                <w:sz w:val="20"/>
                <w:lang w:eastAsia="en-NZ"/>
              </w:rPr>
              <w:t xml:space="preserve">If a worker is </w:t>
            </w:r>
            <w:r w:rsidRPr="00D0615A">
              <w:rPr>
                <w:rFonts w:ascii="Verdana" w:hAnsi="Verdana"/>
                <w:iCs/>
                <w:sz w:val="20"/>
                <w:u w:val="single"/>
                <w:lang w:eastAsia="en-NZ"/>
              </w:rPr>
              <w:t>primarily</w:t>
            </w:r>
            <w:r>
              <w:rPr>
                <w:rFonts w:ascii="Verdana" w:hAnsi="Verdana"/>
                <w:iCs/>
                <w:sz w:val="20"/>
                <w:lang w:eastAsia="en-NZ"/>
              </w:rPr>
              <w:t xml:space="preserve"> funded under one </w:t>
            </w:r>
            <w:r w:rsidR="006441C5">
              <w:rPr>
                <w:rFonts w:ascii="Verdana" w:hAnsi="Verdana"/>
                <w:iCs/>
                <w:sz w:val="20"/>
                <w:lang w:eastAsia="en-NZ"/>
              </w:rPr>
              <w:t xml:space="preserve">eligible </w:t>
            </w:r>
            <w:r>
              <w:rPr>
                <w:rFonts w:ascii="Verdana" w:hAnsi="Verdana"/>
                <w:iCs/>
                <w:sz w:val="20"/>
                <w:lang w:eastAsia="en-NZ"/>
              </w:rPr>
              <w:t>service type, please select that one.</w:t>
            </w:r>
          </w:p>
          <w:p w:rsidR="00853167" w:rsidRDefault="00853167" w:rsidP="00E45778">
            <w:pPr>
              <w:rPr>
                <w:rFonts w:ascii="Verdana" w:hAnsi="Verdana"/>
                <w:iCs/>
                <w:sz w:val="20"/>
                <w:lang w:eastAsia="en-NZ"/>
              </w:rPr>
            </w:pPr>
          </w:p>
          <w:p w:rsidR="00747F53" w:rsidRDefault="00853167" w:rsidP="00E45778">
            <w:pPr>
              <w:rPr>
                <w:rFonts w:ascii="Verdana" w:hAnsi="Verdana"/>
                <w:iCs/>
                <w:sz w:val="20"/>
                <w:lang w:eastAsia="en-NZ"/>
              </w:rPr>
            </w:pPr>
            <w:r>
              <w:rPr>
                <w:rFonts w:ascii="Verdana" w:hAnsi="Verdana"/>
                <w:iCs/>
                <w:sz w:val="20"/>
                <w:lang w:eastAsia="en-NZ"/>
              </w:rPr>
              <w:t>If an individual worker is more or less equally split between funding from more than one eligible service, please select the ‘multiple service type’ option.</w:t>
            </w:r>
          </w:p>
          <w:p w:rsidR="00853167" w:rsidRDefault="00853167" w:rsidP="00E45778">
            <w:pPr>
              <w:rPr>
                <w:rFonts w:ascii="Verdana" w:hAnsi="Verdana"/>
                <w:iCs/>
                <w:sz w:val="20"/>
                <w:lang w:eastAsia="en-NZ"/>
              </w:rPr>
            </w:pPr>
            <w:r>
              <w:rPr>
                <w:rFonts w:ascii="Verdana" w:hAnsi="Verdana"/>
                <w:iCs/>
                <w:sz w:val="20"/>
                <w:lang w:eastAsia="en-NZ"/>
              </w:rPr>
              <w:t xml:space="preserve"> </w:t>
            </w:r>
          </w:p>
        </w:tc>
      </w:tr>
    </w:tbl>
    <w:p w:rsidR="00853167" w:rsidRDefault="00853167" w:rsidP="00853167">
      <w:pPr>
        <w:rPr>
          <w:rFonts w:ascii="Verdana" w:hAnsi="Verdana"/>
          <w:iCs/>
          <w:sz w:val="20"/>
          <w:lang w:eastAsia="en-NZ"/>
        </w:rPr>
      </w:pPr>
    </w:p>
    <w:p w:rsidR="00853167" w:rsidRDefault="00853167" w:rsidP="00853167">
      <w:pPr>
        <w:rPr>
          <w:rFonts w:ascii="Verdana" w:hAnsi="Verdana"/>
          <w:sz w:val="20"/>
        </w:rPr>
      </w:pPr>
      <w:bookmarkStart w:id="7" w:name="_Service_coordination"/>
      <w:bookmarkEnd w:id="7"/>
    </w:p>
    <w:p w:rsidR="007C028F" w:rsidRPr="006441C5" w:rsidRDefault="007C028F" w:rsidP="006441C5">
      <w:pPr>
        <w:pStyle w:val="Heading2"/>
      </w:pPr>
      <w:r w:rsidRPr="006441C5">
        <w:t>What the advanced interim payments include</w:t>
      </w:r>
    </w:p>
    <w:p w:rsidR="007C028F" w:rsidRDefault="007C028F" w:rsidP="007C028F">
      <w:pPr>
        <w:autoSpaceDE w:val="0"/>
        <w:autoSpaceDN w:val="0"/>
        <w:adjustRightInd w:val="0"/>
        <w:rPr>
          <w:rFonts w:ascii="Verdana" w:hAnsi="Verdana"/>
          <w:iCs/>
          <w:sz w:val="20"/>
          <w:lang w:eastAsia="en-NZ"/>
        </w:rPr>
      </w:pPr>
      <w:r w:rsidRPr="007C028F">
        <w:rPr>
          <w:rFonts w:ascii="Verdana" w:hAnsi="Verdana"/>
          <w:iCs/>
          <w:sz w:val="20"/>
          <w:lang w:eastAsia="en-NZ"/>
        </w:rPr>
        <w:t>The advanced interim payment is the additional labour costs (ordinary &amp; overtime hours) for qualifying staff working in eligible services, plus average on-costs less allowances. The on-cost percentage will be 21.7%. On-costs have been calculated on the basis of including all statutory leave requirements and public holiday loadings, 2% for ACC levies and 3% for the employer's Kiwisaver contribution, a total of 20.9% on costs. In addition, an increase has been applied to allow for back-filling of 2 training days per employee per year, resulting in movement for standard on-costs from 20.9% to a total of 21.7%</w:t>
      </w:r>
      <w:r>
        <w:rPr>
          <w:rFonts w:ascii="Verdana" w:hAnsi="Verdana"/>
          <w:iCs/>
          <w:sz w:val="20"/>
          <w:lang w:eastAsia="en-NZ"/>
        </w:rPr>
        <w:t>.</w:t>
      </w:r>
    </w:p>
    <w:p w:rsidR="007C028F" w:rsidRDefault="007C028F" w:rsidP="007C028F">
      <w:pPr>
        <w:autoSpaceDE w:val="0"/>
        <w:autoSpaceDN w:val="0"/>
        <w:adjustRightInd w:val="0"/>
        <w:rPr>
          <w:rFonts w:ascii="Verdana" w:hAnsi="Verdana"/>
          <w:iCs/>
          <w:sz w:val="20"/>
          <w:lang w:eastAsia="en-NZ"/>
        </w:rPr>
      </w:pPr>
    </w:p>
    <w:p w:rsidR="00A87AD0" w:rsidRPr="003215C0" w:rsidRDefault="00627E0F" w:rsidP="003215C0">
      <w:pPr>
        <w:pStyle w:val="Heading2"/>
        <w:rPr>
          <w:b w:val="0"/>
        </w:rPr>
      </w:pPr>
      <w:r w:rsidRPr="003215C0">
        <w:t>How the Pay Equity Estimation Tool calculates the incremental wage and salary costs</w:t>
      </w:r>
    </w:p>
    <w:p w:rsidR="00627E0F" w:rsidRDefault="00627E0F" w:rsidP="007C028F">
      <w:pPr>
        <w:autoSpaceDE w:val="0"/>
        <w:autoSpaceDN w:val="0"/>
        <w:adjustRightInd w:val="0"/>
        <w:rPr>
          <w:rFonts w:ascii="Verdana" w:hAnsi="Verdana"/>
          <w:iCs/>
          <w:sz w:val="20"/>
          <w:lang w:eastAsia="en-NZ"/>
        </w:rPr>
      </w:pPr>
      <w:r w:rsidRPr="003215C0">
        <w:rPr>
          <w:rFonts w:ascii="Verdana" w:hAnsi="Verdana"/>
          <w:iCs/>
          <w:sz w:val="20"/>
          <w:lang w:eastAsia="en-NZ"/>
        </w:rPr>
        <w:t>Further information</w:t>
      </w:r>
      <w:r>
        <w:rPr>
          <w:rFonts w:ascii="Verdana" w:hAnsi="Verdana"/>
          <w:iCs/>
          <w:sz w:val="20"/>
          <w:lang w:eastAsia="en-NZ"/>
        </w:rPr>
        <w:t xml:space="preserve"> on how the calculations are made </w:t>
      </w:r>
      <w:proofErr w:type="gramStart"/>
      <w:r>
        <w:rPr>
          <w:rFonts w:ascii="Verdana" w:hAnsi="Verdana"/>
          <w:iCs/>
          <w:sz w:val="20"/>
          <w:lang w:eastAsia="en-NZ"/>
        </w:rPr>
        <w:t>are</w:t>
      </w:r>
      <w:proofErr w:type="gramEnd"/>
      <w:r>
        <w:rPr>
          <w:rFonts w:ascii="Verdana" w:hAnsi="Verdana"/>
          <w:iCs/>
          <w:sz w:val="20"/>
          <w:lang w:eastAsia="en-NZ"/>
        </w:rPr>
        <w:t xml:space="preserve"> included on a separate tab within the Pay Equity Estimation Tool.</w:t>
      </w:r>
    </w:p>
    <w:p w:rsidR="00620FA3" w:rsidRDefault="00620FA3" w:rsidP="007C028F">
      <w:pPr>
        <w:autoSpaceDE w:val="0"/>
        <w:autoSpaceDN w:val="0"/>
        <w:adjustRightInd w:val="0"/>
        <w:rPr>
          <w:rFonts w:ascii="Verdana" w:hAnsi="Verdana"/>
          <w:iCs/>
          <w:sz w:val="20"/>
          <w:lang w:eastAsia="en-NZ"/>
        </w:rPr>
      </w:pPr>
    </w:p>
    <w:p w:rsidR="00A305EF" w:rsidRDefault="00A305EF" w:rsidP="00620FA3">
      <w:pPr>
        <w:pStyle w:val="Heading2"/>
        <w:rPr>
          <w:lang w:eastAsia="en-NZ"/>
        </w:rPr>
      </w:pPr>
    </w:p>
    <w:p w:rsidR="00620FA3" w:rsidRPr="00620FA3" w:rsidRDefault="00620FA3" w:rsidP="00620FA3">
      <w:pPr>
        <w:pStyle w:val="Heading2"/>
        <w:rPr>
          <w:lang w:eastAsia="en-NZ"/>
        </w:rPr>
      </w:pPr>
      <w:r w:rsidRPr="00620FA3">
        <w:rPr>
          <w:lang w:eastAsia="en-NZ"/>
        </w:rPr>
        <w:t>Reimbursement for increased annual leave liability</w:t>
      </w:r>
    </w:p>
    <w:p w:rsidR="00620FA3" w:rsidRDefault="00620FA3" w:rsidP="00620FA3">
      <w:pPr>
        <w:autoSpaceDE w:val="0"/>
        <w:autoSpaceDN w:val="0"/>
        <w:adjustRightInd w:val="0"/>
        <w:rPr>
          <w:rFonts w:ascii="Verdana" w:hAnsi="Verdana"/>
          <w:iCs/>
          <w:sz w:val="20"/>
          <w:lang w:eastAsia="en-NZ"/>
        </w:rPr>
      </w:pPr>
      <w:r w:rsidRPr="00620FA3">
        <w:rPr>
          <w:rFonts w:ascii="Verdana" w:hAnsi="Verdana"/>
          <w:iCs/>
          <w:sz w:val="20"/>
          <w:lang w:eastAsia="en-NZ"/>
        </w:rPr>
        <w:t xml:space="preserve">With increases to hourly pay rates, the value of employees' annual leave entitlements will increase.  </w:t>
      </w:r>
    </w:p>
    <w:p w:rsidR="00620FA3" w:rsidRDefault="00620FA3" w:rsidP="00620FA3">
      <w:pPr>
        <w:autoSpaceDE w:val="0"/>
        <w:autoSpaceDN w:val="0"/>
        <w:adjustRightInd w:val="0"/>
        <w:rPr>
          <w:rFonts w:ascii="Verdana" w:hAnsi="Verdana"/>
          <w:iCs/>
          <w:sz w:val="20"/>
          <w:lang w:eastAsia="en-NZ"/>
        </w:rPr>
      </w:pPr>
    </w:p>
    <w:p w:rsidR="00620FA3" w:rsidRDefault="00620FA3" w:rsidP="00620FA3">
      <w:pPr>
        <w:autoSpaceDE w:val="0"/>
        <w:autoSpaceDN w:val="0"/>
        <w:adjustRightInd w:val="0"/>
        <w:rPr>
          <w:rFonts w:ascii="Verdana" w:hAnsi="Verdana"/>
          <w:iCs/>
          <w:sz w:val="20"/>
          <w:lang w:eastAsia="en-NZ"/>
        </w:rPr>
      </w:pPr>
      <w:r w:rsidRPr="00620FA3">
        <w:rPr>
          <w:rFonts w:ascii="Verdana" w:hAnsi="Verdana"/>
          <w:iCs/>
          <w:sz w:val="20"/>
          <w:lang w:eastAsia="en-NZ"/>
        </w:rPr>
        <w:t xml:space="preserve">The Ministry of Health </w:t>
      </w:r>
      <w:r>
        <w:rPr>
          <w:rFonts w:ascii="Verdana" w:hAnsi="Verdana"/>
          <w:iCs/>
          <w:sz w:val="20"/>
          <w:lang w:eastAsia="en-NZ"/>
        </w:rPr>
        <w:t>(</w:t>
      </w:r>
      <w:proofErr w:type="spellStart"/>
      <w:r>
        <w:rPr>
          <w:rFonts w:ascii="Verdana" w:hAnsi="Verdana"/>
          <w:iCs/>
          <w:sz w:val="20"/>
          <w:lang w:eastAsia="en-NZ"/>
        </w:rPr>
        <w:t>MoH</w:t>
      </w:r>
      <w:proofErr w:type="spellEnd"/>
      <w:r>
        <w:rPr>
          <w:rFonts w:ascii="Verdana" w:hAnsi="Verdana"/>
          <w:iCs/>
          <w:sz w:val="20"/>
          <w:lang w:eastAsia="en-NZ"/>
        </w:rPr>
        <w:t xml:space="preserve">) </w:t>
      </w:r>
      <w:r w:rsidRPr="00620FA3">
        <w:rPr>
          <w:rFonts w:ascii="Verdana" w:hAnsi="Verdana"/>
          <w:iCs/>
          <w:sz w:val="20"/>
          <w:lang w:eastAsia="en-NZ"/>
        </w:rPr>
        <w:t>will collect information for the calculation of the annual leave liabilit</w:t>
      </w:r>
      <w:r>
        <w:rPr>
          <w:rFonts w:ascii="Verdana" w:hAnsi="Verdana"/>
          <w:iCs/>
          <w:sz w:val="20"/>
          <w:lang w:eastAsia="en-NZ"/>
        </w:rPr>
        <w:t xml:space="preserve">y payments on behalf of MSD / </w:t>
      </w:r>
      <w:r w:rsidRPr="00620FA3">
        <w:rPr>
          <w:rFonts w:ascii="Verdana" w:hAnsi="Verdana"/>
          <w:iCs/>
          <w:sz w:val="20"/>
          <w:lang w:eastAsia="en-NZ"/>
        </w:rPr>
        <w:t xml:space="preserve">MVCOT at the same time as </w:t>
      </w:r>
      <w:proofErr w:type="spellStart"/>
      <w:r>
        <w:rPr>
          <w:rFonts w:ascii="Verdana" w:hAnsi="Verdana"/>
          <w:iCs/>
          <w:sz w:val="20"/>
          <w:lang w:eastAsia="en-NZ"/>
        </w:rPr>
        <w:t>MoH</w:t>
      </w:r>
      <w:proofErr w:type="spellEnd"/>
      <w:r w:rsidRPr="00620FA3">
        <w:rPr>
          <w:rFonts w:ascii="Verdana" w:hAnsi="Verdana"/>
          <w:iCs/>
          <w:sz w:val="20"/>
          <w:lang w:eastAsia="en-NZ"/>
        </w:rPr>
        <w:t xml:space="preserve"> collects </w:t>
      </w:r>
      <w:r w:rsidR="003B5D35">
        <w:rPr>
          <w:rFonts w:ascii="Verdana" w:hAnsi="Verdana"/>
          <w:iCs/>
          <w:sz w:val="20"/>
          <w:lang w:eastAsia="en-NZ"/>
        </w:rPr>
        <w:t>information from its p</w:t>
      </w:r>
      <w:r w:rsidRPr="00620FA3">
        <w:rPr>
          <w:rFonts w:ascii="Verdana" w:hAnsi="Verdana"/>
          <w:iCs/>
          <w:sz w:val="20"/>
          <w:lang w:eastAsia="en-NZ"/>
        </w:rPr>
        <w:t xml:space="preserve">roviders.  This information will be collected via </w:t>
      </w:r>
      <w:r w:rsidR="00A305EF">
        <w:rPr>
          <w:rFonts w:ascii="Verdana" w:hAnsi="Verdana"/>
          <w:iCs/>
          <w:sz w:val="20"/>
          <w:lang w:eastAsia="en-NZ"/>
        </w:rPr>
        <w:t>a separate data collection tool and will</w:t>
      </w:r>
      <w:r w:rsidR="00A305EF" w:rsidRPr="00620FA3">
        <w:rPr>
          <w:rFonts w:ascii="Verdana" w:hAnsi="Verdana"/>
          <w:iCs/>
          <w:sz w:val="20"/>
          <w:lang w:eastAsia="en-NZ"/>
        </w:rPr>
        <w:t xml:space="preserve"> </w:t>
      </w:r>
      <w:r w:rsidR="00A305EF">
        <w:rPr>
          <w:rFonts w:ascii="Verdana" w:hAnsi="Verdana"/>
          <w:iCs/>
          <w:sz w:val="20"/>
          <w:lang w:eastAsia="en-NZ"/>
        </w:rPr>
        <w:t>generate</w:t>
      </w:r>
      <w:r w:rsidR="00A305EF" w:rsidRPr="00620FA3">
        <w:rPr>
          <w:rFonts w:ascii="Verdana" w:hAnsi="Verdana"/>
          <w:iCs/>
          <w:sz w:val="20"/>
          <w:lang w:eastAsia="en-NZ"/>
        </w:rPr>
        <w:t xml:space="preserve"> a one-off payment to cover the </w:t>
      </w:r>
      <w:r w:rsidR="003B5D35">
        <w:rPr>
          <w:rFonts w:ascii="Verdana" w:hAnsi="Verdana"/>
          <w:iCs/>
          <w:sz w:val="20"/>
          <w:lang w:eastAsia="en-NZ"/>
        </w:rPr>
        <w:t xml:space="preserve">increased annual leave liability as a result of the </w:t>
      </w:r>
      <w:r w:rsidR="00A305EF" w:rsidRPr="00620FA3">
        <w:rPr>
          <w:rFonts w:ascii="Verdana" w:hAnsi="Verdana"/>
          <w:iCs/>
          <w:sz w:val="20"/>
          <w:lang w:eastAsia="en-NZ"/>
        </w:rPr>
        <w:t>transition to the increased wage rates from 1 July 2017.</w:t>
      </w:r>
    </w:p>
    <w:p w:rsidR="00A305EF" w:rsidRDefault="00A305EF" w:rsidP="00620FA3">
      <w:pPr>
        <w:autoSpaceDE w:val="0"/>
        <w:autoSpaceDN w:val="0"/>
        <w:adjustRightInd w:val="0"/>
        <w:rPr>
          <w:rFonts w:ascii="Verdana" w:hAnsi="Verdana"/>
          <w:iCs/>
          <w:sz w:val="20"/>
          <w:lang w:eastAsia="en-NZ"/>
        </w:rPr>
      </w:pPr>
    </w:p>
    <w:p w:rsidR="00A305EF" w:rsidRPr="00A305EF" w:rsidRDefault="00A305EF" w:rsidP="00A305EF">
      <w:pPr>
        <w:pStyle w:val="Heading2"/>
        <w:rPr>
          <w:rFonts w:ascii="Verdana" w:hAnsi="Verdana"/>
          <w:b w:val="0"/>
          <w:iCs/>
          <w:sz w:val="20"/>
          <w:szCs w:val="20"/>
          <w:lang w:eastAsia="en-NZ"/>
        </w:rPr>
      </w:pPr>
      <w:r w:rsidRPr="00A305EF">
        <w:rPr>
          <w:rFonts w:ascii="Verdana" w:hAnsi="Verdana"/>
          <w:b w:val="0"/>
          <w:iCs/>
          <w:sz w:val="20"/>
          <w:szCs w:val="20"/>
          <w:lang w:eastAsia="en-NZ"/>
        </w:rPr>
        <w:t xml:space="preserve">More information will be made available on the MSD website relating to </w:t>
      </w:r>
      <w:r>
        <w:rPr>
          <w:rFonts w:ascii="Verdana" w:hAnsi="Verdana"/>
          <w:b w:val="0"/>
          <w:iCs/>
          <w:sz w:val="20"/>
          <w:szCs w:val="20"/>
          <w:lang w:eastAsia="en-NZ"/>
        </w:rPr>
        <w:t>r</w:t>
      </w:r>
      <w:r w:rsidRPr="00A305EF">
        <w:rPr>
          <w:rFonts w:ascii="Verdana" w:hAnsi="Verdana"/>
          <w:b w:val="0"/>
          <w:iCs/>
          <w:sz w:val="20"/>
          <w:szCs w:val="20"/>
          <w:lang w:eastAsia="en-NZ"/>
        </w:rPr>
        <w:t>eimbursement for increased annual leave liability</w:t>
      </w:r>
      <w:r>
        <w:rPr>
          <w:rFonts w:ascii="Verdana" w:hAnsi="Verdana"/>
          <w:b w:val="0"/>
          <w:iCs/>
          <w:sz w:val="20"/>
          <w:szCs w:val="20"/>
          <w:lang w:eastAsia="en-NZ"/>
        </w:rPr>
        <w:t>.</w:t>
      </w:r>
    </w:p>
    <w:p w:rsidR="00A305EF" w:rsidRPr="00620FA3" w:rsidRDefault="00A305EF" w:rsidP="00620FA3">
      <w:pPr>
        <w:autoSpaceDE w:val="0"/>
        <w:autoSpaceDN w:val="0"/>
        <w:adjustRightInd w:val="0"/>
        <w:rPr>
          <w:rFonts w:ascii="Verdana" w:hAnsi="Verdana"/>
          <w:iCs/>
          <w:sz w:val="20"/>
          <w:lang w:eastAsia="en-NZ"/>
        </w:rPr>
      </w:pPr>
    </w:p>
    <w:p w:rsidR="00620FA3" w:rsidRDefault="00620FA3" w:rsidP="00620FA3">
      <w:pPr>
        <w:autoSpaceDE w:val="0"/>
        <w:autoSpaceDN w:val="0"/>
        <w:adjustRightInd w:val="0"/>
        <w:rPr>
          <w:rFonts w:ascii="Verdana" w:hAnsi="Verdana"/>
          <w:iCs/>
          <w:sz w:val="20"/>
          <w:lang w:eastAsia="en-NZ"/>
        </w:rPr>
      </w:pPr>
      <w:r>
        <w:rPr>
          <w:rFonts w:ascii="Verdana" w:hAnsi="Verdana"/>
          <w:iCs/>
          <w:sz w:val="20"/>
          <w:lang w:eastAsia="en-NZ"/>
        </w:rPr>
        <w:t>Please ensure that your organisation has a</w:t>
      </w:r>
      <w:r w:rsidRPr="00620FA3">
        <w:rPr>
          <w:rFonts w:ascii="Verdana" w:hAnsi="Verdana"/>
          <w:iCs/>
          <w:sz w:val="20"/>
          <w:lang w:eastAsia="en-NZ"/>
        </w:rPr>
        <w:t xml:space="preserve"> record </w:t>
      </w:r>
      <w:r>
        <w:rPr>
          <w:rFonts w:ascii="Verdana" w:hAnsi="Verdana"/>
          <w:iCs/>
          <w:sz w:val="20"/>
          <w:lang w:eastAsia="en-NZ"/>
        </w:rPr>
        <w:t>of</w:t>
      </w:r>
      <w:r w:rsidRPr="00620FA3">
        <w:rPr>
          <w:rFonts w:ascii="Verdana" w:hAnsi="Verdana"/>
          <w:iCs/>
          <w:sz w:val="20"/>
          <w:lang w:eastAsia="en-NZ"/>
        </w:rPr>
        <w:t xml:space="preserve"> leave liability for each eligible employee (including time in lieu) as at 30 June 2017 before implementing the new pay rates. </w:t>
      </w:r>
    </w:p>
    <w:p w:rsidR="00620FA3" w:rsidRPr="00627E0F" w:rsidRDefault="00620FA3" w:rsidP="007C028F">
      <w:pPr>
        <w:autoSpaceDE w:val="0"/>
        <w:autoSpaceDN w:val="0"/>
        <w:adjustRightInd w:val="0"/>
        <w:rPr>
          <w:rFonts w:ascii="Verdana" w:hAnsi="Verdana"/>
          <w:iCs/>
          <w:sz w:val="20"/>
          <w:lang w:eastAsia="en-NZ"/>
        </w:rPr>
      </w:pPr>
    </w:p>
    <w:p w:rsidR="00A87AD0" w:rsidRDefault="00A87AD0" w:rsidP="007C028F">
      <w:pPr>
        <w:autoSpaceDE w:val="0"/>
        <w:autoSpaceDN w:val="0"/>
        <w:adjustRightInd w:val="0"/>
        <w:rPr>
          <w:rFonts w:ascii="Verdana" w:hAnsi="Verdana"/>
          <w:iCs/>
          <w:sz w:val="20"/>
          <w:lang w:eastAsia="en-NZ"/>
        </w:rPr>
      </w:pPr>
    </w:p>
    <w:p w:rsidR="007C028F" w:rsidRPr="006441C5" w:rsidRDefault="006441C5" w:rsidP="006441C5">
      <w:pPr>
        <w:pStyle w:val="Heading2"/>
      </w:pPr>
      <w:r w:rsidRPr="006441C5">
        <w:t>Why data is required from p</w:t>
      </w:r>
      <w:r w:rsidR="007C028F" w:rsidRPr="006441C5">
        <w:t>roviders</w:t>
      </w:r>
    </w:p>
    <w:p w:rsidR="003E37AD" w:rsidRDefault="003E37AD" w:rsidP="003E37AD">
      <w:pPr>
        <w:spacing w:before="120"/>
        <w:rPr>
          <w:rFonts w:ascii="Verdana" w:hAnsi="Verdana"/>
          <w:sz w:val="20"/>
        </w:rPr>
      </w:pPr>
      <w:r>
        <w:rPr>
          <w:rFonts w:ascii="Verdana" w:hAnsi="Verdana"/>
          <w:sz w:val="20"/>
        </w:rPr>
        <w:t>MSD</w:t>
      </w:r>
      <w:r w:rsidRPr="009D65EB">
        <w:rPr>
          <w:rFonts w:ascii="Verdana" w:hAnsi="Verdana"/>
          <w:sz w:val="20"/>
        </w:rPr>
        <w:t xml:space="preserve"> </w:t>
      </w:r>
      <w:r>
        <w:rPr>
          <w:rFonts w:ascii="Verdana" w:hAnsi="Verdana"/>
          <w:sz w:val="20"/>
        </w:rPr>
        <w:t xml:space="preserve">regards the implementation of the pay equity settlement agreement as an opportunity to contribute to a </w:t>
      </w:r>
      <w:r w:rsidRPr="009D65EB">
        <w:rPr>
          <w:rFonts w:ascii="Verdana" w:hAnsi="Verdana"/>
          <w:sz w:val="20"/>
        </w:rPr>
        <w:t>better paid, more stable and highly trained workforce, resulting in higher quality and mor</w:t>
      </w:r>
      <w:r>
        <w:rPr>
          <w:rFonts w:ascii="Verdana" w:hAnsi="Verdana"/>
          <w:sz w:val="20"/>
        </w:rPr>
        <w:t xml:space="preserve">e consistent care for clients. </w:t>
      </w:r>
    </w:p>
    <w:p w:rsidR="003E37AD" w:rsidRDefault="003E37AD" w:rsidP="003E37AD">
      <w:pPr>
        <w:spacing w:before="120"/>
        <w:rPr>
          <w:rFonts w:ascii="Verdana" w:hAnsi="Verdana"/>
          <w:sz w:val="20"/>
        </w:rPr>
      </w:pPr>
      <w:r>
        <w:rPr>
          <w:rFonts w:ascii="Verdana" w:hAnsi="Verdana"/>
          <w:sz w:val="20"/>
        </w:rPr>
        <w:t xml:space="preserve">Data from providers is required to ensure reconciliation and audit processes can occur, and </w:t>
      </w:r>
      <w:r w:rsidR="00211B25">
        <w:rPr>
          <w:rFonts w:ascii="Verdana" w:hAnsi="Verdana"/>
          <w:sz w:val="20"/>
        </w:rPr>
        <w:t xml:space="preserve">also </w:t>
      </w:r>
      <w:r>
        <w:rPr>
          <w:rFonts w:ascii="Verdana" w:hAnsi="Verdana"/>
          <w:sz w:val="20"/>
        </w:rPr>
        <w:t xml:space="preserve">to ensure that the effectiveness of the pay equity settlement in achieving a </w:t>
      </w:r>
      <w:r w:rsidRPr="009D65EB">
        <w:rPr>
          <w:rFonts w:ascii="Verdana" w:hAnsi="Verdana"/>
          <w:sz w:val="20"/>
        </w:rPr>
        <w:t>better paid, more stable and highly trained workforce</w:t>
      </w:r>
      <w:r>
        <w:rPr>
          <w:rFonts w:ascii="Verdana" w:hAnsi="Verdana"/>
          <w:sz w:val="20"/>
        </w:rPr>
        <w:t xml:space="preserve"> can be monitored over time.</w:t>
      </w:r>
    </w:p>
    <w:p w:rsidR="003215C0" w:rsidRDefault="003215C0" w:rsidP="00853167">
      <w:pPr>
        <w:rPr>
          <w:b/>
          <w:sz w:val="40"/>
        </w:rPr>
      </w:pPr>
    </w:p>
    <w:p w:rsidR="00F50E6C" w:rsidRPr="006441C5" w:rsidRDefault="006441C5" w:rsidP="006441C5">
      <w:pPr>
        <w:pStyle w:val="Heading2"/>
      </w:pPr>
      <w:r w:rsidRPr="006441C5">
        <w:t>Return a</w:t>
      </w:r>
      <w:r w:rsidR="00F50E6C" w:rsidRPr="006441C5">
        <w:t>ddress</w:t>
      </w:r>
    </w:p>
    <w:p w:rsidR="003215C0" w:rsidRDefault="003215C0" w:rsidP="00853167">
      <w:pPr>
        <w:rPr>
          <w:rFonts w:ascii="Verdana" w:hAnsi="Verdana"/>
          <w:sz w:val="20"/>
        </w:rPr>
      </w:pPr>
    </w:p>
    <w:p w:rsidR="003215C0" w:rsidRPr="00A305EF" w:rsidRDefault="003215C0" w:rsidP="003215C0">
      <w:pPr>
        <w:spacing w:line="240" w:lineRule="auto"/>
        <w:rPr>
          <w:rFonts w:ascii="Verdana" w:hAnsi="Verdana"/>
          <w:sz w:val="20"/>
        </w:rPr>
      </w:pPr>
      <w:r w:rsidRPr="00A305EF">
        <w:rPr>
          <w:rFonts w:ascii="Verdana" w:hAnsi="Verdana"/>
          <w:sz w:val="20"/>
        </w:rPr>
        <w:t>You can send this information back to MSD by e-mailing in PDF format only to:</w:t>
      </w:r>
    </w:p>
    <w:p w:rsidR="003215C0" w:rsidRPr="00A305EF" w:rsidRDefault="00E86234" w:rsidP="003215C0">
      <w:pPr>
        <w:spacing w:line="240" w:lineRule="auto"/>
        <w:rPr>
          <w:rFonts w:ascii="Verdana" w:hAnsi="Verdana"/>
          <w:color w:val="0070C0"/>
          <w:sz w:val="20"/>
        </w:rPr>
      </w:pPr>
      <w:hyperlink r:id="rId18" w:history="1">
        <w:r w:rsidR="003215C0" w:rsidRPr="00A305EF">
          <w:rPr>
            <w:rFonts w:ascii="Verdana" w:hAnsi="Verdana"/>
            <w:color w:val="0070C0"/>
            <w:sz w:val="20"/>
          </w:rPr>
          <w:t>payequity_implementation@msd.govt.nz</w:t>
        </w:r>
      </w:hyperlink>
      <w:r w:rsidR="003215C0" w:rsidRPr="00A305EF">
        <w:rPr>
          <w:rFonts w:ascii="Verdana" w:hAnsi="Verdana"/>
          <w:color w:val="0070C0"/>
          <w:sz w:val="20"/>
        </w:rPr>
        <w:t xml:space="preserve"> </w:t>
      </w:r>
    </w:p>
    <w:p w:rsidR="003215C0" w:rsidRPr="00A305EF" w:rsidRDefault="003215C0" w:rsidP="003215C0">
      <w:pPr>
        <w:spacing w:line="240" w:lineRule="auto"/>
        <w:rPr>
          <w:rFonts w:ascii="Verdana" w:hAnsi="Verdana"/>
          <w:sz w:val="20"/>
        </w:rPr>
      </w:pPr>
    </w:p>
    <w:p w:rsidR="003215C0" w:rsidRPr="00A305EF" w:rsidRDefault="003215C0" w:rsidP="003215C0">
      <w:pPr>
        <w:spacing w:line="240" w:lineRule="auto"/>
        <w:rPr>
          <w:rFonts w:ascii="Verdana" w:hAnsi="Verdana"/>
          <w:sz w:val="20"/>
        </w:rPr>
      </w:pPr>
    </w:p>
    <w:p w:rsidR="003215C0" w:rsidRPr="00A305EF" w:rsidRDefault="003215C0" w:rsidP="003215C0">
      <w:pPr>
        <w:spacing w:line="240" w:lineRule="auto"/>
        <w:rPr>
          <w:rFonts w:ascii="Verdana" w:hAnsi="Verdana"/>
          <w:sz w:val="20"/>
        </w:rPr>
      </w:pPr>
      <w:proofErr w:type="gramStart"/>
      <w:r w:rsidRPr="00A305EF">
        <w:rPr>
          <w:rFonts w:ascii="Verdana" w:hAnsi="Verdana"/>
          <w:sz w:val="20"/>
        </w:rPr>
        <w:t>Or either by post or courier.</w:t>
      </w:r>
      <w:proofErr w:type="gramEnd"/>
      <w:r w:rsidRPr="00A305EF">
        <w:rPr>
          <w:rFonts w:ascii="Verdana" w:hAnsi="Verdana"/>
          <w:sz w:val="20"/>
        </w:rPr>
        <w:t xml:space="preserve"> Our addresses are:</w:t>
      </w:r>
    </w:p>
    <w:p w:rsidR="003215C0" w:rsidRPr="00A305EF" w:rsidRDefault="003215C0" w:rsidP="003215C0">
      <w:pPr>
        <w:spacing w:line="240" w:lineRule="auto"/>
        <w:rPr>
          <w:rFonts w:ascii="Verdana" w:hAnsi="Verdana"/>
          <w:sz w:val="20"/>
        </w:rPr>
      </w:pPr>
    </w:p>
    <w:p w:rsidR="003215C0" w:rsidRPr="00A305EF" w:rsidRDefault="003215C0" w:rsidP="003215C0">
      <w:pPr>
        <w:rPr>
          <w:rFonts w:ascii="Verdana" w:hAnsi="Verdana"/>
          <w:sz w:val="20"/>
        </w:rPr>
      </w:pPr>
      <w:r w:rsidRPr="00A305EF">
        <w:rPr>
          <w:rFonts w:ascii="Verdana" w:hAnsi="Verdana"/>
          <w:sz w:val="20"/>
        </w:rPr>
        <w:t>For information sent by standard post</w:t>
      </w:r>
    </w:p>
    <w:p w:rsidR="003215C0" w:rsidRPr="00A305EF" w:rsidRDefault="003215C0" w:rsidP="003215C0">
      <w:pPr>
        <w:rPr>
          <w:rFonts w:ascii="Verdana" w:hAnsi="Verdana"/>
          <w:sz w:val="20"/>
        </w:rPr>
      </w:pPr>
      <w:r w:rsidRPr="00A305EF">
        <w:rPr>
          <w:rFonts w:ascii="Verdana" w:hAnsi="Verdana"/>
          <w:sz w:val="20"/>
        </w:rPr>
        <w:t>Ministry of Social Development</w:t>
      </w:r>
    </w:p>
    <w:p w:rsidR="003215C0" w:rsidRPr="00A305EF" w:rsidRDefault="003215C0" w:rsidP="003215C0">
      <w:pPr>
        <w:rPr>
          <w:rFonts w:ascii="Verdana" w:hAnsi="Verdana"/>
          <w:sz w:val="20"/>
        </w:rPr>
      </w:pPr>
      <w:r w:rsidRPr="00A305EF">
        <w:rPr>
          <w:rFonts w:ascii="Verdana" w:hAnsi="Verdana"/>
          <w:sz w:val="20"/>
        </w:rPr>
        <w:t>PO Box 1556</w:t>
      </w:r>
    </w:p>
    <w:p w:rsidR="003215C0" w:rsidRPr="00A305EF" w:rsidRDefault="003215C0" w:rsidP="003215C0">
      <w:pPr>
        <w:rPr>
          <w:rFonts w:ascii="Verdana" w:hAnsi="Verdana"/>
          <w:sz w:val="20"/>
        </w:rPr>
      </w:pPr>
      <w:r w:rsidRPr="00A305EF">
        <w:rPr>
          <w:rFonts w:ascii="Verdana" w:hAnsi="Verdana"/>
          <w:sz w:val="20"/>
        </w:rPr>
        <w:t>Wellington 6140</w:t>
      </w:r>
    </w:p>
    <w:p w:rsidR="003215C0" w:rsidRPr="00A305EF" w:rsidRDefault="003215C0" w:rsidP="003215C0">
      <w:pPr>
        <w:rPr>
          <w:rFonts w:ascii="Verdana" w:hAnsi="Verdana"/>
          <w:sz w:val="20"/>
        </w:rPr>
      </w:pPr>
      <w:r w:rsidRPr="00A305EF">
        <w:rPr>
          <w:rFonts w:ascii="Verdana" w:hAnsi="Verdana"/>
          <w:sz w:val="20"/>
        </w:rPr>
        <w:t>Attention: National Contracts – PAY EQUITY</w:t>
      </w:r>
    </w:p>
    <w:p w:rsidR="003215C0" w:rsidRPr="00A305EF" w:rsidRDefault="003215C0" w:rsidP="003215C0">
      <w:pPr>
        <w:rPr>
          <w:rFonts w:ascii="Verdana" w:hAnsi="Verdana"/>
          <w:sz w:val="20"/>
        </w:rPr>
      </w:pPr>
    </w:p>
    <w:p w:rsidR="003215C0" w:rsidRPr="00A305EF" w:rsidRDefault="003215C0" w:rsidP="003215C0">
      <w:pPr>
        <w:rPr>
          <w:rFonts w:ascii="Verdana" w:hAnsi="Verdana"/>
          <w:sz w:val="20"/>
        </w:rPr>
      </w:pPr>
      <w:r w:rsidRPr="00A305EF">
        <w:rPr>
          <w:rFonts w:ascii="Verdana" w:hAnsi="Verdana"/>
          <w:sz w:val="20"/>
        </w:rPr>
        <w:t>For information sent by courier:</w:t>
      </w:r>
    </w:p>
    <w:p w:rsidR="003215C0" w:rsidRPr="00A305EF" w:rsidRDefault="003215C0" w:rsidP="003215C0">
      <w:pPr>
        <w:rPr>
          <w:rFonts w:ascii="Verdana" w:hAnsi="Verdana"/>
          <w:sz w:val="20"/>
        </w:rPr>
      </w:pPr>
      <w:r w:rsidRPr="00A305EF">
        <w:rPr>
          <w:rFonts w:ascii="Verdana" w:hAnsi="Verdana"/>
          <w:sz w:val="20"/>
        </w:rPr>
        <w:t>Ministry of Social Development</w:t>
      </w:r>
    </w:p>
    <w:p w:rsidR="003215C0" w:rsidRPr="00A305EF" w:rsidRDefault="003215C0" w:rsidP="003215C0">
      <w:pPr>
        <w:rPr>
          <w:rFonts w:ascii="Verdana" w:hAnsi="Verdana"/>
          <w:sz w:val="20"/>
        </w:rPr>
      </w:pPr>
      <w:r w:rsidRPr="00A305EF">
        <w:rPr>
          <w:rFonts w:ascii="Verdana" w:hAnsi="Verdana"/>
          <w:sz w:val="20"/>
        </w:rPr>
        <w:t>Office Services</w:t>
      </w:r>
    </w:p>
    <w:p w:rsidR="003215C0" w:rsidRPr="00A305EF" w:rsidRDefault="003215C0" w:rsidP="003215C0">
      <w:pPr>
        <w:rPr>
          <w:rFonts w:ascii="Verdana" w:hAnsi="Verdana"/>
          <w:sz w:val="20"/>
        </w:rPr>
      </w:pPr>
      <w:r w:rsidRPr="00A305EF">
        <w:rPr>
          <w:rFonts w:ascii="Verdana" w:hAnsi="Verdana"/>
          <w:sz w:val="20"/>
        </w:rPr>
        <w:t>Level 3 Aurora Centre</w:t>
      </w:r>
    </w:p>
    <w:p w:rsidR="003215C0" w:rsidRPr="00A305EF" w:rsidRDefault="003215C0" w:rsidP="003215C0">
      <w:pPr>
        <w:rPr>
          <w:rFonts w:ascii="Verdana" w:hAnsi="Verdana"/>
          <w:sz w:val="20"/>
        </w:rPr>
      </w:pPr>
      <w:r w:rsidRPr="00A305EF">
        <w:rPr>
          <w:rFonts w:ascii="Verdana" w:hAnsi="Verdana"/>
          <w:sz w:val="20"/>
        </w:rPr>
        <w:t>56 The Terrace</w:t>
      </w:r>
    </w:p>
    <w:p w:rsidR="003215C0" w:rsidRPr="00A305EF" w:rsidRDefault="003215C0" w:rsidP="003215C0">
      <w:pPr>
        <w:rPr>
          <w:rFonts w:ascii="Verdana" w:hAnsi="Verdana"/>
          <w:sz w:val="20"/>
        </w:rPr>
      </w:pPr>
      <w:r w:rsidRPr="00A305EF">
        <w:rPr>
          <w:rFonts w:ascii="Verdana" w:hAnsi="Verdana"/>
          <w:sz w:val="20"/>
        </w:rPr>
        <w:t>Wellington</w:t>
      </w:r>
    </w:p>
    <w:p w:rsidR="003215C0" w:rsidRPr="00A305EF" w:rsidRDefault="003215C0" w:rsidP="003215C0">
      <w:pPr>
        <w:rPr>
          <w:rFonts w:ascii="Verdana" w:hAnsi="Verdana"/>
          <w:sz w:val="20"/>
        </w:rPr>
      </w:pPr>
      <w:r w:rsidRPr="00A305EF">
        <w:rPr>
          <w:rFonts w:ascii="Verdana" w:hAnsi="Verdana"/>
          <w:sz w:val="20"/>
        </w:rPr>
        <w:t>Attention: National Contracts – PAY EQUITY</w:t>
      </w:r>
    </w:p>
    <w:p w:rsidR="003215C0" w:rsidRDefault="003215C0" w:rsidP="00853167">
      <w:pPr>
        <w:rPr>
          <w:rFonts w:ascii="Verdana" w:hAnsi="Verdana"/>
          <w:sz w:val="20"/>
        </w:rPr>
      </w:pPr>
    </w:p>
    <w:p w:rsidR="00F50E6C" w:rsidRDefault="00F50E6C" w:rsidP="00853167">
      <w:pPr>
        <w:rPr>
          <w:b/>
          <w:sz w:val="40"/>
        </w:rPr>
      </w:pPr>
      <w:bookmarkStart w:id="8" w:name="_Who_is_eligible"/>
      <w:bookmarkEnd w:id="8"/>
    </w:p>
    <w:p w:rsidR="00853167" w:rsidRPr="006441C5" w:rsidRDefault="00853167" w:rsidP="006441C5">
      <w:pPr>
        <w:pStyle w:val="Heading2"/>
      </w:pPr>
      <w:r w:rsidRPr="006441C5">
        <w:t>Contact the pay equity implementation team</w:t>
      </w:r>
    </w:p>
    <w:p w:rsidR="00853167" w:rsidRPr="001A353D" w:rsidRDefault="00853167" w:rsidP="00853167">
      <w:pPr>
        <w:spacing w:before="120"/>
        <w:rPr>
          <w:rFonts w:ascii="Verdana" w:hAnsi="Verdana"/>
          <w:sz w:val="20"/>
        </w:rPr>
      </w:pPr>
      <w:r w:rsidRPr="001A353D">
        <w:rPr>
          <w:rFonts w:ascii="Verdana" w:hAnsi="Verdana"/>
          <w:sz w:val="20"/>
        </w:rPr>
        <w:t xml:space="preserve">There is a dedicated pay equity implementation email address, </w:t>
      </w:r>
      <w:hyperlink r:id="rId19" w:history="1">
        <w:r w:rsidRPr="00EF0AA8">
          <w:rPr>
            <w:rFonts w:ascii="Verdana" w:hAnsi="Verdana"/>
            <w:color w:val="0070C0"/>
            <w:sz w:val="20"/>
          </w:rPr>
          <w:t>payequity_implementation@msd.govt.nz</w:t>
        </w:r>
      </w:hyperlink>
      <w:r w:rsidRPr="001A353D">
        <w:rPr>
          <w:rFonts w:ascii="Verdana" w:hAnsi="Verdana"/>
          <w:sz w:val="20"/>
        </w:rPr>
        <w:t>, which you can send questions to at any time. Someone from our team will respond to you as soon as possible.</w:t>
      </w:r>
    </w:p>
    <w:sectPr w:rsidR="00853167" w:rsidRPr="001A353D" w:rsidSect="002B46A4">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D4C" w:rsidRDefault="003B5D35">
      <w:pPr>
        <w:spacing w:line="240" w:lineRule="auto"/>
      </w:pPr>
      <w:r>
        <w:separator/>
      </w:r>
    </w:p>
  </w:endnote>
  <w:endnote w:type="continuationSeparator" w:id="0">
    <w:p w:rsidR="00DA2D4C" w:rsidRDefault="003B5D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D4C" w:rsidRDefault="003B5D35">
      <w:pPr>
        <w:spacing w:line="240" w:lineRule="auto"/>
      </w:pPr>
      <w:r>
        <w:separator/>
      </w:r>
    </w:p>
  </w:footnote>
  <w:footnote w:type="continuationSeparator" w:id="0">
    <w:p w:rsidR="00DA2D4C" w:rsidRDefault="003B5D35">
      <w:pPr>
        <w:spacing w:line="240" w:lineRule="auto"/>
      </w:pPr>
      <w:r>
        <w:continuationSeparator/>
      </w:r>
    </w:p>
  </w:footnote>
  <w:footnote w:id="1">
    <w:p w:rsidR="00A305EF" w:rsidRPr="00A305EF" w:rsidRDefault="00A305EF" w:rsidP="00A305EF">
      <w:pPr>
        <w:spacing w:before="120" w:line="276" w:lineRule="auto"/>
        <w:rPr>
          <w:rFonts w:ascii="Arial Narrow" w:hAnsi="Arial Narrow"/>
          <w:sz w:val="18"/>
          <w:szCs w:val="18"/>
        </w:rPr>
      </w:pPr>
      <w:r w:rsidRPr="00A305EF">
        <w:rPr>
          <w:rStyle w:val="FootnoteReference"/>
          <w:rFonts w:ascii="Arial Narrow" w:hAnsi="Arial Narrow"/>
          <w:sz w:val="18"/>
          <w:szCs w:val="18"/>
        </w:rPr>
        <w:footnoteRef/>
      </w:r>
      <w:r w:rsidRPr="00A305EF">
        <w:rPr>
          <w:rFonts w:ascii="Arial Narrow" w:hAnsi="Arial Narrow"/>
          <w:sz w:val="18"/>
          <w:szCs w:val="18"/>
        </w:rPr>
        <w:t xml:space="preserve"> </w:t>
      </w:r>
      <w:r w:rsidR="000D553A">
        <w:rPr>
          <w:rFonts w:ascii="Arial Narrow" w:hAnsi="Arial Narrow"/>
          <w:sz w:val="18"/>
          <w:szCs w:val="18"/>
        </w:rPr>
        <w:t>‘</w:t>
      </w:r>
      <w:r>
        <w:rPr>
          <w:rFonts w:ascii="Arial Narrow" w:hAnsi="Arial Narrow"/>
          <w:sz w:val="18"/>
          <w:szCs w:val="18"/>
        </w:rPr>
        <w:t>Casual employee</w:t>
      </w:r>
      <w:r w:rsidR="000D553A">
        <w:rPr>
          <w:rFonts w:ascii="Arial Narrow" w:hAnsi="Arial Narrow"/>
          <w:sz w:val="18"/>
          <w:szCs w:val="18"/>
        </w:rPr>
        <w:t>’</w:t>
      </w:r>
      <w:r w:rsidRPr="00A305EF">
        <w:rPr>
          <w:rFonts w:ascii="Arial Narrow" w:hAnsi="Arial Narrow"/>
          <w:sz w:val="18"/>
          <w:szCs w:val="18"/>
        </w:rPr>
        <w:t xml:space="preserve"> is not defined in employment </w:t>
      </w:r>
      <w:r w:rsidR="000D553A" w:rsidRPr="00A305EF">
        <w:rPr>
          <w:rFonts w:ascii="Arial Narrow" w:hAnsi="Arial Narrow"/>
          <w:sz w:val="18"/>
          <w:szCs w:val="18"/>
        </w:rPr>
        <w:t>legislation;</w:t>
      </w:r>
      <w:r w:rsidRPr="00A305EF">
        <w:rPr>
          <w:rFonts w:ascii="Arial Narrow" w:hAnsi="Arial Narrow"/>
          <w:sz w:val="18"/>
          <w:szCs w:val="18"/>
        </w:rPr>
        <w:t xml:space="preserve"> </w:t>
      </w:r>
      <w:r>
        <w:rPr>
          <w:rFonts w:ascii="Arial Narrow" w:hAnsi="Arial Narrow"/>
          <w:sz w:val="18"/>
          <w:szCs w:val="18"/>
        </w:rPr>
        <w:t xml:space="preserve">however </w:t>
      </w:r>
      <w:r w:rsidR="000D553A">
        <w:rPr>
          <w:rFonts w:ascii="Arial Narrow" w:hAnsi="Arial Narrow"/>
          <w:sz w:val="18"/>
          <w:szCs w:val="18"/>
        </w:rPr>
        <w:t xml:space="preserve">the term </w:t>
      </w:r>
      <w:r w:rsidRPr="00A305EF">
        <w:rPr>
          <w:rFonts w:ascii="Arial Narrow" w:hAnsi="Arial Narrow"/>
          <w:sz w:val="18"/>
          <w:szCs w:val="18"/>
        </w:rPr>
        <w:t xml:space="preserve">usually </w:t>
      </w:r>
      <w:r>
        <w:rPr>
          <w:rFonts w:ascii="Arial Narrow" w:hAnsi="Arial Narrow"/>
          <w:sz w:val="18"/>
          <w:szCs w:val="18"/>
        </w:rPr>
        <w:t>applies to</w:t>
      </w:r>
      <w:r w:rsidRPr="00A305EF">
        <w:rPr>
          <w:rFonts w:ascii="Arial Narrow" w:hAnsi="Arial Narrow"/>
          <w:sz w:val="18"/>
          <w:szCs w:val="18"/>
        </w:rPr>
        <w:t xml:space="preserve"> employee</w:t>
      </w:r>
      <w:r>
        <w:rPr>
          <w:rFonts w:ascii="Arial Narrow" w:hAnsi="Arial Narrow"/>
          <w:sz w:val="18"/>
          <w:szCs w:val="18"/>
        </w:rPr>
        <w:t>s</w:t>
      </w:r>
      <w:r w:rsidRPr="00A305EF">
        <w:rPr>
          <w:rFonts w:ascii="Arial Narrow" w:hAnsi="Arial Narrow"/>
          <w:sz w:val="18"/>
          <w:szCs w:val="18"/>
        </w:rPr>
        <w:t xml:space="preserve"> </w:t>
      </w:r>
      <w:r>
        <w:rPr>
          <w:rFonts w:ascii="Arial Narrow" w:hAnsi="Arial Narrow"/>
          <w:sz w:val="18"/>
          <w:szCs w:val="18"/>
        </w:rPr>
        <w:t xml:space="preserve">with no guaranteed hours of work. </w:t>
      </w:r>
      <w:r w:rsidRPr="00A305EF">
        <w:rPr>
          <w:rFonts w:ascii="Arial Narrow" w:hAnsi="Arial Narrow"/>
          <w:sz w:val="18"/>
          <w:szCs w:val="18"/>
        </w:rPr>
        <w:t xml:space="preserve">If an employer believes that </w:t>
      </w:r>
      <w:r>
        <w:rPr>
          <w:rFonts w:ascii="Arial Narrow" w:hAnsi="Arial Narrow"/>
          <w:sz w:val="18"/>
          <w:szCs w:val="18"/>
        </w:rPr>
        <w:t>a casual employee</w:t>
      </w:r>
      <w:r w:rsidRPr="00A305EF">
        <w:rPr>
          <w:rFonts w:ascii="Arial Narrow" w:hAnsi="Arial Narrow"/>
          <w:sz w:val="18"/>
          <w:szCs w:val="18"/>
        </w:rPr>
        <w:t xml:space="preserve"> </w:t>
      </w:r>
      <w:r>
        <w:rPr>
          <w:rFonts w:ascii="Arial Narrow" w:hAnsi="Arial Narrow"/>
          <w:sz w:val="18"/>
          <w:szCs w:val="18"/>
        </w:rPr>
        <w:t>is a</w:t>
      </w:r>
      <w:r w:rsidR="000D553A">
        <w:rPr>
          <w:rFonts w:ascii="Arial Narrow" w:hAnsi="Arial Narrow"/>
          <w:sz w:val="18"/>
          <w:szCs w:val="18"/>
        </w:rPr>
        <w:t xml:space="preserve"> permanent part-time employee</w:t>
      </w:r>
      <w:r w:rsidRPr="00A305EF">
        <w:rPr>
          <w:rFonts w:ascii="Arial Narrow" w:hAnsi="Arial Narrow"/>
          <w:sz w:val="18"/>
          <w:szCs w:val="18"/>
        </w:rPr>
        <w:t xml:space="preserve"> with continuous service </w:t>
      </w:r>
      <w:r w:rsidR="008C787D">
        <w:rPr>
          <w:rFonts w:ascii="Arial Narrow" w:hAnsi="Arial Narrow"/>
          <w:sz w:val="18"/>
          <w:szCs w:val="18"/>
        </w:rPr>
        <w:t>they</w:t>
      </w:r>
      <w:r w:rsidRPr="00A305EF">
        <w:rPr>
          <w:rFonts w:ascii="Arial Narrow" w:hAnsi="Arial Narrow"/>
          <w:sz w:val="18"/>
          <w:szCs w:val="18"/>
        </w:rPr>
        <w:t xml:space="preserve"> </w:t>
      </w:r>
      <w:r w:rsidR="008C787D">
        <w:rPr>
          <w:rFonts w:ascii="Arial Narrow" w:hAnsi="Arial Narrow"/>
          <w:sz w:val="18"/>
          <w:szCs w:val="18"/>
        </w:rPr>
        <w:t>may</w:t>
      </w:r>
      <w:r w:rsidRPr="00A305EF">
        <w:rPr>
          <w:rFonts w:ascii="Arial Narrow" w:hAnsi="Arial Narrow"/>
          <w:sz w:val="18"/>
          <w:szCs w:val="18"/>
        </w:rPr>
        <w:t xml:space="preserve"> need to</w:t>
      </w:r>
      <w:r w:rsidRPr="003215C0">
        <w:rPr>
          <w:rFonts w:ascii="Verdana" w:hAnsi="Verdana"/>
          <w:sz w:val="20"/>
        </w:rPr>
        <w:t xml:space="preserve"> </w:t>
      </w:r>
      <w:r w:rsidR="008C787D">
        <w:rPr>
          <w:rFonts w:ascii="Arial Narrow" w:hAnsi="Arial Narrow"/>
          <w:sz w:val="18"/>
          <w:szCs w:val="18"/>
        </w:rPr>
        <w:t xml:space="preserve">provide </w:t>
      </w:r>
      <w:r w:rsidRPr="00A305EF">
        <w:rPr>
          <w:rFonts w:ascii="Arial Narrow" w:hAnsi="Arial Narrow"/>
          <w:sz w:val="18"/>
          <w:szCs w:val="18"/>
        </w:rPr>
        <w:t xml:space="preserve">supporting </w:t>
      </w:r>
      <w:r w:rsidR="008C787D">
        <w:rPr>
          <w:rFonts w:ascii="Arial Narrow" w:hAnsi="Arial Narrow"/>
          <w:sz w:val="18"/>
          <w:szCs w:val="18"/>
        </w:rPr>
        <w:t xml:space="preserve">information </w:t>
      </w:r>
      <w:r w:rsidR="000D553A">
        <w:rPr>
          <w:rFonts w:ascii="Arial Narrow" w:hAnsi="Arial Narrow"/>
          <w:sz w:val="18"/>
          <w:szCs w:val="18"/>
        </w:rPr>
        <w:t xml:space="preserve">to be available during audit </w:t>
      </w:r>
      <w:r w:rsidR="008C787D">
        <w:rPr>
          <w:rFonts w:ascii="Arial Narrow" w:hAnsi="Arial Narrow"/>
          <w:sz w:val="18"/>
          <w:szCs w:val="18"/>
        </w:rPr>
        <w:t>including</w:t>
      </w:r>
      <w:r w:rsidRPr="008C787D">
        <w:rPr>
          <w:rFonts w:ascii="Arial Narrow" w:hAnsi="Arial Narrow"/>
          <w:sz w:val="18"/>
          <w:szCs w:val="18"/>
        </w:rPr>
        <w:t xml:space="preserve"> expectation of work, length of the arrangement, payment of holiday, </w:t>
      </w:r>
      <w:r w:rsidR="008C787D">
        <w:rPr>
          <w:rFonts w:ascii="Arial Narrow" w:hAnsi="Arial Narrow"/>
          <w:sz w:val="18"/>
          <w:szCs w:val="18"/>
        </w:rPr>
        <w:t xml:space="preserve">and the </w:t>
      </w:r>
      <w:r w:rsidRPr="008C787D">
        <w:rPr>
          <w:rFonts w:ascii="Arial Narrow" w:hAnsi="Arial Narrow"/>
          <w:sz w:val="18"/>
          <w:szCs w:val="18"/>
        </w:rPr>
        <w:t>date on which each employee’s status changed from casual to permanent part-time</w:t>
      </w:r>
      <w:r w:rsidR="000D553A">
        <w:rPr>
          <w:rFonts w:ascii="Arial Narrow" w:hAnsi="Arial Narrow"/>
          <w:sz w:val="18"/>
          <w:szCs w:val="18"/>
        </w:rPr>
        <w:t>.</w:t>
      </w:r>
    </w:p>
    <w:p w:rsidR="00A305EF" w:rsidRDefault="00A305E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0F" w:rsidRDefault="00627E0F" w:rsidP="003215C0">
    <w:pPr>
      <w:pStyle w:val="Header"/>
      <w:jc w:val="right"/>
    </w:pPr>
    <w:r>
      <w:object w:dxaOrig="5820" w:dyaOrig="1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43pt" o:ole="">
          <v:imagedata r:id="rId1" o:title=""/>
        </v:shape>
        <o:OLEObject Type="Embed" ProgID="PBrush" ShapeID="_x0000_i1025" DrawAspect="Content" ObjectID="_1563097163"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AC4F0A"/>
    <w:lvl w:ilvl="0">
      <w:start w:val="1"/>
      <w:numFmt w:val="decimal"/>
      <w:lvlText w:val="%1."/>
      <w:lvlJc w:val="left"/>
      <w:pPr>
        <w:tabs>
          <w:tab w:val="num" w:pos="1492"/>
        </w:tabs>
        <w:ind w:left="1492" w:hanging="360"/>
      </w:pPr>
    </w:lvl>
  </w:abstractNum>
  <w:abstractNum w:abstractNumId="1">
    <w:nsid w:val="FFFFFF7D"/>
    <w:multiLevelType w:val="singleLevel"/>
    <w:tmpl w:val="A62C5F6C"/>
    <w:lvl w:ilvl="0">
      <w:start w:val="1"/>
      <w:numFmt w:val="decimal"/>
      <w:lvlText w:val="%1."/>
      <w:lvlJc w:val="left"/>
      <w:pPr>
        <w:tabs>
          <w:tab w:val="num" w:pos="1209"/>
        </w:tabs>
        <w:ind w:left="1209" w:hanging="360"/>
      </w:pPr>
    </w:lvl>
  </w:abstractNum>
  <w:abstractNum w:abstractNumId="2">
    <w:nsid w:val="FFFFFF7E"/>
    <w:multiLevelType w:val="singleLevel"/>
    <w:tmpl w:val="72B03C60"/>
    <w:lvl w:ilvl="0">
      <w:start w:val="1"/>
      <w:numFmt w:val="decimal"/>
      <w:lvlText w:val="%1."/>
      <w:lvlJc w:val="left"/>
      <w:pPr>
        <w:tabs>
          <w:tab w:val="num" w:pos="926"/>
        </w:tabs>
        <w:ind w:left="926" w:hanging="360"/>
      </w:pPr>
    </w:lvl>
  </w:abstractNum>
  <w:abstractNum w:abstractNumId="3">
    <w:nsid w:val="FFFFFF7F"/>
    <w:multiLevelType w:val="singleLevel"/>
    <w:tmpl w:val="E3FA9F9C"/>
    <w:lvl w:ilvl="0">
      <w:start w:val="1"/>
      <w:numFmt w:val="decimal"/>
      <w:lvlText w:val="%1."/>
      <w:lvlJc w:val="left"/>
      <w:pPr>
        <w:tabs>
          <w:tab w:val="num" w:pos="643"/>
        </w:tabs>
        <w:ind w:left="643" w:hanging="360"/>
      </w:pPr>
    </w:lvl>
  </w:abstractNum>
  <w:abstractNum w:abstractNumId="4">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DAA994"/>
    <w:lvl w:ilvl="0">
      <w:start w:val="1"/>
      <w:numFmt w:val="decimal"/>
      <w:lvlText w:val="%1."/>
      <w:lvlJc w:val="left"/>
      <w:pPr>
        <w:tabs>
          <w:tab w:val="num" w:pos="360"/>
        </w:tabs>
        <w:ind w:left="360" w:hanging="360"/>
      </w:pPr>
    </w:lvl>
  </w:abstractNum>
  <w:abstractNum w:abstractNumId="9">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E8F4393"/>
    <w:multiLevelType w:val="hybridMultilevel"/>
    <w:tmpl w:val="2924B3A0"/>
    <w:lvl w:ilvl="0" w:tplc="6A98DA4C">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nsid w:val="21697327"/>
    <w:multiLevelType w:val="hybridMultilevel"/>
    <w:tmpl w:val="7700CE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9">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C8B2ACD"/>
    <w:multiLevelType w:val="hybridMultilevel"/>
    <w:tmpl w:val="58E257B6"/>
    <w:lvl w:ilvl="0" w:tplc="31D0435E">
      <w:start w:val="1"/>
      <w:numFmt w:val="decimal"/>
      <w:pStyle w:val="Numbering"/>
      <w:lvlText w:val="%1."/>
      <w:lvlJc w:val="left"/>
      <w:pPr>
        <w:ind w:left="720"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810320B"/>
    <w:multiLevelType w:val="hybridMultilevel"/>
    <w:tmpl w:val="F9FCEF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82D74F0"/>
    <w:multiLevelType w:val="hybridMultilevel"/>
    <w:tmpl w:val="E1C611A0"/>
    <w:lvl w:ilvl="0" w:tplc="1409001B">
      <w:start w:val="1"/>
      <w:numFmt w:val="lowerRoman"/>
      <w:lvlText w:val="%1."/>
      <w:lvlJc w:val="right"/>
      <w:pPr>
        <w:ind w:left="720" w:hanging="360"/>
      </w:pPr>
    </w:lvl>
    <w:lvl w:ilvl="1" w:tplc="FF8E96A0">
      <w:start w:val="1"/>
      <w:numFmt w:val="upperLetter"/>
      <w:lvlText w:val="(%2)"/>
      <w:lvlJc w:val="left"/>
      <w:pPr>
        <w:ind w:left="1440" w:hanging="360"/>
      </w:pPr>
      <w:rPr>
        <w:rFonts w:hint="default"/>
      </w:rPr>
    </w:lvl>
    <w:lvl w:ilvl="2" w:tplc="D8409892">
      <w:start w:val="1"/>
      <w:numFmt w:val="decimal"/>
      <w:lvlText w:val="(%3)"/>
      <w:lvlJc w:val="left"/>
      <w:pPr>
        <w:ind w:left="2340" w:hanging="36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595C5C1D"/>
    <w:multiLevelType w:val="hybridMultilevel"/>
    <w:tmpl w:val="2028EC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8">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nsid w:val="5C667B3C"/>
    <w:multiLevelType w:val="hybridMultilevel"/>
    <w:tmpl w:val="20BE9CA6"/>
    <w:lvl w:ilvl="0" w:tplc="14090015">
      <w:start w:val="1"/>
      <w:numFmt w:val="upperLetter"/>
      <w:lvlText w:val="%1."/>
      <w:lvlJc w:val="left"/>
      <w:pPr>
        <w:ind w:left="1080" w:hanging="360"/>
      </w:pPr>
    </w:lvl>
    <w:lvl w:ilvl="1" w:tplc="14090015">
      <w:start w:val="1"/>
      <w:numFmt w:val="upp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1">
    <w:nsid w:val="60197B28"/>
    <w:multiLevelType w:val="hybridMultilevel"/>
    <w:tmpl w:val="09101A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Symbol"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Symbol" w:hint="default"/>
      </w:rPr>
    </w:lvl>
    <w:lvl w:ilvl="8" w:tplc="14090005" w:tentative="1">
      <w:start w:val="1"/>
      <w:numFmt w:val="bullet"/>
      <w:lvlText w:val=""/>
      <w:lvlJc w:val="left"/>
      <w:pPr>
        <w:ind w:left="6120" w:hanging="360"/>
      </w:pPr>
      <w:rPr>
        <w:rFonts w:ascii="Wingdings" w:hAnsi="Wingdings" w:hint="default"/>
      </w:rPr>
    </w:lvl>
  </w:abstractNum>
  <w:abstractNum w:abstractNumId="32">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75103358"/>
    <w:multiLevelType w:val="hybridMultilevel"/>
    <w:tmpl w:val="507C350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7"/>
  </w:num>
  <w:num w:numId="7">
    <w:abstractNumId w:val="28"/>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3"/>
  </w:num>
  <w:num w:numId="12">
    <w:abstractNumId w:val="9"/>
  </w:num>
  <w:num w:numId="13">
    <w:abstractNumId w:val="10"/>
  </w:num>
  <w:num w:numId="14">
    <w:abstractNumId w:val="21"/>
  </w:num>
  <w:num w:numId="15">
    <w:abstractNumId w:val="14"/>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32"/>
  </w:num>
  <w:num w:numId="26">
    <w:abstractNumId w:val="33"/>
  </w:num>
  <w:num w:numId="27">
    <w:abstractNumId w:val="29"/>
  </w:num>
  <w:num w:numId="28">
    <w:abstractNumId w:val="19"/>
  </w:num>
  <w:num w:numId="29">
    <w:abstractNumId w:val="11"/>
  </w:num>
  <w:num w:numId="30">
    <w:abstractNumId w:val="20"/>
  </w:num>
  <w:num w:numId="31">
    <w:abstractNumId w:val="35"/>
  </w:num>
  <w:num w:numId="32">
    <w:abstractNumId w:val="23"/>
  </w:num>
  <w:num w:numId="33">
    <w:abstractNumId w:val="24"/>
  </w:num>
  <w:num w:numId="34">
    <w:abstractNumId w:val="12"/>
  </w:num>
  <w:num w:numId="35">
    <w:abstractNumId w:val="26"/>
  </w:num>
  <w:num w:numId="36">
    <w:abstractNumId w:val="16"/>
  </w:num>
  <w:num w:numId="37">
    <w:abstractNumId w:val="34"/>
  </w:num>
  <w:num w:numId="38">
    <w:abstractNumId w:val="31"/>
  </w:num>
  <w:num w:numId="39">
    <w:abstractNumId w:val="22"/>
  </w:num>
  <w:num w:numId="40">
    <w:abstractNumId w:val="3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67"/>
    <w:rsid w:val="00000B4C"/>
    <w:rsid w:val="00005BBE"/>
    <w:rsid w:val="000106D0"/>
    <w:rsid w:val="00034336"/>
    <w:rsid w:val="00037CB0"/>
    <w:rsid w:val="000A576B"/>
    <w:rsid w:val="000D553A"/>
    <w:rsid w:val="000E3BB9"/>
    <w:rsid w:val="00106AED"/>
    <w:rsid w:val="001D2C9B"/>
    <w:rsid w:val="001D3744"/>
    <w:rsid w:val="00211B25"/>
    <w:rsid w:val="00213DA6"/>
    <w:rsid w:val="00216302"/>
    <w:rsid w:val="00236D2D"/>
    <w:rsid w:val="00245A2B"/>
    <w:rsid w:val="00255A2C"/>
    <w:rsid w:val="00294EBF"/>
    <w:rsid w:val="002B46A4"/>
    <w:rsid w:val="002D1C62"/>
    <w:rsid w:val="002D20B6"/>
    <w:rsid w:val="002D367B"/>
    <w:rsid w:val="003215C0"/>
    <w:rsid w:val="00354EC2"/>
    <w:rsid w:val="003956D6"/>
    <w:rsid w:val="00397220"/>
    <w:rsid w:val="003B0A38"/>
    <w:rsid w:val="003B5D35"/>
    <w:rsid w:val="003E3722"/>
    <w:rsid w:val="003E37AD"/>
    <w:rsid w:val="004227ED"/>
    <w:rsid w:val="00445BCE"/>
    <w:rsid w:val="00454F25"/>
    <w:rsid w:val="004710B8"/>
    <w:rsid w:val="00522485"/>
    <w:rsid w:val="00533E65"/>
    <w:rsid w:val="0056681E"/>
    <w:rsid w:val="00572AA9"/>
    <w:rsid w:val="00595906"/>
    <w:rsid w:val="005B11F9"/>
    <w:rsid w:val="00620FA3"/>
    <w:rsid w:val="00627E0F"/>
    <w:rsid w:val="00631D73"/>
    <w:rsid w:val="006441C5"/>
    <w:rsid w:val="0065407E"/>
    <w:rsid w:val="006B19BD"/>
    <w:rsid w:val="00747F53"/>
    <w:rsid w:val="007503FA"/>
    <w:rsid w:val="007A3546"/>
    <w:rsid w:val="007B201A"/>
    <w:rsid w:val="007C028F"/>
    <w:rsid w:val="007C2143"/>
    <w:rsid w:val="007D5685"/>
    <w:rsid w:val="007F3ACD"/>
    <w:rsid w:val="0080133F"/>
    <w:rsid w:val="0080498F"/>
    <w:rsid w:val="00853167"/>
    <w:rsid w:val="00860654"/>
    <w:rsid w:val="008C787D"/>
    <w:rsid w:val="00903467"/>
    <w:rsid w:val="00906EAA"/>
    <w:rsid w:val="00970DD2"/>
    <w:rsid w:val="009D15F1"/>
    <w:rsid w:val="009D2B10"/>
    <w:rsid w:val="009E5407"/>
    <w:rsid w:val="009F1A13"/>
    <w:rsid w:val="00A2199C"/>
    <w:rsid w:val="00A305EF"/>
    <w:rsid w:val="00A43896"/>
    <w:rsid w:val="00A521C0"/>
    <w:rsid w:val="00A6244E"/>
    <w:rsid w:val="00A87AD0"/>
    <w:rsid w:val="00B002F1"/>
    <w:rsid w:val="00B41635"/>
    <w:rsid w:val="00B5357A"/>
    <w:rsid w:val="00B70B92"/>
    <w:rsid w:val="00BF5C44"/>
    <w:rsid w:val="00C10FBC"/>
    <w:rsid w:val="00C503A7"/>
    <w:rsid w:val="00C5215F"/>
    <w:rsid w:val="00C527C0"/>
    <w:rsid w:val="00C76BB7"/>
    <w:rsid w:val="00CB4A28"/>
    <w:rsid w:val="00D34EA0"/>
    <w:rsid w:val="00D47113"/>
    <w:rsid w:val="00DA2D4C"/>
    <w:rsid w:val="00DD6907"/>
    <w:rsid w:val="00DD7526"/>
    <w:rsid w:val="00E31F5B"/>
    <w:rsid w:val="00E45778"/>
    <w:rsid w:val="00E635DB"/>
    <w:rsid w:val="00E671C3"/>
    <w:rsid w:val="00E86234"/>
    <w:rsid w:val="00E90142"/>
    <w:rsid w:val="00E9269E"/>
    <w:rsid w:val="00E97C30"/>
    <w:rsid w:val="00EF0AA8"/>
    <w:rsid w:val="00F06EE8"/>
    <w:rsid w:val="00F07349"/>
    <w:rsid w:val="00F113EF"/>
    <w:rsid w:val="00F126F3"/>
    <w:rsid w:val="00F22AE5"/>
    <w:rsid w:val="00F50E6C"/>
    <w:rsid w:val="00F750F9"/>
    <w:rsid w:val="00F829C0"/>
    <w:rsid w:val="00F829F6"/>
    <w:rsid w:val="00FA2424"/>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Hyperlink" w:uiPriority="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53167"/>
    <w:pPr>
      <w:spacing w:line="264" w:lineRule="auto"/>
    </w:pPr>
    <w:rPr>
      <w:rFonts w:ascii="Georgia" w:eastAsia="Times New Roman" w:hAnsi="Georgia"/>
      <w:sz w:val="22"/>
      <w:lang w:eastAsia="en-GB"/>
    </w:rPr>
  </w:style>
  <w:style w:type="paragraph" w:styleId="Heading1">
    <w:name w:val="heading 1"/>
    <w:basedOn w:val="Normal"/>
    <w:next w:val="Normal"/>
    <w:link w:val="Heading1Char"/>
    <w:qFormat/>
    <w:rsid w:val="00F113EF"/>
    <w:pPr>
      <w:keepNext/>
      <w:keepLines/>
      <w:spacing w:before="360" w:after="240"/>
      <w:outlineLvl w:val="0"/>
    </w:pPr>
    <w:rPr>
      <w:rFonts w:eastAsiaTheme="majorEastAsia"/>
      <w:b/>
      <w:bCs/>
      <w:sz w:val="36"/>
      <w:szCs w:val="28"/>
    </w:rPr>
  </w:style>
  <w:style w:type="paragraph" w:styleId="Heading2">
    <w:name w:val="heading 2"/>
    <w:basedOn w:val="Normal"/>
    <w:next w:val="Normal"/>
    <w:link w:val="Heading2Char"/>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7F3ACD"/>
    <w:pPr>
      <w:keepNext/>
      <w:keepLines/>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Rec para,List Paragraph1,Recommendation,List Paragraph11"/>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eastAsiaTheme="majorEastAsia"/>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kern w:val="28"/>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line="240" w:lineRule="auto"/>
      <w:ind w:left="2880"/>
    </w:pPr>
    <w:rPr>
      <w:rFonts w:eastAsiaTheme="majorEastAsia" w:cstheme="majorBidi"/>
      <w:szCs w:val="24"/>
    </w:rPr>
  </w:style>
  <w:style w:type="paragraph" w:styleId="EnvelopeReturn">
    <w:name w:val="envelope return"/>
    <w:basedOn w:val="Normal"/>
    <w:uiPriority w:val="99"/>
    <w:semiHidden/>
    <w:rsid w:val="003E3722"/>
    <w:pPr>
      <w:spacing w:line="240" w:lineRule="auto"/>
    </w:pPr>
    <w:rPr>
      <w:rFonts w:eastAsiaTheme="majorEastAsia" w:cstheme="majorBidi"/>
      <w:sz w:val="18"/>
    </w:rPr>
  </w:style>
  <w:style w:type="paragraph" w:styleId="Footer">
    <w:name w:val="footer"/>
    <w:basedOn w:val="Normal"/>
    <w:link w:val="FooterChar"/>
    <w:uiPriority w:val="99"/>
    <w:semiHidden/>
    <w:rsid w:val="003E3722"/>
    <w:pPr>
      <w:tabs>
        <w:tab w:val="center" w:pos="4513"/>
        <w:tab w:val="right" w:pos="9026"/>
      </w:tabs>
      <w:spacing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line="240" w:lineRule="auto"/>
    </w:pPr>
    <w:rPr>
      <w:sz w:val="18"/>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szCs w:val="24"/>
    </w:rPr>
  </w:style>
  <w:style w:type="paragraph" w:styleId="PlainText">
    <w:name w:val="Plain Text"/>
    <w:basedOn w:val="Normal"/>
    <w:link w:val="PlainTextChar"/>
    <w:uiPriority w:val="99"/>
    <w:semiHidden/>
    <w:rsid w:val="003E3722"/>
    <w:pPr>
      <w:spacing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line="240" w:lineRule="auto"/>
    </w:pPr>
    <w:rPr>
      <w:rFonts w:cs="Consola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rsid w:val="00853167"/>
    <w:rPr>
      <w:color w:val="auto"/>
      <w:u w:val="none"/>
    </w:rPr>
  </w:style>
  <w:style w:type="character" w:customStyle="1" w:styleId="ListParagraphChar">
    <w:name w:val="List Paragraph Char"/>
    <w:aliases w:val="Rec para Char,List Paragraph1 Char,Recommendation Char,List Paragraph11 Char"/>
    <w:basedOn w:val="DefaultParagraphFont"/>
    <w:link w:val="ListParagraph"/>
    <w:uiPriority w:val="34"/>
    <w:rsid w:val="00853167"/>
    <w:rPr>
      <w:rFonts w:ascii="Verdana" w:hAnsi="Verdana" w:cs="Arial"/>
      <w:szCs w:val="22"/>
    </w:rPr>
  </w:style>
  <w:style w:type="paragraph" w:styleId="CommentSubject">
    <w:name w:val="annotation subject"/>
    <w:basedOn w:val="CommentText"/>
    <w:next w:val="CommentText"/>
    <w:link w:val="CommentSubjectChar"/>
    <w:uiPriority w:val="99"/>
    <w:semiHidden/>
    <w:rsid w:val="00E45778"/>
    <w:rPr>
      <w:b/>
      <w:bCs/>
      <w:sz w:val="20"/>
    </w:rPr>
  </w:style>
  <w:style w:type="character" w:customStyle="1" w:styleId="CommentSubjectChar">
    <w:name w:val="Comment Subject Char"/>
    <w:basedOn w:val="CommentTextChar"/>
    <w:link w:val="CommentSubject"/>
    <w:uiPriority w:val="99"/>
    <w:semiHidden/>
    <w:rsid w:val="00E45778"/>
    <w:rPr>
      <w:rFonts w:ascii="Georgia" w:eastAsia="Times New Roman" w:hAnsi="Georgia" w:cs="Arial"/>
      <w:b/>
      <w:bCs/>
      <w:lang w:eastAsia="en-GB"/>
    </w:rPr>
  </w:style>
  <w:style w:type="paragraph" w:styleId="Header">
    <w:name w:val="header"/>
    <w:basedOn w:val="Normal"/>
    <w:link w:val="HeaderChar"/>
    <w:uiPriority w:val="99"/>
    <w:semiHidden/>
    <w:rsid w:val="00A521C0"/>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A521C0"/>
    <w:rPr>
      <w:rFonts w:ascii="Georgia" w:eastAsia="Times New Roman" w:hAnsi="Georgia"/>
      <w:sz w:val="22"/>
      <w:lang w:eastAsia="en-GB"/>
    </w:rPr>
  </w:style>
  <w:style w:type="paragraph" w:customStyle="1" w:styleId="Numbering">
    <w:name w:val="Numbering"/>
    <w:basedOn w:val="ListParagraph"/>
    <w:next w:val="Heading4"/>
    <w:link w:val="NumberingChar"/>
    <w:qFormat/>
    <w:rsid w:val="00522485"/>
    <w:pPr>
      <w:numPr>
        <w:numId w:val="39"/>
      </w:numPr>
      <w:spacing w:line="276" w:lineRule="auto"/>
    </w:pPr>
    <w:rPr>
      <w:b/>
      <w:sz w:val="21"/>
      <w:szCs w:val="24"/>
    </w:rPr>
  </w:style>
  <w:style w:type="character" w:customStyle="1" w:styleId="NumberingChar">
    <w:name w:val="Numbering Char"/>
    <w:link w:val="Numbering"/>
    <w:rsid w:val="00522485"/>
    <w:rPr>
      <w:rFonts w:ascii="Georgia" w:eastAsia="Times New Roman" w:hAnsi="Georgia"/>
      <w:b/>
      <w:sz w:val="21"/>
      <w:szCs w:val="24"/>
    </w:rPr>
  </w:style>
  <w:style w:type="character" w:styleId="FootnoteReference">
    <w:name w:val="footnote reference"/>
    <w:basedOn w:val="DefaultParagraphFont"/>
    <w:uiPriority w:val="99"/>
    <w:semiHidden/>
    <w:rsid w:val="00A305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Hyperlink" w:uiPriority="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53167"/>
    <w:pPr>
      <w:spacing w:line="264" w:lineRule="auto"/>
    </w:pPr>
    <w:rPr>
      <w:rFonts w:ascii="Georgia" w:eastAsia="Times New Roman" w:hAnsi="Georgia"/>
      <w:sz w:val="22"/>
      <w:lang w:eastAsia="en-GB"/>
    </w:rPr>
  </w:style>
  <w:style w:type="paragraph" w:styleId="Heading1">
    <w:name w:val="heading 1"/>
    <w:basedOn w:val="Normal"/>
    <w:next w:val="Normal"/>
    <w:link w:val="Heading1Char"/>
    <w:qFormat/>
    <w:rsid w:val="00F113EF"/>
    <w:pPr>
      <w:keepNext/>
      <w:keepLines/>
      <w:spacing w:before="360" w:after="240"/>
      <w:outlineLvl w:val="0"/>
    </w:pPr>
    <w:rPr>
      <w:rFonts w:eastAsiaTheme="majorEastAsia"/>
      <w:b/>
      <w:bCs/>
      <w:sz w:val="36"/>
      <w:szCs w:val="28"/>
    </w:rPr>
  </w:style>
  <w:style w:type="paragraph" w:styleId="Heading2">
    <w:name w:val="heading 2"/>
    <w:basedOn w:val="Normal"/>
    <w:next w:val="Normal"/>
    <w:link w:val="Heading2Char"/>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7F3ACD"/>
    <w:pPr>
      <w:keepNext/>
      <w:keepLines/>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Rec para,List Paragraph1,Recommendation,List Paragraph11"/>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eastAsiaTheme="majorEastAsia"/>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kern w:val="28"/>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line="240" w:lineRule="auto"/>
      <w:ind w:left="2880"/>
    </w:pPr>
    <w:rPr>
      <w:rFonts w:eastAsiaTheme="majorEastAsia" w:cstheme="majorBidi"/>
      <w:szCs w:val="24"/>
    </w:rPr>
  </w:style>
  <w:style w:type="paragraph" w:styleId="EnvelopeReturn">
    <w:name w:val="envelope return"/>
    <w:basedOn w:val="Normal"/>
    <w:uiPriority w:val="99"/>
    <w:semiHidden/>
    <w:rsid w:val="003E3722"/>
    <w:pPr>
      <w:spacing w:line="240" w:lineRule="auto"/>
    </w:pPr>
    <w:rPr>
      <w:rFonts w:eastAsiaTheme="majorEastAsia" w:cstheme="majorBidi"/>
      <w:sz w:val="18"/>
    </w:rPr>
  </w:style>
  <w:style w:type="paragraph" w:styleId="Footer">
    <w:name w:val="footer"/>
    <w:basedOn w:val="Normal"/>
    <w:link w:val="FooterChar"/>
    <w:uiPriority w:val="99"/>
    <w:semiHidden/>
    <w:rsid w:val="003E3722"/>
    <w:pPr>
      <w:tabs>
        <w:tab w:val="center" w:pos="4513"/>
        <w:tab w:val="right" w:pos="9026"/>
      </w:tabs>
      <w:spacing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line="240" w:lineRule="auto"/>
    </w:pPr>
    <w:rPr>
      <w:sz w:val="18"/>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szCs w:val="24"/>
    </w:rPr>
  </w:style>
  <w:style w:type="paragraph" w:styleId="PlainText">
    <w:name w:val="Plain Text"/>
    <w:basedOn w:val="Normal"/>
    <w:link w:val="PlainTextChar"/>
    <w:uiPriority w:val="99"/>
    <w:semiHidden/>
    <w:rsid w:val="003E3722"/>
    <w:pPr>
      <w:spacing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line="240" w:lineRule="auto"/>
    </w:pPr>
    <w:rPr>
      <w:rFonts w:cs="Consola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rsid w:val="00853167"/>
    <w:rPr>
      <w:color w:val="auto"/>
      <w:u w:val="none"/>
    </w:rPr>
  </w:style>
  <w:style w:type="character" w:customStyle="1" w:styleId="ListParagraphChar">
    <w:name w:val="List Paragraph Char"/>
    <w:aliases w:val="Rec para Char,List Paragraph1 Char,Recommendation Char,List Paragraph11 Char"/>
    <w:basedOn w:val="DefaultParagraphFont"/>
    <w:link w:val="ListParagraph"/>
    <w:uiPriority w:val="34"/>
    <w:rsid w:val="00853167"/>
    <w:rPr>
      <w:rFonts w:ascii="Verdana" w:hAnsi="Verdana" w:cs="Arial"/>
      <w:szCs w:val="22"/>
    </w:rPr>
  </w:style>
  <w:style w:type="paragraph" w:styleId="CommentSubject">
    <w:name w:val="annotation subject"/>
    <w:basedOn w:val="CommentText"/>
    <w:next w:val="CommentText"/>
    <w:link w:val="CommentSubjectChar"/>
    <w:uiPriority w:val="99"/>
    <w:semiHidden/>
    <w:rsid w:val="00E45778"/>
    <w:rPr>
      <w:b/>
      <w:bCs/>
      <w:sz w:val="20"/>
    </w:rPr>
  </w:style>
  <w:style w:type="character" w:customStyle="1" w:styleId="CommentSubjectChar">
    <w:name w:val="Comment Subject Char"/>
    <w:basedOn w:val="CommentTextChar"/>
    <w:link w:val="CommentSubject"/>
    <w:uiPriority w:val="99"/>
    <w:semiHidden/>
    <w:rsid w:val="00E45778"/>
    <w:rPr>
      <w:rFonts w:ascii="Georgia" w:eastAsia="Times New Roman" w:hAnsi="Georgia" w:cs="Arial"/>
      <w:b/>
      <w:bCs/>
      <w:lang w:eastAsia="en-GB"/>
    </w:rPr>
  </w:style>
  <w:style w:type="paragraph" w:styleId="Header">
    <w:name w:val="header"/>
    <w:basedOn w:val="Normal"/>
    <w:link w:val="HeaderChar"/>
    <w:uiPriority w:val="99"/>
    <w:semiHidden/>
    <w:rsid w:val="00A521C0"/>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A521C0"/>
    <w:rPr>
      <w:rFonts w:ascii="Georgia" w:eastAsia="Times New Roman" w:hAnsi="Georgia"/>
      <w:sz w:val="22"/>
      <w:lang w:eastAsia="en-GB"/>
    </w:rPr>
  </w:style>
  <w:style w:type="paragraph" w:customStyle="1" w:styleId="Numbering">
    <w:name w:val="Numbering"/>
    <w:basedOn w:val="ListParagraph"/>
    <w:next w:val="Heading4"/>
    <w:link w:val="NumberingChar"/>
    <w:qFormat/>
    <w:rsid w:val="00522485"/>
    <w:pPr>
      <w:numPr>
        <w:numId w:val="39"/>
      </w:numPr>
      <w:spacing w:line="276" w:lineRule="auto"/>
    </w:pPr>
    <w:rPr>
      <w:b/>
      <w:sz w:val="21"/>
      <w:szCs w:val="24"/>
    </w:rPr>
  </w:style>
  <w:style w:type="character" w:customStyle="1" w:styleId="NumberingChar">
    <w:name w:val="Numbering Char"/>
    <w:link w:val="Numbering"/>
    <w:rsid w:val="00522485"/>
    <w:rPr>
      <w:rFonts w:ascii="Georgia" w:eastAsia="Times New Roman" w:hAnsi="Georgia"/>
      <w:b/>
      <w:sz w:val="21"/>
      <w:szCs w:val="24"/>
    </w:rPr>
  </w:style>
  <w:style w:type="character" w:styleId="FootnoteReference">
    <w:name w:val="footnote reference"/>
    <w:basedOn w:val="DefaultParagraphFont"/>
    <w:uiPriority w:val="99"/>
    <w:semiHidden/>
    <w:rsid w:val="00A305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537599">
      <w:bodyDiv w:val="1"/>
      <w:marLeft w:val="0"/>
      <w:marRight w:val="0"/>
      <w:marTop w:val="0"/>
      <w:marBottom w:val="0"/>
      <w:divBdr>
        <w:top w:val="none" w:sz="0" w:space="0" w:color="auto"/>
        <w:left w:val="none" w:sz="0" w:space="0" w:color="auto"/>
        <w:bottom w:val="none" w:sz="0" w:space="0" w:color="auto"/>
        <w:right w:val="none" w:sz="0" w:space="0" w:color="auto"/>
      </w:divBdr>
    </w:div>
    <w:div w:id="2018190536">
      <w:bodyDiv w:val="1"/>
      <w:marLeft w:val="0"/>
      <w:marRight w:val="0"/>
      <w:marTop w:val="0"/>
      <w:marBottom w:val="0"/>
      <w:divBdr>
        <w:top w:val="none" w:sz="0" w:space="0" w:color="auto"/>
        <w:left w:val="none" w:sz="0" w:space="0" w:color="auto"/>
        <w:bottom w:val="none" w:sz="0" w:space="0" w:color="auto"/>
        <w:right w:val="none" w:sz="0" w:space="0" w:color="auto"/>
      </w:divBdr>
      <w:divsChild>
        <w:div w:id="18687192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yperlink" Target="mailto:payequity_implementation@msd.govt.n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mailto:payequity_implementation@msd.govt.nz"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d.govt.nz/what-we-can-do/providers/pay-equity-for-vocational-and-disability-care-and-support-workers.html" TargetMode="Externa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hyperlink" Target="mailto:info@careerforce.org.nz" TargetMode="External"/><Relationship Id="rId19" Type="http://schemas.openxmlformats.org/officeDocument/2006/relationships/hyperlink" Target="mailto:payequity_implementation@msd.govt.nz" TargetMode="External"/><Relationship Id="rId4" Type="http://schemas.microsoft.com/office/2007/relationships/stylesWithEffects" Target="stylesWithEffects.xml"/><Relationship Id="rId9" Type="http://schemas.openxmlformats.org/officeDocument/2006/relationships/hyperlink" Target="http://www.careerforce.org.nz/pay-equity/equivalencies" TargetMode="External"/><Relationship Id="rId14" Type="http://schemas.openxmlformats.org/officeDocument/2006/relationships/diagramQuickStyle" Target="diagrams/quickStyle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3B75D9-25BB-45BD-9592-36950BEBB966}" type="doc">
      <dgm:prSet loTypeId="urn:microsoft.com/office/officeart/2005/8/layout/hProcess9" loCatId="process" qsTypeId="urn:microsoft.com/office/officeart/2005/8/quickstyle/simple1" qsCatId="simple" csTypeId="urn:microsoft.com/office/officeart/2005/8/colors/accent1_2" csCatId="accent1" phldr="1"/>
      <dgm:spPr/>
    </dgm:pt>
    <dgm:pt modelId="{62CDA243-D33A-4C6E-95C7-05912F3DD798}">
      <dgm:prSet phldrT="[Text]"/>
      <dgm:spPr/>
      <dgm:t>
        <a:bodyPr/>
        <a:lstStyle/>
        <a:p>
          <a:r>
            <a:rPr lang="en-NZ"/>
            <a:t>Review / sign Variation to Contract/s</a:t>
          </a:r>
        </a:p>
      </dgm:t>
    </dgm:pt>
    <dgm:pt modelId="{C8811E7C-9605-4E01-8DB0-35C77241FE12}" type="parTrans" cxnId="{EFA61FEE-4B7C-4FA7-9841-46361BC4C8E1}">
      <dgm:prSet/>
      <dgm:spPr/>
      <dgm:t>
        <a:bodyPr/>
        <a:lstStyle/>
        <a:p>
          <a:endParaRPr lang="en-NZ"/>
        </a:p>
      </dgm:t>
    </dgm:pt>
    <dgm:pt modelId="{63242556-3D68-4F62-B9B4-F873BE7B8639}" type="sibTrans" cxnId="{EFA61FEE-4B7C-4FA7-9841-46361BC4C8E1}">
      <dgm:prSet/>
      <dgm:spPr/>
      <dgm:t>
        <a:bodyPr/>
        <a:lstStyle/>
        <a:p>
          <a:endParaRPr lang="en-NZ"/>
        </a:p>
      </dgm:t>
    </dgm:pt>
    <dgm:pt modelId="{87BA2C5E-EB5C-4561-9B64-4A3EA47D8017}">
      <dgm:prSet phldrT="[Text]"/>
      <dgm:spPr/>
      <dgm:t>
        <a:bodyPr/>
        <a:lstStyle/>
        <a:p>
          <a:pPr algn="l"/>
          <a:r>
            <a:rPr lang="en-NZ"/>
            <a:t>For each contract:</a:t>
          </a:r>
        </a:p>
        <a:p>
          <a:pPr algn="l"/>
          <a:r>
            <a:rPr lang="en-NZ"/>
            <a:t/>
          </a:r>
          <a:br>
            <a:rPr lang="en-NZ"/>
          </a:br>
          <a:r>
            <a:rPr lang="en-NZ"/>
            <a:t>1. Complete  the   data entry </a:t>
          </a:r>
          <a:r>
            <a:rPr lang="en-NZ">
              <a:solidFill>
                <a:schemeClr val="bg1"/>
              </a:solidFill>
            </a:rPr>
            <a:t>tab in the MSD pay equity estimation tool.xlsx '</a:t>
          </a:r>
        </a:p>
        <a:p>
          <a:pPr algn="l"/>
          <a:r>
            <a:rPr lang="en-NZ"/>
            <a:t> </a:t>
          </a:r>
        </a:p>
        <a:p>
          <a:pPr algn="l"/>
          <a:r>
            <a:rPr lang="en-NZ"/>
            <a:t>2.  Print out the  Summary Tab </a:t>
          </a:r>
        </a:p>
        <a:p>
          <a:pPr algn="l"/>
          <a:endParaRPr lang="en-NZ"/>
        </a:p>
        <a:p>
          <a:pPr algn="l"/>
          <a:r>
            <a:rPr lang="en-NZ"/>
            <a:t>3. Enter estimated first quarter payment  from the summary tab into your invoice</a:t>
          </a:r>
        </a:p>
        <a:p>
          <a:pPr algn="ctr"/>
          <a:endParaRPr lang="en-NZ"/>
        </a:p>
        <a:p>
          <a:pPr algn="l"/>
          <a:r>
            <a:rPr lang="en-NZ"/>
            <a:t>4. Enter the estimated annual provisional payment from the summary on your variation to contract</a:t>
          </a:r>
        </a:p>
      </dgm:t>
    </dgm:pt>
    <dgm:pt modelId="{16904BC6-E4B8-4513-A3ED-0A1C43695BD8}" type="parTrans" cxnId="{572BE7F4-052E-443B-8EB9-2A2FFE490B19}">
      <dgm:prSet/>
      <dgm:spPr/>
      <dgm:t>
        <a:bodyPr/>
        <a:lstStyle/>
        <a:p>
          <a:endParaRPr lang="en-NZ"/>
        </a:p>
      </dgm:t>
    </dgm:pt>
    <dgm:pt modelId="{B2D7E36D-B332-4461-A6A2-A867504B741A}" type="sibTrans" cxnId="{572BE7F4-052E-443B-8EB9-2A2FFE490B19}">
      <dgm:prSet/>
      <dgm:spPr/>
      <dgm:t>
        <a:bodyPr/>
        <a:lstStyle/>
        <a:p>
          <a:endParaRPr lang="en-NZ"/>
        </a:p>
      </dgm:t>
    </dgm:pt>
    <dgm:pt modelId="{1365A6B7-D280-480B-8D96-7B905650D56A}">
      <dgm:prSet phldrT="[Text]" custT="1"/>
      <dgm:spPr/>
      <dgm:t>
        <a:bodyPr/>
        <a:lstStyle/>
        <a:p>
          <a:pPr algn="ctr"/>
          <a:r>
            <a:rPr lang="en-NZ" sz="1000"/>
            <a:t>Return to MSD</a:t>
          </a:r>
        </a:p>
        <a:p>
          <a:pPr algn="ctr"/>
          <a:r>
            <a:rPr lang="en-NZ" sz="1000"/>
            <a:t>(for each contract)</a:t>
          </a:r>
        </a:p>
        <a:p>
          <a:pPr algn="ctr"/>
          <a:endParaRPr lang="en-NZ" sz="800"/>
        </a:p>
        <a:p>
          <a:pPr algn="l"/>
          <a:r>
            <a:rPr lang="en-NZ" sz="800"/>
            <a:t>1. Signed Variation to Contract with annual estimate entered</a:t>
          </a:r>
        </a:p>
        <a:p>
          <a:pPr algn="l"/>
          <a:endParaRPr lang="en-NZ" sz="800"/>
        </a:p>
        <a:p>
          <a:pPr algn="l"/>
          <a:r>
            <a:rPr lang="en-NZ" sz="800"/>
            <a:t>2. A print out of  the Summary Tab from </a:t>
          </a:r>
          <a:r>
            <a:rPr lang="en-NZ" sz="800">
              <a:solidFill>
                <a:schemeClr val="bg1"/>
              </a:solidFill>
            </a:rPr>
            <a:t>the MSD pay equity estimation tool.xlsx</a:t>
          </a:r>
        </a:p>
        <a:p>
          <a:pPr algn="l"/>
          <a:endParaRPr lang="en-NZ" sz="800"/>
        </a:p>
        <a:p>
          <a:pPr algn="l"/>
          <a:r>
            <a:rPr lang="en-NZ" sz="800"/>
            <a:t>3. Invoice for incremental funding for the July / Aug/Sept 2017 quarter </a:t>
          </a:r>
        </a:p>
      </dgm:t>
    </dgm:pt>
    <dgm:pt modelId="{24EC20DC-F0AF-4439-8B45-ABB5A10F644C}" type="parTrans" cxnId="{D23452AD-7FA2-45EB-8E81-54DB35E0E4F0}">
      <dgm:prSet/>
      <dgm:spPr/>
      <dgm:t>
        <a:bodyPr/>
        <a:lstStyle/>
        <a:p>
          <a:endParaRPr lang="en-NZ"/>
        </a:p>
      </dgm:t>
    </dgm:pt>
    <dgm:pt modelId="{8A1A965C-725B-4731-B16C-A775C675F8FA}" type="sibTrans" cxnId="{D23452AD-7FA2-45EB-8E81-54DB35E0E4F0}">
      <dgm:prSet/>
      <dgm:spPr/>
      <dgm:t>
        <a:bodyPr/>
        <a:lstStyle/>
        <a:p>
          <a:endParaRPr lang="en-NZ"/>
        </a:p>
      </dgm:t>
    </dgm:pt>
    <dgm:pt modelId="{EC04353C-7182-44E1-81E1-D6A76D21659E}" type="pres">
      <dgm:prSet presAssocID="{683B75D9-25BB-45BD-9592-36950BEBB966}" presName="CompostProcess" presStyleCnt="0">
        <dgm:presLayoutVars>
          <dgm:dir/>
          <dgm:resizeHandles val="exact"/>
        </dgm:presLayoutVars>
      </dgm:prSet>
      <dgm:spPr/>
    </dgm:pt>
    <dgm:pt modelId="{14981819-F689-46FB-B9E0-4EF0D95FEA24}" type="pres">
      <dgm:prSet presAssocID="{683B75D9-25BB-45BD-9592-36950BEBB966}" presName="arrow" presStyleLbl="bgShp" presStyleIdx="0" presStyleCnt="1" custScaleX="117647" custLinFactNeighborX="-5663"/>
      <dgm:spPr/>
    </dgm:pt>
    <dgm:pt modelId="{D98D1E48-A203-4139-A18C-8DF15FB67917}" type="pres">
      <dgm:prSet presAssocID="{683B75D9-25BB-45BD-9592-36950BEBB966}" presName="linearProcess" presStyleCnt="0"/>
      <dgm:spPr/>
    </dgm:pt>
    <dgm:pt modelId="{83A0E8C2-8258-47AD-8C8F-948494DF544E}" type="pres">
      <dgm:prSet presAssocID="{62CDA243-D33A-4C6E-95C7-05912F3DD798}" presName="textNode" presStyleLbl="node1" presStyleIdx="0" presStyleCnt="3" custScaleX="32565" custScaleY="128677" custLinFactX="-17987" custLinFactNeighborX="-100000" custLinFactNeighborY="-1838">
        <dgm:presLayoutVars>
          <dgm:bulletEnabled val="1"/>
        </dgm:presLayoutVars>
      </dgm:prSet>
      <dgm:spPr/>
      <dgm:t>
        <a:bodyPr/>
        <a:lstStyle/>
        <a:p>
          <a:endParaRPr lang="en-NZ"/>
        </a:p>
      </dgm:t>
    </dgm:pt>
    <dgm:pt modelId="{C927273E-4F71-48F5-B3F6-EF4E1F61F68B}" type="pres">
      <dgm:prSet presAssocID="{63242556-3D68-4F62-B9B4-F873BE7B8639}" presName="sibTrans" presStyleCnt="0"/>
      <dgm:spPr/>
    </dgm:pt>
    <dgm:pt modelId="{C3471B10-CAB4-467E-8EF1-02F29446B09E}" type="pres">
      <dgm:prSet presAssocID="{87BA2C5E-EB5C-4561-9B64-4A3EA47D8017}" presName="textNode" presStyleLbl="node1" presStyleIdx="1" presStyleCnt="3" custScaleX="64825" custScaleY="250000" custLinFactX="-16973" custLinFactNeighborX="-100000">
        <dgm:presLayoutVars>
          <dgm:bulletEnabled val="1"/>
        </dgm:presLayoutVars>
      </dgm:prSet>
      <dgm:spPr/>
      <dgm:t>
        <a:bodyPr/>
        <a:lstStyle/>
        <a:p>
          <a:endParaRPr lang="en-NZ"/>
        </a:p>
      </dgm:t>
    </dgm:pt>
    <dgm:pt modelId="{39E3DF00-52D1-4AAD-942C-DAD6D7C46499}" type="pres">
      <dgm:prSet presAssocID="{B2D7E36D-B332-4461-A6A2-A867504B741A}" presName="sibTrans" presStyleCnt="0"/>
      <dgm:spPr/>
    </dgm:pt>
    <dgm:pt modelId="{756EC75D-8335-43F8-A31A-B85E1887DC63}" type="pres">
      <dgm:prSet presAssocID="{1365A6B7-D280-480B-8D96-7B905650D56A}" presName="textNode" presStyleLbl="node1" presStyleIdx="2" presStyleCnt="3" custScaleX="77140" custScaleY="250000" custLinFactX="-14989" custLinFactNeighborX="-100000" custLinFactNeighborY="-1838">
        <dgm:presLayoutVars>
          <dgm:bulletEnabled val="1"/>
        </dgm:presLayoutVars>
      </dgm:prSet>
      <dgm:spPr/>
      <dgm:t>
        <a:bodyPr/>
        <a:lstStyle/>
        <a:p>
          <a:endParaRPr lang="en-NZ"/>
        </a:p>
      </dgm:t>
    </dgm:pt>
  </dgm:ptLst>
  <dgm:cxnLst>
    <dgm:cxn modelId="{E704F4B9-BA93-4BE1-A970-92488E8F8634}" type="presOf" srcId="{87BA2C5E-EB5C-4561-9B64-4A3EA47D8017}" destId="{C3471B10-CAB4-467E-8EF1-02F29446B09E}" srcOrd="0" destOrd="0" presId="urn:microsoft.com/office/officeart/2005/8/layout/hProcess9"/>
    <dgm:cxn modelId="{B4DE93AE-FE57-4203-AA08-F4B47EB4FBA8}" type="presOf" srcId="{1365A6B7-D280-480B-8D96-7B905650D56A}" destId="{756EC75D-8335-43F8-A31A-B85E1887DC63}" srcOrd="0" destOrd="0" presId="urn:microsoft.com/office/officeart/2005/8/layout/hProcess9"/>
    <dgm:cxn modelId="{48519E94-44B4-48B1-ABAA-0F9AC8FDBE8E}" type="presOf" srcId="{62CDA243-D33A-4C6E-95C7-05912F3DD798}" destId="{83A0E8C2-8258-47AD-8C8F-948494DF544E}" srcOrd="0" destOrd="0" presId="urn:microsoft.com/office/officeart/2005/8/layout/hProcess9"/>
    <dgm:cxn modelId="{D23452AD-7FA2-45EB-8E81-54DB35E0E4F0}" srcId="{683B75D9-25BB-45BD-9592-36950BEBB966}" destId="{1365A6B7-D280-480B-8D96-7B905650D56A}" srcOrd="2" destOrd="0" parTransId="{24EC20DC-F0AF-4439-8B45-ABB5A10F644C}" sibTransId="{8A1A965C-725B-4731-B16C-A775C675F8FA}"/>
    <dgm:cxn modelId="{572BE7F4-052E-443B-8EB9-2A2FFE490B19}" srcId="{683B75D9-25BB-45BD-9592-36950BEBB966}" destId="{87BA2C5E-EB5C-4561-9B64-4A3EA47D8017}" srcOrd="1" destOrd="0" parTransId="{16904BC6-E4B8-4513-A3ED-0A1C43695BD8}" sibTransId="{B2D7E36D-B332-4461-A6A2-A867504B741A}"/>
    <dgm:cxn modelId="{EFA61FEE-4B7C-4FA7-9841-46361BC4C8E1}" srcId="{683B75D9-25BB-45BD-9592-36950BEBB966}" destId="{62CDA243-D33A-4C6E-95C7-05912F3DD798}" srcOrd="0" destOrd="0" parTransId="{C8811E7C-9605-4E01-8DB0-35C77241FE12}" sibTransId="{63242556-3D68-4F62-B9B4-F873BE7B8639}"/>
    <dgm:cxn modelId="{B4199E45-462F-471D-8CEE-E5572006ECB2}" type="presOf" srcId="{683B75D9-25BB-45BD-9592-36950BEBB966}" destId="{EC04353C-7182-44E1-81E1-D6A76D21659E}" srcOrd="0" destOrd="0" presId="urn:microsoft.com/office/officeart/2005/8/layout/hProcess9"/>
    <dgm:cxn modelId="{6B2E45AB-87B0-4214-8DA7-5B34B4838340}" type="presParOf" srcId="{EC04353C-7182-44E1-81E1-D6A76D21659E}" destId="{14981819-F689-46FB-B9E0-4EF0D95FEA24}" srcOrd="0" destOrd="0" presId="urn:microsoft.com/office/officeart/2005/8/layout/hProcess9"/>
    <dgm:cxn modelId="{BCB01B5E-BA77-4AF9-A3D5-75090075BFC2}" type="presParOf" srcId="{EC04353C-7182-44E1-81E1-D6A76D21659E}" destId="{D98D1E48-A203-4139-A18C-8DF15FB67917}" srcOrd="1" destOrd="0" presId="urn:microsoft.com/office/officeart/2005/8/layout/hProcess9"/>
    <dgm:cxn modelId="{46889D3A-7A75-45FE-844D-41437B067F07}" type="presParOf" srcId="{D98D1E48-A203-4139-A18C-8DF15FB67917}" destId="{83A0E8C2-8258-47AD-8C8F-948494DF544E}" srcOrd="0" destOrd="0" presId="urn:microsoft.com/office/officeart/2005/8/layout/hProcess9"/>
    <dgm:cxn modelId="{DA9466F7-9C1E-46A4-B6E3-40E3FA107B47}" type="presParOf" srcId="{D98D1E48-A203-4139-A18C-8DF15FB67917}" destId="{C927273E-4F71-48F5-B3F6-EF4E1F61F68B}" srcOrd="1" destOrd="0" presId="urn:microsoft.com/office/officeart/2005/8/layout/hProcess9"/>
    <dgm:cxn modelId="{5BC43489-19DD-4F09-BB13-79AEE359833E}" type="presParOf" srcId="{D98D1E48-A203-4139-A18C-8DF15FB67917}" destId="{C3471B10-CAB4-467E-8EF1-02F29446B09E}" srcOrd="2" destOrd="0" presId="urn:microsoft.com/office/officeart/2005/8/layout/hProcess9"/>
    <dgm:cxn modelId="{8A0307AD-6AEA-4C14-921E-8BF3912295E2}" type="presParOf" srcId="{D98D1E48-A203-4139-A18C-8DF15FB67917}" destId="{39E3DF00-52D1-4AAD-942C-DAD6D7C46499}" srcOrd="3" destOrd="0" presId="urn:microsoft.com/office/officeart/2005/8/layout/hProcess9"/>
    <dgm:cxn modelId="{0F36E16A-240B-4BC6-9E21-F6EAABB705A6}" type="presParOf" srcId="{D98D1E48-A203-4139-A18C-8DF15FB67917}" destId="{756EC75D-8335-43F8-A31A-B85E1887DC63}" srcOrd="4" destOrd="0" presId="urn:microsoft.com/office/officeart/2005/8/layout/hProcess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981819-F689-46FB-B9E0-4EF0D95FEA24}">
      <dsp:nvSpPr>
        <dsp:cNvPr id="0" name=""/>
        <dsp:cNvSpPr/>
      </dsp:nvSpPr>
      <dsp:spPr>
        <a:xfrm>
          <a:off x="0" y="0"/>
          <a:ext cx="5651497" cy="23876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3A0E8C2-8258-47AD-8C8F-948494DF544E}">
      <dsp:nvSpPr>
        <dsp:cNvPr id="0" name=""/>
        <dsp:cNvSpPr/>
      </dsp:nvSpPr>
      <dsp:spPr>
        <a:xfrm>
          <a:off x="353622" y="561787"/>
          <a:ext cx="631383" cy="122891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NZ" sz="700" kern="1200"/>
            <a:t>Review / sign Variation to Contract/s</a:t>
          </a:r>
        </a:p>
      </dsp:txBody>
      <dsp:txXfrm>
        <a:off x="384444" y="592609"/>
        <a:ext cx="569739" cy="1167272"/>
      </dsp:txXfrm>
    </dsp:sp>
    <dsp:sp modelId="{C3471B10-CAB4-467E-8EF1-02F29446B09E}">
      <dsp:nvSpPr>
        <dsp:cNvPr id="0" name=""/>
        <dsp:cNvSpPr/>
      </dsp:nvSpPr>
      <dsp:spPr>
        <a:xfrm>
          <a:off x="1137850" y="0"/>
          <a:ext cx="1332063" cy="23876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l" defTabSz="311150">
            <a:lnSpc>
              <a:spcPct val="90000"/>
            </a:lnSpc>
            <a:spcBef>
              <a:spcPct val="0"/>
            </a:spcBef>
            <a:spcAft>
              <a:spcPct val="35000"/>
            </a:spcAft>
          </a:pPr>
          <a:r>
            <a:rPr lang="en-NZ" sz="700" kern="1200"/>
            <a:t>For each contract:</a:t>
          </a:r>
        </a:p>
        <a:p>
          <a:pPr lvl="0" algn="l" defTabSz="311150">
            <a:lnSpc>
              <a:spcPct val="90000"/>
            </a:lnSpc>
            <a:spcBef>
              <a:spcPct val="0"/>
            </a:spcBef>
            <a:spcAft>
              <a:spcPct val="35000"/>
            </a:spcAft>
          </a:pPr>
          <a:r>
            <a:rPr lang="en-NZ" sz="700" kern="1200"/>
            <a:t/>
          </a:r>
          <a:br>
            <a:rPr lang="en-NZ" sz="700" kern="1200"/>
          </a:br>
          <a:r>
            <a:rPr lang="en-NZ" sz="700" kern="1200"/>
            <a:t>1. Complete  the   data entry </a:t>
          </a:r>
          <a:r>
            <a:rPr lang="en-NZ" sz="700" kern="1200">
              <a:solidFill>
                <a:schemeClr val="bg1"/>
              </a:solidFill>
            </a:rPr>
            <a:t>tab in the MSD pay equity estimation tool.xlsx '</a:t>
          </a:r>
        </a:p>
        <a:p>
          <a:pPr lvl="0" algn="l" defTabSz="311150">
            <a:lnSpc>
              <a:spcPct val="90000"/>
            </a:lnSpc>
            <a:spcBef>
              <a:spcPct val="0"/>
            </a:spcBef>
            <a:spcAft>
              <a:spcPct val="35000"/>
            </a:spcAft>
          </a:pPr>
          <a:r>
            <a:rPr lang="en-NZ" sz="700" kern="1200"/>
            <a:t> </a:t>
          </a:r>
        </a:p>
        <a:p>
          <a:pPr lvl="0" algn="l" defTabSz="311150">
            <a:lnSpc>
              <a:spcPct val="90000"/>
            </a:lnSpc>
            <a:spcBef>
              <a:spcPct val="0"/>
            </a:spcBef>
            <a:spcAft>
              <a:spcPct val="35000"/>
            </a:spcAft>
          </a:pPr>
          <a:r>
            <a:rPr lang="en-NZ" sz="700" kern="1200"/>
            <a:t>2.  Print out the  Summary Tab </a:t>
          </a:r>
        </a:p>
        <a:p>
          <a:pPr lvl="0" algn="l" defTabSz="311150">
            <a:lnSpc>
              <a:spcPct val="90000"/>
            </a:lnSpc>
            <a:spcBef>
              <a:spcPct val="0"/>
            </a:spcBef>
            <a:spcAft>
              <a:spcPct val="35000"/>
            </a:spcAft>
          </a:pPr>
          <a:endParaRPr lang="en-NZ" sz="700" kern="1200"/>
        </a:p>
        <a:p>
          <a:pPr lvl="0" algn="l" defTabSz="311150">
            <a:lnSpc>
              <a:spcPct val="90000"/>
            </a:lnSpc>
            <a:spcBef>
              <a:spcPct val="0"/>
            </a:spcBef>
            <a:spcAft>
              <a:spcPct val="35000"/>
            </a:spcAft>
          </a:pPr>
          <a:r>
            <a:rPr lang="en-NZ" sz="700" kern="1200"/>
            <a:t>3. Enter estimated first quarter payment  from the summary tab into your invoice</a:t>
          </a:r>
        </a:p>
        <a:p>
          <a:pPr lvl="0" algn="ctr" defTabSz="311150">
            <a:lnSpc>
              <a:spcPct val="90000"/>
            </a:lnSpc>
            <a:spcBef>
              <a:spcPct val="0"/>
            </a:spcBef>
            <a:spcAft>
              <a:spcPct val="35000"/>
            </a:spcAft>
          </a:pPr>
          <a:endParaRPr lang="en-NZ" sz="700" kern="1200"/>
        </a:p>
        <a:p>
          <a:pPr lvl="0" algn="l" defTabSz="311150">
            <a:lnSpc>
              <a:spcPct val="90000"/>
            </a:lnSpc>
            <a:spcBef>
              <a:spcPct val="0"/>
            </a:spcBef>
            <a:spcAft>
              <a:spcPct val="35000"/>
            </a:spcAft>
          </a:pPr>
          <a:r>
            <a:rPr lang="en-NZ" sz="700" kern="1200"/>
            <a:t>4. Enter the estimated annual provisional payment from the summary on your variation to contract</a:t>
          </a:r>
        </a:p>
      </dsp:txBody>
      <dsp:txXfrm>
        <a:off x="1202876" y="65026"/>
        <a:ext cx="1202011" cy="2257548"/>
      </dsp:txXfrm>
    </dsp:sp>
    <dsp:sp modelId="{756EC75D-8335-43F8-A31A-B85E1887DC63}">
      <dsp:nvSpPr>
        <dsp:cNvPr id="0" name=""/>
        <dsp:cNvSpPr/>
      </dsp:nvSpPr>
      <dsp:spPr>
        <a:xfrm>
          <a:off x="2646712" y="0"/>
          <a:ext cx="1671820" cy="23876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NZ" sz="1000" kern="1200"/>
            <a:t>Return to MSD</a:t>
          </a:r>
        </a:p>
        <a:p>
          <a:pPr lvl="0" algn="ctr" defTabSz="444500">
            <a:lnSpc>
              <a:spcPct val="90000"/>
            </a:lnSpc>
            <a:spcBef>
              <a:spcPct val="0"/>
            </a:spcBef>
            <a:spcAft>
              <a:spcPct val="35000"/>
            </a:spcAft>
          </a:pPr>
          <a:r>
            <a:rPr lang="en-NZ" sz="1000" kern="1200"/>
            <a:t>(for each contract)</a:t>
          </a:r>
        </a:p>
        <a:p>
          <a:pPr lvl="0" algn="ctr" defTabSz="444500">
            <a:lnSpc>
              <a:spcPct val="90000"/>
            </a:lnSpc>
            <a:spcBef>
              <a:spcPct val="0"/>
            </a:spcBef>
            <a:spcAft>
              <a:spcPct val="35000"/>
            </a:spcAft>
          </a:pPr>
          <a:endParaRPr lang="en-NZ" sz="800" kern="1200"/>
        </a:p>
        <a:p>
          <a:pPr lvl="0" algn="l" defTabSz="444500">
            <a:lnSpc>
              <a:spcPct val="90000"/>
            </a:lnSpc>
            <a:spcBef>
              <a:spcPct val="0"/>
            </a:spcBef>
            <a:spcAft>
              <a:spcPct val="35000"/>
            </a:spcAft>
          </a:pPr>
          <a:r>
            <a:rPr lang="en-NZ" sz="800" kern="1200"/>
            <a:t>1. Signed Variation to Contract with annual estimate entered</a:t>
          </a:r>
        </a:p>
        <a:p>
          <a:pPr lvl="0" algn="l" defTabSz="444500">
            <a:lnSpc>
              <a:spcPct val="90000"/>
            </a:lnSpc>
            <a:spcBef>
              <a:spcPct val="0"/>
            </a:spcBef>
            <a:spcAft>
              <a:spcPct val="35000"/>
            </a:spcAft>
          </a:pPr>
          <a:endParaRPr lang="en-NZ" sz="800" kern="1200"/>
        </a:p>
        <a:p>
          <a:pPr lvl="0" algn="l" defTabSz="444500">
            <a:lnSpc>
              <a:spcPct val="90000"/>
            </a:lnSpc>
            <a:spcBef>
              <a:spcPct val="0"/>
            </a:spcBef>
            <a:spcAft>
              <a:spcPct val="35000"/>
            </a:spcAft>
          </a:pPr>
          <a:r>
            <a:rPr lang="en-NZ" sz="800" kern="1200"/>
            <a:t>2. A print out of  the Summary Tab from </a:t>
          </a:r>
          <a:r>
            <a:rPr lang="en-NZ" sz="800" kern="1200">
              <a:solidFill>
                <a:schemeClr val="bg1"/>
              </a:solidFill>
            </a:rPr>
            <a:t>the MSD pay equity estimation tool.xlsx</a:t>
          </a:r>
        </a:p>
        <a:p>
          <a:pPr lvl="0" algn="l" defTabSz="444500">
            <a:lnSpc>
              <a:spcPct val="90000"/>
            </a:lnSpc>
            <a:spcBef>
              <a:spcPct val="0"/>
            </a:spcBef>
            <a:spcAft>
              <a:spcPct val="35000"/>
            </a:spcAft>
          </a:pPr>
          <a:endParaRPr lang="en-NZ" sz="800" kern="1200"/>
        </a:p>
        <a:p>
          <a:pPr lvl="0" algn="l" defTabSz="444500">
            <a:lnSpc>
              <a:spcPct val="90000"/>
            </a:lnSpc>
            <a:spcBef>
              <a:spcPct val="0"/>
            </a:spcBef>
            <a:spcAft>
              <a:spcPct val="35000"/>
            </a:spcAft>
          </a:pPr>
          <a:r>
            <a:rPr lang="en-NZ" sz="800" kern="1200"/>
            <a:t>3. Invoice for incremental funding for the July / Aug/Sept 2017 quarter </a:t>
          </a:r>
        </a:p>
      </dsp:txBody>
      <dsp:txXfrm>
        <a:off x="2728324" y="81612"/>
        <a:ext cx="1508596" cy="222437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54E34-7DE0-4231-9C5E-BA8804DE7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1927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McCawe</dc:creator>
  <cp:lastModifiedBy>Tess McCawe</cp:lastModifiedBy>
  <cp:revision>4</cp:revision>
  <dcterms:created xsi:type="dcterms:W3CDTF">2017-07-27T03:27:00Z</dcterms:created>
  <dcterms:modified xsi:type="dcterms:W3CDTF">2017-08-01T00:53:00Z</dcterms:modified>
</cp:coreProperties>
</file>