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FA55" w14:textId="5E1FEC9E" w:rsidR="00B944D6" w:rsidRPr="004D1C66" w:rsidRDefault="004D1C66" w:rsidP="00D02B78">
      <w:pPr>
        <w:pStyle w:val="Heading1"/>
        <w:spacing w:before="120" w:after="120" w:line="240" w:lineRule="auto"/>
        <w:rPr>
          <w:rFonts w:asciiTheme="minorHAnsi" w:hAnsiTheme="minorHAnsi" w:cstheme="minorHAnsi"/>
          <w:sz w:val="32"/>
          <w:szCs w:val="32"/>
          <w:lang w:val="mi-NZ"/>
        </w:rPr>
      </w:pPr>
      <w:bookmarkStart w:id="0" w:name="_Hlk83125907"/>
      <w:r w:rsidRPr="004D1C66">
        <w:rPr>
          <w:rFonts w:asciiTheme="minorHAnsi" w:hAnsiTheme="minorHAnsi" w:cstheme="minorHAnsi"/>
          <w:sz w:val="32"/>
          <w:szCs w:val="32"/>
          <w:lang w:val="mi-NZ"/>
        </w:rPr>
        <w:t xml:space="preserve">THE WORKING MATTERS DASHBOARD REPORTING PROGRESS ON THE NZ DISABILITY EMPLOYMENT ACTION PLAN </w:t>
      </w:r>
      <w:r>
        <w:rPr>
          <w:rFonts w:asciiTheme="minorHAnsi" w:hAnsiTheme="minorHAnsi" w:cstheme="minorHAnsi"/>
          <w:sz w:val="32"/>
          <w:szCs w:val="32"/>
          <w:lang w:val="mi-NZ"/>
        </w:rPr>
        <w:t xml:space="preserve"> - </w:t>
      </w:r>
      <w:r w:rsidR="00E73522">
        <w:rPr>
          <w:rFonts w:asciiTheme="minorHAnsi" w:hAnsiTheme="minorHAnsi" w:cstheme="minorHAnsi"/>
          <w:sz w:val="32"/>
          <w:szCs w:val="32"/>
          <w:lang w:val="mi-NZ"/>
        </w:rPr>
        <w:t xml:space="preserve">June </w:t>
      </w:r>
      <w:r w:rsidRPr="004D1C66">
        <w:rPr>
          <w:rFonts w:asciiTheme="minorHAnsi" w:hAnsiTheme="minorHAnsi" w:cstheme="minorHAnsi"/>
          <w:sz w:val="32"/>
          <w:szCs w:val="32"/>
          <w:lang w:val="mi-NZ"/>
        </w:rPr>
        <w:t>202</w:t>
      </w:r>
      <w:r w:rsidR="00E73522">
        <w:rPr>
          <w:rFonts w:asciiTheme="minorHAnsi" w:hAnsiTheme="minorHAnsi" w:cstheme="minorHAnsi"/>
          <w:sz w:val="32"/>
          <w:szCs w:val="32"/>
          <w:lang w:val="mi-NZ"/>
        </w:rPr>
        <w:t>2</w:t>
      </w:r>
      <w:r w:rsidRPr="004D1C66">
        <w:rPr>
          <w:rFonts w:asciiTheme="minorHAnsi" w:hAnsiTheme="minorHAnsi" w:cstheme="minorHAnsi"/>
          <w:sz w:val="32"/>
          <w:szCs w:val="32"/>
          <w:lang w:val="mi-NZ"/>
        </w:rPr>
        <w:t xml:space="preserve">  </w:t>
      </w:r>
    </w:p>
    <w:p w14:paraId="231201BD" w14:textId="77777777" w:rsidR="00B944D6" w:rsidRPr="004D1C66" w:rsidRDefault="00B944D6" w:rsidP="00D02B78">
      <w:pPr>
        <w:spacing w:before="120" w:line="240" w:lineRule="auto"/>
        <w:rPr>
          <w:rFonts w:asciiTheme="minorHAnsi" w:hAnsiTheme="minorHAnsi" w:cstheme="minorHAnsi"/>
          <w:b/>
          <w:bCs/>
          <w:i/>
          <w:iCs/>
          <w:sz w:val="24"/>
          <w:szCs w:val="24"/>
        </w:rPr>
      </w:pPr>
      <w:r w:rsidRPr="004D1C66">
        <w:rPr>
          <w:rFonts w:asciiTheme="minorHAnsi" w:hAnsiTheme="minorHAnsi" w:cstheme="minorHAnsi"/>
          <w:b/>
          <w:bCs/>
          <w:i/>
          <w:iCs/>
          <w:sz w:val="24"/>
          <w:szCs w:val="24"/>
        </w:rPr>
        <w:t xml:space="preserve">This version of the dashboard is formatted to be more accessible for screen readers. </w:t>
      </w:r>
      <w:r w:rsidRPr="004D1C66">
        <w:rPr>
          <w:rFonts w:asciiTheme="minorHAnsi" w:hAnsiTheme="minorHAnsi" w:cstheme="minorHAnsi"/>
          <w:b/>
          <w:bCs/>
          <w:i/>
          <w:iCs/>
          <w:sz w:val="24"/>
          <w:szCs w:val="24"/>
        </w:rPr>
        <w:br/>
        <w:t>The PDF version is formatted in a way that more accessible for those not using a screen reader.</w:t>
      </w:r>
    </w:p>
    <w:p w14:paraId="6BD1D467" w14:textId="726F0EEE" w:rsidR="003627CB"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Note the </w:t>
      </w:r>
      <w:r w:rsidR="003627CB" w:rsidRPr="004D1C66">
        <w:rPr>
          <w:rFonts w:asciiTheme="minorHAnsi" w:hAnsiTheme="minorHAnsi" w:cstheme="minorHAnsi"/>
          <w:sz w:val="24"/>
          <w:szCs w:val="24"/>
        </w:rPr>
        <w:t xml:space="preserve">action plan is a living document and new actions are listed in this dashboard where they address one of the six priority areas and are consistent with the Kaupapa outlined in </w:t>
      </w:r>
      <w:hyperlink r:id="rId8" w:history="1">
        <w:r w:rsidR="003627CB" w:rsidRPr="004D1C66">
          <w:rPr>
            <w:rStyle w:val="Hyperlink"/>
            <w:rFonts w:asciiTheme="minorHAnsi" w:hAnsiTheme="minorHAnsi" w:cstheme="minorHAnsi"/>
            <w:color w:val="8064A2" w:themeColor="accent4"/>
            <w:sz w:val="24"/>
            <w:szCs w:val="24"/>
            <w:shd w:val="clear" w:color="auto" w:fill="FFFFFF"/>
          </w:rPr>
          <w:t>Working Matters</w:t>
        </w:r>
      </w:hyperlink>
      <w:r w:rsidR="003627CB" w:rsidRPr="004D1C66">
        <w:rPr>
          <w:rFonts w:asciiTheme="minorHAnsi" w:hAnsiTheme="minorHAnsi" w:cstheme="minorHAnsi"/>
          <w:sz w:val="24"/>
          <w:szCs w:val="24"/>
        </w:rPr>
        <w:t>. This dashboard provides an opportunity to showcase progress as well as identify new actions that could be progressed to address the action plan priorities alongside Government’s broader work programme.</w:t>
      </w:r>
      <w:r w:rsidR="00E73522">
        <w:rPr>
          <w:rFonts w:asciiTheme="minorHAnsi" w:hAnsiTheme="minorHAnsi" w:cstheme="minorHAnsi"/>
          <w:sz w:val="24"/>
          <w:szCs w:val="24"/>
        </w:rPr>
        <w:t xml:space="preserve"> </w:t>
      </w:r>
      <w:r w:rsidR="00E73522" w:rsidRPr="00E73522">
        <w:rPr>
          <w:rFonts w:asciiTheme="minorHAnsi" w:hAnsiTheme="minorHAnsi" w:cstheme="minorHAnsi"/>
          <w:sz w:val="24"/>
          <w:szCs w:val="24"/>
        </w:rPr>
        <w:t>Actions have been grouped in their priority areas and highlights since the last dashboard release in October 2021 are reported on together.</w:t>
      </w:r>
    </w:p>
    <w:p w14:paraId="7EC19C79" w14:textId="77777777" w:rsidR="003627CB" w:rsidRPr="004D1C66" w:rsidRDefault="003627CB" w:rsidP="00D02B78">
      <w:pPr>
        <w:pStyle w:val="Heading2"/>
        <w:spacing w:before="120" w:line="240" w:lineRule="auto"/>
        <w:rPr>
          <w:rFonts w:asciiTheme="minorHAnsi" w:hAnsiTheme="minorHAnsi" w:cstheme="minorHAnsi"/>
        </w:rPr>
      </w:pPr>
      <w:r w:rsidRPr="004D1C66">
        <w:rPr>
          <w:rFonts w:asciiTheme="minorHAnsi" w:hAnsiTheme="minorHAnsi" w:cstheme="minorHAnsi"/>
        </w:rPr>
        <w:t>Objective one: Support people to steer their own employment futures</w:t>
      </w:r>
    </w:p>
    <w:p w14:paraId="649CD6B3" w14:textId="77777777" w:rsidR="003627CB" w:rsidRPr="004D1C66" w:rsidRDefault="003627CB"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1: Positive expectations for disabled school leavers</w:t>
      </w:r>
    </w:p>
    <w:p w14:paraId="6FE57DE5" w14:textId="77777777" w:rsidR="003627CB" w:rsidRPr="004D1C66" w:rsidRDefault="003627CB"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521BB779" w14:textId="77777777" w:rsidR="003627CB" w:rsidRPr="004D1C66" w:rsidRDefault="003627CB" w:rsidP="00D02B78">
      <w:pPr>
        <w:pStyle w:val="ListParagraph"/>
        <w:numPr>
          <w:ilvl w:val="0"/>
          <w:numId w:val="26"/>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Access to employment services while still at school </w:t>
      </w:r>
    </w:p>
    <w:p w14:paraId="0C5A6B69" w14:textId="77777777" w:rsidR="003627CB" w:rsidRPr="004D1C66" w:rsidRDefault="003627CB" w:rsidP="00D02B78">
      <w:pPr>
        <w:pStyle w:val="ListParagraph"/>
        <w:numPr>
          <w:ilvl w:val="0"/>
          <w:numId w:val="26"/>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Career building support (including whānau)</w:t>
      </w:r>
    </w:p>
    <w:p w14:paraId="03D75571" w14:textId="77777777" w:rsidR="003627CB" w:rsidRPr="004D1C66" w:rsidRDefault="003627CB" w:rsidP="00D02B78">
      <w:pPr>
        <w:pStyle w:val="ListParagraph"/>
        <w:numPr>
          <w:ilvl w:val="0"/>
          <w:numId w:val="26"/>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Work experience/transition pathways, especially for those with significant learning disabilities</w:t>
      </w:r>
    </w:p>
    <w:p w14:paraId="76F58FA9" w14:textId="77777777" w:rsidR="003627CB" w:rsidRPr="004D1C66" w:rsidRDefault="003627CB" w:rsidP="00D02B78">
      <w:pPr>
        <w:spacing w:before="120" w:line="240" w:lineRule="auto"/>
        <w:ind w:firstLine="360"/>
        <w:rPr>
          <w:rFonts w:asciiTheme="minorHAnsi" w:hAnsiTheme="minorHAnsi" w:cstheme="minorHAnsi"/>
          <w:sz w:val="24"/>
          <w:szCs w:val="24"/>
        </w:rPr>
      </w:pPr>
      <w:r w:rsidRPr="004D1C66">
        <w:rPr>
          <w:rFonts w:asciiTheme="minorHAnsi" w:hAnsiTheme="minorHAnsi" w:cstheme="minorHAnsi"/>
          <w:sz w:val="24"/>
          <w:szCs w:val="24"/>
        </w:rPr>
        <w:t>Responsibility of the Ministry of Social Development and Ministry of Education</w:t>
      </w:r>
    </w:p>
    <w:p w14:paraId="45954EC4" w14:textId="0E52C469" w:rsidR="003627CB" w:rsidRPr="004D1C66" w:rsidRDefault="003627CB" w:rsidP="00D02B78">
      <w:pPr>
        <w:pStyle w:val="Heading4"/>
        <w:pBdr>
          <w:bottom w:val="single" w:sz="4" w:space="1" w:color="auto"/>
        </w:pBdr>
        <w:spacing w:before="120" w:line="240" w:lineRule="auto"/>
        <w:rPr>
          <w:rFonts w:asciiTheme="minorHAnsi" w:hAnsiTheme="minorHAnsi" w:cstheme="minorHAnsi"/>
        </w:rPr>
      </w:pPr>
      <w:r w:rsidRPr="004D1C66">
        <w:rPr>
          <w:rFonts w:asciiTheme="minorHAnsi" w:hAnsiTheme="minorHAnsi" w:cstheme="minorHAnsi"/>
        </w:rPr>
        <w:t xml:space="preserve">Progress report - </w:t>
      </w:r>
      <w:r w:rsidR="00E73522" w:rsidRPr="00E73522">
        <w:rPr>
          <w:rFonts w:asciiTheme="minorHAnsi" w:hAnsiTheme="minorHAnsi" w:cstheme="minorHAnsi"/>
        </w:rPr>
        <w:t xml:space="preserve">Activity highlights since October 21 dashboard                                                                                                  </w:t>
      </w:r>
      <w:r w:rsidRPr="004D1C66">
        <w:rPr>
          <w:rFonts w:asciiTheme="minorHAnsi" w:hAnsiTheme="minorHAnsi" w:cstheme="minorHAnsi"/>
        </w:rPr>
        <w:t xml:space="preserve">  </w:t>
      </w:r>
    </w:p>
    <w:p w14:paraId="782FF872" w14:textId="14F2964F" w:rsidR="003627CB" w:rsidRPr="00907F08" w:rsidRDefault="00E73522" w:rsidP="00D02B78">
      <w:pPr>
        <w:pStyle w:val="ListParagraph"/>
        <w:numPr>
          <w:ilvl w:val="0"/>
          <w:numId w:val="8"/>
        </w:numPr>
        <w:spacing w:before="120" w:line="240" w:lineRule="auto"/>
        <w:contextualSpacing w:val="0"/>
        <w:rPr>
          <w:rFonts w:asciiTheme="minorHAnsi" w:hAnsiTheme="minorHAnsi" w:cstheme="minorHAnsi"/>
          <w:sz w:val="24"/>
          <w:szCs w:val="24"/>
        </w:rPr>
      </w:pPr>
      <w:r w:rsidRPr="00907F08">
        <w:rPr>
          <w:rFonts w:asciiTheme="minorHAnsi" w:hAnsiTheme="minorHAnsi" w:cstheme="minorHAnsi"/>
          <w:sz w:val="24"/>
          <w:szCs w:val="24"/>
        </w:rPr>
        <w:t>MSD pilot providing access to employment services for disabled people in schools</w:t>
      </w:r>
      <w:r w:rsidRPr="00E73522">
        <w:rPr>
          <w:rFonts w:asciiTheme="minorHAnsi" w:hAnsiTheme="minorHAnsi" w:cstheme="minorHAnsi"/>
          <w:sz w:val="24"/>
          <w:szCs w:val="24"/>
        </w:rPr>
        <w:t xml:space="preserve"> has student referrals increasing each month and funding has been approved for a further year.</w:t>
      </w:r>
    </w:p>
    <w:p w14:paraId="224FD2B4" w14:textId="77777777" w:rsidR="00E73522" w:rsidRDefault="002A05A3" w:rsidP="00E73522">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Piloted in </w:t>
      </w:r>
      <w:r w:rsidRPr="00E73522">
        <w:rPr>
          <w:rFonts w:asciiTheme="minorHAnsi" w:hAnsiTheme="minorHAnsi" w:cstheme="minorHAnsi"/>
          <w:sz w:val="24"/>
          <w:szCs w:val="24"/>
        </w:rPr>
        <w:t xml:space="preserve">5 </w:t>
      </w:r>
      <w:r w:rsidRPr="004D1C66">
        <w:rPr>
          <w:rFonts w:asciiTheme="minorHAnsi" w:hAnsiTheme="minorHAnsi" w:cstheme="minorHAnsi"/>
          <w:sz w:val="24"/>
          <w:szCs w:val="24"/>
        </w:rPr>
        <w:t>regions</w:t>
      </w:r>
      <w:r w:rsidRPr="004D1C66">
        <w:rPr>
          <w:rFonts w:asciiTheme="minorHAnsi" w:hAnsiTheme="minorHAnsi" w:cstheme="minorHAnsi"/>
          <w:sz w:val="24"/>
          <w:szCs w:val="24"/>
        </w:rPr>
        <w:br/>
      </w:r>
      <w:r w:rsidR="00E73522" w:rsidRPr="00E73522">
        <w:rPr>
          <w:rFonts w:asciiTheme="minorHAnsi" w:hAnsiTheme="minorHAnsi" w:cstheme="minorHAnsi"/>
          <w:sz w:val="24"/>
          <w:szCs w:val="24"/>
        </w:rPr>
        <w:t>303</w:t>
      </w:r>
      <w:r w:rsidRPr="00E73522">
        <w:rPr>
          <w:rFonts w:asciiTheme="minorHAnsi" w:hAnsiTheme="minorHAnsi" w:cstheme="minorHAnsi"/>
          <w:sz w:val="24"/>
          <w:szCs w:val="24"/>
        </w:rPr>
        <w:t xml:space="preserve"> </w:t>
      </w:r>
      <w:r w:rsidRPr="004D1C66">
        <w:rPr>
          <w:rFonts w:asciiTheme="minorHAnsi" w:hAnsiTheme="minorHAnsi" w:cstheme="minorHAnsi"/>
          <w:sz w:val="24"/>
          <w:szCs w:val="24"/>
        </w:rPr>
        <w:t>students referred (</w:t>
      </w:r>
      <w:r w:rsidR="00E73522">
        <w:rPr>
          <w:rFonts w:asciiTheme="minorHAnsi" w:hAnsiTheme="minorHAnsi" w:cstheme="minorHAnsi"/>
          <w:sz w:val="24"/>
          <w:szCs w:val="24"/>
        </w:rPr>
        <w:t xml:space="preserve">as </w:t>
      </w:r>
      <w:proofErr w:type="gramStart"/>
      <w:r w:rsidR="00E73522">
        <w:rPr>
          <w:rFonts w:asciiTheme="minorHAnsi" w:hAnsiTheme="minorHAnsi" w:cstheme="minorHAnsi"/>
          <w:sz w:val="24"/>
          <w:szCs w:val="24"/>
        </w:rPr>
        <w:t>at</w:t>
      </w:r>
      <w:proofErr w:type="gramEnd"/>
      <w:r w:rsidR="00E73522">
        <w:rPr>
          <w:rFonts w:asciiTheme="minorHAnsi" w:hAnsiTheme="minorHAnsi" w:cstheme="minorHAnsi"/>
          <w:sz w:val="24"/>
          <w:szCs w:val="24"/>
        </w:rPr>
        <w:t xml:space="preserve"> May 2022</w:t>
      </w:r>
      <w:r w:rsidRPr="004D1C66">
        <w:rPr>
          <w:rFonts w:asciiTheme="minorHAnsi" w:hAnsiTheme="minorHAnsi" w:cstheme="minorHAnsi"/>
          <w:sz w:val="24"/>
          <w:szCs w:val="24"/>
        </w:rPr>
        <w:t xml:space="preserve">) </w:t>
      </w:r>
      <w:r w:rsidRPr="004D1C66">
        <w:rPr>
          <w:rFonts w:asciiTheme="minorHAnsi" w:hAnsiTheme="minorHAnsi" w:cstheme="minorHAnsi"/>
          <w:sz w:val="24"/>
          <w:szCs w:val="24"/>
        </w:rPr>
        <w:br/>
      </w:r>
      <w:r w:rsidR="00E73522" w:rsidRPr="00E73522">
        <w:rPr>
          <w:rFonts w:asciiTheme="minorHAnsi" w:hAnsiTheme="minorHAnsi" w:cstheme="minorHAnsi"/>
          <w:sz w:val="24"/>
          <w:szCs w:val="24"/>
        </w:rPr>
        <w:t>95 Schools participating (an additional 17 schools since last reporting)</w:t>
      </w:r>
    </w:p>
    <w:p w14:paraId="678035E2" w14:textId="7F34A94C" w:rsidR="003627CB" w:rsidRPr="00E73522" w:rsidRDefault="00E73522" w:rsidP="00E73522">
      <w:pPr>
        <w:spacing w:before="120" w:line="240" w:lineRule="auto"/>
        <w:rPr>
          <w:rFonts w:asciiTheme="minorHAnsi" w:hAnsiTheme="minorHAnsi" w:cstheme="minorHAnsi"/>
          <w:sz w:val="24"/>
          <w:szCs w:val="24"/>
        </w:rPr>
      </w:pPr>
      <w:r w:rsidRPr="00E73522">
        <w:rPr>
          <w:rFonts w:asciiTheme="minorHAnsi" w:hAnsiTheme="minorHAnsi" w:cstheme="minorHAnsi"/>
          <w:sz w:val="24"/>
          <w:szCs w:val="24"/>
        </w:rPr>
        <w:t xml:space="preserve">Round 1 data collection from Students, Teachers, </w:t>
      </w:r>
      <w:proofErr w:type="spellStart"/>
      <w:r w:rsidRPr="00E73522">
        <w:rPr>
          <w:rFonts w:asciiTheme="minorHAnsi" w:hAnsiTheme="minorHAnsi" w:cstheme="minorHAnsi"/>
          <w:sz w:val="24"/>
          <w:szCs w:val="24"/>
        </w:rPr>
        <w:t>Whānau</w:t>
      </w:r>
      <w:proofErr w:type="spellEnd"/>
      <w:r w:rsidRPr="00E73522">
        <w:rPr>
          <w:rFonts w:asciiTheme="minorHAnsi" w:hAnsiTheme="minorHAnsi" w:cstheme="minorHAnsi"/>
          <w:sz w:val="24"/>
          <w:szCs w:val="24"/>
        </w:rPr>
        <w:t xml:space="preserve">, Providers, MSD and </w:t>
      </w:r>
      <w:proofErr w:type="spellStart"/>
      <w:r w:rsidRPr="00E73522">
        <w:rPr>
          <w:rFonts w:asciiTheme="minorHAnsi" w:hAnsiTheme="minorHAnsi" w:cstheme="minorHAnsi"/>
          <w:sz w:val="24"/>
          <w:szCs w:val="24"/>
        </w:rPr>
        <w:t>MoE</w:t>
      </w:r>
      <w:proofErr w:type="spellEnd"/>
      <w:r w:rsidRPr="00E73522">
        <w:rPr>
          <w:rFonts w:asciiTheme="minorHAnsi" w:hAnsiTheme="minorHAnsi" w:cstheme="minorHAnsi"/>
          <w:sz w:val="24"/>
          <w:szCs w:val="24"/>
        </w:rPr>
        <w:t xml:space="preserve"> staff were collected in Nov 2021 with Round 2 commencing in June 22.</w:t>
      </w:r>
    </w:p>
    <w:p w14:paraId="3DDC66C6" w14:textId="29141E8F" w:rsidR="003627CB" w:rsidRPr="004D1C66" w:rsidRDefault="00E73522" w:rsidP="00D02B78">
      <w:pPr>
        <w:pStyle w:val="ListParagraph"/>
        <w:numPr>
          <w:ilvl w:val="0"/>
          <w:numId w:val="8"/>
        </w:numPr>
        <w:spacing w:before="120" w:line="240" w:lineRule="auto"/>
        <w:contextualSpacing w:val="0"/>
        <w:rPr>
          <w:rFonts w:asciiTheme="minorHAnsi" w:hAnsiTheme="minorHAnsi" w:cstheme="minorHAnsi"/>
          <w:color w:val="0B0C0C"/>
          <w:sz w:val="24"/>
          <w:szCs w:val="24"/>
          <w:lang w:eastAsia="en-NZ"/>
        </w:rPr>
      </w:pPr>
      <w:r w:rsidRPr="00E73522">
        <w:rPr>
          <w:rFonts w:asciiTheme="minorHAnsi" w:hAnsiTheme="minorHAnsi" w:cstheme="minorHAnsi"/>
          <w:sz w:val="24"/>
          <w:szCs w:val="24"/>
        </w:rPr>
        <w:t>The TEC ‘Inspiring the Future Programme’ continues to run events in schools where volunteer ‘role models’ from the world of work come to talk to and inspire students. TEC is working to increase disabled representation in events.</w:t>
      </w:r>
    </w:p>
    <w:p w14:paraId="06716201" w14:textId="5FDCDAF1" w:rsidR="002A05A3" w:rsidRPr="004D1C66" w:rsidRDefault="00E73522" w:rsidP="00D02B78">
      <w:pPr>
        <w:spacing w:before="120" w:line="240" w:lineRule="auto"/>
        <w:rPr>
          <w:rFonts w:asciiTheme="minorHAnsi" w:hAnsiTheme="minorHAnsi" w:cstheme="minorHAnsi"/>
          <w:sz w:val="24"/>
          <w:szCs w:val="24"/>
        </w:rPr>
      </w:pPr>
      <w:r w:rsidRPr="00E73522">
        <w:rPr>
          <w:rFonts w:asciiTheme="minorHAnsi" w:hAnsiTheme="minorHAnsi" w:cstheme="minorHAnsi"/>
          <w:sz w:val="24"/>
          <w:szCs w:val="24"/>
        </w:rPr>
        <w:t>Role models have identified themselves as having a variety of disabilities, including, intellectual disability/impairment, physical disability/</w:t>
      </w:r>
      <w:proofErr w:type="gramStart"/>
      <w:r w:rsidRPr="00E73522">
        <w:rPr>
          <w:rFonts w:asciiTheme="minorHAnsi" w:hAnsiTheme="minorHAnsi" w:cstheme="minorHAnsi"/>
          <w:sz w:val="24"/>
          <w:szCs w:val="24"/>
        </w:rPr>
        <w:t>impairment</w:t>
      </w:r>
      <w:proofErr w:type="gramEnd"/>
      <w:r w:rsidRPr="00E73522">
        <w:rPr>
          <w:rFonts w:asciiTheme="minorHAnsi" w:hAnsiTheme="minorHAnsi" w:cstheme="minorHAnsi"/>
          <w:sz w:val="24"/>
          <w:szCs w:val="24"/>
        </w:rPr>
        <w:t xml:space="preserve"> and neurodiversity. However, this only represents only 2.3% of role models and there is opportunity to ensure a higher proportions of role models are from the disabled community.</w:t>
      </w:r>
    </w:p>
    <w:p w14:paraId="2D4267CD" w14:textId="77777777" w:rsidR="002A05A3" w:rsidRPr="004D1C66" w:rsidRDefault="002A05A3"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2: Career pathways at all stages of life and for diverse needs and aspirations</w:t>
      </w:r>
    </w:p>
    <w:p w14:paraId="6794F751" w14:textId="77777777" w:rsidR="002A05A3" w:rsidRPr="004D1C66" w:rsidRDefault="002A05A3"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58E0C214" w14:textId="77777777" w:rsidR="002A05A3" w:rsidRPr="004D1C66" w:rsidRDefault="002A05A3" w:rsidP="00D02B78">
      <w:pPr>
        <w:pStyle w:val="ListParagraph"/>
        <w:numPr>
          <w:ilvl w:val="0"/>
          <w:numId w:val="27"/>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Greater access to career transitions, </w:t>
      </w:r>
      <w:proofErr w:type="gramStart"/>
      <w:r w:rsidRPr="004D1C66">
        <w:rPr>
          <w:rFonts w:asciiTheme="minorHAnsi" w:hAnsiTheme="minorHAnsi" w:cstheme="minorHAnsi"/>
          <w:sz w:val="24"/>
          <w:szCs w:val="24"/>
        </w:rPr>
        <w:t>e.g.</w:t>
      </w:r>
      <w:proofErr w:type="gramEnd"/>
      <w:r w:rsidRPr="004D1C66">
        <w:rPr>
          <w:rFonts w:asciiTheme="minorHAnsi" w:hAnsiTheme="minorHAnsi" w:cstheme="minorHAnsi"/>
          <w:sz w:val="24"/>
          <w:szCs w:val="24"/>
        </w:rPr>
        <w:t xml:space="preserve"> apprenticeships, He Poutama </w:t>
      </w:r>
      <w:proofErr w:type="spellStart"/>
      <w:r w:rsidRPr="004D1C66">
        <w:rPr>
          <w:rFonts w:asciiTheme="minorHAnsi" w:hAnsiTheme="minorHAnsi" w:cstheme="minorHAnsi"/>
          <w:sz w:val="24"/>
          <w:szCs w:val="24"/>
        </w:rPr>
        <w:t>Rangatahi</w:t>
      </w:r>
      <w:proofErr w:type="spellEnd"/>
      <w:r w:rsidRPr="004D1C66">
        <w:rPr>
          <w:rFonts w:asciiTheme="minorHAnsi" w:hAnsiTheme="minorHAnsi" w:cstheme="minorHAnsi"/>
          <w:sz w:val="24"/>
          <w:szCs w:val="24"/>
        </w:rPr>
        <w:t>, retraining options</w:t>
      </w:r>
    </w:p>
    <w:p w14:paraId="4182696F" w14:textId="77777777" w:rsidR="002A05A3" w:rsidRPr="004D1C66" w:rsidRDefault="002A05A3" w:rsidP="00D02B78">
      <w:pPr>
        <w:pStyle w:val="ListParagraph"/>
        <w:numPr>
          <w:ilvl w:val="0"/>
          <w:numId w:val="27"/>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More paid internships from tertiary</w:t>
      </w:r>
    </w:p>
    <w:p w14:paraId="43139DF1" w14:textId="77777777" w:rsidR="002A05A3" w:rsidRPr="004D1C66" w:rsidRDefault="002A05A3" w:rsidP="00D02B78">
      <w:pPr>
        <w:pStyle w:val="ListParagraph"/>
        <w:numPr>
          <w:ilvl w:val="0"/>
          <w:numId w:val="27"/>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Refreshed accessible careers information</w:t>
      </w:r>
    </w:p>
    <w:p w14:paraId="629EFF7D" w14:textId="77777777" w:rsidR="002A05A3" w:rsidRPr="004D1C66" w:rsidRDefault="002A05A3"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Responsibility of the Tertiary Education Commission and the Ministry of Social Development</w:t>
      </w:r>
    </w:p>
    <w:p w14:paraId="6C8F9341" w14:textId="21B75C67" w:rsidR="002A05A3" w:rsidRPr="004D1C66" w:rsidRDefault="002A05A3" w:rsidP="00D02B78">
      <w:pPr>
        <w:pStyle w:val="Heading4"/>
        <w:pBdr>
          <w:bottom w:val="single" w:sz="4" w:space="1" w:color="auto"/>
        </w:pBdr>
        <w:spacing w:before="120" w:line="240" w:lineRule="auto"/>
        <w:rPr>
          <w:rFonts w:asciiTheme="minorHAnsi" w:hAnsiTheme="minorHAnsi" w:cstheme="minorHAnsi"/>
        </w:rPr>
      </w:pPr>
      <w:r w:rsidRPr="004D1C66">
        <w:rPr>
          <w:rFonts w:asciiTheme="minorHAnsi" w:hAnsiTheme="minorHAnsi" w:cstheme="minorHAnsi"/>
        </w:rPr>
        <w:t xml:space="preserve">Progress report - </w:t>
      </w:r>
      <w:r w:rsidR="00E73522" w:rsidRPr="00E73522">
        <w:rPr>
          <w:rFonts w:asciiTheme="minorHAnsi" w:hAnsiTheme="minorHAnsi" w:cstheme="minorHAnsi"/>
        </w:rPr>
        <w:t xml:space="preserve">Activity highlights since October 21 dashboard                                                                                                  </w:t>
      </w:r>
    </w:p>
    <w:p w14:paraId="71B1967A" w14:textId="1FD51E94" w:rsidR="002A05A3" w:rsidRPr="004D1C66" w:rsidRDefault="00E73522" w:rsidP="00D02B78">
      <w:pPr>
        <w:pStyle w:val="ListParagraph"/>
        <w:numPr>
          <w:ilvl w:val="0"/>
          <w:numId w:val="8"/>
        </w:numPr>
        <w:spacing w:before="120" w:line="240" w:lineRule="auto"/>
        <w:contextualSpacing w:val="0"/>
        <w:rPr>
          <w:rFonts w:asciiTheme="minorHAnsi" w:hAnsiTheme="minorHAnsi" w:cstheme="minorHAnsi"/>
          <w:color w:val="17365D" w:themeColor="text2" w:themeShade="BF"/>
          <w:sz w:val="24"/>
          <w:szCs w:val="24"/>
          <w:lang w:eastAsia="en-NZ"/>
        </w:rPr>
      </w:pPr>
      <w:r w:rsidRPr="00E73522">
        <w:rPr>
          <w:rFonts w:asciiTheme="minorHAnsi" w:hAnsiTheme="minorHAnsi" w:cstheme="minorHAnsi"/>
          <w:sz w:val="24"/>
          <w:szCs w:val="24"/>
        </w:rPr>
        <w:t>The Training Incentive Allowance (TIA) is available for Levels 4 to 7 on the NZ Qualifications Framework including for people receiving the Supported Living Payment (SLP).</w:t>
      </w:r>
    </w:p>
    <w:p w14:paraId="5A22E3A6" w14:textId="77777777" w:rsidR="00E73522" w:rsidRPr="00E73522" w:rsidRDefault="00E73522" w:rsidP="00E73522">
      <w:pPr>
        <w:pStyle w:val="ListParagraph"/>
        <w:spacing w:before="120" w:line="240" w:lineRule="auto"/>
        <w:ind w:left="0"/>
        <w:rPr>
          <w:rFonts w:asciiTheme="minorHAnsi" w:hAnsiTheme="minorHAnsi" w:cstheme="minorHAnsi"/>
          <w:sz w:val="24"/>
          <w:szCs w:val="24"/>
        </w:rPr>
      </w:pPr>
      <w:r w:rsidRPr="00E73522">
        <w:rPr>
          <w:rFonts w:asciiTheme="minorHAnsi" w:hAnsiTheme="minorHAnsi" w:cstheme="minorHAnsi"/>
          <w:sz w:val="24"/>
          <w:szCs w:val="24"/>
        </w:rPr>
        <w:t>483 people receiving the SLP have taken up the TIA at the end of March 2022.</w:t>
      </w:r>
    </w:p>
    <w:p w14:paraId="49A2401E" w14:textId="07842B27" w:rsidR="00E73522" w:rsidRPr="00E73522" w:rsidRDefault="00E73522" w:rsidP="00E73522">
      <w:pPr>
        <w:pStyle w:val="ListParagraph"/>
        <w:spacing w:before="120" w:line="240" w:lineRule="auto"/>
        <w:ind w:left="0"/>
        <w:contextualSpacing w:val="0"/>
        <w:rPr>
          <w:rFonts w:asciiTheme="minorHAnsi" w:hAnsiTheme="minorHAnsi" w:cstheme="minorHAnsi"/>
          <w:sz w:val="24"/>
          <w:szCs w:val="24"/>
        </w:rPr>
      </w:pPr>
      <w:r w:rsidRPr="00E73522">
        <w:rPr>
          <w:rFonts w:asciiTheme="minorHAnsi" w:hAnsiTheme="minorHAnsi" w:cstheme="minorHAnsi"/>
          <w:sz w:val="24"/>
          <w:szCs w:val="24"/>
        </w:rPr>
        <w:t>23% of TIA recipients are receiving the SLP.</w:t>
      </w:r>
    </w:p>
    <w:p w14:paraId="70B17D05" w14:textId="6B972BCC" w:rsidR="002A05A3" w:rsidRDefault="00E73522" w:rsidP="00E73522">
      <w:pPr>
        <w:pStyle w:val="ListParagraph"/>
        <w:numPr>
          <w:ilvl w:val="0"/>
          <w:numId w:val="13"/>
        </w:numPr>
        <w:spacing w:before="120" w:line="240" w:lineRule="auto"/>
        <w:contextualSpacing w:val="0"/>
        <w:rPr>
          <w:rFonts w:asciiTheme="minorHAnsi" w:hAnsiTheme="minorHAnsi" w:cstheme="minorHAnsi"/>
          <w:sz w:val="24"/>
          <w:szCs w:val="24"/>
        </w:rPr>
      </w:pPr>
      <w:r w:rsidRPr="00E73522">
        <w:rPr>
          <w:rFonts w:asciiTheme="minorHAnsi" w:hAnsiTheme="minorHAnsi" w:cstheme="minorHAnsi"/>
          <w:sz w:val="24"/>
          <w:szCs w:val="24"/>
        </w:rPr>
        <w:t>The Flexi-Wage expansion continues to support people into work.</w:t>
      </w:r>
    </w:p>
    <w:p w14:paraId="217832E3" w14:textId="49193469" w:rsidR="00E73522" w:rsidRDefault="00E73522" w:rsidP="00E73522">
      <w:pPr>
        <w:spacing w:before="120" w:line="240" w:lineRule="auto"/>
        <w:rPr>
          <w:rFonts w:asciiTheme="minorHAnsi" w:hAnsiTheme="minorHAnsi" w:cstheme="minorHAnsi"/>
          <w:sz w:val="24"/>
          <w:szCs w:val="24"/>
        </w:rPr>
      </w:pPr>
      <w:r w:rsidRPr="00E73522">
        <w:rPr>
          <w:rFonts w:asciiTheme="minorHAnsi" w:hAnsiTheme="minorHAnsi" w:cstheme="minorHAnsi"/>
          <w:sz w:val="24"/>
          <w:szCs w:val="24"/>
        </w:rPr>
        <w:t xml:space="preserve">There has been a total of 17,583 Flexi-Wage placements of which 2,160 have declared a disability, </w:t>
      </w:r>
      <w:proofErr w:type="gramStart"/>
      <w:r w:rsidRPr="00E73522">
        <w:rPr>
          <w:rFonts w:asciiTheme="minorHAnsi" w:hAnsiTheme="minorHAnsi" w:cstheme="minorHAnsi"/>
          <w:sz w:val="24"/>
          <w:szCs w:val="24"/>
        </w:rPr>
        <w:t>injury</w:t>
      </w:r>
      <w:proofErr w:type="gramEnd"/>
      <w:r w:rsidRPr="00E73522">
        <w:rPr>
          <w:rFonts w:asciiTheme="minorHAnsi" w:hAnsiTheme="minorHAnsi" w:cstheme="minorHAnsi"/>
          <w:sz w:val="24"/>
          <w:szCs w:val="24"/>
        </w:rPr>
        <w:t xml:space="preserve"> or health condition at referral.</w:t>
      </w:r>
    </w:p>
    <w:p w14:paraId="7D2476FC" w14:textId="1274F93C" w:rsidR="00E73522" w:rsidRDefault="00E73522" w:rsidP="00E73522">
      <w:pPr>
        <w:pStyle w:val="ListParagraph"/>
        <w:numPr>
          <w:ilvl w:val="0"/>
          <w:numId w:val="13"/>
        </w:numPr>
        <w:spacing w:before="120" w:line="240" w:lineRule="auto"/>
        <w:rPr>
          <w:rFonts w:asciiTheme="minorHAnsi" w:hAnsiTheme="minorHAnsi" w:cstheme="minorHAnsi"/>
          <w:sz w:val="24"/>
          <w:szCs w:val="24"/>
        </w:rPr>
      </w:pPr>
      <w:r w:rsidRPr="00E73522">
        <w:rPr>
          <w:rFonts w:asciiTheme="minorHAnsi" w:hAnsiTheme="minorHAnsi" w:cstheme="minorHAnsi"/>
          <w:sz w:val="24"/>
          <w:szCs w:val="24"/>
        </w:rPr>
        <w:t>TEC has updated the careers.govt.nz website with a page on Study and Training for people needing learning support. This includes information on work-based learning.</w:t>
      </w:r>
    </w:p>
    <w:p w14:paraId="039649FC" w14:textId="77777777" w:rsidR="002A05A3" w:rsidRPr="00F059D3" w:rsidRDefault="002A05A3" w:rsidP="00D02B78">
      <w:pPr>
        <w:pStyle w:val="Heading2"/>
        <w:spacing w:before="120" w:line="240" w:lineRule="auto"/>
        <w:rPr>
          <w:rFonts w:asciiTheme="minorHAnsi" w:hAnsiTheme="minorHAnsi" w:cstheme="minorHAnsi"/>
        </w:rPr>
      </w:pPr>
      <w:r w:rsidRPr="00F059D3">
        <w:rPr>
          <w:rFonts w:asciiTheme="minorHAnsi" w:hAnsiTheme="minorHAnsi" w:cstheme="minorHAnsi"/>
        </w:rPr>
        <w:t>Objective two: Back people who want to work and employers with the right support</w:t>
      </w:r>
    </w:p>
    <w:p w14:paraId="37A100AB" w14:textId="77777777" w:rsidR="002A05A3" w:rsidRPr="004D1C66" w:rsidRDefault="002A05A3"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3: More and better employment services</w:t>
      </w:r>
    </w:p>
    <w:p w14:paraId="6D80C4E7"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Provide security for SLP and other benefit recipients to try work </w:t>
      </w:r>
    </w:p>
    <w:p w14:paraId="38D280CF" w14:textId="0DD039CD"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Value diverse work outcomes and pathways to work within Ministry of Social Development (MSD) systems (including part-time and intermittent work)</w:t>
      </w:r>
    </w:p>
    <w:p w14:paraId="7EA44449"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Expand specialist disability employment services</w:t>
      </w:r>
    </w:p>
    <w:p w14:paraId="7EDCA278"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Scale up integrated health and employment services to strengthen integration between primary mental health and addiction services and employment services</w:t>
      </w:r>
    </w:p>
    <w:p w14:paraId="7151E2D5"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Develop a Diploma in Employment Support</w:t>
      </w:r>
    </w:p>
    <w:p w14:paraId="6D77EE5A" w14:textId="7638EB45" w:rsidR="002A05A3" w:rsidRPr="004D1C66" w:rsidRDefault="002A05A3"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Responsibility of the Ministry of Social Development and Ministry of Health (</w:t>
      </w:r>
      <w:proofErr w:type="spellStart"/>
      <w:r w:rsidRPr="004D1C66">
        <w:rPr>
          <w:rFonts w:asciiTheme="minorHAnsi" w:hAnsiTheme="minorHAnsi" w:cstheme="minorHAnsi"/>
          <w:sz w:val="24"/>
          <w:szCs w:val="24"/>
        </w:rPr>
        <w:t>MoH</w:t>
      </w:r>
      <w:proofErr w:type="spellEnd"/>
      <w:r w:rsidRPr="004D1C66">
        <w:rPr>
          <w:rFonts w:asciiTheme="minorHAnsi" w:hAnsiTheme="minorHAnsi" w:cstheme="minorHAnsi"/>
          <w:sz w:val="24"/>
          <w:szCs w:val="24"/>
        </w:rPr>
        <w:t>)</w:t>
      </w:r>
    </w:p>
    <w:p w14:paraId="1513192E" w14:textId="77F03B87" w:rsidR="002A05A3" w:rsidRPr="004D1C66" w:rsidRDefault="002A05A3" w:rsidP="00D02B78">
      <w:pPr>
        <w:pStyle w:val="Heading4"/>
        <w:pBdr>
          <w:bottom w:val="single" w:sz="4" w:space="1" w:color="auto"/>
        </w:pBdr>
        <w:spacing w:before="120" w:line="240" w:lineRule="auto"/>
        <w:rPr>
          <w:rFonts w:asciiTheme="minorHAnsi" w:hAnsiTheme="minorHAnsi" w:cstheme="minorHAnsi"/>
        </w:rPr>
      </w:pPr>
      <w:r w:rsidRPr="004D1C66">
        <w:rPr>
          <w:rFonts w:asciiTheme="minorHAnsi" w:hAnsiTheme="minorHAnsi" w:cstheme="minorHAnsi"/>
        </w:rPr>
        <w:t xml:space="preserve">Progress report - </w:t>
      </w:r>
      <w:r w:rsidR="0043635A" w:rsidRPr="0043635A">
        <w:rPr>
          <w:rFonts w:asciiTheme="minorHAnsi" w:hAnsiTheme="minorHAnsi" w:cstheme="minorHAnsi"/>
        </w:rPr>
        <w:t xml:space="preserve">Activity highlights since October 21 dashboard                                                                                                  </w:t>
      </w:r>
    </w:p>
    <w:bookmarkEnd w:id="0"/>
    <w:p w14:paraId="204EC4BA" w14:textId="37FCE2D8" w:rsidR="001D3F10" w:rsidRDefault="001D3F10" w:rsidP="001D3F10">
      <w:pPr>
        <w:pStyle w:val="ListParagraph"/>
        <w:numPr>
          <w:ilvl w:val="0"/>
          <w:numId w:val="8"/>
        </w:numPr>
        <w:spacing w:before="120" w:line="240" w:lineRule="auto"/>
        <w:contextualSpacing w:val="0"/>
        <w:rPr>
          <w:rFonts w:asciiTheme="minorHAnsi" w:hAnsiTheme="minorHAnsi" w:cstheme="minorHAnsi"/>
          <w:sz w:val="24"/>
          <w:szCs w:val="24"/>
        </w:rPr>
      </w:pPr>
      <w:r w:rsidRPr="001D3F10">
        <w:rPr>
          <w:rFonts w:asciiTheme="minorHAnsi" w:hAnsiTheme="minorHAnsi" w:cstheme="minorHAnsi"/>
          <w:sz w:val="24"/>
          <w:szCs w:val="24"/>
        </w:rPr>
        <w:t xml:space="preserve">MSD continues to progress legislation to extend the period SLP recipients can work more than 15 hours a week from 6 months to 2 years. </w:t>
      </w:r>
    </w:p>
    <w:p w14:paraId="08DDDE5A" w14:textId="77777777" w:rsidR="001D3F10" w:rsidRPr="001D3F10"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Legislation is being prepared and is expected to be introduced late in 2022.</w:t>
      </w:r>
    </w:p>
    <w:p w14:paraId="42A7E0D0" w14:textId="77777777" w:rsidR="001D3F10" w:rsidRPr="001D3F10" w:rsidRDefault="001D3F10" w:rsidP="001D3F10">
      <w:pPr>
        <w:pStyle w:val="ListParagraph"/>
        <w:numPr>
          <w:ilvl w:val="0"/>
          <w:numId w:val="8"/>
        </w:numPr>
        <w:spacing w:before="120" w:line="240" w:lineRule="auto"/>
        <w:contextualSpacing w:val="0"/>
        <w:rPr>
          <w:rFonts w:asciiTheme="minorHAnsi" w:hAnsiTheme="minorHAnsi" w:cstheme="minorHAnsi"/>
          <w:sz w:val="24"/>
          <w:szCs w:val="24"/>
        </w:rPr>
      </w:pPr>
      <w:r w:rsidRPr="001D3F10">
        <w:rPr>
          <w:rFonts w:asciiTheme="minorHAnsi" w:hAnsiTheme="minorHAnsi" w:cstheme="minorHAnsi"/>
          <w:sz w:val="24"/>
          <w:szCs w:val="24"/>
        </w:rPr>
        <w:t xml:space="preserve">The </w:t>
      </w:r>
      <w:proofErr w:type="spellStart"/>
      <w:r w:rsidRPr="001D3F10">
        <w:rPr>
          <w:rFonts w:asciiTheme="minorHAnsi" w:hAnsiTheme="minorHAnsi" w:cstheme="minorHAnsi"/>
          <w:sz w:val="24"/>
          <w:szCs w:val="24"/>
        </w:rPr>
        <w:t>Oranga</w:t>
      </w:r>
      <w:proofErr w:type="spellEnd"/>
      <w:r w:rsidRPr="001D3F10">
        <w:rPr>
          <w:rFonts w:asciiTheme="minorHAnsi" w:hAnsiTheme="minorHAnsi" w:cstheme="minorHAnsi"/>
          <w:sz w:val="24"/>
          <w:szCs w:val="24"/>
        </w:rPr>
        <w:t xml:space="preserve"> Mahi programme continues to learn what works and expand:  </w:t>
      </w:r>
    </w:p>
    <w:p w14:paraId="3D68554B" w14:textId="77777777" w:rsidR="001D3F10" w:rsidRPr="001D3F10" w:rsidRDefault="001D3F10" w:rsidP="001D3F10">
      <w:pPr>
        <w:pStyle w:val="ListParagraph"/>
        <w:numPr>
          <w:ilvl w:val="1"/>
          <w:numId w:val="13"/>
        </w:numPr>
        <w:spacing w:after="0" w:line="240" w:lineRule="auto"/>
        <w:rPr>
          <w:rFonts w:asciiTheme="minorHAnsi" w:hAnsiTheme="minorHAnsi" w:cstheme="minorHAnsi"/>
          <w:sz w:val="24"/>
          <w:szCs w:val="24"/>
        </w:rPr>
      </w:pPr>
      <w:r w:rsidRPr="001D3F10">
        <w:rPr>
          <w:rFonts w:asciiTheme="minorHAnsi" w:hAnsiTheme="minorHAnsi" w:cstheme="minorHAnsi"/>
          <w:sz w:val="24"/>
          <w:szCs w:val="24"/>
        </w:rPr>
        <w:t xml:space="preserve">Here </w:t>
      </w:r>
      <w:proofErr w:type="spellStart"/>
      <w:r w:rsidRPr="001D3F10">
        <w:rPr>
          <w:rFonts w:asciiTheme="minorHAnsi" w:hAnsiTheme="minorHAnsi" w:cstheme="minorHAnsi"/>
          <w:sz w:val="24"/>
          <w:szCs w:val="24"/>
        </w:rPr>
        <w:t>Toitū</w:t>
      </w:r>
      <w:proofErr w:type="spellEnd"/>
      <w:r w:rsidRPr="001D3F10">
        <w:rPr>
          <w:rFonts w:asciiTheme="minorHAnsi" w:hAnsiTheme="minorHAnsi" w:cstheme="minorHAnsi"/>
          <w:sz w:val="24"/>
          <w:szCs w:val="24"/>
        </w:rPr>
        <w:t xml:space="preserve">, a partnership between MSD and four Primary Healthcare Organisations continues. </w:t>
      </w:r>
    </w:p>
    <w:p w14:paraId="669CEDE5" w14:textId="77777777" w:rsidR="001D3F10" w:rsidRPr="001D3F10" w:rsidRDefault="001D3F10" w:rsidP="001D3F10">
      <w:pPr>
        <w:pStyle w:val="ListParagraph"/>
        <w:numPr>
          <w:ilvl w:val="1"/>
          <w:numId w:val="13"/>
        </w:numPr>
        <w:spacing w:after="0" w:line="240" w:lineRule="auto"/>
        <w:rPr>
          <w:rFonts w:asciiTheme="minorHAnsi" w:hAnsiTheme="minorHAnsi" w:cstheme="minorHAnsi"/>
          <w:sz w:val="24"/>
          <w:szCs w:val="24"/>
        </w:rPr>
      </w:pPr>
      <w:r w:rsidRPr="001D3F10">
        <w:rPr>
          <w:rFonts w:asciiTheme="minorHAnsi" w:hAnsiTheme="minorHAnsi" w:cstheme="minorHAnsi"/>
          <w:sz w:val="24"/>
          <w:szCs w:val="24"/>
        </w:rPr>
        <w:t xml:space="preserve">In March 2022, the Waitemata DHB model of Individual Placement Support (IPS) was expanded to support clients aged from 18-64 with moderate to severe Mental Health conditions. </w:t>
      </w:r>
    </w:p>
    <w:p w14:paraId="2D5F4741" w14:textId="77777777" w:rsidR="001D3F10" w:rsidRPr="001D3F10" w:rsidRDefault="001D3F10" w:rsidP="001D3F10">
      <w:pPr>
        <w:pStyle w:val="ListParagraph"/>
        <w:numPr>
          <w:ilvl w:val="1"/>
          <w:numId w:val="13"/>
        </w:numPr>
        <w:spacing w:after="0" w:line="240" w:lineRule="auto"/>
        <w:rPr>
          <w:rFonts w:asciiTheme="minorHAnsi" w:hAnsiTheme="minorHAnsi" w:cstheme="minorHAnsi"/>
          <w:sz w:val="24"/>
          <w:szCs w:val="24"/>
        </w:rPr>
      </w:pPr>
      <w:r w:rsidRPr="001D3F10">
        <w:rPr>
          <w:rFonts w:asciiTheme="minorHAnsi" w:hAnsiTheme="minorHAnsi" w:cstheme="minorHAnsi"/>
          <w:sz w:val="24"/>
          <w:szCs w:val="24"/>
        </w:rPr>
        <w:t>“Take Charge” in Christchurch and “E Ara E” in Auckland, are Youth models of IPS and they have both been extended, to support young people with mild to moderate Mental Health conditions to find and stay in employment.</w:t>
      </w:r>
    </w:p>
    <w:p w14:paraId="3B3D5305" w14:textId="77777777" w:rsidR="001D3F10" w:rsidRPr="001D3F10"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 xml:space="preserve">Here </w:t>
      </w:r>
      <w:proofErr w:type="spellStart"/>
      <w:r w:rsidRPr="001D3F10">
        <w:rPr>
          <w:rFonts w:asciiTheme="minorHAnsi" w:hAnsiTheme="minorHAnsi" w:cstheme="minorHAnsi"/>
          <w:sz w:val="24"/>
          <w:szCs w:val="24"/>
        </w:rPr>
        <w:t>Toitū</w:t>
      </w:r>
      <w:proofErr w:type="spellEnd"/>
      <w:r w:rsidRPr="001D3F10">
        <w:rPr>
          <w:rFonts w:asciiTheme="minorHAnsi" w:hAnsiTheme="minorHAnsi" w:cstheme="minorHAnsi"/>
          <w:sz w:val="24"/>
          <w:szCs w:val="24"/>
        </w:rPr>
        <w:t xml:space="preserve"> is currently available in 3 regions.</w:t>
      </w:r>
    </w:p>
    <w:p w14:paraId="3AA6A874" w14:textId="77777777" w:rsidR="001D3F10" w:rsidRPr="001D3F10"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There are an additional 16 FTE employment consultants in clinical mental health teams in Auckland.</w:t>
      </w:r>
    </w:p>
    <w:p w14:paraId="2699487A" w14:textId="77777777" w:rsidR="001D3F10" w:rsidRPr="001D3F10" w:rsidRDefault="001D3F10" w:rsidP="001D3F10">
      <w:pPr>
        <w:spacing w:before="120" w:line="240" w:lineRule="auto"/>
        <w:rPr>
          <w:rFonts w:asciiTheme="minorHAnsi" w:hAnsiTheme="minorHAnsi" w:cstheme="minorHAnsi"/>
          <w:sz w:val="24"/>
          <w:szCs w:val="24"/>
        </w:rPr>
      </w:pPr>
      <w:proofErr w:type="gramStart"/>
      <w:r w:rsidRPr="001D3F10">
        <w:rPr>
          <w:rFonts w:asciiTheme="minorHAnsi" w:hAnsiTheme="minorHAnsi" w:cstheme="minorHAnsi"/>
          <w:sz w:val="24"/>
          <w:szCs w:val="24"/>
        </w:rPr>
        <w:t>At</w:t>
      </w:r>
      <w:proofErr w:type="gramEnd"/>
      <w:r w:rsidRPr="001D3F10">
        <w:rPr>
          <w:rFonts w:asciiTheme="minorHAnsi" w:hAnsiTheme="minorHAnsi" w:cstheme="minorHAnsi"/>
          <w:sz w:val="24"/>
          <w:szCs w:val="24"/>
        </w:rPr>
        <w:t xml:space="preserve"> April 2022 there had been 756 people enrolled and 251 employment or work readiness outcomes.</w:t>
      </w:r>
    </w:p>
    <w:p w14:paraId="617E3E18" w14:textId="77777777" w:rsidR="001D3F10" w:rsidRPr="001D3F10"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As of May 2022, there have been 139 referrals to E Ara E, of which 27 have gained employment through accessing the service.</w:t>
      </w:r>
    </w:p>
    <w:p w14:paraId="735AA2EB" w14:textId="7212D839" w:rsidR="00B87CC4" w:rsidRPr="001D3F10" w:rsidRDefault="001D3F10" w:rsidP="001D3F10">
      <w:pPr>
        <w:pStyle w:val="ListParagraph"/>
        <w:numPr>
          <w:ilvl w:val="0"/>
          <w:numId w:val="8"/>
        </w:numPr>
        <w:spacing w:before="120" w:line="240" w:lineRule="auto"/>
        <w:contextualSpacing w:val="0"/>
        <w:rPr>
          <w:rFonts w:asciiTheme="minorHAnsi" w:hAnsiTheme="minorHAnsi" w:cstheme="minorHAnsi"/>
          <w:sz w:val="24"/>
          <w:szCs w:val="24"/>
        </w:rPr>
      </w:pPr>
      <w:r w:rsidRPr="001D3F10">
        <w:rPr>
          <w:rFonts w:asciiTheme="minorHAnsi" w:hAnsiTheme="minorHAnsi" w:cstheme="minorHAnsi"/>
          <w:sz w:val="24"/>
          <w:szCs w:val="24"/>
        </w:rPr>
        <w:t xml:space="preserve">Work within the ALMP review includes identifying opportunities for alignment between MSDs active labour market programme provision and </w:t>
      </w:r>
      <w:proofErr w:type="spellStart"/>
      <w:r w:rsidRPr="001D3F10">
        <w:rPr>
          <w:rFonts w:asciiTheme="minorHAnsi" w:hAnsiTheme="minorHAnsi" w:cstheme="minorHAnsi"/>
          <w:sz w:val="24"/>
          <w:szCs w:val="24"/>
        </w:rPr>
        <w:t>MoH’s</w:t>
      </w:r>
      <w:proofErr w:type="spellEnd"/>
      <w:r w:rsidRPr="001D3F10">
        <w:rPr>
          <w:rFonts w:asciiTheme="minorHAnsi" w:hAnsiTheme="minorHAnsi" w:cstheme="minorHAnsi"/>
          <w:sz w:val="24"/>
          <w:szCs w:val="24"/>
        </w:rPr>
        <w:t xml:space="preserve"> Access and Choice programme as well as longer-term collaboration opportunities post Health and Disability system reforms. </w:t>
      </w:r>
    </w:p>
    <w:p w14:paraId="49B270C7" w14:textId="51DC7BA1" w:rsidR="00B87CC4" w:rsidRPr="004D1C66" w:rsidRDefault="00B87CC4"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4:  Information and support for employers</w:t>
      </w:r>
      <w:r w:rsidRPr="004D1C66">
        <w:rPr>
          <w:rFonts w:asciiTheme="minorHAnsi" w:hAnsiTheme="minorHAnsi" w:cstheme="minorHAnsi"/>
        </w:rPr>
        <w:tab/>
      </w:r>
    </w:p>
    <w:p w14:paraId="5D9D5F81" w14:textId="77777777" w:rsidR="00B87CC4" w:rsidRPr="004D1C66" w:rsidRDefault="00B87CC4"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7965B033" w14:textId="77777777"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Raise the visibility of disabled people and people with health conditions as a talent pool</w:t>
      </w:r>
    </w:p>
    <w:p w14:paraId="4D259AA6" w14:textId="77777777"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Ensure Public Service leads by example with the recruitment and retention of disabled people, and improved data collection to support inclusive workplaces</w:t>
      </w:r>
    </w:p>
    <w:p w14:paraId="36AAB18A" w14:textId="042010E9"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Development of regional employer hubs</w:t>
      </w:r>
    </w:p>
    <w:p w14:paraId="4D69CFCD" w14:textId="5D35789C"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Develop and expand partnerships between employers and Government with a focus on improving disability employment</w:t>
      </w:r>
    </w:p>
    <w:p w14:paraId="6F55CF0D" w14:textId="77777777" w:rsidR="00B87CC4" w:rsidRPr="004D1C66" w:rsidRDefault="00B87CC4"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Responsibility of the Ministry of Social Development and Ministry of Business Innovation and Employment</w:t>
      </w:r>
    </w:p>
    <w:p w14:paraId="09B7CEE9" w14:textId="643943F8" w:rsidR="00B87CC4" w:rsidRPr="004D1C66" w:rsidRDefault="00B87CC4" w:rsidP="00D02B78">
      <w:pPr>
        <w:pStyle w:val="Heading4"/>
        <w:pBdr>
          <w:bottom w:val="single" w:sz="4" w:space="1" w:color="auto"/>
        </w:pBdr>
        <w:spacing w:before="120" w:line="240" w:lineRule="auto"/>
        <w:rPr>
          <w:rFonts w:asciiTheme="minorHAnsi" w:hAnsiTheme="minorHAnsi" w:cstheme="minorHAnsi"/>
        </w:rPr>
      </w:pPr>
      <w:r w:rsidRPr="004D1C66">
        <w:rPr>
          <w:rFonts w:asciiTheme="minorHAnsi" w:hAnsiTheme="minorHAnsi" w:cstheme="minorHAnsi"/>
        </w:rPr>
        <w:t xml:space="preserve">Progress report - </w:t>
      </w:r>
      <w:r w:rsidR="001D3F10" w:rsidRPr="0043635A">
        <w:rPr>
          <w:rFonts w:asciiTheme="minorHAnsi" w:hAnsiTheme="minorHAnsi" w:cstheme="minorHAnsi"/>
        </w:rPr>
        <w:t xml:space="preserve">Activity highlights since October 21 dashboard                                                                                                  </w:t>
      </w:r>
    </w:p>
    <w:p w14:paraId="4140BB1E" w14:textId="3519F72B" w:rsidR="00B87CC4" w:rsidRPr="004D1C66" w:rsidRDefault="00B87CC4" w:rsidP="001D3F10">
      <w:pPr>
        <w:pStyle w:val="ListParagraph"/>
        <w:numPr>
          <w:ilvl w:val="0"/>
          <w:numId w:val="8"/>
        </w:numPr>
        <w:spacing w:before="120" w:line="240" w:lineRule="auto"/>
        <w:contextualSpacing w:val="0"/>
        <w:rPr>
          <w:rFonts w:asciiTheme="minorHAnsi" w:hAnsiTheme="minorHAnsi" w:cstheme="minorHAnsi"/>
          <w:sz w:val="24"/>
          <w:szCs w:val="24"/>
        </w:rPr>
      </w:pPr>
      <w:r w:rsidRPr="001D3F10">
        <w:rPr>
          <w:rFonts w:asciiTheme="minorHAnsi" w:hAnsiTheme="minorHAnsi" w:cstheme="minorHAnsi"/>
          <w:sz w:val="24"/>
          <w:szCs w:val="24"/>
        </w:rPr>
        <w:t xml:space="preserve">The Lead Work Programme continues to support </w:t>
      </w:r>
      <w:r w:rsidR="001D3F10" w:rsidRPr="001D3F10">
        <w:rPr>
          <w:rFonts w:asciiTheme="minorHAnsi" w:hAnsiTheme="minorHAnsi" w:cstheme="minorHAnsi"/>
          <w:sz w:val="24"/>
          <w:szCs w:val="24"/>
        </w:rPr>
        <w:t>employers</w:t>
      </w:r>
      <w:r w:rsidRPr="001D3F10">
        <w:rPr>
          <w:rFonts w:asciiTheme="minorHAnsi" w:hAnsiTheme="minorHAnsi" w:cstheme="minorHAnsi"/>
          <w:sz w:val="24"/>
          <w:szCs w:val="24"/>
        </w:rPr>
        <w:t xml:space="preserve"> to be inclusive</w:t>
      </w:r>
      <w:r w:rsidR="001D3F10" w:rsidRPr="001D3F10">
        <w:rPr>
          <w:rFonts w:asciiTheme="minorHAnsi" w:hAnsiTheme="minorHAnsi" w:cstheme="minorHAnsi"/>
          <w:sz w:val="24"/>
          <w:szCs w:val="24"/>
        </w:rPr>
        <w:t>.</w:t>
      </w:r>
    </w:p>
    <w:p w14:paraId="42FCD62D" w14:textId="21D800D6" w:rsidR="001D3F10" w:rsidRPr="001D3F10" w:rsidRDefault="001D3F10" w:rsidP="001D3F10">
      <w:pPr>
        <w:pStyle w:val="ListParagraph"/>
        <w:numPr>
          <w:ilvl w:val="1"/>
          <w:numId w:val="13"/>
        </w:numPr>
        <w:spacing w:before="120" w:line="240" w:lineRule="auto"/>
        <w:ind w:left="641" w:hanging="357"/>
        <w:contextualSpacing w:val="0"/>
        <w:rPr>
          <w:rFonts w:asciiTheme="minorHAnsi" w:hAnsiTheme="minorHAnsi" w:cstheme="minorHAnsi"/>
          <w:sz w:val="24"/>
          <w:szCs w:val="24"/>
        </w:rPr>
      </w:pPr>
      <w:r w:rsidRPr="001D3F10">
        <w:rPr>
          <w:rFonts w:asciiTheme="minorHAnsi" w:hAnsiTheme="minorHAnsi" w:cstheme="minorHAnsi"/>
          <w:sz w:val="24"/>
          <w:szCs w:val="24"/>
        </w:rPr>
        <w:t xml:space="preserve">Monthly training on the Accessibility Charter continues to be provided across government </w:t>
      </w:r>
    </w:p>
    <w:p w14:paraId="78B150F0" w14:textId="77777777" w:rsidR="001D3F10" w:rsidRPr="001D3F10" w:rsidRDefault="001D3F10" w:rsidP="001D3F10">
      <w:pPr>
        <w:pStyle w:val="ListParagraph"/>
        <w:numPr>
          <w:ilvl w:val="1"/>
          <w:numId w:val="13"/>
        </w:numPr>
        <w:spacing w:before="120" w:line="240" w:lineRule="auto"/>
        <w:ind w:left="641" w:hanging="357"/>
        <w:contextualSpacing w:val="0"/>
        <w:rPr>
          <w:rFonts w:asciiTheme="minorHAnsi" w:hAnsiTheme="minorHAnsi" w:cstheme="minorHAnsi"/>
          <w:sz w:val="24"/>
          <w:szCs w:val="24"/>
        </w:rPr>
      </w:pPr>
      <w:r w:rsidRPr="001D3F10">
        <w:rPr>
          <w:rFonts w:asciiTheme="minorHAnsi" w:hAnsiTheme="minorHAnsi" w:cstheme="minorHAnsi"/>
          <w:sz w:val="24"/>
          <w:szCs w:val="24"/>
        </w:rPr>
        <w:t>There is a continued and expanded role of an AOG Disabled Internship Relationship Manager to support disabled students to access public sector internship and graduate programmes and support the managers of these programmes to be more accessible and inclusive</w:t>
      </w:r>
    </w:p>
    <w:p w14:paraId="457B0A2A" w14:textId="77777777" w:rsidR="001D3F10" w:rsidRPr="001D3F10" w:rsidRDefault="001D3F10" w:rsidP="001D3F10">
      <w:pPr>
        <w:pStyle w:val="ListParagraph"/>
        <w:numPr>
          <w:ilvl w:val="1"/>
          <w:numId w:val="13"/>
        </w:numPr>
        <w:spacing w:before="120" w:line="240" w:lineRule="auto"/>
        <w:ind w:left="641" w:hanging="357"/>
        <w:contextualSpacing w:val="0"/>
        <w:rPr>
          <w:rFonts w:asciiTheme="minorHAnsi" w:hAnsiTheme="minorHAnsi" w:cstheme="minorHAnsi"/>
          <w:sz w:val="24"/>
          <w:szCs w:val="24"/>
        </w:rPr>
      </w:pPr>
      <w:r w:rsidRPr="001D3F10">
        <w:rPr>
          <w:rFonts w:asciiTheme="minorHAnsi" w:hAnsiTheme="minorHAnsi" w:cstheme="minorHAnsi"/>
          <w:sz w:val="24"/>
          <w:szCs w:val="24"/>
        </w:rPr>
        <w:t>The Lead Toolkit and other associated materials on the MSD website have been changed to relate to all employers and not just state service employers</w:t>
      </w:r>
    </w:p>
    <w:p w14:paraId="6B57530D" w14:textId="76A4DE17" w:rsidR="00B87CC4" w:rsidRPr="004D1C66" w:rsidRDefault="001D3F10" w:rsidP="001D3F10">
      <w:pPr>
        <w:pStyle w:val="ListParagraph"/>
        <w:numPr>
          <w:ilvl w:val="1"/>
          <w:numId w:val="13"/>
        </w:numPr>
        <w:spacing w:before="120" w:line="240" w:lineRule="auto"/>
        <w:ind w:left="641" w:hanging="357"/>
        <w:contextualSpacing w:val="0"/>
        <w:rPr>
          <w:rFonts w:asciiTheme="minorHAnsi" w:hAnsiTheme="minorHAnsi" w:cstheme="minorHAnsi"/>
          <w:sz w:val="24"/>
          <w:szCs w:val="24"/>
        </w:rPr>
      </w:pPr>
      <w:r w:rsidRPr="001D3F10">
        <w:rPr>
          <w:rFonts w:asciiTheme="minorHAnsi" w:hAnsiTheme="minorHAnsi" w:cstheme="minorHAnsi"/>
          <w:sz w:val="24"/>
          <w:szCs w:val="24"/>
        </w:rPr>
        <w:t>An Assistive Technology explainer video for managers is in development for distribution across the public service. This should increase awareness and ease provision/access to Reasonable Accommodations</w:t>
      </w:r>
      <w:r>
        <w:rPr>
          <w:rFonts w:asciiTheme="minorHAnsi" w:hAnsiTheme="minorHAnsi" w:cstheme="minorHAnsi"/>
          <w:sz w:val="24"/>
          <w:szCs w:val="24"/>
        </w:rPr>
        <w:t>.</w:t>
      </w:r>
    </w:p>
    <w:p w14:paraId="048F82FE" w14:textId="77777777" w:rsidR="001D3F10" w:rsidRPr="001D3F10"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Approximately 25-30 government staff are attending the Accessibility Charter training each month.</w:t>
      </w:r>
    </w:p>
    <w:p w14:paraId="08ACBD86" w14:textId="77777777" w:rsidR="001D3F10" w:rsidRPr="001D3F10"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 xml:space="preserve">So far, the Disabled Internship Relationship Manager has established relationships with 20 tertiary education providers (5 added since last reporting), 52 public service programmes and 33 disabled students so far in 2022 (87 students total). </w:t>
      </w:r>
    </w:p>
    <w:p w14:paraId="19E22ED0" w14:textId="2EBDB2BB" w:rsidR="00B87CC4" w:rsidRPr="004D1C66"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 xml:space="preserve">In Christchurch, Here </w:t>
      </w:r>
      <w:proofErr w:type="spellStart"/>
      <w:r w:rsidRPr="001D3F10">
        <w:rPr>
          <w:rFonts w:asciiTheme="minorHAnsi" w:hAnsiTheme="minorHAnsi" w:cstheme="minorHAnsi"/>
          <w:sz w:val="24"/>
          <w:szCs w:val="24"/>
        </w:rPr>
        <w:t>Toitū</w:t>
      </w:r>
      <w:proofErr w:type="spellEnd"/>
      <w:r w:rsidRPr="001D3F10">
        <w:rPr>
          <w:rFonts w:asciiTheme="minorHAnsi" w:hAnsiTheme="minorHAnsi" w:cstheme="minorHAnsi"/>
          <w:sz w:val="24"/>
          <w:szCs w:val="24"/>
        </w:rPr>
        <w:t xml:space="preserve"> and Take Charge have participated in the regional expos. There have been some disruptions in running expos, particularly in the Auckland region due to the impacts of covid. MSD is looking to continue participating across the regions delivering Here </w:t>
      </w:r>
      <w:proofErr w:type="spellStart"/>
      <w:r w:rsidRPr="001D3F10">
        <w:rPr>
          <w:rFonts w:asciiTheme="minorHAnsi" w:hAnsiTheme="minorHAnsi" w:cstheme="minorHAnsi"/>
          <w:sz w:val="24"/>
          <w:szCs w:val="24"/>
        </w:rPr>
        <w:t>Toitu</w:t>
      </w:r>
      <w:proofErr w:type="spellEnd"/>
      <w:r w:rsidRPr="001D3F10">
        <w:rPr>
          <w:rFonts w:asciiTheme="minorHAnsi" w:hAnsiTheme="minorHAnsi" w:cstheme="minorHAnsi"/>
          <w:sz w:val="24"/>
          <w:szCs w:val="24"/>
        </w:rPr>
        <w:t>.</w:t>
      </w:r>
    </w:p>
    <w:p w14:paraId="7F71B449" w14:textId="3F73B511" w:rsidR="00B87CC4" w:rsidRDefault="001D3F10" w:rsidP="001D3F10">
      <w:pPr>
        <w:pStyle w:val="ListParagraph"/>
        <w:numPr>
          <w:ilvl w:val="0"/>
          <w:numId w:val="8"/>
        </w:numPr>
        <w:spacing w:before="120" w:line="240" w:lineRule="auto"/>
        <w:contextualSpacing w:val="0"/>
        <w:rPr>
          <w:rFonts w:asciiTheme="minorHAnsi" w:hAnsiTheme="minorHAnsi" w:cstheme="minorHAnsi"/>
          <w:sz w:val="24"/>
          <w:szCs w:val="24"/>
        </w:rPr>
      </w:pPr>
      <w:r w:rsidRPr="001D3F10">
        <w:rPr>
          <w:rFonts w:asciiTheme="minorHAnsi" w:hAnsiTheme="minorHAnsi" w:cstheme="minorHAnsi"/>
          <w:sz w:val="24"/>
          <w:szCs w:val="24"/>
        </w:rPr>
        <w:t>MSD also continues to work with the OECD to develop a webinar and complimentary resources on accessible procurement processes</w:t>
      </w:r>
      <w:r w:rsidR="00B87CC4" w:rsidRPr="004D1C66">
        <w:rPr>
          <w:rFonts w:asciiTheme="minorHAnsi" w:hAnsiTheme="minorHAnsi" w:cstheme="minorHAnsi"/>
          <w:sz w:val="24"/>
          <w:szCs w:val="24"/>
        </w:rPr>
        <w:t>.</w:t>
      </w:r>
    </w:p>
    <w:p w14:paraId="54F6201F" w14:textId="0587D55F" w:rsidR="001D3F10" w:rsidRPr="001D3F10" w:rsidRDefault="001D3F10" w:rsidP="001D3F10">
      <w:pPr>
        <w:spacing w:before="120" w:line="240" w:lineRule="auto"/>
        <w:rPr>
          <w:rFonts w:asciiTheme="minorHAnsi" w:hAnsiTheme="minorHAnsi" w:cstheme="minorHAnsi"/>
          <w:sz w:val="24"/>
          <w:szCs w:val="24"/>
        </w:rPr>
      </w:pPr>
      <w:r w:rsidRPr="001D3F10">
        <w:rPr>
          <w:rFonts w:asciiTheme="minorHAnsi" w:hAnsiTheme="minorHAnsi" w:cstheme="minorHAnsi"/>
          <w:sz w:val="24"/>
          <w:szCs w:val="24"/>
        </w:rPr>
        <w:t>The working release date is late 2022.</w:t>
      </w:r>
    </w:p>
    <w:p w14:paraId="353FCB4E" w14:textId="77777777" w:rsidR="005446CC" w:rsidRPr="00F059D3" w:rsidRDefault="005446CC" w:rsidP="00D02B78">
      <w:pPr>
        <w:pStyle w:val="Heading2"/>
        <w:spacing w:before="120" w:line="240" w:lineRule="auto"/>
        <w:rPr>
          <w:rFonts w:asciiTheme="minorHAnsi" w:hAnsiTheme="minorHAnsi" w:cstheme="minorHAnsi"/>
        </w:rPr>
      </w:pPr>
      <w:r w:rsidRPr="00F059D3">
        <w:rPr>
          <w:rFonts w:asciiTheme="minorHAnsi" w:hAnsiTheme="minorHAnsi" w:cstheme="minorHAnsi"/>
        </w:rPr>
        <w:t>Objective three: Partner with industry to increase good work opportunities for disabled people and people with health conditions</w:t>
      </w:r>
    </w:p>
    <w:p w14:paraId="6B674414" w14:textId="77777777" w:rsidR="005446CC" w:rsidRPr="004D1C66" w:rsidRDefault="005446CC"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5:  Inclusive and wellbeing-enhancing workplaces</w:t>
      </w:r>
    </w:p>
    <w:p w14:paraId="73AB9DD0" w14:textId="77777777" w:rsidR="005446CC" w:rsidRPr="004D1C66" w:rsidRDefault="005446CC"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19D219CB" w14:textId="77777777"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Promote accessibility, including in workplaces as well as to and from workplaces</w:t>
      </w:r>
    </w:p>
    <w:p w14:paraId="2C344382" w14:textId="77777777"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The Public Service leads by example with inclusive and wellbeing enhancing workplaces*</w:t>
      </w:r>
    </w:p>
    <w:p w14:paraId="6C0EA5FE" w14:textId="77777777"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Promote the health benefits of good work to health practitioners*</w:t>
      </w:r>
    </w:p>
    <w:p w14:paraId="09030454" w14:textId="77777777"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Clarify guidance on lawful hiring and recruitment practices and promote lawful and best practice*</w:t>
      </w:r>
    </w:p>
    <w:p w14:paraId="53C9B227" w14:textId="4A29E883" w:rsidR="005446CC" w:rsidRPr="004D1C66" w:rsidRDefault="005446CC"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Responsibility of the Ministry of Social Development, </w:t>
      </w:r>
      <w:bookmarkStart w:id="1" w:name="_Hlk93319785"/>
      <w:r w:rsidRPr="004D1C66">
        <w:rPr>
          <w:rFonts w:asciiTheme="minorHAnsi" w:hAnsiTheme="minorHAnsi" w:cstheme="minorHAnsi"/>
          <w:sz w:val="24"/>
          <w:szCs w:val="24"/>
        </w:rPr>
        <w:t xml:space="preserve">Public Services Commission (PSC) and Human Rights Commission (HRC)  </w:t>
      </w:r>
      <w:bookmarkEnd w:id="1"/>
    </w:p>
    <w:p w14:paraId="297F564A" w14:textId="0EB6C148" w:rsidR="005446CC" w:rsidRPr="004D1C66" w:rsidRDefault="005446CC" w:rsidP="00D02B78">
      <w:pPr>
        <w:pStyle w:val="Heading4"/>
        <w:pBdr>
          <w:bottom w:val="single" w:sz="4" w:space="1" w:color="auto"/>
        </w:pBdr>
        <w:spacing w:before="120" w:line="240" w:lineRule="auto"/>
        <w:rPr>
          <w:rFonts w:asciiTheme="minorHAnsi" w:hAnsiTheme="minorHAnsi" w:cstheme="minorHAnsi"/>
        </w:rPr>
      </w:pPr>
      <w:r w:rsidRPr="004D1C66">
        <w:rPr>
          <w:rFonts w:asciiTheme="minorHAnsi" w:hAnsiTheme="minorHAnsi" w:cstheme="minorHAnsi"/>
        </w:rPr>
        <w:t xml:space="preserve">Progress report - </w:t>
      </w:r>
      <w:r w:rsidR="001D3F10" w:rsidRPr="001D3F10">
        <w:rPr>
          <w:rFonts w:asciiTheme="minorHAnsi" w:hAnsiTheme="minorHAnsi" w:cstheme="minorHAnsi"/>
        </w:rPr>
        <w:t xml:space="preserve">Activity highlights since October 21 dashboard                                                                                                  </w:t>
      </w:r>
    </w:p>
    <w:p w14:paraId="46EECF8E" w14:textId="77777777" w:rsidR="001D3F10" w:rsidRPr="001D3F10" w:rsidRDefault="001D3F10" w:rsidP="00907F08">
      <w:pPr>
        <w:pStyle w:val="ListParagraph"/>
        <w:numPr>
          <w:ilvl w:val="0"/>
          <w:numId w:val="8"/>
        </w:numPr>
        <w:spacing w:before="120" w:line="240" w:lineRule="auto"/>
        <w:contextualSpacing w:val="0"/>
        <w:rPr>
          <w:rFonts w:asciiTheme="minorHAnsi" w:hAnsiTheme="minorHAnsi" w:cstheme="minorHAnsi"/>
          <w:sz w:val="24"/>
          <w:szCs w:val="24"/>
        </w:rPr>
      </w:pPr>
      <w:r w:rsidRPr="00907F08">
        <w:rPr>
          <w:rFonts w:asciiTheme="minorHAnsi" w:hAnsiTheme="minorHAnsi" w:cstheme="minorHAnsi"/>
          <w:sz w:val="24"/>
          <w:szCs w:val="24"/>
        </w:rPr>
        <w:t xml:space="preserve">The Accessibility for New Zealanders Bill establishes a new legislative framework that addresses systemic accessibility barriers that prevent disabled people, </w:t>
      </w:r>
      <w:proofErr w:type="spellStart"/>
      <w:r w:rsidRPr="00907F08">
        <w:rPr>
          <w:rFonts w:asciiTheme="minorHAnsi" w:hAnsiTheme="minorHAnsi" w:cstheme="minorHAnsi"/>
          <w:sz w:val="24"/>
          <w:szCs w:val="24"/>
        </w:rPr>
        <w:t>tāngata</w:t>
      </w:r>
      <w:proofErr w:type="spellEnd"/>
      <w:r w:rsidRPr="00907F08">
        <w:rPr>
          <w:rFonts w:asciiTheme="minorHAnsi" w:hAnsiTheme="minorHAnsi" w:cstheme="minorHAnsi"/>
          <w:sz w:val="24"/>
          <w:szCs w:val="24"/>
        </w:rPr>
        <w:t xml:space="preserve"> </w:t>
      </w:r>
      <w:proofErr w:type="spellStart"/>
      <w:r w:rsidRPr="00907F08">
        <w:rPr>
          <w:rFonts w:asciiTheme="minorHAnsi" w:hAnsiTheme="minorHAnsi" w:cstheme="minorHAnsi"/>
          <w:sz w:val="24"/>
          <w:szCs w:val="24"/>
        </w:rPr>
        <w:t>whaikaha</w:t>
      </w:r>
      <w:proofErr w:type="spellEnd"/>
      <w:r w:rsidRPr="00907F08">
        <w:rPr>
          <w:rFonts w:asciiTheme="minorHAnsi" w:hAnsiTheme="minorHAnsi" w:cstheme="minorHAnsi"/>
          <w:sz w:val="24"/>
          <w:szCs w:val="24"/>
        </w:rPr>
        <w:t xml:space="preserve"> and their </w:t>
      </w:r>
      <w:proofErr w:type="spellStart"/>
      <w:r w:rsidRPr="00907F08">
        <w:rPr>
          <w:rFonts w:asciiTheme="minorHAnsi" w:hAnsiTheme="minorHAnsi" w:cstheme="minorHAnsi"/>
          <w:sz w:val="24"/>
          <w:szCs w:val="24"/>
        </w:rPr>
        <w:t>whānau</w:t>
      </w:r>
      <w:proofErr w:type="spellEnd"/>
      <w:r w:rsidRPr="00907F08">
        <w:rPr>
          <w:rFonts w:asciiTheme="minorHAnsi" w:hAnsiTheme="minorHAnsi" w:cstheme="minorHAnsi"/>
          <w:sz w:val="24"/>
          <w:szCs w:val="24"/>
        </w:rPr>
        <w:t>, and others with accessibility needs from living independently and participating in all areas of life.</w:t>
      </w:r>
    </w:p>
    <w:p w14:paraId="2E17ADC4" w14:textId="01FC4C06" w:rsidR="005446CC" w:rsidRDefault="001D3F10" w:rsidP="001D3F10">
      <w:pPr>
        <w:spacing w:before="120" w:line="240" w:lineRule="auto"/>
        <w:rPr>
          <w:rFonts w:asciiTheme="minorHAnsi" w:hAnsiTheme="minorHAnsi" w:cstheme="minorHAnsi"/>
          <w:b/>
          <w:bCs/>
          <w:color w:val="4F6228" w:themeColor="accent3" w:themeShade="80"/>
          <w:sz w:val="24"/>
          <w:szCs w:val="24"/>
        </w:rPr>
      </w:pPr>
      <w:r w:rsidRPr="00907F08">
        <w:rPr>
          <w:rFonts w:asciiTheme="minorHAnsi" w:hAnsiTheme="minorHAnsi" w:cstheme="minorHAnsi"/>
          <w:sz w:val="24"/>
          <w:szCs w:val="24"/>
        </w:rPr>
        <w:t>The Bill is in the Select Committee stage of the legislation process.</w:t>
      </w:r>
    </w:p>
    <w:p w14:paraId="46FD3368" w14:textId="2CFD9A0B" w:rsidR="001D3F10" w:rsidRPr="00907F08" w:rsidRDefault="001D3F10" w:rsidP="00907F08">
      <w:pPr>
        <w:pStyle w:val="ListParagraph"/>
        <w:numPr>
          <w:ilvl w:val="0"/>
          <w:numId w:val="8"/>
        </w:numPr>
        <w:spacing w:before="120" w:line="240" w:lineRule="auto"/>
        <w:contextualSpacing w:val="0"/>
        <w:rPr>
          <w:rFonts w:asciiTheme="minorHAnsi" w:hAnsiTheme="minorHAnsi" w:cstheme="minorHAnsi"/>
          <w:sz w:val="24"/>
          <w:szCs w:val="24"/>
        </w:rPr>
      </w:pPr>
      <w:r w:rsidRPr="00907F08">
        <w:rPr>
          <w:rFonts w:asciiTheme="minorHAnsi" w:hAnsiTheme="minorHAnsi" w:cstheme="minorHAnsi"/>
          <w:sz w:val="24"/>
          <w:szCs w:val="24"/>
        </w:rPr>
        <w:t xml:space="preserve">Te </w:t>
      </w:r>
      <w:proofErr w:type="spellStart"/>
      <w:r w:rsidRPr="00907F08">
        <w:rPr>
          <w:rFonts w:asciiTheme="minorHAnsi" w:hAnsiTheme="minorHAnsi" w:cstheme="minorHAnsi"/>
          <w:sz w:val="24"/>
          <w:szCs w:val="24"/>
        </w:rPr>
        <w:t>Taunaki</w:t>
      </w:r>
      <w:proofErr w:type="spellEnd"/>
      <w:r w:rsidRPr="00907F08">
        <w:rPr>
          <w:rFonts w:asciiTheme="minorHAnsi" w:hAnsiTheme="minorHAnsi" w:cstheme="minorHAnsi"/>
          <w:sz w:val="24"/>
          <w:szCs w:val="24"/>
        </w:rPr>
        <w:t xml:space="preserve"> (Public Service Census 2021) collected information on disabled peoples’ experiences of working in the Public Service. Having this information is a step in understanding the barriers and opportunities experienced by disabled people in the Public Service.</w:t>
      </w:r>
    </w:p>
    <w:p w14:paraId="180B694C" w14:textId="186355DD" w:rsidR="001D3F10" w:rsidRPr="00907F08" w:rsidRDefault="001D3F10" w:rsidP="001D3F10">
      <w:pPr>
        <w:spacing w:before="120" w:line="240" w:lineRule="auto"/>
        <w:rPr>
          <w:rFonts w:asciiTheme="minorHAnsi" w:hAnsiTheme="minorHAnsi" w:cstheme="minorHAnsi"/>
          <w:sz w:val="24"/>
          <w:szCs w:val="24"/>
        </w:rPr>
      </w:pPr>
      <w:r w:rsidRPr="00907F08">
        <w:rPr>
          <w:rFonts w:asciiTheme="minorHAnsi" w:hAnsiTheme="minorHAnsi" w:cstheme="minorHAnsi"/>
          <w:sz w:val="24"/>
          <w:szCs w:val="24"/>
        </w:rPr>
        <w:t>This data will inform actions to progress the Public Service Commission’s inclusion and equity Kaupapa.</w:t>
      </w:r>
    </w:p>
    <w:p w14:paraId="35E1CB1D" w14:textId="61D8E34E" w:rsidR="001D3F10" w:rsidRPr="00907F08" w:rsidRDefault="001D3F10" w:rsidP="001D3F10">
      <w:pPr>
        <w:spacing w:before="120" w:line="240" w:lineRule="auto"/>
        <w:rPr>
          <w:rFonts w:asciiTheme="minorHAnsi" w:hAnsiTheme="minorHAnsi" w:cstheme="minorHAnsi"/>
          <w:sz w:val="24"/>
          <w:szCs w:val="24"/>
        </w:rPr>
      </w:pPr>
      <w:r w:rsidRPr="00907F08">
        <w:rPr>
          <w:rFonts w:asciiTheme="minorHAnsi" w:hAnsiTheme="minorHAnsi" w:cstheme="minorHAnsi"/>
          <w:sz w:val="24"/>
          <w:szCs w:val="24"/>
        </w:rPr>
        <w:t>Work to clarify guidance on lawful hiring and recruitment practices and to promote lawful best practice is currently on hold.</w:t>
      </w:r>
    </w:p>
    <w:p w14:paraId="2FB0D1F4" w14:textId="6642B333" w:rsidR="005446CC" w:rsidRPr="004D1C66" w:rsidRDefault="005446CC"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6:  Innovative labour market support and business development</w:t>
      </w:r>
    </w:p>
    <w:p w14:paraId="2D733A56" w14:textId="77777777" w:rsidR="005446CC" w:rsidRPr="004D1C66" w:rsidRDefault="005446CC" w:rsidP="00D02B78">
      <w:pPr>
        <w:pStyle w:val="ListParagraph"/>
        <w:numPr>
          <w:ilvl w:val="0"/>
          <w:numId w:val="32"/>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Policy work on employment products and services / Active Labour Market Policy system will include consideration of the needs of disabled people and people with health conditions</w:t>
      </w:r>
    </w:p>
    <w:p w14:paraId="3891ADAA" w14:textId="77777777" w:rsidR="005446CC" w:rsidRPr="004D1C66" w:rsidRDefault="005446CC" w:rsidP="00D02B78">
      <w:pPr>
        <w:pStyle w:val="ListParagraph"/>
        <w:numPr>
          <w:ilvl w:val="0"/>
          <w:numId w:val="32"/>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Explore the use of digital platforms to support disabled people and people with health conditions to get employment and to support them while they are in employment*</w:t>
      </w:r>
    </w:p>
    <w:p w14:paraId="47C023FB" w14:textId="77777777" w:rsidR="005446CC" w:rsidRPr="004D1C66" w:rsidRDefault="005446CC" w:rsidP="00D02B78">
      <w:pPr>
        <w:pStyle w:val="ListParagraph"/>
        <w:numPr>
          <w:ilvl w:val="0"/>
          <w:numId w:val="32"/>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Explore social procurement options as a mechanism for government to support disadvantaged jobseekers in partnership with employers*</w:t>
      </w:r>
    </w:p>
    <w:p w14:paraId="31312A21" w14:textId="77777777" w:rsidR="005446CC" w:rsidRPr="004D1C66" w:rsidRDefault="005446CC"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Responsibility of the Ministry of Social Development, the Ministry of Education and the Ministry of Business Innovation and Employment</w:t>
      </w:r>
    </w:p>
    <w:p w14:paraId="5726DE1F" w14:textId="0AB8C88E" w:rsidR="005446CC" w:rsidRPr="004D1C66" w:rsidRDefault="005446CC" w:rsidP="00D02B78">
      <w:pPr>
        <w:pStyle w:val="Heading4"/>
        <w:pBdr>
          <w:bottom w:val="single" w:sz="4" w:space="1" w:color="auto"/>
        </w:pBdr>
        <w:spacing w:before="120" w:line="240" w:lineRule="auto"/>
        <w:rPr>
          <w:rFonts w:asciiTheme="minorHAnsi" w:hAnsiTheme="minorHAnsi" w:cstheme="minorHAnsi"/>
        </w:rPr>
      </w:pPr>
      <w:r w:rsidRPr="004D1C66">
        <w:rPr>
          <w:rFonts w:asciiTheme="minorHAnsi" w:hAnsiTheme="minorHAnsi" w:cstheme="minorHAnsi"/>
        </w:rPr>
        <w:t xml:space="preserve">Progress report - </w:t>
      </w:r>
      <w:r w:rsidR="00907F08" w:rsidRPr="00907F08">
        <w:rPr>
          <w:rFonts w:asciiTheme="minorHAnsi" w:hAnsiTheme="minorHAnsi" w:cstheme="minorHAnsi"/>
        </w:rPr>
        <w:t xml:space="preserve">Activity highlights since October 21 dashboard                                                                                                  </w:t>
      </w:r>
    </w:p>
    <w:p w14:paraId="68E03C71" w14:textId="09866117" w:rsidR="00907F08" w:rsidRDefault="00907F08" w:rsidP="00907F08">
      <w:pPr>
        <w:pStyle w:val="ListParagraph"/>
        <w:numPr>
          <w:ilvl w:val="0"/>
          <w:numId w:val="8"/>
        </w:numPr>
        <w:spacing w:before="120" w:line="240" w:lineRule="auto"/>
        <w:contextualSpacing w:val="0"/>
        <w:rPr>
          <w:rFonts w:asciiTheme="minorHAnsi" w:hAnsiTheme="minorHAnsi" w:cstheme="minorHAnsi"/>
          <w:sz w:val="24"/>
          <w:szCs w:val="24"/>
        </w:rPr>
      </w:pPr>
      <w:r w:rsidRPr="00907F08">
        <w:rPr>
          <w:rFonts w:asciiTheme="minorHAnsi" w:hAnsiTheme="minorHAnsi" w:cstheme="minorHAnsi"/>
          <w:sz w:val="24"/>
          <w:szCs w:val="24"/>
        </w:rPr>
        <w:t>Health conditions and disabilities is one workstream within the ALMP review. Relevant work includes reviewing the potential for a more consistent provision of Customised Employment. Customised Employment as a practice is based on matching the unique strengths, needs, and interests of a job candidate, and the identified business needs of an employer, and can include customised in-work supports and training. It has an emphasis on balancing individual support with demand-side intervention. Work to date has largely been a discovery exercise ahead of engagement with external stakeholders.</w:t>
      </w:r>
    </w:p>
    <w:p w14:paraId="29248B6C" w14:textId="77777777" w:rsidR="00907F08" w:rsidRPr="00907F08" w:rsidRDefault="00907F08" w:rsidP="00907F08">
      <w:pPr>
        <w:spacing w:before="240" w:after="0" w:line="240" w:lineRule="auto"/>
        <w:rPr>
          <w:rFonts w:asciiTheme="minorHAnsi" w:hAnsiTheme="minorHAnsi" w:cstheme="minorHAnsi"/>
          <w:sz w:val="24"/>
          <w:szCs w:val="24"/>
        </w:rPr>
      </w:pPr>
      <w:r w:rsidRPr="00907F08">
        <w:rPr>
          <w:rFonts w:asciiTheme="minorHAnsi" w:hAnsiTheme="minorHAnsi" w:cstheme="minorHAnsi"/>
          <w:sz w:val="24"/>
          <w:szCs w:val="24"/>
        </w:rPr>
        <w:t>Advice from the ALMP Review is being developed for EET Ministers consideration. This workstream is likely to develop over time.</w:t>
      </w:r>
    </w:p>
    <w:p w14:paraId="03475B44" w14:textId="77777777" w:rsidR="00907F08" w:rsidRPr="00907F08" w:rsidRDefault="00907F08" w:rsidP="00907F08">
      <w:pPr>
        <w:spacing w:before="120" w:line="240" w:lineRule="auto"/>
        <w:rPr>
          <w:rFonts w:asciiTheme="minorHAnsi" w:hAnsiTheme="minorHAnsi" w:cstheme="minorHAnsi"/>
          <w:sz w:val="24"/>
          <w:szCs w:val="24"/>
        </w:rPr>
      </w:pPr>
    </w:p>
    <w:p w14:paraId="7D7BA179" w14:textId="2EBA6345" w:rsidR="00907F08" w:rsidRPr="00907F08" w:rsidRDefault="00907F08" w:rsidP="00907F08">
      <w:pPr>
        <w:pStyle w:val="ListParagraph"/>
        <w:numPr>
          <w:ilvl w:val="0"/>
          <w:numId w:val="8"/>
        </w:numPr>
        <w:spacing w:before="120" w:line="240" w:lineRule="auto"/>
        <w:contextualSpacing w:val="0"/>
        <w:rPr>
          <w:rFonts w:asciiTheme="minorHAnsi" w:hAnsiTheme="minorHAnsi" w:cstheme="minorHAnsi"/>
          <w:sz w:val="24"/>
          <w:szCs w:val="24"/>
        </w:rPr>
      </w:pPr>
      <w:r w:rsidRPr="00907F08">
        <w:rPr>
          <w:rFonts w:asciiTheme="minorHAnsi" w:hAnsiTheme="minorHAnsi" w:cstheme="minorHAnsi"/>
          <w:sz w:val="24"/>
          <w:szCs w:val="24"/>
        </w:rPr>
        <w:t>MSD is engaging with other government agencies to support the targeted employment of MSD clients. This includes developing national memorandum of understanding with agencies, and the alignment of MSD products and services to support the uptake of MSD for Broader Outcome opportunities</w:t>
      </w:r>
    </w:p>
    <w:p w14:paraId="656D4E1E" w14:textId="3EB09AEB" w:rsidR="005446CC" w:rsidRDefault="00907F08" w:rsidP="00907F08">
      <w:pPr>
        <w:pStyle w:val="ListParagraph"/>
        <w:numPr>
          <w:ilvl w:val="0"/>
          <w:numId w:val="8"/>
        </w:numPr>
        <w:spacing w:before="120" w:line="240" w:lineRule="auto"/>
        <w:contextualSpacing w:val="0"/>
        <w:rPr>
          <w:rFonts w:asciiTheme="minorHAnsi" w:hAnsiTheme="minorHAnsi" w:cstheme="minorHAnsi"/>
          <w:sz w:val="24"/>
          <w:szCs w:val="24"/>
        </w:rPr>
      </w:pPr>
      <w:r w:rsidRPr="00907F08">
        <w:rPr>
          <w:rFonts w:asciiTheme="minorHAnsi" w:hAnsiTheme="minorHAnsi" w:cstheme="minorHAnsi"/>
          <w:sz w:val="24"/>
          <w:szCs w:val="24"/>
        </w:rPr>
        <w:t xml:space="preserve">The </w:t>
      </w:r>
      <w:proofErr w:type="spellStart"/>
      <w:r w:rsidRPr="00907F08">
        <w:rPr>
          <w:rFonts w:asciiTheme="minorHAnsi" w:hAnsiTheme="minorHAnsi" w:cstheme="minorHAnsi"/>
          <w:sz w:val="24"/>
          <w:szCs w:val="24"/>
        </w:rPr>
        <w:t>Whītiki</w:t>
      </w:r>
      <w:proofErr w:type="spellEnd"/>
      <w:r w:rsidRPr="00907F08">
        <w:rPr>
          <w:rFonts w:asciiTheme="minorHAnsi" w:hAnsiTheme="minorHAnsi" w:cstheme="minorHAnsi"/>
          <w:sz w:val="24"/>
          <w:szCs w:val="24"/>
        </w:rPr>
        <w:t xml:space="preserve"> </w:t>
      </w:r>
      <w:proofErr w:type="spellStart"/>
      <w:r w:rsidRPr="00907F08">
        <w:rPr>
          <w:rFonts w:asciiTheme="minorHAnsi" w:hAnsiTheme="minorHAnsi" w:cstheme="minorHAnsi"/>
          <w:sz w:val="24"/>
          <w:szCs w:val="24"/>
        </w:rPr>
        <w:t>Tauā</w:t>
      </w:r>
      <w:proofErr w:type="spellEnd"/>
      <w:r w:rsidRPr="00907F08">
        <w:rPr>
          <w:rFonts w:asciiTheme="minorHAnsi" w:hAnsiTheme="minorHAnsi" w:cstheme="minorHAnsi"/>
          <w:sz w:val="24"/>
          <w:szCs w:val="24"/>
        </w:rPr>
        <w:t xml:space="preserve"> virtual mentoring service, which connects participants to a dedicated mentor for up to 12 months, has been available to Mana in Mahi participants since 2020. In April, the service and was expanded to South Island youth on a benefit/entering work from benefit.</w:t>
      </w:r>
    </w:p>
    <w:p w14:paraId="18340649" w14:textId="44987EEC" w:rsidR="00907F08" w:rsidRPr="00907F08" w:rsidRDefault="00907F08" w:rsidP="00907F08">
      <w:pPr>
        <w:spacing w:before="120" w:line="240" w:lineRule="auto"/>
        <w:rPr>
          <w:rFonts w:asciiTheme="minorHAnsi" w:hAnsiTheme="minorHAnsi" w:cstheme="minorHAnsi"/>
          <w:sz w:val="24"/>
          <w:szCs w:val="24"/>
        </w:rPr>
      </w:pPr>
      <w:r w:rsidRPr="00907F08">
        <w:rPr>
          <w:rFonts w:asciiTheme="minorHAnsi" w:hAnsiTheme="minorHAnsi" w:cstheme="minorHAnsi"/>
          <w:sz w:val="24"/>
          <w:szCs w:val="24"/>
        </w:rPr>
        <w:t>There are further plans in place to expand to the rest of New Zealand.</w:t>
      </w:r>
    </w:p>
    <w:p w14:paraId="23CFAD10" w14:textId="49359ABD" w:rsidR="00F059D3" w:rsidRPr="00F059D3" w:rsidRDefault="004D1C66" w:rsidP="00D02B78">
      <w:pPr>
        <w:pStyle w:val="Heading2"/>
        <w:spacing w:before="120" w:line="240" w:lineRule="auto"/>
        <w:rPr>
          <w:rFonts w:asciiTheme="minorHAnsi" w:hAnsiTheme="minorHAnsi" w:cstheme="minorHAnsi"/>
        </w:rPr>
      </w:pPr>
      <w:r w:rsidRPr="00F059D3">
        <w:rPr>
          <w:rFonts w:asciiTheme="minorHAnsi" w:hAnsiTheme="minorHAnsi" w:cstheme="minorHAnsi"/>
        </w:rPr>
        <w:t xml:space="preserve">Long-term impact: </w:t>
      </w:r>
    </w:p>
    <w:p w14:paraId="16CF09D8" w14:textId="6B4DD420" w:rsidR="004D1C66" w:rsidRPr="004D1C66" w:rsidRDefault="004D1C66" w:rsidP="00D02B78">
      <w:pPr>
        <w:pStyle w:val="Heading2"/>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The goal of this action plan is to help ensure disabled people and people with health conditions have an equal opportunity to access good work. </w:t>
      </w:r>
    </w:p>
    <w:p w14:paraId="1FB965B5" w14:textId="77777777" w:rsidR="004D1C66"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color w:val="000000"/>
          <w:sz w:val="24"/>
          <w:szCs w:val="24"/>
          <w:shd w:val="clear" w:color="auto" w:fill="FFFFFF"/>
        </w:rPr>
        <w:t>The Household Labour Force Survey (HLFS) June quarter helps to measure progress on this goal as it shows the labour market outcome gaps between disabled people and non-disabled people (</w:t>
      </w:r>
      <w:r w:rsidRPr="004D1C66">
        <w:rPr>
          <w:rFonts w:asciiTheme="minorHAnsi" w:hAnsiTheme="minorHAnsi" w:cstheme="minorHAnsi"/>
          <w:sz w:val="24"/>
          <w:szCs w:val="24"/>
        </w:rPr>
        <w:t xml:space="preserve">Source: Stats </w:t>
      </w:r>
      <w:proofErr w:type="gramStart"/>
      <w:r w:rsidRPr="004D1C66">
        <w:rPr>
          <w:rFonts w:asciiTheme="minorHAnsi" w:hAnsiTheme="minorHAnsi" w:cstheme="minorHAnsi"/>
          <w:sz w:val="24"/>
          <w:szCs w:val="24"/>
        </w:rPr>
        <w:t>NZ)*</w:t>
      </w:r>
      <w:proofErr w:type="gramEnd"/>
    </w:p>
    <w:p w14:paraId="267F9A1C" w14:textId="77777777" w:rsidR="004D1C66"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*Note: a comparison with the HLFS data in previous years is not included in this dashboard because the changes are not statistically significant.</w:t>
      </w:r>
    </w:p>
    <w:p w14:paraId="0847F759" w14:textId="2B378444" w:rsidR="004D1C66" w:rsidRPr="00F059D3" w:rsidRDefault="004D1C66" w:rsidP="00D02B78">
      <w:pPr>
        <w:pStyle w:val="Heading2"/>
        <w:spacing w:before="120" w:line="240" w:lineRule="auto"/>
        <w:rPr>
          <w:rFonts w:asciiTheme="minorHAnsi" w:hAnsiTheme="minorHAnsi" w:cstheme="minorHAnsi"/>
        </w:rPr>
      </w:pPr>
      <w:r w:rsidRPr="00F059D3">
        <w:rPr>
          <w:rFonts w:asciiTheme="minorHAnsi" w:hAnsiTheme="minorHAnsi" w:cstheme="minorHAnsi"/>
        </w:rPr>
        <w:t>Outcome Gap June 202</w:t>
      </w:r>
      <w:r w:rsidR="00907F08">
        <w:rPr>
          <w:rFonts w:asciiTheme="minorHAnsi" w:hAnsiTheme="minorHAnsi" w:cstheme="minorHAnsi"/>
        </w:rPr>
        <w:t>2</w:t>
      </w:r>
      <w:r w:rsidRPr="00F059D3">
        <w:rPr>
          <w:rFonts w:asciiTheme="minorHAnsi" w:hAnsiTheme="minorHAnsi" w:cstheme="minorHAnsi"/>
        </w:rPr>
        <w:t xml:space="preserve"> (HLFS data for people aged 15-64 years) </w:t>
      </w:r>
    </w:p>
    <w:p w14:paraId="4BE8B645"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NEET rate (15-25 years): </w:t>
      </w:r>
    </w:p>
    <w:p w14:paraId="7EB978F3" w14:textId="785098B3"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Pr="004D1C66">
        <w:rPr>
          <w:rFonts w:asciiTheme="minorHAnsi" w:hAnsiTheme="minorHAnsi" w:cstheme="minorHAnsi"/>
          <w:color w:val="000000"/>
          <w:sz w:val="24"/>
          <w:szCs w:val="24"/>
        </w:rPr>
        <w:t>3</w:t>
      </w:r>
      <w:r w:rsidR="00907F08">
        <w:rPr>
          <w:rFonts w:asciiTheme="minorHAnsi" w:hAnsiTheme="minorHAnsi" w:cstheme="minorHAnsi"/>
          <w:color w:val="000000"/>
          <w:sz w:val="24"/>
          <w:szCs w:val="24"/>
        </w:rPr>
        <w:t>2.4</w:t>
      </w:r>
      <w:r w:rsidRPr="004D1C66">
        <w:rPr>
          <w:rFonts w:asciiTheme="minorHAnsi" w:hAnsiTheme="minorHAnsi" w:cstheme="minorHAnsi"/>
          <w:color w:val="000000"/>
          <w:sz w:val="24"/>
          <w:szCs w:val="24"/>
        </w:rPr>
        <w:t>%</w:t>
      </w:r>
    </w:p>
    <w:p w14:paraId="39A563F6" w14:textId="40DA6E21"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Non-disabled people 10.</w:t>
      </w:r>
      <w:r w:rsidR="00907F08">
        <w:rPr>
          <w:rFonts w:asciiTheme="minorHAnsi" w:hAnsiTheme="minorHAnsi" w:cstheme="minorHAnsi"/>
          <w:sz w:val="24"/>
          <w:szCs w:val="24"/>
        </w:rPr>
        <w:t>0</w:t>
      </w:r>
      <w:r w:rsidRPr="004D1C66">
        <w:rPr>
          <w:rFonts w:asciiTheme="minorHAnsi" w:hAnsiTheme="minorHAnsi" w:cstheme="minorHAnsi"/>
          <w:sz w:val="24"/>
          <w:szCs w:val="24"/>
        </w:rPr>
        <w:t>%</w:t>
      </w:r>
    </w:p>
    <w:p w14:paraId="18F8A79D"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Employment rate:</w:t>
      </w:r>
    </w:p>
    <w:p w14:paraId="7CCB3394" w14:textId="561F8C51"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Pr="004D1C66">
        <w:rPr>
          <w:rFonts w:asciiTheme="minorHAnsi" w:hAnsiTheme="minorHAnsi" w:cstheme="minorHAnsi"/>
          <w:color w:val="000000"/>
          <w:sz w:val="24"/>
          <w:szCs w:val="24"/>
        </w:rPr>
        <w:t>4</w:t>
      </w:r>
      <w:r w:rsidR="00907F08">
        <w:rPr>
          <w:rFonts w:asciiTheme="minorHAnsi" w:hAnsiTheme="minorHAnsi" w:cstheme="minorHAnsi"/>
          <w:color w:val="000000"/>
          <w:sz w:val="24"/>
          <w:szCs w:val="24"/>
        </w:rPr>
        <w:t>1</w:t>
      </w:r>
      <w:r w:rsidRPr="004D1C66">
        <w:rPr>
          <w:rFonts w:asciiTheme="minorHAnsi" w:hAnsiTheme="minorHAnsi" w:cstheme="minorHAnsi"/>
          <w:color w:val="000000"/>
          <w:sz w:val="24"/>
          <w:szCs w:val="24"/>
        </w:rPr>
        <w:t>.5%</w:t>
      </w:r>
      <w:r w:rsidRPr="004D1C66">
        <w:rPr>
          <w:rFonts w:asciiTheme="minorHAnsi" w:hAnsiTheme="minorHAnsi" w:cstheme="minorHAnsi"/>
          <w:sz w:val="24"/>
          <w:szCs w:val="24"/>
        </w:rPr>
        <w:t xml:space="preserve"> </w:t>
      </w:r>
    </w:p>
    <w:p w14:paraId="4C5E0EB4" w14:textId="1933384A"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Non-disabled people </w:t>
      </w:r>
      <w:r w:rsidR="00907F08">
        <w:rPr>
          <w:rFonts w:asciiTheme="minorHAnsi" w:hAnsiTheme="minorHAnsi" w:cstheme="minorHAnsi"/>
          <w:sz w:val="24"/>
          <w:szCs w:val="24"/>
        </w:rPr>
        <w:t>80.4%</w:t>
      </w:r>
      <w:r w:rsidRPr="004D1C66">
        <w:rPr>
          <w:rFonts w:asciiTheme="minorHAnsi" w:hAnsiTheme="minorHAnsi" w:cstheme="minorHAnsi"/>
          <w:sz w:val="24"/>
          <w:szCs w:val="24"/>
        </w:rPr>
        <w:t xml:space="preserve"> </w:t>
      </w:r>
    </w:p>
    <w:p w14:paraId="1643044F" w14:textId="19075AC0"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color w:val="000000"/>
          <w:sz w:val="24"/>
          <w:szCs w:val="24"/>
        </w:rPr>
        <w:t xml:space="preserve">Outcome gap of </w:t>
      </w:r>
      <w:r w:rsidR="00907F08">
        <w:rPr>
          <w:rFonts w:asciiTheme="minorHAnsi" w:hAnsiTheme="minorHAnsi" w:cstheme="minorHAnsi"/>
          <w:sz w:val="24"/>
          <w:szCs w:val="24"/>
        </w:rPr>
        <w:t>38.9</w:t>
      </w:r>
    </w:p>
    <w:p w14:paraId="24090F1C"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Labour Market Participation Rate: </w:t>
      </w:r>
    </w:p>
    <w:p w14:paraId="177C7C13" w14:textId="5DEF03BD"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Disabled people </w:t>
      </w:r>
      <w:r w:rsidRPr="004D1C66">
        <w:rPr>
          <w:rFonts w:asciiTheme="minorHAnsi" w:hAnsiTheme="minorHAnsi" w:cstheme="minorHAnsi"/>
          <w:color w:val="000000"/>
          <w:sz w:val="24"/>
          <w:szCs w:val="24"/>
        </w:rPr>
        <w:t>4</w:t>
      </w:r>
      <w:r w:rsidR="00907F08">
        <w:rPr>
          <w:rFonts w:asciiTheme="minorHAnsi" w:hAnsiTheme="minorHAnsi" w:cstheme="minorHAnsi"/>
          <w:color w:val="000000"/>
          <w:sz w:val="24"/>
          <w:szCs w:val="24"/>
        </w:rPr>
        <w:t>5</w:t>
      </w:r>
      <w:r w:rsidRPr="004D1C66">
        <w:rPr>
          <w:rFonts w:asciiTheme="minorHAnsi" w:hAnsiTheme="minorHAnsi" w:cstheme="minorHAnsi"/>
          <w:color w:val="000000"/>
          <w:sz w:val="24"/>
          <w:szCs w:val="24"/>
        </w:rPr>
        <w:t>.0%</w:t>
      </w:r>
    </w:p>
    <w:p w14:paraId="5C7459EB" w14:textId="08DF12C7"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Non-disabled people </w:t>
      </w:r>
      <w:r w:rsidRPr="004D1C66">
        <w:rPr>
          <w:rFonts w:asciiTheme="minorHAnsi" w:hAnsiTheme="minorHAnsi" w:cstheme="minorHAnsi"/>
          <w:color w:val="000000"/>
          <w:sz w:val="24"/>
          <w:szCs w:val="24"/>
        </w:rPr>
        <w:t>8</w:t>
      </w:r>
      <w:r w:rsidR="00907F08">
        <w:rPr>
          <w:rFonts w:asciiTheme="minorHAnsi" w:hAnsiTheme="minorHAnsi" w:cstheme="minorHAnsi"/>
          <w:color w:val="000000"/>
          <w:sz w:val="24"/>
          <w:szCs w:val="24"/>
        </w:rPr>
        <w:t>3</w:t>
      </w:r>
      <w:r w:rsidRPr="004D1C66">
        <w:rPr>
          <w:rFonts w:asciiTheme="minorHAnsi" w:hAnsiTheme="minorHAnsi" w:cstheme="minorHAnsi"/>
          <w:color w:val="000000"/>
          <w:sz w:val="24"/>
          <w:szCs w:val="24"/>
        </w:rPr>
        <w:t xml:space="preserve">.1% </w:t>
      </w:r>
    </w:p>
    <w:p w14:paraId="0A9578CC" w14:textId="60B833FE"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color w:val="000000"/>
          <w:sz w:val="24"/>
          <w:szCs w:val="24"/>
        </w:rPr>
        <w:t xml:space="preserve">Outcome gap of </w:t>
      </w:r>
      <w:r w:rsidRPr="004D1C66">
        <w:rPr>
          <w:rFonts w:asciiTheme="minorHAnsi" w:hAnsiTheme="minorHAnsi" w:cstheme="minorHAnsi"/>
          <w:sz w:val="24"/>
          <w:szCs w:val="24"/>
        </w:rPr>
        <w:t>3</w:t>
      </w:r>
      <w:r w:rsidR="00907F08">
        <w:rPr>
          <w:rFonts w:asciiTheme="minorHAnsi" w:hAnsiTheme="minorHAnsi" w:cstheme="minorHAnsi"/>
          <w:sz w:val="24"/>
          <w:szCs w:val="24"/>
        </w:rPr>
        <w:t>8</w:t>
      </w:r>
      <w:r w:rsidRPr="004D1C66">
        <w:rPr>
          <w:rFonts w:asciiTheme="minorHAnsi" w:hAnsiTheme="minorHAnsi" w:cstheme="minorHAnsi"/>
          <w:sz w:val="24"/>
          <w:szCs w:val="24"/>
        </w:rPr>
        <w:t>.1</w:t>
      </w:r>
    </w:p>
    <w:p w14:paraId="2347D27F"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Unemployment Rate:  </w:t>
      </w:r>
    </w:p>
    <w:p w14:paraId="207EA880" w14:textId="3003F827"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00907F08">
        <w:rPr>
          <w:rFonts w:asciiTheme="minorHAnsi" w:hAnsiTheme="minorHAnsi" w:cstheme="minorHAnsi"/>
          <w:sz w:val="24"/>
          <w:szCs w:val="24"/>
        </w:rPr>
        <w:t>7.9</w:t>
      </w:r>
      <w:r w:rsidRPr="004D1C66">
        <w:rPr>
          <w:rFonts w:asciiTheme="minorHAnsi" w:hAnsiTheme="minorHAnsi" w:cstheme="minorHAnsi"/>
          <w:sz w:val="24"/>
          <w:szCs w:val="24"/>
        </w:rPr>
        <w:t>%</w:t>
      </w:r>
    </w:p>
    <w:p w14:paraId="70573A73" w14:textId="28D15F4D"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Non-disabled people </w:t>
      </w:r>
      <w:r w:rsidR="00907F08">
        <w:rPr>
          <w:rFonts w:asciiTheme="minorHAnsi" w:hAnsiTheme="minorHAnsi" w:cstheme="minorHAnsi"/>
          <w:sz w:val="24"/>
          <w:szCs w:val="24"/>
        </w:rPr>
        <w:t>3.3</w:t>
      </w:r>
      <w:r w:rsidRPr="004D1C66">
        <w:rPr>
          <w:rFonts w:asciiTheme="minorHAnsi" w:hAnsiTheme="minorHAnsi" w:cstheme="minorHAnsi"/>
          <w:sz w:val="24"/>
          <w:szCs w:val="24"/>
        </w:rPr>
        <w:t xml:space="preserve">% </w:t>
      </w:r>
    </w:p>
    <w:p w14:paraId="1563284F" w14:textId="127A08A7"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color w:val="000000"/>
          <w:sz w:val="24"/>
          <w:szCs w:val="24"/>
        </w:rPr>
        <w:t xml:space="preserve">Outcome gap of </w:t>
      </w:r>
      <w:r w:rsidR="00907F08">
        <w:rPr>
          <w:rFonts w:asciiTheme="minorHAnsi" w:hAnsiTheme="minorHAnsi" w:cstheme="minorHAnsi"/>
          <w:color w:val="000000"/>
          <w:sz w:val="24"/>
          <w:szCs w:val="24"/>
        </w:rPr>
        <w:t>4</w:t>
      </w:r>
      <w:r w:rsidRPr="004D1C66">
        <w:rPr>
          <w:rFonts w:asciiTheme="minorHAnsi" w:hAnsiTheme="minorHAnsi" w:cstheme="minorHAnsi"/>
          <w:sz w:val="24"/>
          <w:szCs w:val="24"/>
        </w:rPr>
        <w:t>.6</w:t>
      </w:r>
    </w:p>
    <w:p w14:paraId="180E0DD5"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Median Weekly Income (wages/salaries):  </w:t>
      </w:r>
    </w:p>
    <w:p w14:paraId="3BC1F410" w14:textId="5EB07A00"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Disabled people $96</w:t>
      </w:r>
      <w:r w:rsidR="00907F08">
        <w:rPr>
          <w:rFonts w:asciiTheme="minorHAnsi" w:hAnsiTheme="minorHAnsi" w:cstheme="minorHAnsi"/>
          <w:sz w:val="24"/>
          <w:szCs w:val="24"/>
        </w:rPr>
        <w:t>0</w:t>
      </w:r>
    </w:p>
    <w:p w14:paraId="17C2BCF7" w14:textId="4C62A4A8"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Non-disabled people $1,</w:t>
      </w:r>
      <w:r w:rsidR="00907F08">
        <w:rPr>
          <w:rFonts w:asciiTheme="minorHAnsi" w:hAnsiTheme="minorHAnsi" w:cstheme="minorHAnsi"/>
          <w:sz w:val="24"/>
          <w:szCs w:val="24"/>
        </w:rPr>
        <w:t>200</w:t>
      </w:r>
    </w:p>
    <w:p w14:paraId="6E356185" w14:textId="5DCF26FB"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D02B78">
        <w:rPr>
          <w:rFonts w:asciiTheme="minorHAnsi" w:hAnsiTheme="minorHAnsi" w:cstheme="minorHAnsi"/>
          <w:sz w:val="24"/>
          <w:szCs w:val="24"/>
        </w:rPr>
        <w:t xml:space="preserve">Outcome gap of </w:t>
      </w:r>
      <w:r w:rsidRPr="004D1C66">
        <w:rPr>
          <w:rFonts w:asciiTheme="minorHAnsi" w:hAnsiTheme="minorHAnsi" w:cstheme="minorHAnsi"/>
          <w:sz w:val="24"/>
          <w:szCs w:val="24"/>
        </w:rPr>
        <w:t>$</w:t>
      </w:r>
      <w:r w:rsidR="00907F08">
        <w:rPr>
          <w:rFonts w:asciiTheme="minorHAnsi" w:hAnsiTheme="minorHAnsi" w:cstheme="minorHAnsi"/>
          <w:sz w:val="24"/>
          <w:szCs w:val="24"/>
        </w:rPr>
        <w:t>240</w:t>
      </w:r>
    </w:p>
    <w:p w14:paraId="10EB0D8D" w14:textId="30568760"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Underutilisation </w:t>
      </w:r>
      <w:proofErr w:type="gramStart"/>
      <w:r w:rsidRPr="004D1C66">
        <w:rPr>
          <w:rFonts w:asciiTheme="minorHAnsi" w:hAnsiTheme="minorHAnsi" w:cstheme="minorHAnsi"/>
        </w:rPr>
        <w:t>-</w:t>
      </w:r>
      <w:r w:rsidRPr="004D1C66">
        <w:rPr>
          <w:rFonts w:asciiTheme="minorHAnsi" w:hAnsiTheme="minorHAnsi" w:cstheme="minorHAnsi"/>
          <w:b w:val="0"/>
          <w:bCs/>
        </w:rPr>
        <w:t>(</w:t>
      </w:r>
      <w:proofErr w:type="gramEnd"/>
      <w:r w:rsidR="00907F08" w:rsidRPr="00907F08">
        <w:rPr>
          <w:rFonts w:asciiTheme="minorHAnsi" w:hAnsiTheme="minorHAnsi" w:cstheme="minorHAnsi"/>
          <w:b w:val="0"/>
          <w:bCs/>
        </w:rPr>
        <w:t>combines people who are unemployed, underemployed or who are just outside of the labour market, including people who are discouraged. It is a broader measure of untapped labour market participation than the unemployment rate alone.</w:t>
      </w:r>
      <w:r w:rsidRPr="004D1C66">
        <w:rPr>
          <w:rFonts w:asciiTheme="minorHAnsi" w:hAnsiTheme="minorHAnsi" w:cstheme="minorHAnsi"/>
          <w:b w:val="0"/>
          <w:bCs/>
        </w:rPr>
        <w:t>)</w:t>
      </w:r>
    </w:p>
    <w:p w14:paraId="247392CC" w14:textId="338983B6" w:rsidR="004D1C66"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00907F08">
        <w:rPr>
          <w:rFonts w:asciiTheme="minorHAnsi" w:hAnsiTheme="minorHAnsi" w:cstheme="minorHAnsi"/>
          <w:sz w:val="24"/>
          <w:szCs w:val="24"/>
        </w:rPr>
        <w:t>21</w:t>
      </w:r>
      <w:r w:rsidRPr="004D1C66">
        <w:rPr>
          <w:rFonts w:asciiTheme="minorHAnsi" w:hAnsiTheme="minorHAnsi" w:cstheme="minorHAnsi"/>
          <w:sz w:val="24"/>
          <w:szCs w:val="24"/>
        </w:rPr>
        <w:t>.</w:t>
      </w:r>
      <w:r w:rsidR="00907F08">
        <w:rPr>
          <w:rFonts w:asciiTheme="minorHAnsi" w:hAnsiTheme="minorHAnsi" w:cstheme="minorHAnsi"/>
          <w:sz w:val="24"/>
          <w:szCs w:val="24"/>
        </w:rPr>
        <w:t>5</w:t>
      </w:r>
      <w:r w:rsidRPr="004D1C66">
        <w:rPr>
          <w:rFonts w:asciiTheme="minorHAnsi" w:hAnsiTheme="minorHAnsi" w:cstheme="minorHAnsi"/>
          <w:sz w:val="24"/>
          <w:szCs w:val="24"/>
        </w:rPr>
        <w:t>%</w:t>
      </w:r>
    </w:p>
    <w:p w14:paraId="00D354E9" w14:textId="714BA9F7" w:rsidR="004D1C66"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Non-disabled people: </w:t>
      </w:r>
      <w:r w:rsidR="00907F08">
        <w:rPr>
          <w:rFonts w:asciiTheme="minorHAnsi" w:hAnsiTheme="minorHAnsi" w:cstheme="minorHAnsi"/>
          <w:sz w:val="24"/>
          <w:szCs w:val="24"/>
        </w:rPr>
        <w:t>8.9</w:t>
      </w:r>
      <w:r w:rsidRPr="004D1C66">
        <w:rPr>
          <w:rFonts w:asciiTheme="minorHAnsi" w:hAnsiTheme="minorHAnsi" w:cstheme="minorHAnsi"/>
          <w:sz w:val="24"/>
          <w:szCs w:val="24"/>
        </w:rPr>
        <w:t>%</w:t>
      </w:r>
    </w:p>
    <w:p w14:paraId="466D15FB" w14:textId="2DBFB69A" w:rsidR="004D1C66"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Outcome gap: 1</w:t>
      </w:r>
      <w:r w:rsidR="00907F08">
        <w:rPr>
          <w:rFonts w:asciiTheme="minorHAnsi" w:hAnsiTheme="minorHAnsi" w:cstheme="minorHAnsi"/>
          <w:sz w:val="24"/>
          <w:szCs w:val="24"/>
        </w:rPr>
        <w:t>2</w:t>
      </w:r>
      <w:r w:rsidRPr="004D1C66">
        <w:rPr>
          <w:rFonts w:asciiTheme="minorHAnsi" w:hAnsiTheme="minorHAnsi" w:cstheme="minorHAnsi"/>
          <w:sz w:val="24"/>
          <w:szCs w:val="24"/>
        </w:rPr>
        <w:t>.</w:t>
      </w:r>
      <w:r w:rsidR="00907F08">
        <w:rPr>
          <w:rFonts w:asciiTheme="minorHAnsi" w:hAnsiTheme="minorHAnsi" w:cstheme="minorHAnsi"/>
          <w:sz w:val="24"/>
          <w:szCs w:val="24"/>
        </w:rPr>
        <w:t>6</w:t>
      </w:r>
    </w:p>
    <w:p w14:paraId="08123FA4"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Disability related benefits - Numbers </w:t>
      </w:r>
      <w:proofErr w:type="gramStart"/>
      <w:r w:rsidRPr="004D1C66">
        <w:rPr>
          <w:rFonts w:asciiTheme="minorHAnsi" w:hAnsiTheme="minorHAnsi" w:cstheme="minorHAnsi"/>
        </w:rPr>
        <w:t>at a glance</w:t>
      </w:r>
      <w:proofErr w:type="gramEnd"/>
    </w:p>
    <w:p w14:paraId="3F202E66" w14:textId="77777777" w:rsidR="004D1C66" w:rsidRPr="004D1C66" w:rsidRDefault="004D1C66" w:rsidP="00D02B78">
      <w:pPr>
        <w:spacing w:before="120" w:line="240" w:lineRule="auto"/>
        <w:rPr>
          <w:rFonts w:asciiTheme="minorHAnsi" w:hAnsiTheme="minorHAnsi" w:cstheme="minorHAnsi"/>
          <w:color w:val="0B0C0C"/>
          <w:sz w:val="24"/>
          <w:szCs w:val="24"/>
          <w:lang w:eastAsia="en-NZ"/>
        </w:rPr>
      </w:pPr>
      <w:r w:rsidRPr="004D1C66">
        <w:rPr>
          <w:rFonts w:asciiTheme="minorHAnsi" w:hAnsiTheme="minorHAnsi" w:cstheme="minorHAnsi"/>
          <w:b/>
          <w:bCs/>
          <w:color w:val="0B0C0C"/>
          <w:sz w:val="24"/>
          <w:szCs w:val="24"/>
          <w:lang w:eastAsia="en-NZ"/>
        </w:rPr>
        <w:t>Supported Living Payment</w:t>
      </w:r>
      <w:r w:rsidRPr="004D1C66">
        <w:rPr>
          <w:rFonts w:asciiTheme="minorHAnsi" w:hAnsiTheme="minorHAnsi" w:cstheme="minorHAnsi"/>
          <w:color w:val="0B0C0C"/>
          <w:sz w:val="24"/>
          <w:szCs w:val="24"/>
          <w:lang w:eastAsia="en-NZ"/>
        </w:rPr>
        <w:t xml:space="preserve"> (SLP) </w:t>
      </w:r>
      <w:r w:rsidRPr="004D1C66">
        <w:rPr>
          <w:rFonts w:asciiTheme="minorHAnsi" w:hAnsiTheme="minorHAnsi" w:cstheme="minorHAnsi"/>
          <w:sz w:val="24"/>
          <w:szCs w:val="24"/>
        </w:rPr>
        <w:t>for people who have, or care for someone with, a health condition or disability that severely limits their ability to work on a long-term basis.</w:t>
      </w:r>
    </w:p>
    <w:p w14:paraId="50A0E542" w14:textId="1AE417AB" w:rsidR="004D1C66" w:rsidRPr="004D1C66" w:rsidRDefault="004D1C66" w:rsidP="00D02B78">
      <w:pPr>
        <w:spacing w:before="120" w:line="240" w:lineRule="auto"/>
        <w:rPr>
          <w:rFonts w:asciiTheme="minorHAnsi" w:hAnsiTheme="minorHAnsi" w:cstheme="minorHAnsi"/>
          <w:color w:val="0B0C0C"/>
          <w:sz w:val="24"/>
          <w:szCs w:val="24"/>
          <w:lang w:eastAsia="en-NZ"/>
        </w:rPr>
      </w:pPr>
      <w:r w:rsidRPr="00907F08">
        <w:rPr>
          <w:rFonts w:asciiTheme="minorHAnsi" w:hAnsiTheme="minorHAnsi" w:cstheme="minorHAnsi"/>
          <w:b/>
          <w:bCs/>
          <w:color w:val="0B0C0C"/>
          <w:sz w:val="24"/>
          <w:szCs w:val="24"/>
          <w:lang w:eastAsia="en-NZ"/>
        </w:rPr>
        <w:t>9</w:t>
      </w:r>
      <w:r w:rsidR="00907F08" w:rsidRPr="00907F08">
        <w:rPr>
          <w:rFonts w:asciiTheme="minorHAnsi" w:hAnsiTheme="minorHAnsi" w:cstheme="minorHAnsi"/>
          <w:b/>
          <w:bCs/>
          <w:color w:val="0B0C0C"/>
          <w:sz w:val="24"/>
          <w:szCs w:val="24"/>
          <w:lang w:eastAsia="en-NZ"/>
        </w:rPr>
        <w:t>5</w:t>
      </w:r>
      <w:r w:rsidRPr="00907F08">
        <w:rPr>
          <w:rFonts w:asciiTheme="minorHAnsi" w:hAnsiTheme="minorHAnsi" w:cstheme="minorHAnsi"/>
          <w:b/>
          <w:bCs/>
          <w:color w:val="0B0C0C"/>
          <w:sz w:val="24"/>
          <w:szCs w:val="24"/>
          <w:lang w:eastAsia="en-NZ"/>
        </w:rPr>
        <w:t>,</w:t>
      </w:r>
      <w:r w:rsidR="00907F08" w:rsidRPr="00907F08">
        <w:rPr>
          <w:rFonts w:asciiTheme="minorHAnsi" w:hAnsiTheme="minorHAnsi" w:cstheme="minorHAnsi"/>
          <w:b/>
          <w:bCs/>
          <w:color w:val="0B0C0C"/>
          <w:sz w:val="24"/>
          <w:szCs w:val="24"/>
          <w:lang w:eastAsia="en-NZ"/>
        </w:rPr>
        <w:t>550</w:t>
      </w:r>
      <w:r w:rsidRPr="004D1C66">
        <w:rPr>
          <w:rFonts w:asciiTheme="minorHAnsi" w:hAnsiTheme="minorHAnsi" w:cstheme="minorHAnsi"/>
          <w:b/>
          <w:bCs/>
          <w:color w:val="0B0C0C"/>
          <w:sz w:val="24"/>
          <w:szCs w:val="24"/>
          <w:lang w:eastAsia="en-NZ"/>
        </w:rPr>
        <w:t xml:space="preserve"> people</w:t>
      </w:r>
      <w:r w:rsidRPr="004D1C66">
        <w:rPr>
          <w:rFonts w:asciiTheme="minorHAnsi" w:hAnsiTheme="minorHAnsi" w:cstheme="minorHAnsi"/>
          <w:color w:val="0B0C0C"/>
          <w:sz w:val="24"/>
          <w:szCs w:val="24"/>
          <w:lang w:eastAsia="en-NZ"/>
        </w:rPr>
        <w:t xml:space="preserve"> were receiving SLP at the end of </w:t>
      </w:r>
      <w:r w:rsidR="00907F08">
        <w:rPr>
          <w:rFonts w:asciiTheme="minorHAnsi" w:hAnsiTheme="minorHAnsi" w:cstheme="minorHAnsi"/>
          <w:color w:val="0B0C0C"/>
          <w:sz w:val="24"/>
          <w:szCs w:val="24"/>
          <w:lang w:eastAsia="en-NZ"/>
        </w:rPr>
        <w:t xml:space="preserve">April 2022 which is 1.1% up </w:t>
      </w:r>
      <w:proofErr w:type="gramStart"/>
      <w:r w:rsidR="00907F08">
        <w:rPr>
          <w:rFonts w:asciiTheme="minorHAnsi" w:hAnsiTheme="minorHAnsi" w:cstheme="minorHAnsi"/>
          <w:color w:val="0B0C0C"/>
          <w:sz w:val="24"/>
          <w:szCs w:val="24"/>
          <w:lang w:eastAsia="en-NZ"/>
        </w:rPr>
        <w:t>on</w:t>
      </w:r>
      <w:proofErr w:type="gramEnd"/>
      <w:r w:rsidR="00907F08">
        <w:rPr>
          <w:rFonts w:asciiTheme="minorHAnsi" w:hAnsiTheme="minorHAnsi" w:cstheme="minorHAnsi"/>
          <w:color w:val="0B0C0C"/>
          <w:sz w:val="24"/>
          <w:szCs w:val="24"/>
          <w:lang w:eastAsia="en-NZ"/>
        </w:rPr>
        <w:t xml:space="preserve"> April 2021. </w:t>
      </w:r>
    </w:p>
    <w:p w14:paraId="4787E586" w14:textId="77777777" w:rsidR="004D1C66" w:rsidRPr="004D1C66" w:rsidRDefault="004D1C66" w:rsidP="00D02B78">
      <w:pPr>
        <w:spacing w:before="120" w:line="240" w:lineRule="auto"/>
        <w:rPr>
          <w:rFonts w:asciiTheme="minorHAnsi" w:hAnsiTheme="minorHAnsi" w:cstheme="minorHAnsi"/>
          <w:color w:val="0B0C0C"/>
          <w:sz w:val="24"/>
          <w:szCs w:val="24"/>
          <w:lang w:eastAsia="en-NZ"/>
        </w:rPr>
      </w:pPr>
      <w:r w:rsidRPr="004D1C66">
        <w:rPr>
          <w:rFonts w:asciiTheme="minorHAnsi" w:hAnsiTheme="minorHAnsi" w:cstheme="minorHAnsi"/>
          <w:b/>
          <w:bCs/>
          <w:color w:val="0B0C0C"/>
          <w:sz w:val="24"/>
          <w:szCs w:val="24"/>
          <w:lang w:eastAsia="en-NZ"/>
        </w:rPr>
        <w:t>Jobseeker Support Health Condition and Disability (JS-HCD)</w:t>
      </w:r>
      <w:r w:rsidRPr="004D1C66">
        <w:rPr>
          <w:rFonts w:asciiTheme="minorHAnsi" w:hAnsiTheme="minorHAnsi" w:cstheme="minorHAnsi"/>
          <w:sz w:val="24"/>
          <w:szCs w:val="24"/>
        </w:rPr>
        <w:t xml:space="preserve"> </w:t>
      </w:r>
      <w:r w:rsidRPr="004D1C66">
        <w:rPr>
          <w:rFonts w:asciiTheme="minorHAnsi" w:hAnsiTheme="minorHAnsi" w:cstheme="minorHAnsi"/>
          <w:color w:val="0B0C0C"/>
          <w:sz w:val="24"/>
          <w:szCs w:val="24"/>
          <w:lang w:eastAsia="en-NZ"/>
        </w:rPr>
        <w:t xml:space="preserve">for people who can usually look for or prepare for work but who can only work part-time or cannot look for work </w:t>
      </w:r>
      <w:proofErr w:type="gramStart"/>
      <w:r w:rsidRPr="004D1C66">
        <w:rPr>
          <w:rFonts w:asciiTheme="minorHAnsi" w:hAnsiTheme="minorHAnsi" w:cstheme="minorHAnsi"/>
          <w:color w:val="0B0C0C"/>
          <w:sz w:val="24"/>
          <w:szCs w:val="24"/>
          <w:lang w:eastAsia="en-NZ"/>
        </w:rPr>
        <w:t>at the moment</w:t>
      </w:r>
      <w:proofErr w:type="gramEnd"/>
      <w:r w:rsidRPr="004D1C66">
        <w:rPr>
          <w:rFonts w:asciiTheme="minorHAnsi" w:hAnsiTheme="minorHAnsi" w:cstheme="minorHAnsi"/>
          <w:color w:val="0B0C0C"/>
          <w:sz w:val="24"/>
          <w:szCs w:val="24"/>
          <w:lang w:eastAsia="en-NZ"/>
        </w:rPr>
        <w:t xml:space="preserve"> (due to a health condition or disability).</w:t>
      </w:r>
    </w:p>
    <w:p w14:paraId="437D29A2" w14:textId="4ADB1FFD" w:rsidR="004D1C66" w:rsidRPr="004D1C66" w:rsidRDefault="00907F08" w:rsidP="00D02B78">
      <w:pPr>
        <w:spacing w:before="120" w:line="240" w:lineRule="auto"/>
        <w:rPr>
          <w:rFonts w:asciiTheme="minorHAnsi" w:hAnsiTheme="minorHAnsi" w:cstheme="minorHAnsi"/>
          <w:color w:val="0B0C0C"/>
          <w:sz w:val="24"/>
          <w:szCs w:val="24"/>
          <w:lang w:eastAsia="en-NZ"/>
        </w:rPr>
      </w:pPr>
      <w:r w:rsidRPr="00907F08">
        <w:rPr>
          <w:rFonts w:asciiTheme="minorHAnsi" w:hAnsiTheme="minorHAnsi" w:cstheme="minorHAnsi"/>
          <w:b/>
          <w:bCs/>
          <w:color w:val="0B0C0C"/>
          <w:sz w:val="24"/>
          <w:szCs w:val="24"/>
          <w:lang w:eastAsia="en-NZ"/>
        </w:rPr>
        <w:t>74,205</w:t>
      </w:r>
      <w:r w:rsidR="004D1C66" w:rsidRPr="004D1C66">
        <w:rPr>
          <w:rFonts w:asciiTheme="minorHAnsi" w:hAnsiTheme="minorHAnsi" w:cstheme="minorHAnsi"/>
          <w:b/>
          <w:bCs/>
          <w:color w:val="0B0C0C"/>
          <w:sz w:val="24"/>
          <w:szCs w:val="24"/>
          <w:lang w:eastAsia="en-NZ"/>
        </w:rPr>
        <w:t xml:space="preserve"> people</w:t>
      </w:r>
      <w:r w:rsidR="004D1C66" w:rsidRPr="004D1C66">
        <w:rPr>
          <w:rFonts w:asciiTheme="minorHAnsi" w:hAnsiTheme="minorHAnsi" w:cstheme="minorHAnsi"/>
          <w:color w:val="0B0C0C"/>
          <w:sz w:val="24"/>
          <w:szCs w:val="24"/>
          <w:lang w:eastAsia="en-NZ"/>
        </w:rPr>
        <w:t xml:space="preserve"> were receiving</w:t>
      </w:r>
      <w:r w:rsidR="004D1C66" w:rsidRPr="004D1C66">
        <w:rPr>
          <w:rFonts w:asciiTheme="minorHAnsi" w:hAnsiTheme="minorHAnsi" w:cstheme="minorHAnsi"/>
          <w:sz w:val="24"/>
          <w:szCs w:val="24"/>
        </w:rPr>
        <w:t xml:space="preserve"> JS-HCD </w:t>
      </w:r>
      <w:r w:rsidR="004D1C66" w:rsidRPr="004D1C66">
        <w:rPr>
          <w:rFonts w:asciiTheme="minorHAnsi" w:hAnsiTheme="minorHAnsi" w:cstheme="minorHAnsi"/>
          <w:color w:val="0B0C0C"/>
          <w:sz w:val="24"/>
          <w:szCs w:val="24"/>
          <w:lang w:eastAsia="en-NZ"/>
        </w:rPr>
        <w:t xml:space="preserve">as at the end of </w:t>
      </w:r>
      <w:r>
        <w:rPr>
          <w:rFonts w:asciiTheme="minorHAnsi" w:hAnsiTheme="minorHAnsi" w:cstheme="minorHAnsi"/>
          <w:color w:val="0B0C0C"/>
          <w:sz w:val="24"/>
          <w:szCs w:val="24"/>
          <w:lang w:eastAsia="en-NZ"/>
        </w:rPr>
        <w:t>April</w:t>
      </w:r>
      <w:r w:rsidR="004D1C66" w:rsidRPr="004D1C66">
        <w:rPr>
          <w:rFonts w:asciiTheme="minorHAnsi" w:hAnsiTheme="minorHAnsi" w:cstheme="minorHAnsi"/>
          <w:color w:val="0B0C0C"/>
          <w:sz w:val="24"/>
          <w:szCs w:val="24"/>
          <w:lang w:eastAsia="en-NZ"/>
        </w:rPr>
        <w:t xml:space="preserve"> 202</w:t>
      </w:r>
      <w:r>
        <w:rPr>
          <w:rFonts w:asciiTheme="minorHAnsi" w:hAnsiTheme="minorHAnsi" w:cstheme="minorHAnsi"/>
          <w:color w:val="0B0C0C"/>
          <w:sz w:val="24"/>
          <w:szCs w:val="24"/>
          <w:lang w:eastAsia="en-NZ"/>
        </w:rPr>
        <w:t>2</w:t>
      </w:r>
      <w:r w:rsidR="004D1C66" w:rsidRPr="004D1C66">
        <w:rPr>
          <w:rFonts w:asciiTheme="minorHAnsi" w:hAnsiTheme="minorHAnsi" w:cstheme="minorHAnsi"/>
          <w:color w:val="0B0C0C"/>
          <w:sz w:val="24"/>
          <w:szCs w:val="24"/>
          <w:lang w:eastAsia="en-NZ"/>
        </w:rPr>
        <w:t xml:space="preserve"> which is</w:t>
      </w:r>
      <w:r>
        <w:rPr>
          <w:rFonts w:asciiTheme="minorHAnsi" w:hAnsiTheme="minorHAnsi" w:cstheme="minorHAnsi"/>
          <w:color w:val="0B0C0C"/>
          <w:sz w:val="24"/>
          <w:szCs w:val="24"/>
          <w:lang w:eastAsia="en-NZ"/>
        </w:rPr>
        <w:t xml:space="preserve"> 5.1% down from April 2021. </w:t>
      </w:r>
    </w:p>
    <w:p w14:paraId="46D6017C" w14:textId="77777777" w:rsidR="001F6FFD" w:rsidRPr="001F6FFD" w:rsidRDefault="001F6FFD" w:rsidP="001F6FFD">
      <w:pPr>
        <w:pStyle w:val="Heading3"/>
        <w:spacing w:before="120" w:line="240" w:lineRule="auto"/>
        <w:rPr>
          <w:rFonts w:asciiTheme="minorHAnsi" w:hAnsiTheme="minorHAnsi" w:cstheme="minorHAnsi"/>
        </w:rPr>
      </w:pPr>
      <w:bookmarkStart w:id="2" w:name="_Hlk82604752"/>
      <w:bookmarkStart w:id="3" w:name="_Hlk82676084"/>
      <w:r w:rsidRPr="001F6FFD">
        <w:rPr>
          <w:rFonts w:asciiTheme="minorHAnsi" w:hAnsiTheme="minorHAnsi" w:cstheme="minorHAnsi"/>
        </w:rPr>
        <w:t>Labour market insights</w:t>
      </w:r>
    </w:p>
    <w:p w14:paraId="1B03C97E"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COVID-19 has had a disproportionate negative impact on people with disabilities in the labour market. The number of people on JS-HCD is falling and is expected to continue falling over the next 12 months. However, numbers are still higher than pre-COVID.</w:t>
      </w:r>
    </w:p>
    <w:p w14:paraId="7B559946"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Alongside the specific initiatives and actions outlined in this dashboard, Government is prioritising employment services that will focus primarily on people at risk of long-term benefit receipt and other key priority cohorts, including disabled people.</w:t>
      </w:r>
    </w:p>
    <w:p w14:paraId="158B3814" w14:textId="1DE5FC9B" w:rsidR="001F6FFD" w:rsidRPr="001F6FFD" w:rsidRDefault="001F6FFD" w:rsidP="001F6FFD">
      <w:pPr>
        <w:pStyle w:val="Heading2"/>
        <w:spacing w:before="120" w:line="240" w:lineRule="auto"/>
        <w:rPr>
          <w:rFonts w:asciiTheme="minorHAnsi" w:hAnsiTheme="minorHAnsi" w:cstheme="minorHAnsi"/>
          <w:b w:val="0"/>
          <w:bCs/>
          <w:sz w:val="24"/>
          <w:szCs w:val="24"/>
        </w:rPr>
      </w:pPr>
      <w:r w:rsidRPr="001F6FFD">
        <w:rPr>
          <w:rFonts w:asciiTheme="minorHAnsi" w:hAnsiTheme="minorHAnsi" w:cstheme="minorHAnsi"/>
          <w:b w:val="0"/>
          <w:bCs/>
          <w:sz w:val="24"/>
          <w:szCs w:val="24"/>
        </w:rPr>
        <w:t>The decreasing number of JS – HCD recipients largely reflects people exiting the benefit system or transferring to another benefit. From the end of January 2022, MSD resumed the Work Capacity Medical Certificates process to assess JS – HCD recipients based on case-by-case recommendations by their health professional.</w:t>
      </w:r>
    </w:p>
    <w:p w14:paraId="5F9A56B0" w14:textId="77777777" w:rsidR="001F6FFD" w:rsidRDefault="001F6FFD" w:rsidP="00D02B78">
      <w:pPr>
        <w:pStyle w:val="Heading3"/>
        <w:spacing w:before="120" w:line="240" w:lineRule="auto"/>
        <w:rPr>
          <w:rFonts w:asciiTheme="minorHAnsi" w:hAnsiTheme="minorHAnsi" w:cstheme="minorHAnsi"/>
          <w:sz w:val="28"/>
          <w:szCs w:val="28"/>
        </w:rPr>
      </w:pPr>
      <w:r w:rsidRPr="001F6FFD">
        <w:rPr>
          <w:rFonts w:asciiTheme="minorHAnsi" w:hAnsiTheme="minorHAnsi" w:cstheme="minorHAnsi"/>
          <w:sz w:val="28"/>
          <w:szCs w:val="28"/>
        </w:rPr>
        <w:t xml:space="preserve">Policy changes giving effect to Working Matters objectives </w:t>
      </w:r>
    </w:p>
    <w:p w14:paraId="1AADF760" w14:textId="20E7E29F" w:rsidR="004D1C66" w:rsidRDefault="001F6FFD" w:rsidP="00D02B78">
      <w:pPr>
        <w:pStyle w:val="Heading3"/>
        <w:spacing w:before="120" w:line="240" w:lineRule="auto"/>
        <w:rPr>
          <w:rFonts w:asciiTheme="minorHAnsi" w:hAnsiTheme="minorHAnsi" w:cstheme="minorHAnsi"/>
        </w:rPr>
      </w:pPr>
      <w:r>
        <w:rPr>
          <w:rFonts w:asciiTheme="minorHAnsi" w:hAnsiTheme="minorHAnsi" w:cstheme="minorHAnsi"/>
        </w:rPr>
        <w:t>Enabling Good Lives</w:t>
      </w:r>
    </w:p>
    <w:p w14:paraId="0B54DB8F"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 xml:space="preserve">Government has allocated $100 million through Budget 22 to the new Ministry for Disabled People to progress a nationwide roll-out of the Enabling Good Lives (EGL) approach. This initiative will extend EGL to more of the disabled population and their whānau, progressing towards a national rollout of the EGL approach. This includes providing Connectors/ Kaitūhono to help people navigate assistance, achieve more seamless support and easier to access funding. </w:t>
      </w:r>
    </w:p>
    <w:p w14:paraId="5177A33D"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 xml:space="preserve">Disabled people and their whānau have been calling for better support and greater control over how they are supported. The EGL transformation responds to this by allowing more decision-making over supports and how they can be used to create better options. It is envisaged the implementation plan for EGL will be developed in partnership with the community. Disabled people, tangata whaikaha Māori, tagata sa'ilimalo, their whānau and aiga have been involved in the development of the Enabling Good Lives approach from its beginning in 2010. </w:t>
      </w:r>
    </w:p>
    <w:bookmarkEnd w:id="2"/>
    <w:bookmarkEnd w:id="3"/>
    <w:p w14:paraId="5C914752" w14:textId="6DDBAE8D" w:rsidR="004D1C66" w:rsidRDefault="001F6FFD" w:rsidP="001F6FFD">
      <w:pPr>
        <w:pStyle w:val="Heading3"/>
        <w:spacing w:before="120" w:line="240" w:lineRule="auto"/>
        <w:rPr>
          <w:rFonts w:asciiTheme="minorHAnsi" w:hAnsiTheme="minorHAnsi" w:cstheme="minorHAnsi"/>
        </w:rPr>
      </w:pPr>
      <w:r w:rsidRPr="001F6FFD">
        <w:rPr>
          <w:rFonts w:asciiTheme="minorHAnsi" w:hAnsiTheme="minorHAnsi" w:cstheme="minorHAnsi"/>
        </w:rPr>
        <w:t>A New Ministry of Disabled People</w:t>
      </w:r>
    </w:p>
    <w:p w14:paraId="470AC86C"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 xml:space="preserve">Disability is a priority area for the Government. This is reflected in the introduction of the new Whaikaha - Ministry of Disabled People on 1 July 2022. </w:t>
      </w:r>
    </w:p>
    <w:p w14:paraId="03B7A4B7"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 xml:space="preserve">Whaikaha will lead the realisation of a true partnership between the disability community and government, and to help drive ongoing transformation of the disability system in line with the Enabling Good Lives approach. The facilitation of good partnerships will benefit work to achieve goals of the action plan. </w:t>
      </w:r>
    </w:p>
    <w:p w14:paraId="3736ACEA"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 xml:space="preserve">Whaikaha will also lead and coordinate strategic disability policy across government and progress work on transforming the wider disability system, to enhance the mana, and improve the lives of disabled people. This will include influencing areas such as employment, education, health and wellbeing. </w:t>
      </w:r>
    </w:p>
    <w:p w14:paraId="47945BD5"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The recent reforms of the Health system and evolving government priorities have provided an opportunity to review the current arrangements for working with, and supporting, the one in four New Zealanders that identify as disabled.</w:t>
      </w:r>
    </w:p>
    <w:p w14:paraId="2193D784"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The Office for Disability Issues (ODI) will also be hosted by Whaikaha (previously by MSD). Integrating ODI into Whaikaha supports the new Ministry’s cross-government leadership role. It ensures that there is a single point in government for advising on cross-government disability strategy.</w:t>
      </w:r>
    </w:p>
    <w:p w14:paraId="3AC9CA13" w14:textId="77777777" w:rsidR="001F6FFD" w:rsidRPr="001F6FFD" w:rsidRDefault="001F6FFD" w:rsidP="001F6FFD">
      <w:pPr>
        <w:spacing w:line="240" w:lineRule="auto"/>
        <w:rPr>
          <w:rFonts w:asciiTheme="minorHAnsi" w:hAnsiTheme="minorHAnsi" w:cstheme="minorHAnsi"/>
          <w:b/>
          <w:sz w:val="24"/>
          <w:szCs w:val="24"/>
        </w:rPr>
      </w:pPr>
      <w:r w:rsidRPr="001F6FFD">
        <w:rPr>
          <w:rFonts w:asciiTheme="minorHAnsi" w:hAnsiTheme="minorHAnsi" w:cstheme="minorHAnsi"/>
          <w:b/>
          <w:sz w:val="24"/>
          <w:szCs w:val="24"/>
        </w:rPr>
        <w:t>Addressing gaps in Active Labour Market Programs (ALMPs) for disabled people</w:t>
      </w:r>
    </w:p>
    <w:p w14:paraId="7F7DE4D2"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The Ministry of Social Development (MSD) is leading work to address gaps in ALMPs for disabled people, including people with health conditions and people with mental health and addiction needs. This work is part of the ongoing Review of ALMPs, which is a cross-agency work programme by MSD, MBIE and MOE and gives effect to and builds upon the Enabling Good Lives principles.</w:t>
      </w:r>
    </w:p>
    <w:p w14:paraId="1BC04500" w14:textId="77777777" w:rsidR="001F6FFD" w:rsidRPr="001F6FFD" w:rsidRDefault="001F6FFD" w:rsidP="001F6FFD">
      <w:p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Initial findings from the Review of ALMPs have identified a gap in employment supports for disabled people and people with health conditions. The wide spectrum of need within the disabled population and those with health needs requires a differentiated response. Key focus areas build upon suggestions from Working Matters consultation and include exploring the following:</w:t>
      </w:r>
    </w:p>
    <w:p w14:paraId="3A23DC74" w14:textId="77777777" w:rsidR="001F6FFD" w:rsidRPr="001F6FFD" w:rsidRDefault="001F6FFD" w:rsidP="001F6FFD">
      <w:pPr>
        <w:pStyle w:val="ListParagraph"/>
        <w:numPr>
          <w:ilvl w:val="0"/>
          <w:numId w:val="35"/>
        </w:num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in work and return to work supports</w:t>
      </w:r>
    </w:p>
    <w:p w14:paraId="0CCD249C" w14:textId="77777777" w:rsidR="001F6FFD" w:rsidRPr="001F6FFD" w:rsidRDefault="001F6FFD" w:rsidP="001F6FFD">
      <w:pPr>
        <w:pStyle w:val="ListParagraph"/>
        <w:numPr>
          <w:ilvl w:val="0"/>
          <w:numId w:val="35"/>
        </w:num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 xml:space="preserve">integrated health and employment </w:t>
      </w:r>
      <w:proofErr w:type="gramStart"/>
      <w:r w:rsidRPr="001F6FFD">
        <w:rPr>
          <w:rFonts w:asciiTheme="minorHAnsi" w:hAnsiTheme="minorHAnsi" w:cstheme="minorHAnsi"/>
          <w:bCs/>
          <w:sz w:val="24"/>
          <w:szCs w:val="24"/>
        </w:rPr>
        <w:t>supports</w:t>
      </w:r>
      <w:proofErr w:type="gramEnd"/>
    </w:p>
    <w:p w14:paraId="35023FAD" w14:textId="77777777" w:rsidR="001F6FFD" w:rsidRPr="001F6FFD" w:rsidRDefault="001F6FFD" w:rsidP="001F6FFD">
      <w:pPr>
        <w:pStyle w:val="ListParagraph"/>
        <w:numPr>
          <w:ilvl w:val="0"/>
          <w:numId w:val="35"/>
        </w:numPr>
        <w:spacing w:line="240" w:lineRule="auto"/>
        <w:rPr>
          <w:rFonts w:asciiTheme="minorHAnsi" w:hAnsiTheme="minorHAnsi" w:cstheme="minorHAnsi"/>
          <w:bCs/>
          <w:sz w:val="24"/>
          <w:szCs w:val="24"/>
        </w:rPr>
      </w:pPr>
      <w:r w:rsidRPr="001F6FFD">
        <w:rPr>
          <w:rFonts w:asciiTheme="minorHAnsi" w:hAnsiTheme="minorHAnsi" w:cstheme="minorHAnsi"/>
          <w:bCs/>
          <w:sz w:val="24"/>
          <w:szCs w:val="24"/>
        </w:rPr>
        <w:t xml:space="preserve">customised employment. </w:t>
      </w:r>
    </w:p>
    <w:p w14:paraId="1FC44153" w14:textId="77777777" w:rsidR="001F6FFD" w:rsidRPr="001F6FFD" w:rsidRDefault="001F6FFD" w:rsidP="001F6FFD"/>
    <w:sectPr w:rsidR="001F6FFD" w:rsidRPr="001F6FFD" w:rsidSect="00D02B78">
      <w:footerReference w:type="default" r:id="rId9"/>
      <w:pgSz w:w="11906" w:h="16838" w:code="9"/>
      <w:pgMar w:top="1191" w:right="1077"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8F5B7" w14:textId="77777777" w:rsidR="00790294" w:rsidRDefault="00790294" w:rsidP="005B2534">
      <w:pPr>
        <w:spacing w:after="0" w:line="240" w:lineRule="auto"/>
      </w:pPr>
      <w:r>
        <w:separator/>
      </w:r>
    </w:p>
  </w:endnote>
  <w:endnote w:type="continuationSeparator" w:id="0">
    <w:p w14:paraId="01A4B179" w14:textId="77777777" w:rsidR="00790294" w:rsidRDefault="00790294" w:rsidP="005B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E86D8" w14:textId="3FFBC375" w:rsidR="001F21C5" w:rsidRPr="002317B4" w:rsidRDefault="001F21C5" w:rsidP="00BC202F">
    <w:pPr>
      <w:pStyle w:val="Footer"/>
      <w:tabs>
        <w:tab w:val="left" w:pos="920"/>
        <w:tab w:val="right" w:pos="22371"/>
      </w:tabs>
    </w:pPr>
    <w:r>
      <w:rPr>
        <w:rFonts w:asciiTheme="minorHAnsi" w:hAnsiTheme="minorHAnsi" w:cstheme="minorHAnsi"/>
        <w:noProof/>
        <w:color w:val="215868" w:themeColor="accent5" w:themeShade="80"/>
        <w:sz w:val="22"/>
        <w:lang w:val="mi-NZ"/>
      </w:rPr>
      <w:tab/>
    </w:r>
    <w:r>
      <w:rPr>
        <w:rFonts w:asciiTheme="minorHAnsi" w:hAnsiTheme="minorHAnsi" w:cstheme="minorHAnsi"/>
        <w:noProof/>
        <w:color w:val="215868" w:themeColor="accent5" w:themeShade="80"/>
        <w:sz w:val="22"/>
        <w:lang w:val="mi-NZ"/>
      </w:rPr>
      <w:tab/>
    </w:r>
    <w:r>
      <w:rPr>
        <w:rFonts w:asciiTheme="minorHAnsi" w:hAnsiTheme="minorHAnsi" w:cstheme="minorHAnsi"/>
        <w:noProof/>
        <w:color w:val="215868" w:themeColor="accent5" w:themeShade="80"/>
        <w:sz w:val="22"/>
        <w:lang w:val="mi-NZ"/>
      </w:rPr>
      <w:tab/>
    </w:r>
    <w:r>
      <w:rPr>
        <w:rFonts w:asciiTheme="minorHAnsi" w:hAnsiTheme="minorHAnsi" w:cstheme="minorHAnsi"/>
        <w:noProof/>
        <w:color w:val="215868" w:themeColor="accent5" w:themeShade="80"/>
        <w:sz w:val="22"/>
        <w:lang w:val="mi-NZ"/>
      </w:rPr>
      <w:tab/>
    </w:r>
    <w:r w:rsidRPr="002317B4">
      <w:rPr>
        <w:rFonts w:asciiTheme="minorHAnsi" w:hAnsiTheme="minorHAnsi" w:cstheme="minorHAnsi"/>
        <w:noProof/>
        <w:color w:val="215868" w:themeColor="accent5" w:themeShade="80"/>
        <w:sz w:val="22"/>
        <w:lang w:val="mi-NZ"/>
      </w:rPr>
      <w:t>page</w:t>
    </w:r>
    <w:r w:rsidRPr="002317B4">
      <w:rPr>
        <w:rFonts w:asciiTheme="minorHAnsi" w:hAnsiTheme="minorHAnsi" w:cstheme="minorHAnsi"/>
        <w:color w:val="215868" w:themeColor="accent5" w:themeShade="80"/>
        <w:sz w:val="28"/>
        <w:szCs w:val="28"/>
        <w:lang w:val="mi-NZ"/>
      </w:rPr>
      <w:t xml:space="preserve"> </w:t>
    </w:r>
    <w:r w:rsidRPr="002317B4">
      <w:rPr>
        <w:rFonts w:asciiTheme="minorHAnsi" w:hAnsiTheme="minorHAnsi" w:cstheme="minorHAnsi"/>
        <w:color w:val="215868" w:themeColor="accent5" w:themeShade="80"/>
        <w:sz w:val="22"/>
        <w:lang w:val="mi-NZ"/>
      </w:rPr>
      <w:fldChar w:fldCharType="begin"/>
    </w:r>
    <w:r w:rsidRPr="002317B4">
      <w:rPr>
        <w:rFonts w:asciiTheme="minorHAnsi" w:hAnsiTheme="minorHAnsi" w:cstheme="minorHAnsi"/>
        <w:color w:val="215868" w:themeColor="accent5" w:themeShade="80"/>
        <w:sz w:val="22"/>
        <w:lang w:val="mi-NZ"/>
      </w:rPr>
      <w:instrText xml:space="preserve"> PAGE   \* MERGEFORMAT </w:instrText>
    </w:r>
    <w:r w:rsidRPr="002317B4">
      <w:rPr>
        <w:rFonts w:asciiTheme="minorHAnsi" w:hAnsiTheme="minorHAnsi" w:cstheme="minorHAnsi"/>
        <w:color w:val="215868" w:themeColor="accent5" w:themeShade="80"/>
        <w:sz w:val="22"/>
        <w:lang w:val="mi-NZ"/>
      </w:rPr>
      <w:fldChar w:fldCharType="separate"/>
    </w:r>
    <w:r>
      <w:rPr>
        <w:rFonts w:asciiTheme="minorHAnsi" w:hAnsiTheme="minorHAnsi" w:cstheme="minorHAnsi"/>
        <w:color w:val="215868" w:themeColor="accent5" w:themeShade="80"/>
        <w:sz w:val="22"/>
        <w:lang w:val="mi-NZ"/>
      </w:rPr>
      <w:t>2</w:t>
    </w:r>
    <w:r w:rsidRPr="002317B4">
      <w:rPr>
        <w:rFonts w:asciiTheme="minorHAnsi" w:hAnsiTheme="minorHAnsi" w:cstheme="minorHAnsi"/>
        <w:noProof/>
        <w:color w:val="215868" w:themeColor="accent5" w:themeShade="80"/>
        <w:sz w:val="22"/>
        <w:lang w:val="mi-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33AB9" w14:textId="77777777" w:rsidR="00790294" w:rsidRDefault="00790294" w:rsidP="005B2534">
      <w:pPr>
        <w:spacing w:after="0" w:line="240" w:lineRule="auto"/>
      </w:pPr>
      <w:r>
        <w:separator/>
      </w:r>
    </w:p>
  </w:footnote>
  <w:footnote w:type="continuationSeparator" w:id="0">
    <w:p w14:paraId="4854CD68" w14:textId="77777777" w:rsidR="00790294" w:rsidRDefault="00790294" w:rsidP="005B2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778CC"/>
    <w:multiLevelType w:val="hybridMultilevel"/>
    <w:tmpl w:val="EAC0520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720" w:hanging="360"/>
      </w:pPr>
      <w:rPr>
        <w:rFonts w:ascii="Courier New" w:hAnsi="Courier New" w:cs="Courier New" w:hint="default"/>
      </w:rPr>
    </w:lvl>
    <w:lvl w:ilvl="2" w:tplc="14090005" w:tentative="1">
      <w:start w:val="1"/>
      <w:numFmt w:val="bullet"/>
      <w:lvlText w:val=""/>
      <w:lvlJc w:val="left"/>
      <w:pPr>
        <w:ind w:left="1440" w:hanging="360"/>
      </w:pPr>
      <w:rPr>
        <w:rFonts w:ascii="Wingdings" w:hAnsi="Wingdings" w:hint="default"/>
      </w:rPr>
    </w:lvl>
    <w:lvl w:ilvl="3" w:tplc="14090001" w:tentative="1">
      <w:start w:val="1"/>
      <w:numFmt w:val="bullet"/>
      <w:lvlText w:val=""/>
      <w:lvlJc w:val="left"/>
      <w:pPr>
        <w:ind w:left="2160" w:hanging="360"/>
      </w:pPr>
      <w:rPr>
        <w:rFonts w:ascii="Symbol" w:hAnsi="Symbol" w:hint="default"/>
      </w:rPr>
    </w:lvl>
    <w:lvl w:ilvl="4" w:tplc="14090003" w:tentative="1">
      <w:start w:val="1"/>
      <w:numFmt w:val="bullet"/>
      <w:lvlText w:val="o"/>
      <w:lvlJc w:val="left"/>
      <w:pPr>
        <w:ind w:left="2880" w:hanging="360"/>
      </w:pPr>
      <w:rPr>
        <w:rFonts w:ascii="Courier New" w:hAnsi="Courier New" w:cs="Courier New" w:hint="default"/>
      </w:rPr>
    </w:lvl>
    <w:lvl w:ilvl="5" w:tplc="14090005" w:tentative="1">
      <w:start w:val="1"/>
      <w:numFmt w:val="bullet"/>
      <w:lvlText w:val=""/>
      <w:lvlJc w:val="left"/>
      <w:pPr>
        <w:ind w:left="3600" w:hanging="360"/>
      </w:pPr>
      <w:rPr>
        <w:rFonts w:ascii="Wingdings" w:hAnsi="Wingdings" w:hint="default"/>
      </w:rPr>
    </w:lvl>
    <w:lvl w:ilvl="6" w:tplc="14090001" w:tentative="1">
      <w:start w:val="1"/>
      <w:numFmt w:val="bullet"/>
      <w:lvlText w:val=""/>
      <w:lvlJc w:val="left"/>
      <w:pPr>
        <w:ind w:left="4320" w:hanging="360"/>
      </w:pPr>
      <w:rPr>
        <w:rFonts w:ascii="Symbol" w:hAnsi="Symbol" w:hint="default"/>
      </w:rPr>
    </w:lvl>
    <w:lvl w:ilvl="7" w:tplc="14090003" w:tentative="1">
      <w:start w:val="1"/>
      <w:numFmt w:val="bullet"/>
      <w:lvlText w:val="o"/>
      <w:lvlJc w:val="left"/>
      <w:pPr>
        <w:ind w:left="5040" w:hanging="360"/>
      </w:pPr>
      <w:rPr>
        <w:rFonts w:ascii="Courier New" w:hAnsi="Courier New" w:cs="Courier New" w:hint="default"/>
      </w:rPr>
    </w:lvl>
    <w:lvl w:ilvl="8" w:tplc="14090005" w:tentative="1">
      <w:start w:val="1"/>
      <w:numFmt w:val="bullet"/>
      <w:lvlText w:val=""/>
      <w:lvlJc w:val="left"/>
      <w:pPr>
        <w:ind w:left="5760" w:hanging="360"/>
      </w:pPr>
      <w:rPr>
        <w:rFonts w:ascii="Wingdings" w:hAnsi="Wingdings" w:hint="default"/>
      </w:rPr>
    </w:lvl>
  </w:abstractNum>
  <w:abstractNum w:abstractNumId="3" w15:restartNumberingAfterBreak="0">
    <w:nsid w:val="00DA61F4"/>
    <w:multiLevelType w:val="hybridMultilevel"/>
    <w:tmpl w:val="0CB84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0DD3B9D"/>
    <w:multiLevelType w:val="hybridMultilevel"/>
    <w:tmpl w:val="A4FE4222"/>
    <w:lvl w:ilvl="0" w:tplc="64489118">
      <w:start w:val="1"/>
      <w:numFmt w:val="decimal"/>
      <w:pStyle w:val="ExecutivePara"/>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5" w15:restartNumberingAfterBreak="0">
    <w:nsid w:val="0B3E6DD4"/>
    <w:multiLevelType w:val="hybridMultilevel"/>
    <w:tmpl w:val="3606F9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0E95E15"/>
    <w:multiLevelType w:val="hybridMultilevel"/>
    <w:tmpl w:val="4E6864D8"/>
    <w:lvl w:ilvl="0" w:tplc="14090001">
      <w:start w:val="1"/>
      <w:numFmt w:val="bullet"/>
      <w:lvlText w:val=""/>
      <w:lvlJc w:val="left"/>
      <w:pPr>
        <w:ind w:left="1080" w:hanging="360"/>
      </w:pPr>
      <w:rPr>
        <w:rFonts w:ascii="Symbol" w:hAnsi="Symbol" w:hint="default"/>
      </w:rPr>
    </w:lvl>
    <w:lvl w:ilvl="1" w:tplc="82AEB38A">
      <w:start w:val="1"/>
      <w:numFmt w:val="bullet"/>
      <w:lvlText w:val="o"/>
      <w:lvlJc w:val="left"/>
      <w:pPr>
        <w:ind w:left="1494" w:hanging="34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13D22263"/>
    <w:multiLevelType w:val="hybridMultilevel"/>
    <w:tmpl w:val="304AFBA8"/>
    <w:lvl w:ilvl="0" w:tplc="2952B3B4">
      <w:start w:val="1"/>
      <w:numFmt w:val="bullet"/>
      <w:lvlText w:val="•"/>
      <w:lvlJc w:val="left"/>
      <w:pPr>
        <w:tabs>
          <w:tab w:val="num" w:pos="720"/>
        </w:tabs>
        <w:ind w:left="720" w:hanging="360"/>
      </w:pPr>
      <w:rPr>
        <w:rFonts w:ascii="Times New Roman" w:hAnsi="Times New Roman" w:hint="default"/>
      </w:rPr>
    </w:lvl>
    <w:lvl w:ilvl="1" w:tplc="704C9440">
      <w:numFmt w:val="none"/>
      <w:lvlText w:val=""/>
      <w:lvlJc w:val="left"/>
      <w:pPr>
        <w:tabs>
          <w:tab w:val="num" w:pos="360"/>
        </w:tabs>
      </w:pPr>
    </w:lvl>
    <w:lvl w:ilvl="2" w:tplc="FE689364" w:tentative="1">
      <w:start w:val="1"/>
      <w:numFmt w:val="bullet"/>
      <w:lvlText w:val="•"/>
      <w:lvlJc w:val="left"/>
      <w:pPr>
        <w:tabs>
          <w:tab w:val="num" w:pos="2160"/>
        </w:tabs>
        <w:ind w:left="2160" w:hanging="360"/>
      </w:pPr>
      <w:rPr>
        <w:rFonts w:ascii="Times New Roman" w:hAnsi="Times New Roman" w:hint="default"/>
      </w:rPr>
    </w:lvl>
    <w:lvl w:ilvl="3" w:tplc="0548ED12" w:tentative="1">
      <w:start w:val="1"/>
      <w:numFmt w:val="bullet"/>
      <w:lvlText w:val="•"/>
      <w:lvlJc w:val="left"/>
      <w:pPr>
        <w:tabs>
          <w:tab w:val="num" w:pos="2880"/>
        </w:tabs>
        <w:ind w:left="2880" w:hanging="360"/>
      </w:pPr>
      <w:rPr>
        <w:rFonts w:ascii="Times New Roman" w:hAnsi="Times New Roman" w:hint="default"/>
      </w:rPr>
    </w:lvl>
    <w:lvl w:ilvl="4" w:tplc="57B2DE52" w:tentative="1">
      <w:start w:val="1"/>
      <w:numFmt w:val="bullet"/>
      <w:lvlText w:val="•"/>
      <w:lvlJc w:val="left"/>
      <w:pPr>
        <w:tabs>
          <w:tab w:val="num" w:pos="3600"/>
        </w:tabs>
        <w:ind w:left="3600" w:hanging="360"/>
      </w:pPr>
      <w:rPr>
        <w:rFonts w:ascii="Times New Roman" w:hAnsi="Times New Roman" w:hint="default"/>
      </w:rPr>
    </w:lvl>
    <w:lvl w:ilvl="5" w:tplc="6E2C09F4" w:tentative="1">
      <w:start w:val="1"/>
      <w:numFmt w:val="bullet"/>
      <w:lvlText w:val="•"/>
      <w:lvlJc w:val="left"/>
      <w:pPr>
        <w:tabs>
          <w:tab w:val="num" w:pos="4320"/>
        </w:tabs>
        <w:ind w:left="4320" w:hanging="360"/>
      </w:pPr>
      <w:rPr>
        <w:rFonts w:ascii="Times New Roman" w:hAnsi="Times New Roman" w:hint="default"/>
      </w:rPr>
    </w:lvl>
    <w:lvl w:ilvl="6" w:tplc="1F8A549A" w:tentative="1">
      <w:start w:val="1"/>
      <w:numFmt w:val="bullet"/>
      <w:lvlText w:val="•"/>
      <w:lvlJc w:val="left"/>
      <w:pPr>
        <w:tabs>
          <w:tab w:val="num" w:pos="5040"/>
        </w:tabs>
        <w:ind w:left="5040" w:hanging="360"/>
      </w:pPr>
      <w:rPr>
        <w:rFonts w:ascii="Times New Roman" w:hAnsi="Times New Roman" w:hint="default"/>
      </w:rPr>
    </w:lvl>
    <w:lvl w:ilvl="7" w:tplc="F7DC6144" w:tentative="1">
      <w:start w:val="1"/>
      <w:numFmt w:val="bullet"/>
      <w:lvlText w:val="•"/>
      <w:lvlJc w:val="left"/>
      <w:pPr>
        <w:tabs>
          <w:tab w:val="num" w:pos="5760"/>
        </w:tabs>
        <w:ind w:left="5760" w:hanging="360"/>
      </w:pPr>
      <w:rPr>
        <w:rFonts w:ascii="Times New Roman" w:hAnsi="Times New Roman" w:hint="default"/>
      </w:rPr>
    </w:lvl>
    <w:lvl w:ilvl="8" w:tplc="DDCC5F0C"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4024749"/>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15:restartNumberingAfterBreak="0">
    <w:nsid w:val="1CA63363"/>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88668DD"/>
    <w:multiLevelType w:val="hybridMultilevel"/>
    <w:tmpl w:val="3DE29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7D57EF"/>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F77673"/>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174597C"/>
    <w:multiLevelType w:val="multilevel"/>
    <w:tmpl w:val="A6D019F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52D4362"/>
    <w:multiLevelType w:val="hybridMultilevel"/>
    <w:tmpl w:val="E91A5120"/>
    <w:lvl w:ilvl="0" w:tplc="BBDA3ACA">
      <w:start w:val="1"/>
      <w:numFmt w:val="decimal"/>
      <w:lvlText w:val="%1."/>
      <w:lvlJc w:val="left"/>
      <w:pPr>
        <w:ind w:left="340" w:hanging="28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5F64AEB"/>
    <w:multiLevelType w:val="hybridMultilevel"/>
    <w:tmpl w:val="A0544546"/>
    <w:lvl w:ilvl="0" w:tplc="E8F21DFC">
      <w:start w:val="1"/>
      <w:numFmt w:val="bullet"/>
      <w:lvlText w:val="•"/>
      <w:lvlJc w:val="left"/>
      <w:pPr>
        <w:tabs>
          <w:tab w:val="num" w:pos="720"/>
        </w:tabs>
        <w:ind w:left="720" w:hanging="360"/>
      </w:pPr>
      <w:rPr>
        <w:rFonts w:ascii="Times New Roman" w:hAnsi="Times New Roman" w:hint="default"/>
      </w:rPr>
    </w:lvl>
    <w:lvl w:ilvl="1" w:tplc="9A067B3E" w:tentative="1">
      <w:start w:val="1"/>
      <w:numFmt w:val="bullet"/>
      <w:lvlText w:val="•"/>
      <w:lvlJc w:val="left"/>
      <w:pPr>
        <w:tabs>
          <w:tab w:val="num" w:pos="1440"/>
        </w:tabs>
        <w:ind w:left="1440" w:hanging="360"/>
      </w:pPr>
      <w:rPr>
        <w:rFonts w:ascii="Times New Roman" w:hAnsi="Times New Roman" w:hint="default"/>
      </w:rPr>
    </w:lvl>
    <w:lvl w:ilvl="2" w:tplc="8E444204" w:tentative="1">
      <w:start w:val="1"/>
      <w:numFmt w:val="bullet"/>
      <w:lvlText w:val="•"/>
      <w:lvlJc w:val="left"/>
      <w:pPr>
        <w:tabs>
          <w:tab w:val="num" w:pos="2160"/>
        </w:tabs>
        <w:ind w:left="2160" w:hanging="360"/>
      </w:pPr>
      <w:rPr>
        <w:rFonts w:ascii="Times New Roman" w:hAnsi="Times New Roman" w:hint="default"/>
      </w:rPr>
    </w:lvl>
    <w:lvl w:ilvl="3" w:tplc="E44CBDC6" w:tentative="1">
      <w:start w:val="1"/>
      <w:numFmt w:val="bullet"/>
      <w:lvlText w:val="•"/>
      <w:lvlJc w:val="left"/>
      <w:pPr>
        <w:tabs>
          <w:tab w:val="num" w:pos="2880"/>
        </w:tabs>
        <w:ind w:left="2880" w:hanging="360"/>
      </w:pPr>
      <w:rPr>
        <w:rFonts w:ascii="Times New Roman" w:hAnsi="Times New Roman" w:hint="default"/>
      </w:rPr>
    </w:lvl>
    <w:lvl w:ilvl="4" w:tplc="FC8C2AFC" w:tentative="1">
      <w:start w:val="1"/>
      <w:numFmt w:val="bullet"/>
      <w:lvlText w:val="•"/>
      <w:lvlJc w:val="left"/>
      <w:pPr>
        <w:tabs>
          <w:tab w:val="num" w:pos="3600"/>
        </w:tabs>
        <w:ind w:left="3600" w:hanging="360"/>
      </w:pPr>
      <w:rPr>
        <w:rFonts w:ascii="Times New Roman" w:hAnsi="Times New Roman" w:hint="default"/>
      </w:rPr>
    </w:lvl>
    <w:lvl w:ilvl="5" w:tplc="82AC7F5C" w:tentative="1">
      <w:start w:val="1"/>
      <w:numFmt w:val="bullet"/>
      <w:lvlText w:val="•"/>
      <w:lvlJc w:val="left"/>
      <w:pPr>
        <w:tabs>
          <w:tab w:val="num" w:pos="4320"/>
        </w:tabs>
        <w:ind w:left="4320" w:hanging="360"/>
      </w:pPr>
      <w:rPr>
        <w:rFonts w:ascii="Times New Roman" w:hAnsi="Times New Roman" w:hint="default"/>
      </w:rPr>
    </w:lvl>
    <w:lvl w:ilvl="6" w:tplc="6B948B98" w:tentative="1">
      <w:start w:val="1"/>
      <w:numFmt w:val="bullet"/>
      <w:lvlText w:val="•"/>
      <w:lvlJc w:val="left"/>
      <w:pPr>
        <w:tabs>
          <w:tab w:val="num" w:pos="5040"/>
        </w:tabs>
        <w:ind w:left="5040" w:hanging="360"/>
      </w:pPr>
      <w:rPr>
        <w:rFonts w:ascii="Times New Roman" w:hAnsi="Times New Roman" w:hint="default"/>
      </w:rPr>
    </w:lvl>
    <w:lvl w:ilvl="7" w:tplc="C4C8B4A2" w:tentative="1">
      <w:start w:val="1"/>
      <w:numFmt w:val="bullet"/>
      <w:lvlText w:val="•"/>
      <w:lvlJc w:val="left"/>
      <w:pPr>
        <w:tabs>
          <w:tab w:val="num" w:pos="5760"/>
        </w:tabs>
        <w:ind w:left="5760" w:hanging="360"/>
      </w:pPr>
      <w:rPr>
        <w:rFonts w:ascii="Times New Roman" w:hAnsi="Times New Roman" w:hint="default"/>
      </w:rPr>
    </w:lvl>
    <w:lvl w:ilvl="8" w:tplc="60A4CB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1862EE"/>
    <w:multiLevelType w:val="hybridMultilevel"/>
    <w:tmpl w:val="F40882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68A1AE0"/>
    <w:multiLevelType w:val="hybridMultilevel"/>
    <w:tmpl w:val="89D05956"/>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76A1CF8"/>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0966DD6"/>
    <w:multiLevelType w:val="hybridMultilevel"/>
    <w:tmpl w:val="F64A3A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3890E13"/>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025057"/>
    <w:multiLevelType w:val="hybridMultilevel"/>
    <w:tmpl w:val="B5E6D7DA"/>
    <w:lvl w:ilvl="0" w:tplc="A48E716C">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530128"/>
    <w:multiLevelType w:val="hybridMultilevel"/>
    <w:tmpl w:val="1526D186"/>
    <w:lvl w:ilvl="0" w:tplc="9E36F514">
      <w:start w:val="1"/>
      <w:numFmt w:val="bullet"/>
      <w:lvlText w:val="•"/>
      <w:lvlJc w:val="left"/>
      <w:pPr>
        <w:tabs>
          <w:tab w:val="num" w:pos="720"/>
        </w:tabs>
        <w:ind w:left="720" w:hanging="360"/>
      </w:pPr>
      <w:rPr>
        <w:rFonts w:ascii="Times New Roman" w:hAnsi="Times New Roman" w:hint="default"/>
      </w:rPr>
    </w:lvl>
    <w:lvl w:ilvl="1" w:tplc="B74A0DDC" w:tentative="1">
      <w:start w:val="1"/>
      <w:numFmt w:val="bullet"/>
      <w:lvlText w:val="•"/>
      <w:lvlJc w:val="left"/>
      <w:pPr>
        <w:tabs>
          <w:tab w:val="num" w:pos="1440"/>
        </w:tabs>
        <w:ind w:left="1440" w:hanging="360"/>
      </w:pPr>
      <w:rPr>
        <w:rFonts w:ascii="Times New Roman" w:hAnsi="Times New Roman" w:hint="default"/>
      </w:rPr>
    </w:lvl>
    <w:lvl w:ilvl="2" w:tplc="1A28D94C" w:tentative="1">
      <w:start w:val="1"/>
      <w:numFmt w:val="bullet"/>
      <w:lvlText w:val="•"/>
      <w:lvlJc w:val="left"/>
      <w:pPr>
        <w:tabs>
          <w:tab w:val="num" w:pos="2160"/>
        </w:tabs>
        <w:ind w:left="2160" w:hanging="360"/>
      </w:pPr>
      <w:rPr>
        <w:rFonts w:ascii="Times New Roman" w:hAnsi="Times New Roman" w:hint="default"/>
      </w:rPr>
    </w:lvl>
    <w:lvl w:ilvl="3" w:tplc="B84248AA" w:tentative="1">
      <w:start w:val="1"/>
      <w:numFmt w:val="bullet"/>
      <w:lvlText w:val="•"/>
      <w:lvlJc w:val="left"/>
      <w:pPr>
        <w:tabs>
          <w:tab w:val="num" w:pos="2880"/>
        </w:tabs>
        <w:ind w:left="2880" w:hanging="360"/>
      </w:pPr>
      <w:rPr>
        <w:rFonts w:ascii="Times New Roman" w:hAnsi="Times New Roman" w:hint="default"/>
      </w:rPr>
    </w:lvl>
    <w:lvl w:ilvl="4" w:tplc="261EB494" w:tentative="1">
      <w:start w:val="1"/>
      <w:numFmt w:val="bullet"/>
      <w:lvlText w:val="•"/>
      <w:lvlJc w:val="left"/>
      <w:pPr>
        <w:tabs>
          <w:tab w:val="num" w:pos="3600"/>
        </w:tabs>
        <w:ind w:left="3600" w:hanging="360"/>
      </w:pPr>
      <w:rPr>
        <w:rFonts w:ascii="Times New Roman" w:hAnsi="Times New Roman" w:hint="default"/>
      </w:rPr>
    </w:lvl>
    <w:lvl w:ilvl="5" w:tplc="07582C08" w:tentative="1">
      <w:start w:val="1"/>
      <w:numFmt w:val="bullet"/>
      <w:lvlText w:val="•"/>
      <w:lvlJc w:val="left"/>
      <w:pPr>
        <w:tabs>
          <w:tab w:val="num" w:pos="4320"/>
        </w:tabs>
        <w:ind w:left="4320" w:hanging="360"/>
      </w:pPr>
      <w:rPr>
        <w:rFonts w:ascii="Times New Roman" w:hAnsi="Times New Roman" w:hint="default"/>
      </w:rPr>
    </w:lvl>
    <w:lvl w:ilvl="6" w:tplc="ADD8D806" w:tentative="1">
      <w:start w:val="1"/>
      <w:numFmt w:val="bullet"/>
      <w:lvlText w:val="•"/>
      <w:lvlJc w:val="left"/>
      <w:pPr>
        <w:tabs>
          <w:tab w:val="num" w:pos="5040"/>
        </w:tabs>
        <w:ind w:left="5040" w:hanging="360"/>
      </w:pPr>
      <w:rPr>
        <w:rFonts w:ascii="Times New Roman" w:hAnsi="Times New Roman" w:hint="default"/>
      </w:rPr>
    </w:lvl>
    <w:lvl w:ilvl="7" w:tplc="D876A34E" w:tentative="1">
      <w:start w:val="1"/>
      <w:numFmt w:val="bullet"/>
      <w:lvlText w:val="•"/>
      <w:lvlJc w:val="left"/>
      <w:pPr>
        <w:tabs>
          <w:tab w:val="num" w:pos="5760"/>
        </w:tabs>
        <w:ind w:left="5760" w:hanging="360"/>
      </w:pPr>
      <w:rPr>
        <w:rFonts w:ascii="Times New Roman" w:hAnsi="Times New Roman" w:hint="default"/>
      </w:rPr>
    </w:lvl>
    <w:lvl w:ilvl="8" w:tplc="753CDB6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25B43A6"/>
    <w:multiLevelType w:val="hybridMultilevel"/>
    <w:tmpl w:val="CFBCE3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5EDD00C7"/>
    <w:multiLevelType w:val="hybridMultilevel"/>
    <w:tmpl w:val="E6FCF80C"/>
    <w:lvl w:ilvl="0" w:tplc="A9BE4726">
      <w:start w:val="1"/>
      <w:numFmt w:val="bullet"/>
      <w:lvlText w:val="•"/>
      <w:lvlJc w:val="left"/>
      <w:pPr>
        <w:tabs>
          <w:tab w:val="num" w:pos="720"/>
        </w:tabs>
        <w:ind w:left="720" w:hanging="360"/>
      </w:pPr>
      <w:rPr>
        <w:rFonts w:ascii="Times New Roman" w:hAnsi="Times New Roman" w:hint="default"/>
      </w:rPr>
    </w:lvl>
    <w:lvl w:ilvl="1" w:tplc="E976F624" w:tentative="1">
      <w:start w:val="1"/>
      <w:numFmt w:val="bullet"/>
      <w:lvlText w:val="•"/>
      <w:lvlJc w:val="left"/>
      <w:pPr>
        <w:tabs>
          <w:tab w:val="num" w:pos="1440"/>
        </w:tabs>
        <w:ind w:left="1440" w:hanging="360"/>
      </w:pPr>
      <w:rPr>
        <w:rFonts w:ascii="Times New Roman" w:hAnsi="Times New Roman" w:hint="default"/>
      </w:rPr>
    </w:lvl>
    <w:lvl w:ilvl="2" w:tplc="79FE7B60" w:tentative="1">
      <w:start w:val="1"/>
      <w:numFmt w:val="bullet"/>
      <w:lvlText w:val="•"/>
      <w:lvlJc w:val="left"/>
      <w:pPr>
        <w:tabs>
          <w:tab w:val="num" w:pos="2160"/>
        </w:tabs>
        <w:ind w:left="2160" w:hanging="360"/>
      </w:pPr>
      <w:rPr>
        <w:rFonts w:ascii="Times New Roman" w:hAnsi="Times New Roman" w:hint="default"/>
      </w:rPr>
    </w:lvl>
    <w:lvl w:ilvl="3" w:tplc="7EA4F1D4" w:tentative="1">
      <w:start w:val="1"/>
      <w:numFmt w:val="bullet"/>
      <w:lvlText w:val="•"/>
      <w:lvlJc w:val="left"/>
      <w:pPr>
        <w:tabs>
          <w:tab w:val="num" w:pos="2880"/>
        </w:tabs>
        <w:ind w:left="2880" w:hanging="360"/>
      </w:pPr>
      <w:rPr>
        <w:rFonts w:ascii="Times New Roman" w:hAnsi="Times New Roman" w:hint="default"/>
      </w:rPr>
    </w:lvl>
    <w:lvl w:ilvl="4" w:tplc="FA786C20" w:tentative="1">
      <w:start w:val="1"/>
      <w:numFmt w:val="bullet"/>
      <w:lvlText w:val="•"/>
      <w:lvlJc w:val="left"/>
      <w:pPr>
        <w:tabs>
          <w:tab w:val="num" w:pos="3600"/>
        </w:tabs>
        <w:ind w:left="3600" w:hanging="360"/>
      </w:pPr>
      <w:rPr>
        <w:rFonts w:ascii="Times New Roman" w:hAnsi="Times New Roman" w:hint="default"/>
      </w:rPr>
    </w:lvl>
    <w:lvl w:ilvl="5" w:tplc="63C282F2" w:tentative="1">
      <w:start w:val="1"/>
      <w:numFmt w:val="bullet"/>
      <w:lvlText w:val="•"/>
      <w:lvlJc w:val="left"/>
      <w:pPr>
        <w:tabs>
          <w:tab w:val="num" w:pos="4320"/>
        </w:tabs>
        <w:ind w:left="4320" w:hanging="360"/>
      </w:pPr>
      <w:rPr>
        <w:rFonts w:ascii="Times New Roman" w:hAnsi="Times New Roman" w:hint="default"/>
      </w:rPr>
    </w:lvl>
    <w:lvl w:ilvl="6" w:tplc="FD0E9EC4" w:tentative="1">
      <w:start w:val="1"/>
      <w:numFmt w:val="bullet"/>
      <w:lvlText w:val="•"/>
      <w:lvlJc w:val="left"/>
      <w:pPr>
        <w:tabs>
          <w:tab w:val="num" w:pos="5040"/>
        </w:tabs>
        <w:ind w:left="5040" w:hanging="360"/>
      </w:pPr>
      <w:rPr>
        <w:rFonts w:ascii="Times New Roman" w:hAnsi="Times New Roman" w:hint="default"/>
      </w:rPr>
    </w:lvl>
    <w:lvl w:ilvl="7" w:tplc="32EE2AA2" w:tentative="1">
      <w:start w:val="1"/>
      <w:numFmt w:val="bullet"/>
      <w:lvlText w:val="•"/>
      <w:lvlJc w:val="left"/>
      <w:pPr>
        <w:tabs>
          <w:tab w:val="num" w:pos="5760"/>
        </w:tabs>
        <w:ind w:left="5760" w:hanging="360"/>
      </w:pPr>
      <w:rPr>
        <w:rFonts w:ascii="Times New Roman" w:hAnsi="Times New Roman" w:hint="default"/>
      </w:rPr>
    </w:lvl>
    <w:lvl w:ilvl="8" w:tplc="D654D76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6A35CF"/>
    <w:multiLevelType w:val="hybridMultilevel"/>
    <w:tmpl w:val="EDFA44A8"/>
    <w:lvl w:ilvl="0" w:tplc="582E5A0C">
      <w:start w:val="1"/>
      <w:numFmt w:val="bullet"/>
      <w:lvlText w:val="•"/>
      <w:lvlJc w:val="left"/>
      <w:pPr>
        <w:tabs>
          <w:tab w:val="num" w:pos="720"/>
        </w:tabs>
        <w:ind w:left="720" w:hanging="360"/>
      </w:pPr>
      <w:rPr>
        <w:rFonts w:ascii="Times New Roman" w:hAnsi="Times New Roman" w:hint="default"/>
      </w:rPr>
    </w:lvl>
    <w:lvl w:ilvl="1" w:tplc="D11A52D2" w:tentative="1">
      <w:start w:val="1"/>
      <w:numFmt w:val="bullet"/>
      <w:lvlText w:val="•"/>
      <w:lvlJc w:val="left"/>
      <w:pPr>
        <w:tabs>
          <w:tab w:val="num" w:pos="1440"/>
        </w:tabs>
        <w:ind w:left="1440" w:hanging="360"/>
      </w:pPr>
      <w:rPr>
        <w:rFonts w:ascii="Times New Roman" w:hAnsi="Times New Roman" w:hint="default"/>
      </w:rPr>
    </w:lvl>
    <w:lvl w:ilvl="2" w:tplc="D3EC7F36" w:tentative="1">
      <w:start w:val="1"/>
      <w:numFmt w:val="bullet"/>
      <w:lvlText w:val="•"/>
      <w:lvlJc w:val="left"/>
      <w:pPr>
        <w:tabs>
          <w:tab w:val="num" w:pos="2160"/>
        </w:tabs>
        <w:ind w:left="2160" w:hanging="360"/>
      </w:pPr>
      <w:rPr>
        <w:rFonts w:ascii="Times New Roman" w:hAnsi="Times New Roman" w:hint="default"/>
      </w:rPr>
    </w:lvl>
    <w:lvl w:ilvl="3" w:tplc="AF2001E4" w:tentative="1">
      <w:start w:val="1"/>
      <w:numFmt w:val="bullet"/>
      <w:lvlText w:val="•"/>
      <w:lvlJc w:val="left"/>
      <w:pPr>
        <w:tabs>
          <w:tab w:val="num" w:pos="2880"/>
        </w:tabs>
        <w:ind w:left="2880" w:hanging="360"/>
      </w:pPr>
      <w:rPr>
        <w:rFonts w:ascii="Times New Roman" w:hAnsi="Times New Roman" w:hint="default"/>
      </w:rPr>
    </w:lvl>
    <w:lvl w:ilvl="4" w:tplc="C9F07630" w:tentative="1">
      <w:start w:val="1"/>
      <w:numFmt w:val="bullet"/>
      <w:lvlText w:val="•"/>
      <w:lvlJc w:val="left"/>
      <w:pPr>
        <w:tabs>
          <w:tab w:val="num" w:pos="3600"/>
        </w:tabs>
        <w:ind w:left="3600" w:hanging="360"/>
      </w:pPr>
      <w:rPr>
        <w:rFonts w:ascii="Times New Roman" w:hAnsi="Times New Roman" w:hint="default"/>
      </w:rPr>
    </w:lvl>
    <w:lvl w:ilvl="5" w:tplc="A3F0D9F2" w:tentative="1">
      <w:start w:val="1"/>
      <w:numFmt w:val="bullet"/>
      <w:lvlText w:val="•"/>
      <w:lvlJc w:val="left"/>
      <w:pPr>
        <w:tabs>
          <w:tab w:val="num" w:pos="4320"/>
        </w:tabs>
        <w:ind w:left="4320" w:hanging="360"/>
      </w:pPr>
      <w:rPr>
        <w:rFonts w:ascii="Times New Roman" w:hAnsi="Times New Roman" w:hint="default"/>
      </w:rPr>
    </w:lvl>
    <w:lvl w:ilvl="6" w:tplc="B99E89AC" w:tentative="1">
      <w:start w:val="1"/>
      <w:numFmt w:val="bullet"/>
      <w:lvlText w:val="•"/>
      <w:lvlJc w:val="left"/>
      <w:pPr>
        <w:tabs>
          <w:tab w:val="num" w:pos="5040"/>
        </w:tabs>
        <w:ind w:left="5040" w:hanging="360"/>
      </w:pPr>
      <w:rPr>
        <w:rFonts w:ascii="Times New Roman" w:hAnsi="Times New Roman" w:hint="default"/>
      </w:rPr>
    </w:lvl>
    <w:lvl w:ilvl="7" w:tplc="20662F68" w:tentative="1">
      <w:start w:val="1"/>
      <w:numFmt w:val="bullet"/>
      <w:lvlText w:val="•"/>
      <w:lvlJc w:val="left"/>
      <w:pPr>
        <w:tabs>
          <w:tab w:val="num" w:pos="5760"/>
        </w:tabs>
        <w:ind w:left="5760" w:hanging="360"/>
      </w:pPr>
      <w:rPr>
        <w:rFonts w:ascii="Times New Roman" w:hAnsi="Times New Roman" w:hint="default"/>
      </w:rPr>
    </w:lvl>
    <w:lvl w:ilvl="8" w:tplc="140EC0F0"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27D2AC4"/>
    <w:multiLevelType w:val="hybridMultilevel"/>
    <w:tmpl w:val="D630671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715515A8"/>
    <w:multiLevelType w:val="hybridMultilevel"/>
    <w:tmpl w:val="13D2D456"/>
    <w:lvl w:ilvl="0" w:tplc="14090001">
      <w:start w:val="1"/>
      <w:numFmt w:val="bullet"/>
      <w:lvlText w:val=""/>
      <w:lvlJc w:val="left"/>
      <w:pPr>
        <w:ind w:left="717" w:hanging="360"/>
      </w:pPr>
      <w:rPr>
        <w:rFonts w:ascii="Symbol" w:hAnsi="Symbol"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start w:val="1"/>
      <w:numFmt w:val="bullet"/>
      <w:lvlText w:val=""/>
      <w:lvlJc w:val="left"/>
      <w:pPr>
        <w:ind w:left="2877" w:hanging="360"/>
      </w:pPr>
      <w:rPr>
        <w:rFonts w:ascii="Symbol" w:hAnsi="Symbol" w:hint="default"/>
      </w:rPr>
    </w:lvl>
    <w:lvl w:ilvl="4" w:tplc="14090003">
      <w:start w:val="1"/>
      <w:numFmt w:val="bullet"/>
      <w:lvlText w:val="o"/>
      <w:lvlJc w:val="left"/>
      <w:pPr>
        <w:ind w:left="3597" w:hanging="360"/>
      </w:pPr>
      <w:rPr>
        <w:rFonts w:ascii="Courier New" w:hAnsi="Courier New" w:cs="Courier New" w:hint="default"/>
      </w:rPr>
    </w:lvl>
    <w:lvl w:ilvl="5" w:tplc="14090005">
      <w:start w:val="1"/>
      <w:numFmt w:val="bullet"/>
      <w:lvlText w:val=""/>
      <w:lvlJc w:val="left"/>
      <w:pPr>
        <w:ind w:left="4317" w:hanging="360"/>
      </w:pPr>
      <w:rPr>
        <w:rFonts w:ascii="Wingdings" w:hAnsi="Wingdings" w:hint="default"/>
      </w:rPr>
    </w:lvl>
    <w:lvl w:ilvl="6" w:tplc="14090001">
      <w:start w:val="1"/>
      <w:numFmt w:val="bullet"/>
      <w:lvlText w:val=""/>
      <w:lvlJc w:val="left"/>
      <w:pPr>
        <w:ind w:left="5037" w:hanging="360"/>
      </w:pPr>
      <w:rPr>
        <w:rFonts w:ascii="Symbol" w:hAnsi="Symbol" w:hint="default"/>
      </w:rPr>
    </w:lvl>
    <w:lvl w:ilvl="7" w:tplc="14090003">
      <w:start w:val="1"/>
      <w:numFmt w:val="bullet"/>
      <w:lvlText w:val="o"/>
      <w:lvlJc w:val="left"/>
      <w:pPr>
        <w:ind w:left="5757" w:hanging="360"/>
      </w:pPr>
      <w:rPr>
        <w:rFonts w:ascii="Courier New" w:hAnsi="Courier New" w:cs="Courier New" w:hint="default"/>
      </w:rPr>
    </w:lvl>
    <w:lvl w:ilvl="8" w:tplc="14090005">
      <w:start w:val="1"/>
      <w:numFmt w:val="bullet"/>
      <w:lvlText w:val=""/>
      <w:lvlJc w:val="left"/>
      <w:pPr>
        <w:ind w:left="6477" w:hanging="360"/>
      </w:pPr>
      <w:rPr>
        <w:rFonts w:ascii="Wingdings" w:hAnsi="Wingdings" w:hint="default"/>
      </w:rPr>
    </w:lvl>
  </w:abstractNum>
  <w:abstractNum w:abstractNumId="32" w15:restartNumberingAfterBreak="0">
    <w:nsid w:val="7F8A31DC"/>
    <w:multiLevelType w:val="hybridMultilevel"/>
    <w:tmpl w:val="F6E8AA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1"/>
  </w:num>
  <w:num w:numId="2">
    <w:abstractNumId w:val="1"/>
  </w:num>
  <w:num w:numId="3">
    <w:abstractNumId w:val="0"/>
  </w:num>
  <w:num w:numId="4">
    <w:abstractNumId w:val="7"/>
  </w:num>
  <w:num w:numId="5">
    <w:abstractNumId w:val="8"/>
  </w:num>
  <w:num w:numId="6">
    <w:abstractNumId w:val="26"/>
  </w:num>
  <w:num w:numId="7">
    <w:abstractNumId w:val="9"/>
  </w:num>
  <w:num w:numId="8">
    <w:abstractNumId w:val="19"/>
  </w:num>
  <w:num w:numId="9">
    <w:abstractNumId w:val="1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 w:ilvl="0">
        <w:start w:val="1"/>
        <w:numFmt w:val="decimal"/>
        <w:pStyle w:val="ReportBody"/>
        <w:lvlText w:val="%1"/>
        <w:lvlJc w:val="left"/>
        <w:pPr>
          <w:tabs>
            <w:tab w:val="num" w:pos="493"/>
          </w:tabs>
          <w:ind w:left="493" w:hanging="49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2">
    <w:abstractNumId w:val="32"/>
  </w:num>
  <w:num w:numId="13">
    <w:abstractNumId w:val="30"/>
  </w:num>
  <w:num w:numId="14">
    <w:abstractNumId w:val="5"/>
  </w:num>
  <w:num w:numId="15">
    <w:abstractNumId w:val="32"/>
  </w:num>
  <w:num w:numId="16">
    <w:abstractNumId w:val="24"/>
  </w:num>
  <w:num w:numId="17">
    <w:abstractNumId w:val="30"/>
  </w:num>
  <w:num w:numId="18">
    <w:abstractNumId w:val="31"/>
  </w:num>
  <w:num w:numId="19">
    <w:abstractNumId w:val="3"/>
  </w:num>
  <w:num w:numId="20">
    <w:abstractNumId w:val="29"/>
  </w:num>
  <w:num w:numId="21">
    <w:abstractNumId w:val="18"/>
  </w:num>
  <w:num w:numId="22">
    <w:abstractNumId w:val="28"/>
  </w:num>
  <w:num w:numId="23">
    <w:abstractNumId w:val="25"/>
  </w:num>
  <w:num w:numId="24">
    <w:abstractNumId w:val="20"/>
  </w:num>
  <w:num w:numId="25">
    <w:abstractNumId w:val="6"/>
  </w:num>
  <w:num w:numId="26">
    <w:abstractNumId w:val="10"/>
  </w:num>
  <w:num w:numId="27">
    <w:abstractNumId w:val="12"/>
  </w:num>
  <w:num w:numId="28">
    <w:abstractNumId w:val="13"/>
  </w:num>
  <w:num w:numId="29">
    <w:abstractNumId w:val="14"/>
  </w:num>
  <w:num w:numId="30">
    <w:abstractNumId w:val="21"/>
  </w:num>
  <w:num w:numId="31">
    <w:abstractNumId w:val="15"/>
  </w:num>
  <w:num w:numId="32">
    <w:abstractNumId w:val="23"/>
  </w:num>
  <w:num w:numId="33">
    <w:abstractNumId w:val="22"/>
  </w:num>
  <w:num w:numId="34">
    <w:abstractNumId w:val="2"/>
  </w:num>
  <w:num w:numId="3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30"/>
    <w:rsid w:val="00000B4C"/>
    <w:rsid w:val="000010B5"/>
    <w:rsid w:val="0000490A"/>
    <w:rsid w:val="00005BBE"/>
    <w:rsid w:val="00006478"/>
    <w:rsid w:val="000100DF"/>
    <w:rsid w:val="000106D0"/>
    <w:rsid w:val="00017106"/>
    <w:rsid w:val="00031D8F"/>
    <w:rsid w:val="00032E91"/>
    <w:rsid w:val="00034336"/>
    <w:rsid w:val="000343CB"/>
    <w:rsid w:val="00037CB0"/>
    <w:rsid w:val="000401F6"/>
    <w:rsid w:val="0004382E"/>
    <w:rsid w:val="00046AA8"/>
    <w:rsid w:val="000527B2"/>
    <w:rsid w:val="00052C17"/>
    <w:rsid w:val="00052C82"/>
    <w:rsid w:val="00062513"/>
    <w:rsid w:val="00072E62"/>
    <w:rsid w:val="00075C49"/>
    <w:rsid w:val="00091075"/>
    <w:rsid w:val="000937E9"/>
    <w:rsid w:val="000A0158"/>
    <w:rsid w:val="000A576B"/>
    <w:rsid w:val="000B1DE6"/>
    <w:rsid w:val="000C1B46"/>
    <w:rsid w:val="000E3BB9"/>
    <w:rsid w:val="00106AED"/>
    <w:rsid w:val="0011759F"/>
    <w:rsid w:val="00123E9A"/>
    <w:rsid w:val="00133CF1"/>
    <w:rsid w:val="00140CE3"/>
    <w:rsid w:val="001413A9"/>
    <w:rsid w:val="001468DC"/>
    <w:rsid w:val="00146B9C"/>
    <w:rsid w:val="001545A8"/>
    <w:rsid w:val="00163522"/>
    <w:rsid w:val="00165179"/>
    <w:rsid w:val="001766EA"/>
    <w:rsid w:val="00180312"/>
    <w:rsid w:val="0019574F"/>
    <w:rsid w:val="001A043F"/>
    <w:rsid w:val="001C3828"/>
    <w:rsid w:val="001C5DFC"/>
    <w:rsid w:val="001D1578"/>
    <w:rsid w:val="001D3744"/>
    <w:rsid w:val="001D3F10"/>
    <w:rsid w:val="001F21C5"/>
    <w:rsid w:val="001F57B1"/>
    <w:rsid w:val="001F6FFD"/>
    <w:rsid w:val="00202F39"/>
    <w:rsid w:val="0020429C"/>
    <w:rsid w:val="00207B13"/>
    <w:rsid w:val="00213DA6"/>
    <w:rsid w:val="00216302"/>
    <w:rsid w:val="002317B4"/>
    <w:rsid w:val="002318AA"/>
    <w:rsid w:val="00231991"/>
    <w:rsid w:val="00233625"/>
    <w:rsid w:val="00236D2D"/>
    <w:rsid w:val="002441AD"/>
    <w:rsid w:val="00244AF6"/>
    <w:rsid w:val="00245A2B"/>
    <w:rsid w:val="0024736C"/>
    <w:rsid w:val="002608A8"/>
    <w:rsid w:val="002651C6"/>
    <w:rsid w:val="00270427"/>
    <w:rsid w:val="00270B13"/>
    <w:rsid w:val="00276B4D"/>
    <w:rsid w:val="002814A8"/>
    <w:rsid w:val="00286F9C"/>
    <w:rsid w:val="00294CE1"/>
    <w:rsid w:val="002A05A3"/>
    <w:rsid w:val="002A6CBE"/>
    <w:rsid w:val="002B2993"/>
    <w:rsid w:val="002B3103"/>
    <w:rsid w:val="002C14BA"/>
    <w:rsid w:val="002C21CF"/>
    <w:rsid w:val="002C2A2D"/>
    <w:rsid w:val="002C2CD3"/>
    <w:rsid w:val="002C2FE9"/>
    <w:rsid w:val="002C50A0"/>
    <w:rsid w:val="002C65C3"/>
    <w:rsid w:val="002D1C62"/>
    <w:rsid w:val="002D367B"/>
    <w:rsid w:val="00300F3A"/>
    <w:rsid w:val="00307063"/>
    <w:rsid w:val="003178A9"/>
    <w:rsid w:val="00323831"/>
    <w:rsid w:val="00323AAA"/>
    <w:rsid w:val="0034391A"/>
    <w:rsid w:val="00354EC2"/>
    <w:rsid w:val="00355FA2"/>
    <w:rsid w:val="003627CB"/>
    <w:rsid w:val="0036381E"/>
    <w:rsid w:val="003658BC"/>
    <w:rsid w:val="00397220"/>
    <w:rsid w:val="003A24F6"/>
    <w:rsid w:val="003B0A38"/>
    <w:rsid w:val="003B0E64"/>
    <w:rsid w:val="003B151E"/>
    <w:rsid w:val="003B444B"/>
    <w:rsid w:val="003E0BCE"/>
    <w:rsid w:val="003E2869"/>
    <w:rsid w:val="003E3722"/>
    <w:rsid w:val="003E54AD"/>
    <w:rsid w:val="003F1D41"/>
    <w:rsid w:val="003F2AA2"/>
    <w:rsid w:val="0040398A"/>
    <w:rsid w:val="00407550"/>
    <w:rsid w:val="00411093"/>
    <w:rsid w:val="0041418B"/>
    <w:rsid w:val="004142AD"/>
    <w:rsid w:val="004227ED"/>
    <w:rsid w:val="004258CF"/>
    <w:rsid w:val="0043635A"/>
    <w:rsid w:val="00445BCE"/>
    <w:rsid w:val="00453C92"/>
    <w:rsid w:val="00454F25"/>
    <w:rsid w:val="00455D44"/>
    <w:rsid w:val="004650CE"/>
    <w:rsid w:val="00465F23"/>
    <w:rsid w:val="00466AA6"/>
    <w:rsid w:val="00470FF9"/>
    <w:rsid w:val="004710B8"/>
    <w:rsid w:val="004773B5"/>
    <w:rsid w:val="00481744"/>
    <w:rsid w:val="004821DF"/>
    <w:rsid w:val="004B3069"/>
    <w:rsid w:val="004B345F"/>
    <w:rsid w:val="004B6CE6"/>
    <w:rsid w:val="004B740C"/>
    <w:rsid w:val="004C1A30"/>
    <w:rsid w:val="004D1C66"/>
    <w:rsid w:val="004D363E"/>
    <w:rsid w:val="004D5CE5"/>
    <w:rsid w:val="004D6BDF"/>
    <w:rsid w:val="004E4E66"/>
    <w:rsid w:val="004E61AC"/>
    <w:rsid w:val="004E6495"/>
    <w:rsid w:val="004F771D"/>
    <w:rsid w:val="004F7CC1"/>
    <w:rsid w:val="00503D16"/>
    <w:rsid w:val="00517760"/>
    <w:rsid w:val="005205B1"/>
    <w:rsid w:val="00533E65"/>
    <w:rsid w:val="005446CC"/>
    <w:rsid w:val="00545427"/>
    <w:rsid w:val="005516A4"/>
    <w:rsid w:val="005537AF"/>
    <w:rsid w:val="005613DC"/>
    <w:rsid w:val="00563639"/>
    <w:rsid w:val="0056681E"/>
    <w:rsid w:val="00567AED"/>
    <w:rsid w:val="00572AA9"/>
    <w:rsid w:val="00577DD3"/>
    <w:rsid w:val="00586172"/>
    <w:rsid w:val="00590DF3"/>
    <w:rsid w:val="00594174"/>
    <w:rsid w:val="00595906"/>
    <w:rsid w:val="005B11F9"/>
    <w:rsid w:val="005B2534"/>
    <w:rsid w:val="005B6A07"/>
    <w:rsid w:val="005C0A8F"/>
    <w:rsid w:val="005E32CE"/>
    <w:rsid w:val="005E7976"/>
    <w:rsid w:val="006067E7"/>
    <w:rsid w:val="0061196A"/>
    <w:rsid w:val="00612E32"/>
    <w:rsid w:val="006154C4"/>
    <w:rsid w:val="006210D0"/>
    <w:rsid w:val="00622331"/>
    <w:rsid w:val="00631D73"/>
    <w:rsid w:val="006476C9"/>
    <w:rsid w:val="00656822"/>
    <w:rsid w:val="00677DB4"/>
    <w:rsid w:val="00690EAE"/>
    <w:rsid w:val="006A2940"/>
    <w:rsid w:val="006B12BF"/>
    <w:rsid w:val="006B19BD"/>
    <w:rsid w:val="006B44AD"/>
    <w:rsid w:val="006B6C26"/>
    <w:rsid w:val="006C4319"/>
    <w:rsid w:val="006D3FEF"/>
    <w:rsid w:val="006E15AE"/>
    <w:rsid w:val="006F2438"/>
    <w:rsid w:val="006F680A"/>
    <w:rsid w:val="006F693B"/>
    <w:rsid w:val="00701EDF"/>
    <w:rsid w:val="00710FFE"/>
    <w:rsid w:val="00716E81"/>
    <w:rsid w:val="00723291"/>
    <w:rsid w:val="0073197F"/>
    <w:rsid w:val="00732774"/>
    <w:rsid w:val="0073314B"/>
    <w:rsid w:val="007473B5"/>
    <w:rsid w:val="007518B0"/>
    <w:rsid w:val="007561A1"/>
    <w:rsid w:val="0076500C"/>
    <w:rsid w:val="00772356"/>
    <w:rsid w:val="007742BF"/>
    <w:rsid w:val="00782080"/>
    <w:rsid w:val="00790294"/>
    <w:rsid w:val="007A63B8"/>
    <w:rsid w:val="007B201A"/>
    <w:rsid w:val="007B2AAD"/>
    <w:rsid w:val="007B4DF5"/>
    <w:rsid w:val="007C1718"/>
    <w:rsid w:val="007C2143"/>
    <w:rsid w:val="007C27E3"/>
    <w:rsid w:val="007C56A4"/>
    <w:rsid w:val="007D2316"/>
    <w:rsid w:val="007E2947"/>
    <w:rsid w:val="007E7413"/>
    <w:rsid w:val="007F0AAB"/>
    <w:rsid w:val="007F25D9"/>
    <w:rsid w:val="007F3ACD"/>
    <w:rsid w:val="0080133F"/>
    <w:rsid w:val="0080498F"/>
    <w:rsid w:val="008056B4"/>
    <w:rsid w:val="0080683E"/>
    <w:rsid w:val="008145C3"/>
    <w:rsid w:val="00824A32"/>
    <w:rsid w:val="0083320D"/>
    <w:rsid w:val="008355D2"/>
    <w:rsid w:val="00840D5A"/>
    <w:rsid w:val="008505B9"/>
    <w:rsid w:val="00852339"/>
    <w:rsid w:val="00857D1B"/>
    <w:rsid w:val="00860654"/>
    <w:rsid w:val="0087547D"/>
    <w:rsid w:val="008772B9"/>
    <w:rsid w:val="008842F7"/>
    <w:rsid w:val="0089311A"/>
    <w:rsid w:val="008A6B91"/>
    <w:rsid w:val="008B5E3D"/>
    <w:rsid w:val="008C00B8"/>
    <w:rsid w:val="008D220D"/>
    <w:rsid w:val="008E5F01"/>
    <w:rsid w:val="00900E11"/>
    <w:rsid w:val="00903433"/>
    <w:rsid w:val="00903467"/>
    <w:rsid w:val="00906EAA"/>
    <w:rsid w:val="00907F08"/>
    <w:rsid w:val="00914A57"/>
    <w:rsid w:val="00920B6E"/>
    <w:rsid w:val="00921177"/>
    <w:rsid w:val="0092523F"/>
    <w:rsid w:val="009338EB"/>
    <w:rsid w:val="00965AA0"/>
    <w:rsid w:val="00965BE2"/>
    <w:rsid w:val="00970DD2"/>
    <w:rsid w:val="009739BD"/>
    <w:rsid w:val="009B0161"/>
    <w:rsid w:val="009B100A"/>
    <w:rsid w:val="009C0B31"/>
    <w:rsid w:val="009C2C01"/>
    <w:rsid w:val="009C568D"/>
    <w:rsid w:val="009D15F1"/>
    <w:rsid w:val="009D1C30"/>
    <w:rsid w:val="009D2B10"/>
    <w:rsid w:val="009F20C0"/>
    <w:rsid w:val="009F3C17"/>
    <w:rsid w:val="00A111EE"/>
    <w:rsid w:val="00A14E27"/>
    <w:rsid w:val="00A16B98"/>
    <w:rsid w:val="00A2199C"/>
    <w:rsid w:val="00A22660"/>
    <w:rsid w:val="00A236AA"/>
    <w:rsid w:val="00A32B33"/>
    <w:rsid w:val="00A35D2C"/>
    <w:rsid w:val="00A37413"/>
    <w:rsid w:val="00A37D46"/>
    <w:rsid w:val="00A40CCD"/>
    <w:rsid w:val="00A43896"/>
    <w:rsid w:val="00A44F0E"/>
    <w:rsid w:val="00A5348B"/>
    <w:rsid w:val="00A56D08"/>
    <w:rsid w:val="00A60115"/>
    <w:rsid w:val="00A61DA1"/>
    <w:rsid w:val="00A6244E"/>
    <w:rsid w:val="00A63054"/>
    <w:rsid w:val="00A63A6C"/>
    <w:rsid w:val="00A64751"/>
    <w:rsid w:val="00A7216B"/>
    <w:rsid w:val="00A97C2B"/>
    <w:rsid w:val="00AB3CBB"/>
    <w:rsid w:val="00AC13F5"/>
    <w:rsid w:val="00AD1D67"/>
    <w:rsid w:val="00AD5661"/>
    <w:rsid w:val="00AE44E0"/>
    <w:rsid w:val="00AF3ECF"/>
    <w:rsid w:val="00AF4A83"/>
    <w:rsid w:val="00AF6AA1"/>
    <w:rsid w:val="00B04631"/>
    <w:rsid w:val="00B06E50"/>
    <w:rsid w:val="00B12ACA"/>
    <w:rsid w:val="00B177BA"/>
    <w:rsid w:val="00B323E7"/>
    <w:rsid w:val="00B400F6"/>
    <w:rsid w:val="00B41635"/>
    <w:rsid w:val="00B47F00"/>
    <w:rsid w:val="00B51669"/>
    <w:rsid w:val="00B5357A"/>
    <w:rsid w:val="00B611CC"/>
    <w:rsid w:val="00B61727"/>
    <w:rsid w:val="00B61F5C"/>
    <w:rsid w:val="00B62F60"/>
    <w:rsid w:val="00B704A1"/>
    <w:rsid w:val="00B87CC4"/>
    <w:rsid w:val="00B87FE4"/>
    <w:rsid w:val="00B944D6"/>
    <w:rsid w:val="00B963CD"/>
    <w:rsid w:val="00BA2005"/>
    <w:rsid w:val="00BA5FA2"/>
    <w:rsid w:val="00BB0F88"/>
    <w:rsid w:val="00BB3796"/>
    <w:rsid w:val="00BB745B"/>
    <w:rsid w:val="00BC202F"/>
    <w:rsid w:val="00BD4FE4"/>
    <w:rsid w:val="00BD710E"/>
    <w:rsid w:val="00BE62F3"/>
    <w:rsid w:val="00BE6A75"/>
    <w:rsid w:val="00BF0E21"/>
    <w:rsid w:val="00C015D4"/>
    <w:rsid w:val="00C20B72"/>
    <w:rsid w:val="00C2714F"/>
    <w:rsid w:val="00C306A7"/>
    <w:rsid w:val="00C45C61"/>
    <w:rsid w:val="00C503A7"/>
    <w:rsid w:val="00C520EF"/>
    <w:rsid w:val="00C5215F"/>
    <w:rsid w:val="00C5222B"/>
    <w:rsid w:val="00C535E4"/>
    <w:rsid w:val="00C67B2B"/>
    <w:rsid w:val="00C8646E"/>
    <w:rsid w:val="00C9294F"/>
    <w:rsid w:val="00CB20F5"/>
    <w:rsid w:val="00CB2B45"/>
    <w:rsid w:val="00CB4A28"/>
    <w:rsid w:val="00CD07B0"/>
    <w:rsid w:val="00CD78F3"/>
    <w:rsid w:val="00CE16DC"/>
    <w:rsid w:val="00CF76A0"/>
    <w:rsid w:val="00D01163"/>
    <w:rsid w:val="00D013A4"/>
    <w:rsid w:val="00D01939"/>
    <w:rsid w:val="00D02B78"/>
    <w:rsid w:val="00D03E5F"/>
    <w:rsid w:val="00D03FB9"/>
    <w:rsid w:val="00D04451"/>
    <w:rsid w:val="00D05208"/>
    <w:rsid w:val="00D30B29"/>
    <w:rsid w:val="00D34EA0"/>
    <w:rsid w:val="00D3675E"/>
    <w:rsid w:val="00D400EA"/>
    <w:rsid w:val="00D4423B"/>
    <w:rsid w:val="00D51B73"/>
    <w:rsid w:val="00D770AA"/>
    <w:rsid w:val="00D8395A"/>
    <w:rsid w:val="00D84620"/>
    <w:rsid w:val="00D90D77"/>
    <w:rsid w:val="00DD6907"/>
    <w:rsid w:val="00DD7526"/>
    <w:rsid w:val="00DE0688"/>
    <w:rsid w:val="00DE625F"/>
    <w:rsid w:val="00DE7E56"/>
    <w:rsid w:val="00DF70F5"/>
    <w:rsid w:val="00DF72FC"/>
    <w:rsid w:val="00E14BA4"/>
    <w:rsid w:val="00E204D4"/>
    <w:rsid w:val="00E2195F"/>
    <w:rsid w:val="00E233DC"/>
    <w:rsid w:val="00E25BC1"/>
    <w:rsid w:val="00E32C91"/>
    <w:rsid w:val="00E32DE5"/>
    <w:rsid w:val="00E46C13"/>
    <w:rsid w:val="00E565C0"/>
    <w:rsid w:val="00E5778B"/>
    <w:rsid w:val="00E61A2E"/>
    <w:rsid w:val="00E671C3"/>
    <w:rsid w:val="00E70E5E"/>
    <w:rsid w:val="00E71870"/>
    <w:rsid w:val="00E73522"/>
    <w:rsid w:val="00E828FF"/>
    <w:rsid w:val="00E83980"/>
    <w:rsid w:val="00E90142"/>
    <w:rsid w:val="00E90194"/>
    <w:rsid w:val="00E905BA"/>
    <w:rsid w:val="00E9269E"/>
    <w:rsid w:val="00E9420F"/>
    <w:rsid w:val="00E9707C"/>
    <w:rsid w:val="00EA336C"/>
    <w:rsid w:val="00EA42BD"/>
    <w:rsid w:val="00EC1FC9"/>
    <w:rsid w:val="00EC302C"/>
    <w:rsid w:val="00EC63B4"/>
    <w:rsid w:val="00ED283F"/>
    <w:rsid w:val="00EE6D55"/>
    <w:rsid w:val="00F059D3"/>
    <w:rsid w:val="00F06EE8"/>
    <w:rsid w:val="00F07349"/>
    <w:rsid w:val="00F113EF"/>
    <w:rsid w:val="00F126F3"/>
    <w:rsid w:val="00F13A34"/>
    <w:rsid w:val="00F1739A"/>
    <w:rsid w:val="00F22158"/>
    <w:rsid w:val="00F22AE5"/>
    <w:rsid w:val="00F25856"/>
    <w:rsid w:val="00F36E09"/>
    <w:rsid w:val="00F44D2C"/>
    <w:rsid w:val="00F61B24"/>
    <w:rsid w:val="00F7163E"/>
    <w:rsid w:val="00F76457"/>
    <w:rsid w:val="00F8167B"/>
    <w:rsid w:val="00F829C0"/>
    <w:rsid w:val="00F829F6"/>
    <w:rsid w:val="00F834A3"/>
    <w:rsid w:val="00F87096"/>
    <w:rsid w:val="00FC1513"/>
    <w:rsid w:val="00FD798D"/>
    <w:rsid w:val="00FE396D"/>
    <w:rsid w:val="00FE3F47"/>
    <w:rsid w:val="00FE5B54"/>
    <w:rsid w:val="00FF1374"/>
    <w:rsid w:val="00FF2C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B0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uiPriority="0"/>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 para,List Paragraph1,Recommendation,List Paragraph11,F5 List Paragraph,Dot pt,No Spacing1,List Paragraph Char Char Char,Indicator Text,Colorful List - Accent 11,Numbered Para 1,Bullet 1,Bullet Points,MAIN CONTENT,TOC style,lp1,L,Body"/>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4"/>
    <w:semiHidden/>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4"/>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B2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34"/>
    <w:rPr>
      <w:rFonts w:ascii="Verdana" w:hAnsi="Verdana" w:cs="Arial"/>
      <w:szCs w:val="22"/>
    </w:rPr>
  </w:style>
  <w:style w:type="character" w:customStyle="1" w:styleId="ListParagraphChar">
    <w:name w:val="List Paragraph Char"/>
    <w:aliases w:val="Rec para Char,List Paragraph1 Char,Recommendation Char,List Paragraph11 Char,F5 List Paragraph Char,Dot pt Char,No Spacing1 Char,List Paragraph Char Char Char Char,Indicator Text Char,Colorful List - Accent 11 Char,Bullet 1 Char"/>
    <w:basedOn w:val="DefaultParagraphFont"/>
    <w:link w:val="ListParagraph"/>
    <w:uiPriority w:val="34"/>
    <w:qFormat/>
    <w:locked/>
    <w:rsid w:val="00EC63B4"/>
    <w:rPr>
      <w:rFonts w:ascii="Verdana" w:hAnsi="Verdana" w:cs="Arial"/>
      <w:szCs w:val="22"/>
    </w:rPr>
  </w:style>
  <w:style w:type="paragraph" w:customStyle="1" w:styleId="ExecutivePara">
    <w:name w:val="Executive Para"/>
    <w:basedOn w:val="Normal"/>
    <w:uiPriority w:val="99"/>
    <w:qFormat/>
    <w:rsid w:val="003E54AD"/>
    <w:pPr>
      <w:numPr>
        <w:numId w:val="10"/>
      </w:numPr>
      <w:spacing w:before="240" w:line="240" w:lineRule="auto"/>
      <w:jc w:val="both"/>
    </w:pPr>
    <w:rPr>
      <w:rFonts w:ascii="Arial" w:eastAsia="Times New Roman" w:hAnsi="Arial" w:cs="Times New Roman"/>
      <w:sz w:val="22"/>
      <w:szCs w:val="20"/>
    </w:rPr>
  </w:style>
  <w:style w:type="character" w:styleId="FootnoteReference">
    <w:name w:val="footnote reference"/>
    <w:semiHidden/>
    <w:unhideWhenUsed/>
    <w:rsid w:val="004650CE"/>
    <w:rPr>
      <w:vertAlign w:val="superscript"/>
    </w:rPr>
  </w:style>
  <w:style w:type="paragraph" w:customStyle="1" w:styleId="ReportBody">
    <w:name w:val="Report Body"/>
    <w:basedOn w:val="Normal"/>
    <w:link w:val="ReportBodyChar"/>
    <w:qFormat/>
    <w:rsid w:val="00163522"/>
    <w:pPr>
      <w:numPr>
        <w:numId w:val="11"/>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163522"/>
    <w:pPr>
      <w:numPr>
        <w:ilvl w:val="1"/>
      </w:numPr>
      <w:tabs>
        <w:tab w:val="clear" w:pos="493"/>
      </w:tabs>
      <w:ind w:left="792" w:hanging="432"/>
    </w:pPr>
  </w:style>
  <w:style w:type="character" w:customStyle="1" w:styleId="ReportBodyChar">
    <w:name w:val="Report Body Char"/>
    <w:basedOn w:val="DefaultParagraphFont"/>
    <w:link w:val="ReportBody"/>
    <w:rsid w:val="00163522"/>
    <w:rPr>
      <w:rFonts w:ascii="Verdana" w:eastAsia="Times New Roman" w:hAnsi="Verdana" w:cs="Arial"/>
      <w:color w:val="000000"/>
      <w:kern w:val="22"/>
      <w:lang w:eastAsia="en-NZ"/>
    </w:rPr>
  </w:style>
  <w:style w:type="character" w:styleId="Hyperlink">
    <w:name w:val="Hyperlink"/>
    <w:basedOn w:val="DefaultParagraphFont"/>
    <w:uiPriority w:val="99"/>
    <w:unhideWhenUsed/>
    <w:rsid w:val="00782080"/>
    <w:rPr>
      <w:color w:val="0000FF" w:themeColor="hyperlink"/>
      <w:u w:val="single"/>
    </w:rPr>
  </w:style>
  <w:style w:type="character" w:styleId="UnresolvedMention">
    <w:name w:val="Unresolved Mention"/>
    <w:basedOn w:val="DefaultParagraphFont"/>
    <w:uiPriority w:val="99"/>
    <w:semiHidden/>
    <w:unhideWhenUsed/>
    <w:rsid w:val="00782080"/>
    <w:rPr>
      <w:color w:val="605E5C"/>
      <w:shd w:val="clear" w:color="auto" w:fill="E1DFDD"/>
    </w:rPr>
  </w:style>
  <w:style w:type="paragraph" w:styleId="EndnoteText">
    <w:name w:val="endnote text"/>
    <w:basedOn w:val="Normal"/>
    <w:link w:val="EndnoteTextChar"/>
    <w:uiPriority w:val="99"/>
    <w:semiHidden/>
    <w:unhideWhenUsed/>
    <w:rsid w:val="004D363E"/>
    <w:pPr>
      <w:spacing w:after="0" w:line="240" w:lineRule="auto"/>
    </w:pPr>
    <w:rPr>
      <w:szCs w:val="20"/>
    </w:rPr>
  </w:style>
  <w:style w:type="character" w:customStyle="1" w:styleId="EndnoteTextChar">
    <w:name w:val="Endnote Text Char"/>
    <w:basedOn w:val="DefaultParagraphFont"/>
    <w:link w:val="EndnoteText"/>
    <w:uiPriority w:val="99"/>
    <w:semiHidden/>
    <w:rsid w:val="004D363E"/>
    <w:rPr>
      <w:rFonts w:ascii="Verdana" w:hAnsi="Verdana" w:cs="Arial"/>
    </w:rPr>
  </w:style>
  <w:style w:type="paragraph" w:styleId="CommentSubject">
    <w:name w:val="annotation subject"/>
    <w:basedOn w:val="CommentText"/>
    <w:next w:val="CommentText"/>
    <w:link w:val="CommentSubjectChar"/>
    <w:uiPriority w:val="99"/>
    <w:semiHidden/>
    <w:unhideWhenUsed/>
    <w:rsid w:val="00046AA8"/>
    <w:rPr>
      <w:b/>
      <w:bCs/>
    </w:rPr>
  </w:style>
  <w:style w:type="character" w:customStyle="1" w:styleId="CommentSubjectChar">
    <w:name w:val="Comment Subject Char"/>
    <w:basedOn w:val="CommentTextChar"/>
    <w:link w:val="CommentSubject"/>
    <w:uiPriority w:val="99"/>
    <w:semiHidden/>
    <w:rsid w:val="00046AA8"/>
    <w:rPr>
      <w:rFonts w:ascii="Verdana" w:hAnsi="Verdana" w:cs="Arial"/>
      <w:b/>
      <w:bCs/>
    </w:rPr>
  </w:style>
  <w:style w:type="paragraph" w:styleId="Revision">
    <w:name w:val="Revision"/>
    <w:hidden/>
    <w:uiPriority w:val="99"/>
    <w:semiHidden/>
    <w:rsid w:val="00046AA8"/>
    <w:rPr>
      <w:rFonts w:ascii="Verdana" w:hAnsi="Verdana" w:cs="Arial"/>
      <w:szCs w:val="22"/>
    </w:rPr>
  </w:style>
  <w:style w:type="paragraph" w:customStyle="1" w:styleId="Default">
    <w:name w:val="Default"/>
    <w:rsid w:val="006A294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5505">
      <w:bodyDiv w:val="1"/>
      <w:marLeft w:val="0"/>
      <w:marRight w:val="0"/>
      <w:marTop w:val="0"/>
      <w:marBottom w:val="0"/>
      <w:divBdr>
        <w:top w:val="none" w:sz="0" w:space="0" w:color="auto"/>
        <w:left w:val="none" w:sz="0" w:space="0" w:color="auto"/>
        <w:bottom w:val="none" w:sz="0" w:space="0" w:color="auto"/>
        <w:right w:val="none" w:sz="0" w:space="0" w:color="auto"/>
      </w:divBdr>
      <w:divsChild>
        <w:div w:id="1467237581">
          <w:marLeft w:val="547"/>
          <w:marRight w:val="0"/>
          <w:marTop w:val="0"/>
          <w:marBottom w:val="0"/>
          <w:divBdr>
            <w:top w:val="none" w:sz="0" w:space="0" w:color="auto"/>
            <w:left w:val="none" w:sz="0" w:space="0" w:color="auto"/>
            <w:bottom w:val="none" w:sz="0" w:space="0" w:color="auto"/>
            <w:right w:val="none" w:sz="0" w:space="0" w:color="auto"/>
          </w:divBdr>
        </w:div>
      </w:divsChild>
    </w:div>
    <w:div w:id="100687976">
      <w:bodyDiv w:val="1"/>
      <w:marLeft w:val="0"/>
      <w:marRight w:val="0"/>
      <w:marTop w:val="0"/>
      <w:marBottom w:val="0"/>
      <w:divBdr>
        <w:top w:val="none" w:sz="0" w:space="0" w:color="auto"/>
        <w:left w:val="none" w:sz="0" w:space="0" w:color="auto"/>
        <w:bottom w:val="none" w:sz="0" w:space="0" w:color="auto"/>
        <w:right w:val="none" w:sz="0" w:space="0" w:color="auto"/>
      </w:divBdr>
    </w:div>
    <w:div w:id="123621837">
      <w:bodyDiv w:val="1"/>
      <w:marLeft w:val="0"/>
      <w:marRight w:val="0"/>
      <w:marTop w:val="0"/>
      <w:marBottom w:val="0"/>
      <w:divBdr>
        <w:top w:val="none" w:sz="0" w:space="0" w:color="auto"/>
        <w:left w:val="none" w:sz="0" w:space="0" w:color="auto"/>
        <w:bottom w:val="none" w:sz="0" w:space="0" w:color="auto"/>
        <w:right w:val="none" w:sz="0" w:space="0" w:color="auto"/>
      </w:divBdr>
    </w:div>
    <w:div w:id="124392462">
      <w:bodyDiv w:val="1"/>
      <w:marLeft w:val="0"/>
      <w:marRight w:val="0"/>
      <w:marTop w:val="0"/>
      <w:marBottom w:val="0"/>
      <w:divBdr>
        <w:top w:val="none" w:sz="0" w:space="0" w:color="auto"/>
        <w:left w:val="none" w:sz="0" w:space="0" w:color="auto"/>
        <w:bottom w:val="none" w:sz="0" w:space="0" w:color="auto"/>
        <w:right w:val="none" w:sz="0" w:space="0" w:color="auto"/>
      </w:divBdr>
    </w:div>
    <w:div w:id="149447729">
      <w:bodyDiv w:val="1"/>
      <w:marLeft w:val="0"/>
      <w:marRight w:val="0"/>
      <w:marTop w:val="0"/>
      <w:marBottom w:val="0"/>
      <w:divBdr>
        <w:top w:val="none" w:sz="0" w:space="0" w:color="auto"/>
        <w:left w:val="none" w:sz="0" w:space="0" w:color="auto"/>
        <w:bottom w:val="none" w:sz="0" w:space="0" w:color="auto"/>
        <w:right w:val="none" w:sz="0" w:space="0" w:color="auto"/>
      </w:divBdr>
    </w:div>
    <w:div w:id="486363953">
      <w:bodyDiv w:val="1"/>
      <w:marLeft w:val="0"/>
      <w:marRight w:val="0"/>
      <w:marTop w:val="0"/>
      <w:marBottom w:val="0"/>
      <w:divBdr>
        <w:top w:val="none" w:sz="0" w:space="0" w:color="auto"/>
        <w:left w:val="none" w:sz="0" w:space="0" w:color="auto"/>
        <w:bottom w:val="none" w:sz="0" w:space="0" w:color="auto"/>
        <w:right w:val="none" w:sz="0" w:space="0" w:color="auto"/>
      </w:divBdr>
      <w:divsChild>
        <w:div w:id="319315849">
          <w:marLeft w:val="547"/>
          <w:marRight w:val="0"/>
          <w:marTop w:val="0"/>
          <w:marBottom w:val="0"/>
          <w:divBdr>
            <w:top w:val="none" w:sz="0" w:space="0" w:color="auto"/>
            <w:left w:val="none" w:sz="0" w:space="0" w:color="auto"/>
            <w:bottom w:val="none" w:sz="0" w:space="0" w:color="auto"/>
            <w:right w:val="none" w:sz="0" w:space="0" w:color="auto"/>
          </w:divBdr>
        </w:div>
        <w:div w:id="1952974846">
          <w:marLeft w:val="547"/>
          <w:marRight w:val="0"/>
          <w:marTop w:val="0"/>
          <w:marBottom w:val="0"/>
          <w:divBdr>
            <w:top w:val="none" w:sz="0" w:space="0" w:color="auto"/>
            <w:left w:val="none" w:sz="0" w:space="0" w:color="auto"/>
            <w:bottom w:val="none" w:sz="0" w:space="0" w:color="auto"/>
            <w:right w:val="none" w:sz="0" w:space="0" w:color="auto"/>
          </w:divBdr>
        </w:div>
      </w:divsChild>
    </w:div>
    <w:div w:id="615523747">
      <w:bodyDiv w:val="1"/>
      <w:marLeft w:val="0"/>
      <w:marRight w:val="0"/>
      <w:marTop w:val="0"/>
      <w:marBottom w:val="0"/>
      <w:divBdr>
        <w:top w:val="none" w:sz="0" w:space="0" w:color="auto"/>
        <w:left w:val="none" w:sz="0" w:space="0" w:color="auto"/>
        <w:bottom w:val="none" w:sz="0" w:space="0" w:color="auto"/>
        <w:right w:val="none" w:sz="0" w:space="0" w:color="auto"/>
      </w:divBdr>
    </w:div>
    <w:div w:id="706756737">
      <w:bodyDiv w:val="1"/>
      <w:marLeft w:val="0"/>
      <w:marRight w:val="0"/>
      <w:marTop w:val="0"/>
      <w:marBottom w:val="0"/>
      <w:divBdr>
        <w:top w:val="none" w:sz="0" w:space="0" w:color="auto"/>
        <w:left w:val="none" w:sz="0" w:space="0" w:color="auto"/>
        <w:bottom w:val="none" w:sz="0" w:space="0" w:color="auto"/>
        <w:right w:val="none" w:sz="0" w:space="0" w:color="auto"/>
      </w:divBdr>
    </w:div>
    <w:div w:id="772358525">
      <w:bodyDiv w:val="1"/>
      <w:marLeft w:val="0"/>
      <w:marRight w:val="0"/>
      <w:marTop w:val="0"/>
      <w:marBottom w:val="0"/>
      <w:divBdr>
        <w:top w:val="none" w:sz="0" w:space="0" w:color="auto"/>
        <w:left w:val="none" w:sz="0" w:space="0" w:color="auto"/>
        <w:bottom w:val="none" w:sz="0" w:space="0" w:color="auto"/>
        <w:right w:val="none" w:sz="0" w:space="0" w:color="auto"/>
      </w:divBdr>
      <w:divsChild>
        <w:div w:id="1214538600">
          <w:marLeft w:val="547"/>
          <w:marRight w:val="0"/>
          <w:marTop w:val="0"/>
          <w:marBottom w:val="0"/>
          <w:divBdr>
            <w:top w:val="none" w:sz="0" w:space="0" w:color="auto"/>
            <w:left w:val="none" w:sz="0" w:space="0" w:color="auto"/>
            <w:bottom w:val="none" w:sz="0" w:space="0" w:color="auto"/>
            <w:right w:val="none" w:sz="0" w:space="0" w:color="auto"/>
          </w:divBdr>
        </w:div>
      </w:divsChild>
    </w:div>
    <w:div w:id="790126082">
      <w:bodyDiv w:val="1"/>
      <w:marLeft w:val="0"/>
      <w:marRight w:val="0"/>
      <w:marTop w:val="0"/>
      <w:marBottom w:val="0"/>
      <w:divBdr>
        <w:top w:val="none" w:sz="0" w:space="0" w:color="auto"/>
        <w:left w:val="none" w:sz="0" w:space="0" w:color="auto"/>
        <w:bottom w:val="none" w:sz="0" w:space="0" w:color="auto"/>
        <w:right w:val="none" w:sz="0" w:space="0" w:color="auto"/>
      </w:divBdr>
    </w:div>
    <w:div w:id="849561766">
      <w:bodyDiv w:val="1"/>
      <w:marLeft w:val="0"/>
      <w:marRight w:val="0"/>
      <w:marTop w:val="0"/>
      <w:marBottom w:val="0"/>
      <w:divBdr>
        <w:top w:val="none" w:sz="0" w:space="0" w:color="auto"/>
        <w:left w:val="none" w:sz="0" w:space="0" w:color="auto"/>
        <w:bottom w:val="none" w:sz="0" w:space="0" w:color="auto"/>
        <w:right w:val="none" w:sz="0" w:space="0" w:color="auto"/>
      </w:divBdr>
      <w:divsChild>
        <w:div w:id="1352995612">
          <w:marLeft w:val="547"/>
          <w:marRight w:val="0"/>
          <w:marTop w:val="0"/>
          <w:marBottom w:val="0"/>
          <w:divBdr>
            <w:top w:val="none" w:sz="0" w:space="0" w:color="auto"/>
            <w:left w:val="none" w:sz="0" w:space="0" w:color="auto"/>
            <w:bottom w:val="none" w:sz="0" w:space="0" w:color="auto"/>
            <w:right w:val="none" w:sz="0" w:space="0" w:color="auto"/>
          </w:divBdr>
        </w:div>
      </w:divsChild>
    </w:div>
    <w:div w:id="891693142">
      <w:bodyDiv w:val="1"/>
      <w:marLeft w:val="0"/>
      <w:marRight w:val="0"/>
      <w:marTop w:val="0"/>
      <w:marBottom w:val="0"/>
      <w:divBdr>
        <w:top w:val="none" w:sz="0" w:space="0" w:color="auto"/>
        <w:left w:val="none" w:sz="0" w:space="0" w:color="auto"/>
        <w:bottom w:val="none" w:sz="0" w:space="0" w:color="auto"/>
        <w:right w:val="none" w:sz="0" w:space="0" w:color="auto"/>
      </w:divBdr>
    </w:div>
    <w:div w:id="1005596251">
      <w:bodyDiv w:val="1"/>
      <w:marLeft w:val="0"/>
      <w:marRight w:val="0"/>
      <w:marTop w:val="0"/>
      <w:marBottom w:val="0"/>
      <w:divBdr>
        <w:top w:val="none" w:sz="0" w:space="0" w:color="auto"/>
        <w:left w:val="none" w:sz="0" w:space="0" w:color="auto"/>
        <w:bottom w:val="none" w:sz="0" w:space="0" w:color="auto"/>
        <w:right w:val="none" w:sz="0" w:space="0" w:color="auto"/>
      </w:divBdr>
    </w:div>
    <w:div w:id="1032389348">
      <w:bodyDiv w:val="1"/>
      <w:marLeft w:val="0"/>
      <w:marRight w:val="0"/>
      <w:marTop w:val="0"/>
      <w:marBottom w:val="0"/>
      <w:divBdr>
        <w:top w:val="none" w:sz="0" w:space="0" w:color="auto"/>
        <w:left w:val="none" w:sz="0" w:space="0" w:color="auto"/>
        <w:bottom w:val="none" w:sz="0" w:space="0" w:color="auto"/>
        <w:right w:val="none" w:sz="0" w:space="0" w:color="auto"/>
      </w:divBdr>
    </w:div>
    <w:div w:id="1050812575">
      <w:bodyDiv w:val="1"/>
      <w:marLeft w:val="0"/>
      <w:marRight w:val="0"/>
      <w:marTop w:val="0"/>
      <w:marBottom w:val="0"/>
      <w:divBdr>
        <w:top w:val="none" w:sz="0" w:space="0" w:color="auto"/>
        <w:left w:val="none" w:sz="0" w:space="0" w:color="auto"/>
        <w:bottom w:val="none" w:sz="0" w:space="0" w:color="auto"/>
        <w:right w:val="none" w:sz="0" w:space="0" w:color="auto"/>
      </w:divBdr>
      <w:divsChild>
        <w:div w:id="1597908816">
          <w:marLeft w:val="547"/>
          <w:marRight w:val="0"/>
          <w:marTop w:val="0"/>
          <w:marBottom w:val="0"/>
          <w:divBdr>
            <w:top w:val="none" w:sz="0" w:space="0" w:color="auto"/>
            <w:left w:val="none" w:sz="0" w:space="0" w:color="auto"/>
            <w:bottom w:val="none" w:sz="0" w:space="0" w:color="auto"/>
            <w:right w:val="none" w:sz="0" w:space="0" w:color="auto"/>
          </w:divBdr>
        </w:div>
      </w:divsChild>
    </w:div>
    <w:div w:id="1146972926">
      <w:bodyDiv w:val="1"/>
      <w:marLeft w:val="0"/>
      <w:marRight w:val="0"/>
      <w:marTop w:val="0"/>
      <w:marBottom w:val="0"/>
      <w:divBdr>
        <w:top w:val="none" w:sz="0" w:space="0" w:color="auto"/>
        <w:left w:val="none" w:sz="0" w:space="0" w:color="auto"/>
        <w:bottom w:val="none" w:sz="0" w:space="0" w:color="auto"/>
        <w:right w:val="none" w:sz="0" w:space="0" w:color="auto"/>
      </w:divBdr>
    </w:div>
    <w:div w:id="1372877020">
      <w:bodyDiv w:val="1"/>
      <w:marLeft w:val="0"/>
      <w:marRight w:val="0"/>
      <w:marTop w:val="0"/>
      <w:marBottom w:val="0"/>
      <w:divBdr>
        <w:top w:val="none" w:sz="0" w:space="0" w:color="auto"/>
        <w:left w:val="none" w:sz="0" w:space="0" w:color="auto"/>
        <w:bottom w:val="none" w:sz="0" w:space="0" w:color="auto"/>
        <w:right w:val="none" w:sz="0" w:space="0" w:color="auto"/>
      </w:divBdr>
      <w:divsChild>
        <w:div w:id="1282029620">
          <w:marLeft w:val="547"/>
          <w:marRight w:val="0"/>
          <w:marTop w:val="0"/>
          <w:marBottom w:val="0"/>
          <w:divBdr>
            <w:top w:val="none" w:sz="0" w:space="0" w:color="auto"/>
            <w:left w:val="none" w:sz="0" w:space="0" w:color="auto"/>
            <w:bottom w:val="none" w:sz="0" w:space="0" w:color="auto"/>
            <w:right w:val="none" w:sz="0" w:space="0" w:color="auto"/>
          </w:divBdr>
        </w:div>
        <w:div w:id="219676819">
          <w:marLeft w:val="1166"/>
          <w:marRight w:val="0"/>
          <w:marTop w:val="0"/>
          <w:marBottom w:val="0"/>
          <w:divBdr>
            <w:top w:val="none" w:sz="0" w:space="0" w:color="auto"/>
            <w:left w:val="none" w:sz="0" w:space="0" w:color="auto"/>
            <w:bottom w:val="none" w:sz="0" w:space="0" w:color="auto"/>
            <w:right w:val="none" w:sz="0" w:space="0" w:color="auto"/>
          </w:divBdr>
        </w:div>
        <w:div w:id="1480614747">
          <w:marLeft w:val="1166"/>
          <w:marRight w:val="0"/>
          <w:marTop w:val="0"/>
          <w:marBottom w:val="0"/>
          <w:divBdr>
            <w:top w:val="none" w:sz="0" w:space="0" w:color="auto"/>
            <w:left w:val="none" w:sz="0" w:space="0" w:color="auto"/>
            <w:bottom w:val="none" w:sz="0" w:space="0" w:color="auto"/>
            <w:right w:val="none" w:sz="0" w:space="0" w:color="auto"/>
          </w:divBdr>
        </w:div>
      </w:divsChild>
    </w:div>
    <w:div w:id="1606882945">
      <w:bodyDiv w:val="1"/>
      <w:marLeft w:val="0"/>
      <w:marRight w:val="0"/>
      <w:marTop w:val="0"/>
      <w:marBottom w:val="0"/>
      <w:divBdr>
        <w:top w:val="none" w:sz="0" w:space="0" w:color="auto"/>
        <w:left w:val="none" w:sz="0" w:space="0" w:color="auto"/>
        <w:bottom w:val="none" w:sz="0" w:space="0" w:color="auto"/>
        <w:right w:val="none" w:sz="0" w:space="0" w:color="auto"/>
      </w:divBdr>
    </w:div>
    <w:div w:id="16207234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567">
          <w:marLeft w:val="547"/>
          <w:marRight w:val="0"/>
          <w:marTop w:val="0"/>
          <w:marBottom w:val="0"/>
          <w:divBdr>
            <w:top w:val="none" w:sz="0" w:space="0" w:color="auto"/>
            <w:left w:val="none" w:sz="0" w:space="0" w:color="auto"/>
            <w:bottom w:val="none" w:sz="0" w:space="0" w:color="auto"/>
            <w:right w:val="none" w:sz="0" w:space="0" w:color="auto"/>
          </w:divBdr>
        </w:div>
      </w:divsChild>
    </w:div>
    <w:div w:id="1667319360">
      <w:bodyDiv w:val="1"/>
      <w:marLeft w:val="0"/>
      <w:marRight w:val="0"/>
      <w:marTop w:val="0"/>
      <w:marBottom w:val="0"/>
      <w:divBdr>
        <w:top w:val="none" w:sz="0" w:space="0" w:color="auto"/>
        <w:left w:val="none" w:sz="0" w:space="0" w:color="auto"/>
        <w:bottom w:val="none" w:sz="0" w:space="0" w:color="auto"/>
        <w:right w:val="none" w:sz="0" w:space="0" w:color="auto"/>
      </w:divBdr>
    </w:div>
    <w:div w:id="1702625568">
      <w:bodyDiv w:val="1"/>
      <w:marLeft w:val="0"/>
      <w:marRight w:val="0"/>
      <w:marTop w:val="0"/>
      <w:marBottom w:val="0"/>
      <w:divBdr>
        <w:top w:val="none" w:sz="0" w:space="0" w:color="auto"/>
        <w:left w:val="none" w:sz="0" w:space="0" w:color="auto"/>
        <w:bottom w:val="none" w:sz="0" w:space="0" w:color="auto"/>
        <w:right w:val="none" w:sz="0" w:space="0" w:color="auto"/>
      </w:divBdr>
    </w:div>
    <w:div w:id="1722363537">
      <w:bodyDiv w:val="1"/>
      <w:marLeft w:val="0"/>
      <w:marRight w:val="0"/>
      <w:marTop w:val="0"/>
      <w:marBottom w:val="0"/>
      <w:divBdr>
        <w:top w:val="none" w:sz="0" w:space="0" w:color="auto"/>
        <w:left w:val="none" w:sz="0" w:space="0" w:color="auto"/>
        <w:bottom w:val="none" w:sz="0" w:space="0" w:color="auto"/>
        <w:right w:val="none" w:sz="0" w:space="0" w:color="auto"/>
      </w:divBdr>
    </w:div>
    <w:div w:id="1898857009">
      <w:bodyDiv w:val="1"/>
      <w:marLeft w:val="0"/>
      <w:marRight w:val="0"/>
      <w:marTop w:val="0"/>
      <w:marBottom w:val="0"/>
      <w:divBdr>
        <w:top w:val="none" w:sz="0" w:space="0" w:color="auto"/>
        <w:left w:val="none" w:sz="0" w:space="0" w:color="auto"/>
        <w:bottom w:val="none" w:sz="0" w:space="0" w:color="auto"/>
        <w:right w:val="none" w:sz="0" w:space="0" w:color="auto"/>
      </w:divBdr>
    </w:div>
    <w:div w:id="20813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d.govt.nz/what-we-can-do/disability-services/disability-employment-action-plan/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A326-0710-4C33-830C-C3A79C30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2735</Words>
  <Characters>15591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Working Matters dashboard - October 2021</vt:lpstr>
    </vt:vector>
  </TitlesOfParts>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Matters dashboard - October 2021</dc:title>
  <dc:subject/>
  <dc:creator/>
  <cp:keywords/>
  <dc:description/>
  <cp:lastModifiedBy/>
  <cp:revision>1</cp:revision>
  <dcterms:created xsi:type="dcterms:W3CDTF">2022-09-02T04:34:00Z</dcterms:created>
  <dcterms:modified xsi:type="dcterms:W3CDTF">2022-09-02T04:34:00Z</dcterms:modified>
</cp:coreProperties>
</file>