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1F" w:rsidRPr="00387810" w:rsidRDefault="003D121F" w:rsidP="003D121F">
      <w:pPr>
        <w:spacing w:after="200" w:line="276" w:lineRule="auto"/>
        <w:jc w:val="right"/>
        <w:rPr>
          <w:rFonts w:eastAsiaTheme="minorHAnsi" w:cs="Arial"/>
          <w:szCs w:val="23"/>
        </w:rPr>
      </w:pPr>
      <w:r w:rsidRPr="00387810">
        <w:rPr>
          <w:rFonts w:eastAsiaTheme="minorHAnsi" w:cs="Arial"/>
          <w:szCs w:val="23"/>
        </w:rPr>
        <w:t>In Confidence</w:t>
      </w:r>
    </w:p>
    <w:p w:rsidR="008F1140" w:rsidRDefault="008F1140" w:rsidP="00BB4A9E">
      <w:pPr>
        <w:jc w:val="right"/>
      </w:pPr>
      <w:r>
        <w:t xml:space="preserve">Office of the </w:t>
      </w:r>
      <w:bookmarkStart w:id="0" w:name="bkmMinPort01"/>
      <w:r w:rsidR="003D121F">
        <w:t>Minister for Social Development</w:t>
      </w:r>
      <w:bookmarkEnd w:id="0"/>
    </w:p>
    <w:p w:rsidR="008F1140" w:rsidRDefault="008F1140"/>
    <w:p w:rsidR="008F1140" w:rsidRDefault="008F1140"/>
    <w:p w:rsidR="008F1140" w:rsidRDefault="008F1140">
      <w:r>
        <w:t>Chair</w:t>
      </w:r>
    </w:p>
    <w:p w:rsidR="008F1140" w:rsidRDefault="008F1140">
      <w:r>
        <w:t xml:space="preserve">Cabinet </w:t>
      </w:r>
      <w:bookmarkStart w:id="1" w:name="bkmCommittee"/>
      <w:r w:rsidR="003D121F">
        <w:t>Social Wellbeing</w:t>
      </w:r>
      <w:bookmarkEnd w:id="1"/>
      <w:r>
        <w:t xml:space="preserve"> Committee</w:t>
      </w:r>
    </w:p>
    <w:p w:rsidR="003D121F" w:rsidRPr="003D121F" w:rsidRDefault="003D121F" w:rsidP="003D121F">
      <w:pPr>
        <w:pStyle w:val="Header"/>
      </w:pPr>
      <w:r w:rsidRPr="003D121F">
        <w:t>Social Workers Registration Legislation Bill: Additional Policy Decisions for Inclusion in a Supplementary Order Paper</w:t>
      </w:r>
    </w:p>
    <w:p w:rsidR="003D121F" w:rsidRPr="00387810" w:rsidRDefault="003D121F" w:rsidP="005A07FA">
      <w:pPr>
        <w:pStyle w:val="Heading1"/>
      </w:pPr>
      <w:r w:rsidRPr="005A07FA">
        <w:t>Proposal</w:t>
      </w:r>
    </w:p>
    <w:p w:rsidR="003D121F" w:rsidRPr="005A07FA" w:rsidRDefault="003D121F" w:rsidP="005A07FA">
      <w:pPr>
        <w:pStyle w:val="BodyText"/>
        <w:jc w:val="both"/>
      </w:pPr>
      <w:r w:rsidRPr="005A07FA">
        <w:t xml:space="preserve">This paper seeks Cabinet agreement to several policy changes </w:t>
      </w:r>
      <w:r w:rsidR="000D15F7">
        <w:t>to</w:t>
      </w:r>
      <w:r w:rsidR="000D15F7" w:rsidRPr="005A07FA">
        <w:t xml:space="preserve"> </w:t>
      </w:r>
      <w:r w:rsidRPr="005A07FA">
        <w:t xml:space="preserve">the Social Workers Registration Legislation Bill (the SWRL Bill), to be introduced via a Supplementary Order Paper (SOP). </w:t>
      </w:r>
    </w:p>
    <w:p w:rsidR="003D121F" w:rsidRPr="005A07FA" w:rsidRDefault="003D121F" w:rsidP="005A07FA">
      <w:pPr>
        <w:pStyle w:val="BodyText"/>
        <w:tabs>
          <w:tab w:val="num" w:pos="675"/>
        </w:tabs>
        <w:ind w:left="493" w:hanging="493"/>
        <w:jc w:val="both"/>
      </w:pPr>
      <w:r w:rsidRPr="005A07FA">
        <w:t xml:space="preserve">The </w:t>
      </w:r>
      <w:r w:rsidR="000D15F7">
        <w:t xml:space="preserve">key </w:t>
      </w:r>
      <w:r w:rsidR="00B666B8">
        <w:t xml:space="preserve">change </w:t>
      </w:r>
      <w:r w:rsidRPr="005A07FA">
        <w:t>proposed is the insertion of provisions for social workers to practice within scopes of practice determined by the Social Workers Registration Board (the Board), modelled on the legislative framework of the Health Practitioners Competence Assurance Act 2003 (the HPCA Act).</w:t>
      </w:r>
    </w:p>
    <w:p w:rsidR="003D121F" w:rsidRPr="005A07FA" w:rsidRDefault="003D121F" w:rsidP="005A07FA">
      <w:pPr>
        <w:pStyle w:val="BodyText"/>
        <w:tabs>
          <w:tab w:val="num" w:pos="675"/>
        </w:tabs>
        <w:ind w:left="493" w:hanging="493"/>
        <w:jc w:val="both"/>
      </w:pPr>
      <w:r w:rsidRPr="005A07FA">
        <w:t>T</w:t>
      </w:r>
      <w:r w:rsidR="005A07FA">
        <w:t xml:space="preserve">hree relatively minor </w:t>
      </w:r>
      <w:r w:rsidRPr="005A07FA">
        <w:t>changes also require Cabinet approval</w:t>
      </w:r>
      <w:r w:rsidR="005A07FA">
        <w:t>, where I propose to introduce</w:t>
      </w:r>
      <w:r w:rsidRPr="005A07FA">
        <w:t>:</w:t>
      </w:r>
    </w:p>
    <w:p w:rsidR="003D121F" w:rsidRPr="005A07FA" w:rsidRDefault="005A07FA" w:rsidP="005A07FA">
      <w:pPr>
        <w:pStyle w:val="BodyTextlevel2"/>
        <w:jc w:val="both"/>
      </w:pPr>
      <w:r>
        <w:t>an offence</w:t>
      </w:r>
      <w:r w:rsidR="003D121F" w:rsidRPr="005A07FA">
        <w:t xml:space="preserve"> provision to enforce already-existing obligations of confide</w:t>
      </w:r>
      <w:r>
        <w:t>ntiality</w:t>
      </w:r>
      <w:r w:rsidR="003D121F" w:rsidRPr="005A07FA">
        <w:t xml:space="preserve"> </w:t>
      </w:r>
      <w:r w:rsidR="000D15F7">
        <w:t>in relation to information concerning a social worker's competence assessment</w:t>
      </w:r>
    </w:p>
    <w:p w:rsidR="003D121F" w:rsidRPr="005A07FA" w:rsidRDefault="005A07FA" w:rsidP="005A07FA">
      <w:pPr>
        <w:pStyle w:val="BodyTextlevel2"/>
        <w:jc w:val="both"/>
      </w:pPr>
      <w:r>
        <w:t xml:space="preserve">a </w:t>
      </w:r>
      <w:r w:rsidR="003D121F" w:rsidRPr="005A07FA">
        <w:t>requirement for an employer to report to the Board concerns about a social worker</w:t>
      </w:r>
      <w:r>
        <w:t>’s competency where the employee</w:t>
      </w:r>
      <w:r w:rsidR="003D121F" w:rsidRPr="005A07FA">
        <w:t xml:space="preserve"> resigns or is dismissed for reasons of competency</w:t>
      </w:r>
    </w:p>
    <w:p w:rsidR="003D121F" w:rsidRPr="005A07FA" w:rsidRDefault="003D121F" w:rsidP="005A07FA">
      <w:pPr>
        <w:pStyle w:val="BodyTextlevel2"/>
        <w:jc w:val="both"/>
      </w:pPr>
      <w:proofErr w:type="gramStart"/>
      <w:r w:rsidRPr="005A07FA">
        <w:t>a</w:t>
      </w:r>
      <w:proofErr w:type="gramEnd"/>
      <w:r w:rsidRPr="005A07FA">
        <w:t xml:space="preserve"> new power authorising the department respon</w:t>
      </w:r>
      <w:r w:rsidR="005A07FA">
        <w:t xml:space="preserve">sible for administering the Act </w:t>
      </w:r>
      <w:r w:rsidRPr="005A07FA">
        <w:t>to require people to supply informat</w:t>
      </w:r>
      <w:r w:rsidR="005A07FA">
        <w:t xml:space="preserve">ion needed to enforce </w:t>
      </w:r>
      <w:r w:rsidRPr="005A07FA">
        <w:t>offences relating to title protection.</w:t>
      </w:r>
    </w:p>
    <w:p w:rsidR="003D121F" w:rsidRPr="00387810" w:rsidRDefault="003D121F" w:rsidP="005A07FA">
      <w:pPr>
        <w:pStyle w:val="Heading1"/>
      </w:pPr>
      <w:r w:rsidRPr="00387810">
        <w:t xml:space="preserve">Executive </w:t>
      </w:r>
      <w:r w:rsidRPr="005A07FA">
        <w:t>Summary</w:t>
      </w:r>
    </w:p>
    <w:p w:rsidR="00DA01EA" w:rsidRDefault="00D230FD" w:rsidP="005A07FA">
      <w:pPr>
        <w:pStyle w:val="BodyText"/>
        <w:jc w:val="both"/>
      </w:pPr>
      <w:r>
        <w:t>Registration of social workers aims to protect the safety of the public, by providing and prescribing mechanisms to ensure that social workers are competent and fit to practise as social workers, and accountable fo</w:t>
      </w:r>
      <w:r w:rsidR="00B3038C">
        <w:t>r the ways in which they practis</w:t>
      </w:r>
      <w:r>
        <w:t>e.</w:t>
      </w:r>
    </w:p>
    <w:p w:rsidR="00DA01EA" w:rsidRDefault="00D230FD" w:rsidP="00D230FD">
      <w:pPr>
        <w:pStyle w:val="BodyText"/>
        <w:jc w:val="both"/>
      </w:pPr>
      <w:r>
        <w:t>To that end t</w:t>
      </w:r>
      <w:r w:rsidR="00DA01EA">
        <w:t xml:space="preserve">he Social Workers Registration Act 2003 established a statutory </w:t>
      </w:r>
      <w:r>
        <w:t>framework</w:t>
      </w:r>
      <w:r w:rsidR="00DA01EA">
        <w:t xml:space="preserve"> for </w:t>
      </w:r>
      <w:r>
        <w:t xml:space="preserve">the registration of social workers in New Zealand. </w:t>
      </w:r>
      <w:r w:rsidR="00DA01EA">
        <w:t xml:space="preserve">Though recognising the </w:t>
      </w:r>
      <w:r w:rsidR="002B259B">
        <w:t>importance of</w:t>
      </w:r>
      <w:r w:rsidR="00DA01EA">
        <w:t xml:space="preserve"> a professional workforce, the registration regime was </w:t>
      </w:r>
      <w:r w:rsidR="002B259B">
        <w:t>not mandatory</w:t>
      </w:r>
      <w:r w:rsidR="00DA01EA">
        <w:t xml:space="preserve"> because, at that time, it was estimated that only 20 per cent of practising social workers had the necessary level of </w:t>
      </w:r>
      <w:r>
        <w:t xml:space="preserve">formal educational </w:t>
      </w:r>
      <w:r w:rsidR="00DA01EA">
        <w:t xml:space="preserve">qualifications </w:t>
      </w:r>
      <w:r w:rsidR="002B259B">
        <w:t xml:space="preserve">required </w:t>
      </w:r>
      <w:r w:rsidR="006802B4">
        <w:t>for</w:t>
      </w:r>
      <w:r w:rsidR="00DA01EA">
        <w:t xml:space="preserve"> registration.</w:t>
      </w:r>
    </w:p>
    <w:p w:rsidR="00DA01EA" w:rsidRDefault="00DA01EA" w:rsidP="00DA01EA">
      <w:pPr>
        <w:pStyle w:val="BodyText"/>
        <w:jc w:val="both"/>
      </w:pPr>
      <w:r>
        <w:t xml:space="preserve">Since then, there has been a steady increase in the proportion of social workers who have professional qualifications, and </w:t>
      </w:r>
      <w:r w:rsidRPr="005A07FA">
        <w:t>registration</w:t>
      </w:r>
      <w:r>
        <w:t xml:space="preserve"> is now a standard expectation of all major employers and government contracts. In May 2017, Cabinet agreed to support this </w:t>
      </w:r>
      <w:r w:rsidR="002B259B">
        <w:t xml:space="preserve">growing </w:t>
      </w:r>
      <w:r>
        <w:t xml:space="preserve">professional norm of registration by extending title protection to “social worker”. Following the passage of the SWRL Bill, any person who wishes to use names, words, titles, initials, or otherwise imply they are a social worker will be required to be registered with the Board. </w:t>
      </w:r>
    </w:p>
    <w:p w:rsidR="003D121F" w:rsidRPr="00387810" w:rsidRDefault="002B259B" w:rsidP="005A07FA">
      <w:pPr>
        <w:pStyle w:val="BodyText"/>
        <w:jc w:val="both"/>
      </w:pPr>
      <w:r>
        <w:lastRenderedPageBreak/>
        <w:t xml:space="preserve">Taking into account </w:t>
      </w:r>
      <w:r w:rsidR="003D121F">
        <w:t>public subm</w:t>
      </w:r>
      <w:r w:rsidR="005A07FA">
        <w:t xml:space="preserve">issions to the </w:t>
      </w:r>
      <w:r w:rsidR="000D15F7">
        <w:t xml:space="preserve">Social Services and Community </w:t>
      </w:r>
      <w:r w:rsidR="005A07FA">
        <w:t>Committee</w:t>
      </w:r>
      <w:r w:rsidR="000D15F7">
        <w:t xml:space="preserve"> (the Committee)</w:t>
      </w:r>
      <w:r w:rsidR="003D121F">
        <w:t xml:space="preserve"> and subsequent consultation with sector representatives, I propose </w:t>
      </w:r>
      <w:r w:rsidR="005A07FA">
        <w:t xml:space="preserve">to make </w:t>
      </w:r>
      <w:r w:rsidR="003D121F">
        <w:t xml:space="preserve">the following </w:t>
      </w:r>
      <w:r w:rsidR="005A07FA">
        <w:t xml:space="preserve">policy </w:t>
      </w:r>
      <w:r w:rsidR="003D121F">
        <w:t xml:space="preserve">changes to the </w:t>
      </w:r>
      <w:r w:rsidR="005A07FA">
        <w:t xml:space="preserve">SWRL </w:t>
      </w:r>
      <w:r w:rsidR="003D121F">
        <w:t>Bill</w:t>
      </w:r>
      <w:r>
        <w:t xml:space="preserve"> to strengthen the regime by</w:t>
      </w:r>
      <w:r w:rsidR="003D121F">
        <w:t>:</w:t>
      </w:r>
    </w:p>
    <w:p w:rsidR="003D121F" w:rsidRDefault="005A07FA" w:rsidP="005A07FA">
      <w:pPr>
        <w:pStyle w:val="BodyTextlevel2"/>
        <w:jc w:val="both"/>
      </w:pPr>
      <w:r>
        <w:t>inserting</w:t>
      </w:r>
      <w:r w:rsidR="003D121F" w:rsidRPr="0097377E">
        <w:t xml:space="preserve"> provision</w:t>
      </w:r>
      <w:r>
        <w:t xml:space="preserve">s, generally in </w:t>
      </w:r>
      <w:r w:rsidR="00E761F7">
        <w:t>line with the HPCA Act's legislative framework,</w:t>
      </w:r>
      <w:r w:rsidR="00E761F7" w:rsidRPr="0097377E">
        <w:t xml:space="preserve"> </w:t>
      </w:r>
      <w:r w:rsidR="003D121F" w:rsidRPr="0097377E">
        <w:t>for social workers to practi</w:t>
      </w:r>
      <w:r w:rsidR="007E769F">
        <w:t>s</w:t>
      </w:r>
      <w:r w:rsidR="003D121F" w:rsidRPr="0097377E">
        <w:t xml:space="preserve">e within scopes of practice </w:t>
      </w:r>
      <w:r>
        <w:t xml:space="preserve">that are </w:t>
      </w:r>
      <w:r w:rsidR="003D121F" w:rsidRPr="0097377E">
        <w:t xml:space="preserve">determined by </w:t>
      </w:r>
      <w:r w:rsidR="003D121F">
        <w:t>the Board</w:t>
      </w:r>
    </w:p>
    <w:p w:rsidR="003D121F" w:rsidRDefault="005A07FA" w:rsidP="005A07FA">
      <w:pPr>
        <w:pStyle w:val="BodyTextlevel2"/>
        <w:jc w:val="both"/>
      </w:pPr>
      <w:r>
        <w:t>creating</w:t>
      </w:r>
      <w:r w:rsidR="003D121F">
        <w:t xml:space="preserve"> a new offence to enforce already-ex</w:t>
      </w:r>
      <w:r>
        <w:t>isting obligations of confidentiality</w:t>
      </w:r>
      <w:r w:rsidR="003D121F">
        <w:t xml:space="preserve"> </w:t>
      </w:r>
      <w:r w:rsidR="000D15F7">
        <w:t>in relation to information concerning a social worker's competence assessment</w:t>
      </w:r>
    </w:p>
    <w:p w:rsidR="003D121F" w:rsidRPr="005A07FA" w:rsidRDefault="005A07FA" w:rsidP="005A07FA">
      <w:pPr>
        <w:pStyle w:val="BodyTextlevel2"/>
        <w:jc w:val="both"/>
      </w:pPr>
      <w:r w:rsidRPr="005A07FA">
        <w:t>requiring</w:t>
      </w:r>
      <w:r w:rsidR="003D121F" w:rsidRPr="005A07FA">
        <w:t xml:space="preserve"> employer</w:t>
      </w:r>
      <w:r w:rsidRPr="005A07FA">
        <w:t>s</w:t>
      </w:r>
      <w:r w:rsidR="003D121F" w:rsidRPr="005A07FA">
        <w:t xml:space="preserve"> </w:t>
      </w:r>
      <w:r w:rsidRPr="005A07FA">
        <w:t xml:space="preserve">of social workers </w:t>
      </w:r>
      <w:r w:rsidR="003D121F" w:rsidRPr="005A07FA">
        <w:t>to report concerns about a social worker’</w:t>
      </w:r>
      <w:r w:rsidRPr="005A07FA">
        <w:t>s competence to the Board if the employee</w:t>
      </w:r>
      <w:r w:rsidR="003D121F" w:rsidRPr="005A07FA">
        <w:t xml:space="preserve"> resign</w:t>
      </w:r>
      <w:r w:rsidRPr="005A07FA">
        <w:t>s or is dismissed for reasons relating to their competence</w:t>
      </w:r>
    </w:p>
    <w:p w:rsidR="005A07FA" w:rsidRDefault="005A07FA" w:rsidP="005A07FA">
      <w:pPr>
        <w:pStyle w:val="BodyTextlevel2"/>
        <w:jc w:val="both"/>
      </w:pPr>
      <w:proofErr w:type="gramStart"/>
      <w:r w:rsidRPr="005A07FA">
        <w:t>inserting</w:t>
      </w:r>
      <w:proofErr w:type="gramEnd"/>
      <w:r w:rsidRPr="005A07FA">
        <w:t xml:space="preserve"> </w:t>
      </w:r>
      <w:r w:rsidR="003D121F" w:rsidRPr="005A07FA">
        <w:t xml:space="preserve">a new power </w:t>
      </w:r>
      <w:r w:rsidR="003D121F" w:rsidRPr="0087073D">
        <w:t xml:space="preserve">authorising the department responsible for administering the Act to require people to supply information </w:t>
      </w:r>
      <w:r w:rsidR="00893F4A">
        <w:t xml:space="preserve">necessary </w:t>
      </w:r>
      <w:r w:rsidR="003D121F" w:rsidRPr="0087073D">
        <w:t>to enable enforcement of the offences relating to title protection</w:t>
      </w:r>
      <w:r w:rsidR="003D121F">
        <w:t>.</w:t>
      </w:r>
    </w:p>
    <w:p w:rsidR="003D121F" w:rsidRDefault="003D121F" w:rsidP="005A07FA">
      <w:pPr>
        <w:pStyle w:val="BodyText"/>
        <w:jc w:val="both"/>
      </w:pPr>
      <w:r>
        <w:t>If you agree, these changes will be made via a SOP to be circulated</w:t>
      </w:r>
      <w:r w:rsidRPr="00387810">
        <w:t xml:space="preserve"> for consideration by the Committee of the </w:t>
      </w:r>
      <w:r w:rsidR="009A06F2">
        <w:t>W</w:t>
      </w:r>
      <w:r w:rsidRPr="00387810">
        <w:t>hole House</w:t>
      </w:r>
      <w:r>
        <w:t>. I also intend to make a</w:t>
      </w:r>
      <w:r w:rsidRPr="00387810">
        <w:t xml:space="preserve"> number of oth</w:t>
      </w:r>
      <w:r>
        <w:t xml:space="preserve">er </w:t>
      </w:r>
      <w:r w:rsidR="009A06F2">
        <w:t xml:space="preserve">changes </w:t>
      </w:r>
      <w:r>
        <w:t>necessary to improve the operation of the SWR</w:t>
      </w:r>
      <w:r w:rsidR="007E769F">
        <w:t xml:space="preserve"> Act or to restructure</w:t>
      </w:r>
      <w:r>
        <w:t xml:space="preserve"> </w:t>
      </w:r>
      <w:r w:rsidR="009A06F2">
        <w:t xml:space="preserve">and </w:t>
      </w:r>
      <w:r>
        <w:t>to</w:t>
      </w:r>
      <w:r w:rsidRPr="00387810">
        <w:t xml:space="preserve"> recalibrate </w:t>
      </w:r>
      <w:r>
        <w:t>the SWR Act</w:t>
      </w:r>
      <w:r w:rsidRPr="00387810">
        <w:t xml:space="preserve"> </w:t>
      </w:r>
      <w:r w:rsidR="007E769F">
        <w:t xml:space="preserve">in a way this is more in line </w:t>
      </w:r>
      <w:r>
        <w:t>with the HPCA Act</w:t>
      </w:r>
      <w:r w:rsidR="000D15F7">
        <w:t xml:space="preserve">. I </w:t>
      </w:r>
      <w:r w:rsidR="00013937">
        <w:t xml:space="preserve">will </w:t>
      </w:r>
      <w:r w:rsidR="000D15F7">
        <w:t xml:space="preserve">make these changes </w:t>
      </w:r>
      <w:r w:rsidR="000D15F7" w:rsidRPr="00387810">
        <w:t xml:space="preserve">under the authorisation Cabinet has given me </w:t>
      </w:r>
      <w:r w:rsidR="000D15F7">
        <w:t xml:space="preserve">to make minor or technical amendments </w:t>
      </w:r>
      <w:r w:rsidRPr="00387810">
        <w:t xml:space="preserve">[CAB-17-MIN-0234 </w:t>
      </w:r>
      <w:r w:rsidR="007E769F">
        <w:t xml:space="preserve">recommendations 35 and 44 </w:t>
      </w:r>
      <w:r w:rsidRPr="00387810">
        <w:t>refer].</w:t>
      </w:r>
    </w:p>
    <w:p w:rsidR="003D121F" w:rsidRDefault="007E769F" w:rsidP="000D15F7">
      <w:pPr>
        <w:pStyle w:val="BodyText"/>
        <w:jc w:val="both"/>
      </w:pPr>
      <w:r>
        <w:t>A</w:t>
      </w:r>
      <w:r w:rsidRPr="00387810">
        <w:t xml:space="preserve"> </w:t>
      </w:r>
      <w:r w:rsidR="003D121F" w:rsidRPr="00387810">
        <w:t xml:space="preserve">Health Practitioners Competence Assurance Amendment Bill </w:t>
      </w:r>
      <w:r w:rsidR="003D121F">
        <w:t xml:space="preserve">(the </w:t>
      </w:r>
      <w:r w:rsidR="003D121F" w:rsidRPr="00387810">
        <w:t xml:space="preserve">HPCAA Bill) </w:t>
      </w:r>
      <w:r w:rsidR="003D121F">
        <w:t>is</w:t>
      </w:r>
      <w:r w:rsidR="003D121F" w:rsidRPr="00387810">
        <w:t xml:space="preserve"> currently before </w:t>
      </w:r>
      <w:r w:rsidR="003D121F">
        <w:t>the Health Committee</w:t>
      </w:r>
      <w:r w:rsidR="000D15F7">
        <w:t>,</w:t>
      </w:r>
      <w:r w:rsidR="003D121F">
        <w:t xml:space="preserve"> with the</w:t>
      </w:r>
      <w:r w:rsidR="000D15F7">
        <w:t xml:space="preserve"> Health Committee's</w:t>
      </w:r>
      <w:r w:rsidR="003D121F">
        <w:t xml:space="preserve"> report due on 20 August 2018</w:t>
      </w:r>
      <w:r w:rsidR="003D121F" w:rsidRPr="00387810">
        <w:t xml:space="preserve">. </w:t>
      </w:r>
      <w:r w:rsidR="003D121F" w:rsidRPr="00D37EB3">
        <w:t xml:space="preserve">In line with the policy decision that the </w:t>
      </w:r>
      <w:r w:rsidR="008827DA">
        <w:t>SWR</w:t>
      </w:r>
      <w:r w:rsidR="003D121F" w:rsidRPr="00D37EB3">
        <w:t xml:space="preserve"> Act </w:t>
      </w:r>
      <w:r>
        <w:t xml:space="preserve">be more </w:t>
      </w:r>
      <w:r w:rsidR="000D15F7">
        <w:t>aligned</w:t>
      </w:r>
      <w:r w:rsidR="003D121F">
        <w:t xml:space="preserve"> with the HPCA Act </w:t>
      </w:r>
      <w:r w:rsidR="003D121F" w:rsidRPr="00D37EB3">
        <w:t>[CAB-17-MIN-0234 refers]</w:t>
      </w:r>
      <w:r w:rsidR="003D121F">
        <w:t>,</w:t>
      </w:r>
      <w:r w:rsidR="003D121F" w:rsidRPr="00D37EB3">
        <w:t xml:space="preserve"> the SOP </w:t>
      </w:r>
      <w:r w:rsidR="000D15F7">
        <w:t>is intended to</w:t>
      </w:r>
      <w:r w:rsidR="003D121F">
        <w:t xml:space="preserve"> </w:t>
      </w:r>
      <w:r w:rsidR="003D121F" w:rsidRPr="00D37EB3">
        <w:t>include equivalent</w:t>
      </w:r>
      <w:r w:rsidR="00B3038C">
        <w:t xml:space="preserve"> </w:t>
      </w:r>
      <w:r w:rsidR="003D121F" w:rsidRPr="00D37EB3">
        <w:t>amendments to th</w:t>
      </w:r>
      <w:r w:rsidR="000D15F7">
        <w:t>os</w:t>
      </w:r>
      <w:r w:rsidR="003D121F" w:rsidRPr="00D37EB3">
        <w:t>e proposed in the HPCAA Bill.</w:t>
      </w:r>
    </w:p>
    <w:p w:rsidR="003D121F" w:rsidRDefault="003D121F" w:rsidP="003D121F">
      <w:pPr>
        <w:pStyle w:val="Heading1"/>
        <w:jc w:val="both"/>
      </w:pPr>
      <w:r>
        <w:t>Background</w:t>
      </w:r>
    </w:p>
    <w:p w:rsidR="000D15F7" w:rsidRDefault="003D121F" w:rsidP="005A07FA">
      <w:pPr>
        <w:pStyle w:val="BodyText"/>
        <w:jc w:val="both"/>
      </w:pPr>
      <w:r>
        <w:t xml:space="preserve">In 2016, the Social Services Committee inquired into the operation of the SWR Act, concluding that legislative reform was needed to strengthen occupational regulation for social workers. </w:t>
      </w:r>
      <w:r w:rsidR="008827DA">
        <w:t>The G</w:t>
      </w:r>
      <w:r>
        <w:t xml:space="preserve">overnment's response to the Inquiry acknowledged the intent of the Social Services Committee’s recommendations and </w:t>
      </w:r>
      <w:r w:rsidR="00013937">
        <w:t xml:space="preserve">accepted </w:t>
      </w:r>
      <w:r>
        <w:t>the case for strengthening the regulatory framework.</w:t>
      </w:r>
      <w:r w:rsidR="000D15F7" w:rsidRPr="000D15F7">
        <w:t xml:space="preserve"> </w:t>
      </w:r>
    </w:p>
    <w:p w:rsidR="003D121F" w:rsidRDefault="000D15F7" w:rsidP="005A07FA">
      <w:pPr>
        <w:pStyle w:val="BodyText"/>
        <w:jc w:val="both"/>
      </w:pPr>
      <w:r>
        <w:t>The sector has been advocating for a move to</w:t>
      </w:r>
      <w:r w:rsidR="00DA01EA">
        <w:t xml:space="preserve"> a </w:t>
      </w:r>
      <w:r>
        <w:t>full and comprehensive regulatory regime since 1975.</w:t>
      </w:r>
    </w:p>
    <w:p w:rsidR="003D121F" w:rsidRDefault="003D121F" w:rsidP="005A07FA">
      <w:pPr>
        <w:pStyle w:val="Heading3"/>
      </w:pPr>
      <w:r>
        <w:t xml:space="preserve">Strengthening the regulatory regime to cover all social workers </w:t>
      </w:r>
    </w:p>
    <w:p w:rsidR="003D121F" w:rsidRDefault="003D121F" w:rsidP="005A07FA">
      <w:pPr>
        <w:pStyle w:val="BodyText"/>
        <w:jc w:val="both"/>
      </w:pPr>
      <w:r>
        <w:t xml:space="preserve">In 2003, </w:t>
      </w:r>
      <w:r w:rsidR="000D15F7">
        <w:t>recognising</w:t>
      </w:r>
      <w:r>
        <w:t xml:space="preserve"> the need to ensure a professional workforce, the </w:t>
      </w:r>
      <w:r w:rsidRPr="005A07FA">
        <w:t>SWR Act</w:t>
      </w:r>
      <w:r>
        <w:t xml:space="preserve"> established a statutory basis for professional registration of social workers.</w:t>
      </w:r>
      <w:r w:rsidR="00B3038C">
        <w:t xml:space="preserve"> </w:t>
      </w:r>
      <w:r w:rsidR="000D15F7">
        <w:t xml:space="preserve">This initial registration regime was </w:t>
      </w:r>
      <w:r>
        <w:t>voluntary because, at that time, it was estimated that only 20 per cent of practising social workers had the necessary level of qualifications.</w:t>
      </w:r>
      <w:r w:rsidR="00B3038C">
        <w:t xml:space="preserve"> </w:t>
      </w:r>
      <w:r>
        <w:t xml:space="preserve">Since </w:t>
      </w:r>
      <w:r w:rsidR="000D15F7">
        <w:t>then</w:t>
      </w:r>
      <w:r>
        <w:t xml:space="preserve"> there has been a steady </w:t>
      </w:r>
      <w:r w:rsidR="000D15F7">
        <w:t xml:space="preserve">increase </w:t>
      </w:r>
      <w:r>
        <w:t xml:space="preserve">in the proportion of social workers who have professional qualifications, and </w:t>
      </w:r>
      <w:r w:rsidRPr="005A07FA">
        <w:t>registration</w:t>
      </w:r>
      <w:r>
        <w:t xml:space="preserve"> is now a </w:t>
      </w:r>
      <w:r w:rsidR="00013937">
        <w:t xml:space="preserve">growing </w:t>
      </w:r>
      <w:r>
        <w:t xml:space="preserve">expectation of all major employers and </w:t>
      </w:r>
      <w:r w:rsidR="00013937">
        <w:t xml:space="preserve">increasing numbers of </w:t>
      </w:r>
      <w:r>
        <w:t xml:space="preserve">government contracts.  </w:t>
      </w:r>
    </w:p>
    <w:p w:rsidR="003D121F" w:rsidRDefault="003D121F" w:rsidP="005A07FA">
      <w:pPr>
        <w:pStyle w:val="BodyText"/>
        <w:jc w:val="both"/>
      </w:pPr>
      <w:r>
        <w:t xml:space="preserve">Under the current regime, </w:t>
      </w:r>
      <w:r w:rsidR="00013937">
        <w:t xml:space="preserve">there is no certainty that serious misconduct or incompetence by an </w:t>
      </w:r>
      <w:r>
        <w:t>unregistered social worker</w:t>
      </w:r>
      <w:r w:rsidR="00013937">
        <w:t xml:space="preserve"> will be effectively addressed. U</w:t>
      </w:r>
      <w:r>
        <w:t xml:space="preserve">nregistered social workers who </w:t>
      </w:r>
      <w:r>
        <w:lastRenderedPageBreak/>
        <w:t>cause serious harm can potentially continue to practice without appropriate penalty or sanction. While clients can complain to a social worker’s employer, this may not be a</w:t>
      </w:r>
      <w:r w:rsidR="00013937">
        <w:t>n effective</w:t>
      </w:r>
      <w:r>
        <w:t xml:space="preserve"> process to </w:t>
      </w:r>
      <w:r w:rsidR="00013937">
        <w:t xml:space="preserve">properly </w:t>
      </w:r>
      <w:r>
        <w:t>assess</w:t>
      </w:r>
      <w:r w:rsidR="00013937">
        <w:t xml:space="preserve"> and respond to</w:t>
      </w:r>
      <w:r>
        <w:t xml:space="preserve"> complaints about competence or conduct. </w:t>
      </w:r>
    </w:p>
    <w:p w:rsidR="003D121F" w:rsidRPr="00017F90" w:rsidRDefault="003D121F" w:rsidP="005A07FA">
      <w:pPr>
        <w:pStyle w:val="BodyText"/>
        <w:jc w:val="both"/>
      </w:pPr>
      <w:r>
        <w:t>Officials estimate that</w:t>
      </w:r>
      <w:r w:rsidR="000D15F7">
        <w:t xml:space="preserve"> as of mid-2017</w:t>
      </w:r>
      <w:r>
        <w:t xml:space="preserve"> there are up to 2,000 people (representing about one quarter of the social worker profession) who are unregistered but practising as social workers. </w:t>
      </w:r>
      <w:r w:rsidR="00893F4A">
        <w:t>The SWRL Bill</w:t>
      </w:r>
      <w:r>
        <w:t xml:space="preserve"> </w:t>
      </w:r>
      <w:r w:rsidR="00893F4A">
        <w:t>is</w:t>
      </w:r>
      <w:r>
        <w:t xml:space="preserve"> intended to ensure all practising social workers are covered by the regulatory regime, thereby increasing the professionalism and competence of the workforce, and improving protections for the public from inappropriate and harmful social work practice.  </w:t>
      </w:r>
    </w:p>
    <w:p w:rsidR="003D121F" w:rsidRDefault="003D121F" w:rsidP="005A07FA">
      <w:pPr>
        <w:pStyle w:val="BodyText"/>
        <w:jc w:val="both"/>
      </w:pPr>
      <w:r>
        <w:t xml:space="preserve">The </w:t>
      </w:r>
      <w:r w:rsidR="00893F4A">
        <w:t xml:space="preserve">SWRL </w:t>
      </w:r>
      <w:r>
        <w:t xml:space="preserve">Bill </w:t>
      </w:r>
      <w:r w:rsidRPr="00F108D8">
        <w:t xml:space="preserve">also makes </w:t>
      </w:r>
      <w:r>
        <w:t xml:space="preserve">a number of </w:t>
      </w:r>
      <w:r w:rsidRPr="00F108D8">
        <w:t>changes to increase the effectiveness and transparency of the way the SWR Act functions</w:t>
      </w:r>
      <w:r>
        <w:t>, based on recommendations from the</w:t>
      </w:r>
      <w:r w:rsidR="00893F4A">
        <w:t xml:space="preserve"> Board's</w:t>
      </w:r>
      <w:r>
        <w:t xml:space="preserve"> five</w:t>
      </w:r>
      <w:r w:rsidR="00893F4A">
        <w:t>-</w:t>
      </w:r>
      <w:r>
        <w:t xml:space="preserve">yearly reviews, as well as those from the 2016 </w:t>
      </w:r>
      <w:r w:rsidR="00893F4A">
        <w:t xml:space="preserve">Social Services </w:t>
      </w:r>
      <w:r>
        <w:t xml:space="preserve">Committee Inquiry.  </w:t>
      </w:r>
    </w:p>
    <w:p w:rsidR="003D121F" w:rsidRDefault="003D121F" w:rsidP="005A07FA">
      <w:pPr>
        <w:pStyle w:val="BodyText"/>
        <w:jc w:val="both"/>
      </w:pPr>
      <w:r>
        <w:t>The Bill was introduced and read for a first time in August 2017, and referred to the Committee</w:t>
      </w:r>
      <w:r w:rsidR="00893F4A">
        <w:t xml:space="preserve">. </w:t>
      </w:r>
      <w:r>
        <w:t xml:space="preserve">The Committee reported back to the House in April 2018. Most of the Committee’s proposed amendments are technical changes </w:t>
      </w:r>
      <w:r w:rsidR="00893F4A">
        <w:t>and will</w:t>
      </w:r>
      <w:r>
        <w:t xml:space="preserve"> improve practical operation of the </w:t>
      </w:r>
      <w:r w:rsidR="00893F4A">
        <w:t xml:space="preserve">SWR </w:t>
      </w:r>
      <w:r>
        <w:t xml:space="preserve">Act. The Bill currently awaits </w:t>
      </w:r>
      <w:r w:rsidR="00893F4A">
        <w:t xml:space="preserve">a </w:t>
      </w:r>
      <w:r>
        <w:t>second reading in Parliament.</w:t>
      </w:r>
    </w:p>
    <w:p w:rsidR="003D121F" w:rsidRDefault="003460E5" w:rsidP="00E761F7">
      <w:pPr>
        <w:pStyle w:val="Heading3"/>
      </w:pPr>
      <w:r>
        <w:t>Government has preferred an approach based on t</w:t>
      </w:r>
      <w:r w:rsidR="003D121F">
        <w:t xml:space="preserve">itle protection and certification </w:t>
      </w:r>
    </w:p>
    <w:p w:rsidR="003D121F" w:rsidRDefault="003D121F" w:rsidP="00E761F7">
      <w:pPr>
        <w:pStyle w:val="BodyText"/>
        <w:jc w:val="both"/>
      </w:pPr>
      <w:r>
        <w:t xml:space="preserve">In May 2017, Cabinet agreed to introduce ‘mandatory certification’ by extending and strengthening protection </w:t>
      </w:r>
      <w:r w:rsidR="00893F4A">
        <w:t>of</w:t>
      </w:r>
      <w:r>
        <w:t xml:space="preserve"> the title </w:t>
      </w:r>
      <w:r w:rsidR="00893F4A">
        <w:t>to</w:t>
      </w:r>
      <w:r>
        <w:t xml:space="preserve"> “social worker” [CAB-17-MIN-0234</w:t>
      </w:r>
      <w:r w:rsidR="008827DA">
        <w:t xml:space="preserve"> refers</w:t>
      </w:r>
      <w:r>
        <w:t xml:space="preserve">]. This will require any person who wishes to call themselves a social worker, or is employed as a social worker, or who performs tasks required by law (including by contract) to be carried out by a social worker, to be certified as appropriately qualified and registered by the Board. Strengthening title protection means that employers and the public can be confident that the training and competence of any social worker has been certified by the Board, and that they are subject to </w:t>
      </w:r>
      <w:r w:rsidR="00E761F7">
        <w:t>on-going</w:t>
      </w:r>
      <w:r>
        <w:t xml:space="preserve"> professional requirements and disciplinary measures.  </w:t>
      </w:r>
    </w:p>
    <w:p w:rsidR="003D121F" w:rsidRDefault="003D121F" w:rsidP="00E761F7">
      <w:pPr>
        <w:pStyle w:val="BodyText"/>
        <w:jc w:val="both"/>
      </w:pPr>
      <w:r>
        <w:t>Title protection is not simply about job</w:t>
      </w:r>
      <w:r w:rsidR="00893F4A">
        <w:t xml:space="preserve"> titles</w:t>
      </w:r>
      <w:r>
        <w:t xml:space="preserve">, </w:t>
      </w:r>
      <w:r w:rsidR="00893F4A">
        <w:t>as it</w:t>
      </w:r>
      <w:r>
        <w:t xml:space="preserve"> </w:t>
      </w:r>
      <w:r w:rsidR="00893F4A">
        <w:t>also prevents</w:t>
      </w:r>
      <w:r>
        <w:t xml:space="preserve"> the use of names, words, titles, initials, or anything that implies that someone is a social worker.  </w:t>
      </w:r>
      <w:r w:rsidR="00893F4A">
        <w:t>No person can</w:t>
      </w:r>
      <w:r>
        <w:t xml:space="preserve"> do anything to suggest </w:t>
      </w:r>
      <w:r w:rsidR="00893F4A">
        <w:t xml:space="preserve">a person </w:t>
      </w:r>
      <w:r>
        <w:t xml:space="preserve">is practising as a social worker unless that person is registered </w:t>
      </w:r>
      <w:r w:rsidR="00893F4A">
        <w:t>and</w:t>
      </w:r>
      <w:r>
        <w:t xml:space="preserve"> holds a current practising certificate.</w:t>
      </w:r>
      <w:r w:rsidRPr="00051959" w:rsidDel="00205B78">
        <w:t xml:space="preserve"> </w:t>
      </w:r>
    </w:p>
    <w:p w:rsidR="003D121F" w:rsidRDefault="003D121F" w:rsidP="00E761F7">
      <w:pPr>
        <w:pStyle w:val="BodyText"/>
        <w:jc w:val="both"/>
      </w:pPr>
      <w:r>
        <w:t xml:space="preserve">A title protection approach allows for appropriately qualified individuals to continue to be registered, even if they are employed in other related occupations such as school guidance counselling or the probation service. </w:t>
      </w:r>
    </w:p>
    <w:p w:rsidR="006802B4" w:rsidRDefault="006802B4" w:rsidP="006802B4">
      <w:pPr>
        <w:pStyle w:val="Heading3"/>
      </w:pPr>
      <w:r>
        <w:t>Position of current social workers who have no or insufficient qualifications for registration</w:t>
      </w:r>
    </w:p>
    <w:p w:rsidR="00F67B74" w:rsidRDefault="00B7068F" w:rsidP="006802B4">
      <w:pPr>
        <w:pStyle w:val="BodyText"/>
      </w:pPr>
      <w:r>
        <w:t>The risk of forcing or discouraging experienced and competent social workers who have insufficient formal qualifications out of the workforce was a major concern in designing the original Bill.  Currently section 13 of the Act provides an experienced based pathway to registration for such people</w:t>
      </w:r>
      <w:r>
        <w:t xml:space="preserve">, but it is widely </w:t>
      </w:r>
      <w:r w:rsidR="00F67B74">
        <w:t>agreed across the sector that this pathway should come to an end, because professional qualifications should now be the professional norm.  Nevertheless, there is understood to be a small but significant group of older workers (primarily in the NGO sector) who cannot be realistically expected to undertake training, but who cannot be readily replaced at this point.  The previous Government therefore agreed to allow keep section for a further five years after mandatory registration comes in to force.</w:t>
      </w:r>
    </w:p>
    <w:p w:rsidR="006802B4" w:rsidRDefault="006802B4" w:rsidP="006802B4">
      <w:pPr>
        <w:pStyle w:val="BodyText"/>
      </w:pPr>
      <w:r>
        <w:t xml:space="preserve">The Bill </w:t>
      </w:r>
      <w:r>
        <w:t xml:space="preserve">as it stands will allow </w:t>
      </w:r>
      <w:r w:rsidR="00F67B74">
        <w:t>such</w:t>
      </w:r>
      <w:r>
        <w:t xml:space="preserve"> </w:t>
      </w:r>
      <w:r w:rsidR="00F67B74">
        <w:t>people</w:t>
      </w:r>
      <w:r>
        <w:t xml:space="preserve"> </w:t>
      </w:r>
      <w:r>
        <w:t>to</w:t>
      </w:r>
      <w:r>
        <w:t xml:space="preserve"> continue to undertake social work tasks, as long as they do not in any way claim to be a “social worker”.</w:t>
      </w:r>
      <w:r w:rsidR="00B7068F">
        <w:t xml:space="preserve">  </w:t>
      </w:r>
      <w:r w:rsidR="00B7068F">
        <w:t xml:space="preserve">Unqualified </w:t>
      </w:r>
      <w:proofErr w:type="gramStart"/>
      <w:r w:rsidR="00F67B74">
        <w:t>people</w:t>
      </w:r>
      <w:proofErr w:type="gramEnd"/>
      <w:r w:rsidR="00B7068F">
        <w:t xml:space="preserve"> who do want to </w:t>
      </w:r>
      <w:r w:rsidR="00B7068F">
        <w:lastRenderedPageBreak/>
        <w:t xml:space="preserve">continue to call themselves social workers and practise as such, will be required to register when the mandatory registration provisions come into force.  </w:t>
      </w:r>
    </w:p>
    <w:p w:rsidR="006802B4" w:rsidRDefault="006802B4" w:rsidP="006802B4">
      <w:pPr>
        <w:pStyle w:val="BodyText"/>
      </w:pPr>
      <w:r>
        <w:t xml:space="preserve">The Board will, as now, be able to assess (under section 13 of the Social Workers Registration Act) whether their practical experience is sufficient to compensate for the lack of a formal social work qualification and grant registration on that basis.  There is a transitional provision allowing the Board to grant limited registration while their applications under section 13 are considered.  This means they could keep working while their application is being assessed, and will be under Board coverage. </w:t>
      </w:r>
    </w:p>
    <w:p w:rsidR="006802B4" w:rsidRDefault="006802B4" w:rsidP="00B7068F">
      <w:pPr>
        <w:pStyle w:val="BodyText"/>
      </w:pPr>
      <w:r>
        <w:t>However, the Bill provides that section 13 is repealed five years after Royal assent, reflecting the fact that appropriate qualifications will be required as the professional standard into the future.  It is likely that ancillary roles will be developed for less formally qualified people, similar to enrolled nurses compared to registered nurses.</w:t>
      </w:r>
    </w:p>
    <w:p w:rsidR="00E761F7" w:rsidRPr="00E761F7" w:rsidRDefault="003D121F" w:rsidP="00E761F7">
      <w:pPr>
        <w:pStyle w:val="Heading1"/>
      </w:pPr>
      <w:r>
        <w:t>Proposed changes</w:t>
      </w:r>
    </w:p>
    <w:p w:rsidR="003D121F" w:rsidRPr="002D555C" w:rsidRDefault="003D121F" w:rsidP="00E761F7">
      <w:pPr>
        <w:pStyle w:val="BodyText"/>
        <w:jc w:val="both"/>
      </w:pPr>
      <w:r>
        <w:t>I propose</w:t>
      </w:r>
      <w:r w:rsidRPr="00387810">
        <w:t xml:space="preserve"> </w:t>
      </w:r>
      <w:r>
        <w:t>several</w:t>
      </w:r>
      <w:r w:rsidRPr="00387810">
        <w:t xml:space="preserve"> amendments </w:t>
      </w:r>
      <w:r w:rsidR="00E761F7">
        <w:t>to the SWRL Bill which</w:t>
      </w:r>
      <w:r w:rsidRPr="00387810">
        <w:t xml:space="preserve"> require Cabinet approval</w:t>
      </w:r>
      <w:r w:rsidR="00E761F7">
        <w:t>,</w:t>
      </w:r>
      <w:r w:rsidRPr="00387810">
        <w:t xml:space="preserve"> as they are outside</w:t>
      </w:r>
      <w:r>
        <w:t xml:space="preserve"> the scope of</w:t>
      </w:r>
      <w:r w:rsidR="00E761F7">
        <w:t xml:space="preserve"> previous Cabinet decisions [CAB-17-MIN-0234 and CAB-</w:t>
      </w:r>
      <w:r w:rsidR="00E761F7" w:rsidRPr="00387810">
        <w:t>17-MIN-0416 refer]</w:t>
      </w:r>
      <w:r>
        <w:t>:</w:t>
      </w:r>
    </w:p>
    <w:p w:rsidR="00E761F7" w:rsidRDefault="00E761F7" w:rsidP="00E761F7">
      <w:pPr>
        <w:pStyle w:val="BodyTextlevel2"/>
        <w:jc w:val="both"/>
      </w:pPr>
      <w:r>
        <w:t>inserting</w:t>
      </w:r>
      <w:r w:rsidRPr="0097377E">
        <w:t xml:space="preserve"> provision</w:t>
      </w:r>
      <w:r>
        <w:t>s, generally in line with the HPCA Act's legislative framework,</w:t>
      </w:r>
      <w:r w:rsidRPr="0097377E">
        <w:t xml:space="preserve"> for social workers to practice within scopes of practice </w:t>
      </w:r>
      <w:r>
        <w:t xml:space="preserve">that are </w:t>
      </w:r>
      <w:r w:rsidRPr="0097377E">
        <w:t xml:space="preserve">determined by </w:t>
      </w:r>
      <w:r>
        <w:t>the Board</w:t>
      </w:r>
    </w:p>
    <w:p w:rsidR="00E761F7" w:rsidRDefault="00E761F7" w:rsidP="00E761F7">
      <w:pPr>
        <w:pStyle w:val="BodyTextlevel2"/>
        <w:jc w:val="both"/>
      </w:pPr>
      <w:r>
        <w:t>creating a new offence to enforce already-existing obligations of confidentiality applying to persons assessing the competence of social workers</w:t>
      </w:r>
    </w:p>
    <w:p w:rsidR="00E761F7" w:rsidRPr="005A07FA" w:rsidRDefault="00E761F7" w:rsidP="00E761F7">
      <w:pPr>
        <w:pStyle w:val="BodyTextlevel2"/>
        <w:jc w:val="both"/>
      </w:pPr>
      <w:r w:rsidRPr="005A07FA">
        <w:t>requiring employers of social workers to report concerns about a social worker’s competence to the Board if the employee resigns or is dismissed for reasons relating to their competence</w:t>
      </w:r>
    </w:p>
    <w:p w:rsidR="00E761F7" w:rsidRDefault="00E761F7" w:rsidP="00E761F7">
      <w:pPr>
        <w:pStyle w:val="BodyTextlevel2"/>
      </w:pPr>
      <w:proofErr w:type="gramStart"/>
      <w:r w:rsidRPr="005A07FA">
        <w:t>inserting</w:t>
      </w:r>
      <w:proofErr w:type="gramEnd"/>
      <w:r w:rsidRPr="005A07FA">
        <w:t xml:space="preserve"> a new power </w:t>
      </w:r>
      <w:r w:rsidRPr="0087073D">
        <w:t>authorising the department responsible for administering the Act to require people to supply information</w:t>
      </w:r>
      <w:r w:rsidR="00893F4A">
        <w:t xml:space="preserve"> necessary</w:t>
      </w:r>
      <w:r w:rsidRPr="0087073D">
        <w:t xml:space="preserve"> to enable enforcement of the offences relating to title protection</w:t>
      </w:r>
      <w:r>
        <w:t>.</w:t>
      </w:r>
    </w:p>
    <w:p w:rsidR="00E761F7" w:rsidRDefault="00E761F7" w:rsidP="00E761F7">
      <w:pPr>
        <w:pStyle w:val="BodyText"/>
        <w:jc w:val="both"/>
      </w:pPr>
      <w:r>
        <w:t xml:space="preserve">These proposals </w:t>
      </w:r>
      <w:r w:rsidR="00A150A1">
        <w:t xml:space="preserve">to strengthen the regime </w:t>
      </w:r>
      <w:r>
        <w:t>have primarily arisen out of public submissions in the select committee process, and subsequent consultation with sector representatives.</w:t>
      </w:r>
    </w:p>
    <w:p w:rsidR="003D121F" w:rsidRDefault="003D121F" w:rsidP="00E761F7">
      <w:pPr>
        <w:pStyle w:val="Heading1"/>
      </w:pPr>
      <w:r>
        <w:t xml:space="preserve">Introducing scopes of practice as an </w:t>
      </w:r>
      <w:r w:rsidRPr="00E761F7">
        <w:t>alternative</w:t>
      </w:r>
      <w:r>
        <w:t xml:space="preserve"> means to define who is practising as a social worker</w:t>
      </w:r>
    </w:p>
    <w:p w:rsidR="003D121F" w:rsidRDefault="003D121F" w:rsidP="00E761F7">
      <w:pPr>
        <w:pStyle w:val="BodyText"/>
        <w:jc w:val="both"/>
      </w:pPr>
      <w:r>
        <w:t>The Bill currently inserts new section 6AAB which define</w:t>
      </w:r>
      <w:r w:rsidR="00B1230D">
        <w:t>s</w:t>
      </w:r>
      <w:r>
        <w:t xml:space="preserve"> the meaning of "practising as a social worker". Taken with new section 6AAA, the Bill requires a person who is claiming to be</w:t>
      </w:r>
      <w:r w:rsidR="00E761F7">
        <w:t>,</w:t>
      </w:r>
      <w:r>
        <w:t xml:space="preserve"> </w:t>
      </w:r>
      <w:r w:rsidRPr="00E761F7">
        <w:t>or to be practising as</w:t>
      </w:r>
      <w:r w:rsidR="00E761F7">
        <w:t>,</w:t>
      </w:r>
      <w:r>
        <w:t xml:space="preserve"> a social worker to be registered and </w:t>
      </w:r>
      <w:r w:rsidR="00B1230D">
        <w:t xml:space="preserve">to </w:t>
      </w:r>
      <w:r>
        <w:t>hold a current annual practising certificate. This approach puts an emphasis on the profession choosing to self-identify as social workers.</w:t>
      </w:r>
    </w:p>
    <w:p w:rsidR="003D121F" w:rsidRDefault="003D121F" w:rsidP="00E761F7">
      <w:pPr>
        <w:pStyle w:val="BodyText"/>
        <w:jc w:val="both"/>
      </w:pPr>
      <w:r>
        <w:t xml:space="preserve">I propose </w:t>
      </w:r>
      <w:r w:rsidR="00B1230D">
        <w:t>introducing</w:t>
      </w:r>
      <w:r>
        <w:t xml:space="preserve"> scopes of practice as an alternative means </w:t>
      </w:r>
      <w:r w:rsidR="00B1230D">
        <w:t>of defining</w:t>
      </w:r>
      <w:r>
        <w:t xml:space="preserve"> who is practising as a social worker, and must therefore hold an annual practising certificate</w:t>
      </w:r>
      <w:r w:rsidR="00A150A1">
        <w:t>. This approach is</w:t>
      </w:r>
      <w:r w:rsidR="00B1230D">
        <w:t xml:space="preserve"> generally in line with the HPCA Act's legislative framework as it applies to scopes of practice.</w:t>
      </w:r>
    </w:p>
    <w:p w:rsidR="003D121F" w:rsidRPr="00F33EC4" w:rsidRDefault="003D121F" w:rsidP="00E761F7">
      <w:pPr>
        <w:pStyle w:val="Heading3"/>
      </w:pPr>
      <w:r>
        <w:lastRenderedPageBreak/>
        <w:t xml:space="preserve">Scopes of practice are </w:t>
      </w:r>
      <w:r w:rsidR="00B1230D">
        <w:t>a</w:t>
      </w:r>
      <w:r>
        <w:t xml:space="preserve"> way to define who is practising as a social worker</w:t>
      </w:r>
    </w:p>
    <w:p w:rsidR="003D121F" w:rsidRDefault="003D121F" w:rsidP="00B1230D">
      <w:pPr>
        <w:pStyle w:val="BodyText"/>
        <w:jc w:val="both"/>
      </w:pPr>
      <w:r>
        <w:t>A scope of practice describes the content of practice carried out within the relevant profession. A practitioner covered by a scope may only practice in areas in which they are deemed competent, by reference to their scope.</w:t>
      </w:r>
      <w:r w:rsidR="00DB341E">
        <w:t xml:space="preserve"> </w:t>
      </w:r>
      <w:r>
        <w:t xml:space="preserve">Assessment of competency in relation to the scope is made on the basis of education, training and experience. </w:t>
      </w:r>
      <w:r w:rsidR="00DB341E">
        <w:t>Over time, s</w:t>
      </w:r>
      <w:r w:rsidR="00B1230D">
        <w:t xml:space="preserve">ome </w:t>
      </w:r>
      <w:r>
        <w:t xml:space="preserve">employment situations may </w:t>
      </w:r>
      <w:r w:rsidR="00B1230D">
        <w:t>demand</w:t>
      </w:r>
      <w:r>
        <w:t xml:space="preserve"> that </w:t>
      </w:r>
      <w:r w:rsidR="00B1230D">
        <w:t xml:space="preserve">a </w:t>
      </w:r>
      <w:r>
        <w:t xml:space="preserve">professional </w:t>
      </w:r>
      <w:r w:rsidR="00B1230D">
        <w:t xml:space="preserve">be </w:t>
      </w:r>
      <w:r>
        <w:t xml:space="preserve">covered by a </w:t>
      </w:r>
      <w:r w:rsidR="00B1230D">
        <w:t xml:space="preserve">specialist </w:t>
      </w:r>
      <w:r>
        <w:t xml:space="preserve">scope </w:t>
      </w:r>
      <w:r w:rsidR="00B1230D">
        <w:t xml:space="preserve">of practice requiring </w:t>
      </w:r>
      <w:r w:rsidR="00DB341E">
        <w:t xml:space="preserve">that a social worker </w:t>
      </w:r>
      <w:r>
        <w:t>obtain further education or training</w:t>
      </w:r>
      <w:r w:rsidR="00B1230D">
        <w:t>.</w:t>
      </w:r>
      <w:r w:rsidR="00DB341E">
        <w:t xml:space="preserve">  </w:t>
      </w:r>
    </w:p>
    <w:p w:rsidR="003D121F" w:rsidRDefault="00B1230D" w:rsidP="00B1230D">
      <w:pPr>
        <w:pStyle w:val="BodyText"/>
        <w:jc w:val="both"/>
      </w:pPr>
      <w:r>
        <w:t>This table</w:t>
      </w:r>
      <w:r w:rsidR="003D121F">
        <w:t xml:space="preserve"> summarises what scopes </w:t>
      </w:r>
      <w:r>
        <w:t>of practice under the HPCA Act do and do not achieve:</w:t>
      </w:r>
    </w:p>
    <w:p w:rsidR="00B1230D" w:rsidRDefault="00B1230D" w:rsidP="00B1230D">
      <w:pPr>
        <w:pStyle w:val="BodyText"/>
        <w:numPr>
          <w:ilvl w:val="0"/>
          <w:numId w:val="0"/>
        </w:numPr>
        <w:spacing w:before="0"/>
        <w:ind w:left="494"/>
        <w:jc w:val="both"/>
      </w:pPr>
    </w:p>
    <w:tbl>
      <w:tblPr>
        <w:tblStyle w:val="TableGrid1"/>
        <w:tblW w:w="9889" w:type="dxa"/>
        <w:tblLook w:val="04A0" w:firstRow="1" w:lastRow="0" w:firstColumn="1" w:lastColumn="0" w:noHBand="0" w:noVBand="1"/>
      </w:tblPr>
      <w:tblGrid>
        <w:gridCol w:w="4944"/>
        <w:gridCol w:w="4945"/>
      </w:tblGrid>
      <w:tr w:rsidR="003D121F" w:rsidRPr="008E1406" w:rsidTr="00B1230D">
        <w:tc>
          <w:tcPr>
            <w:tcW w:w="4944" w:type="dxa"/>
            <w:tcBorders>
              <w:top w:val="single" w:sz="4" w:space="0" w:color="auto"/>
              <w:left w:val="single" w:sz="4" w:space="0" w:color="auto"/>
              <w:bottom w:val="single" w:sz="4" w:space="0" w:color="auto"/>
              <w:right w:val="single" w:sz="4" w:space="0" w:color="auto"/>
            </w:tcBorders>
            <w:hideMark/>
          </w:tcPr>
          <w:p w:rsidR="003D121F" w:rsidRPr="008E1406" w:rsidRDefault="00974CCC" w:rsidP="00B1230D">
            <w:pPr>
              <w:spacing w:before="60" w:after="60"/>
              <w:rPr>
                <w:rFonts w:ascii="Arial Mäori" w:hAnsi="Arial Mäori"/>
                <w:b/>
                <w:szCs w:val="22"/>
              </w:rPr>
            </w:pPr>
            <w:r>
              <w:rPr>
                <w:rFonts w:ascii="Arial Mäori" w:hAnsi="Arial Mäori"/>
                <w:b/>
                <w:szCs w:val="22"/>
              </w:rPr>
              <w:t>Scopes of practice:</w:t>
            </w:r>
            <w:r w:rsidR="003D121F" w:rsidRPr="008E1406">
              <w:rPr>
                <w:rFonts w:ascii="Arial Mäori" w:hAnsi="Arial Mäori"/>
                <w:b/>
                <w:szCs w:val="22"/>
              </w:rPr>
              <w:t xml:space="preserve"> </w:t>
            </w:r>
          </w:p>
        </w:tc>
        <w:tc>
          <w:tcPr>
            <w:tcW w:w="4945" w:type="dxa"/>
            <w:tcBorders>
              <w:top w:val="single" w:sz="4" w:space="0" w:color="auto"/>
              <w:left w:val="single" w:sz="4" w:space="0" w:color="auto"/>
              <w:bottom w:val="single" w:sz="4" w:space="0" w:color="auto"/>
              <w:right w:val="single" w:sz="4" w:space="0" w:color="auto"/>
            </w:tcBorders>
            <w:hideMark/>
          </w:tcPr>
          <w:p w:rsidR="003D121F" w:rsidRPr="008E1406" w:rsidRDefault="00974CCC" w:rsidP="00974CCC">
            <w:pPr>
              <w:spacing w:before="60" w:after="60"/>
              <w:rPr>
                <w:rFonts w:ascii="Arial Mäori" w:hAnsi="Arial Mäori"/>
                <w:b/>
                <w:szCs w:val="22"/>
              </w:rPr>
            </w:pPr>
            <w:r>
              <w:rPr>
                <w:rFonts w:ascii="Arial Mäori" w:hAnsi="Arial Mäori"/>
                <w:b/>
                <w:szCs w:val="22"/>
              </w:rPr>
              <w:t>Scopes of practice do not:</w:t>
            </w:r>
          </w:p>
        </w:tc>
      </w:tr>
      <w:tr w:rsidR="003D121F" w:rsidRPr="008E1406" w:rsidTr="00B1230D">
        <w:tc>
          <w:tcPr>
            <w:tcW w:w="4944" w:type="dxa"/>
            <w:tcBorders>
              <w:top w:val="single" w:sz="4" w:space="0" w:color="auto"/>
              <w:left w:val="single" w:sz="4" w:space="0" w:color="auto"/>
              <w:bottom w:val="single" w:sz="4" w:space="0" w:color="auto"/>
              <w:right w:val="single" w:sz="4" w:space="0" w:color="auto"/>
            </w:tcBorders>
            <w:hideMark/>
          </w:tcPr>
          <w:p w:rsidR="003D121F" w:rsidRPr="00E8585B" w:rsidRDefault="003D121F" w:rsidP="00B1230D">
            <w:pPr>
              <w:spacing w:before="60" w:after="60"/>
              <w:jc w:val="left"/>
              <w:rPr>
                <w:rFonts w:ascii="Arial Mäori" w:hAnsi="Arial Mäori"/>
                <w:sz w:val="20"/>
                <w:szCs w:val="22"/>
                <w:u w:val="single"/>
              </w:rPr>
            </w:pPr>
            <w:r w:rsidRPr="00E8585B">
              <w:rPr>
                <w:rFonts w:ascii="Arial Mäori" w:hAnsi="Arial Mäori"/>
                <w:sz w:val="20"/>
                <w:szCs w:val="22"/>
                <w:u w:val="single"/>
              </w:rPr>
              <w:t xml:space="preserve">Give employers, professionals and members of the public a clear picture of the skills, knowledge, professional standards and range of services they can expect of a member of a profession. </w:t>
            </w:r>
          </w:p>
          <w:p w:rsidR="003D121F" w:rsidRPr="00E8585B" w:rsidRDefault="003D121F" w:rsidP="00B1230D">
            <w:pPr>
              <w:spacing w:before="60" w:after="60"/>
              <w:jc w:val="left"/>
              <w:rPr>
                <w:rFonts w:ascii="Arial Mäori" w:hAnsi="Arial Mäori"/>
                <w:sz w:val="20"/>
                <w:szCs w:val="22"/>
              </w:rPr>
            </w:pPr>
            <w:r w:rsidRPr="00E8585B">
              <w:rPr>
                <w:rFonts w:ascii="Arial Mäori" w:hAnsi="Arial Mäori"/>
                <w:sz w:val="20"/>
                <w:szCs w:val="22"/>
              </w:rPr>
              <w:t xml:space="preserve">This provides clarity about boundaries on what is within and outside a professional’s area of competence. </w:t>
            </w:r>
          </w:p>
        </w:tc>
        <w:tc>
          <w:tcPr>
            <w:tcW w:w="4945" w:type="dxa"/>
            <w:tcBorders>
              <w:top w:val="single" w:sz="4" w:space="0" w:color="auto"/>
              <w:left w:val="single" w:sz="4" w:space="0" w:color="auto"/>
              <w:bottom w:val="single" w:sz="4" w:space="0" w:color="auto"/>
              <w:right w:val="single" w:sz="4" w:space="0" w:color="auto"/>
            </w:tcBorders>
          </w:tcPr>
          <w:p w:rsidR="003D121F" w:rsidRPr="00E8585B" w:rsidRDefault="003D121F" w:rsidP="00B1230D">
            <w:pPr>
              <w:spacing w:before="60" w:after="60"/>
              <w:jc w:val="left"/>
              <w:rPr>
                <w:rFonts w:ascii="Arial Mäori" w:hAnsi="Arial Mäori"/>
                <w:sz w:val="20"/>
                <w:szCs w:val="22"/>
                <w:u w:val="single"/>
              </w:rPr>
            </w:pPr>
            <w:r w:rsidRPr="00E8585B">
              <w:rPr>
                <w:rFonts w:ascii="Arial Mäori" w:hAnsi="Arial Mäori"/>
                <w:sz w:val="20"/>
                <w:szCs w:val="22"/>
                <w:u w:val="single"/>
              </w:rPr>
              <w:t>Control or require entry into a profession.</w:t>
            </w:r>
          </w:p>
          <w:p w:rsidR="003D121F" w:rsidRPr="00E8585B" w:rsidRDefault="003D121F" w:rsidP="00A150A1">
            <w:pPr>
              <w:spacing w:before="60" w:after="60"/>
              <w:jc w:val="left"/>
              <w:rPr>
                <w:rFonts w:ascii="Arial Mäori" w:hAnsi="Arial Mäori"/>
                <w:sz w:val="20"/>
                <w:szCs w:val="22"/>
              </w:rPr>
            </w:pPr>
            <w:r w:rsidRPr="00E8585B">
              <w:rPr>
                <w:rFonts w:ascii="Arial Mäori" w:hAnsi="Arial Mäori"/>
                <w:sz w:val="20"/>
                <w:szCs w:val="22"/>
              </w:rPr>
              <w:t xml:space="preserve">Membership of a profession is determined by registration requirements, as specified by the appropriate regulatory authority e.g. the Nursing Council or Medical Council. (This would be the </w:t>
            </w:r>
            <w:r w:rsidR="00974CCC">
              <w:rPr>
                <w:rFonts w:ascii="Arial Mäori" w:hAnsi="Arial Mäori"/>
                <w:sz w:val="20"/>
                <w:szCs w:val="22"/>
              </w:rPr>
              <w:t xml:space="preserve">Social Workers Registration </w:t>
            </w:r>
            <w:r w:rsidRPr="00E8585B">
              <w:rPr>
                <w:rFonts w:ascii="Arial Mäori" w:hAnsi="Arial Mäori"/>
                <w:sz w:val="20"/>
                <w:szCs w:val="22"/>
              </w:rPr>
              <w:t>Board in the case of social work.)</w:t>
            </w:r>
          </w:p>
        </w:tc>
      </w:tr>
      <w:tr w:rsidR="003D121F" w:rsidRPr="008E1406" w:rsidTr="00B1230D">
        <w:tc>
          <w:tcPr>
            <w:tcW w:w="4944" w:type="dxa"/>
            <w:tcBorders>
              <w:top w:val="single" w:sz="4" w:space="0" w:color="auto"/>
              <w:left w:val="single" w:sz="4" w:space="0" w:color="auto"/>
              <w:bottom w:val="single" w:sz="4" w:space="0" w:color="auto"/>
              <w:right w:val="single" w:sz="4" w:space="0" w:color="auto"/>
            </w:tcBorders>
          </w:tcPr>
          <w:p w:rsidR="003D121F" w:rsidRPr="00E8585B" w:rsidRDefault="003D121F" w:rsidP="00B1230D">
            <w:pPr>
              <w:spacing w:before="60" w:after="60"/>
              <w:jc w:val="left"/>
              <w:rPr>
                <w:rFonts w:ascii="Arial Mäori" w:hAnsi="Arial Mäori"/>
                <w:sz w:val="20"/>
                <w:szCs w:val="22"/>
                <w:u w:val="single"/>
              </w:rPr>
            </w:pPr>
            <w:r w:rsidRPr="00E8585B">
              <w:rPr>
                <w:rFonts w:ascii="Arial Mäori" w:hAnsi="Arial Mäori"/>
                <w:sz w:val="20"/>
                <w:szCs w:val="22"/>
                <w:u w:val="single"/>
              </w:rPr>
              <w:t>Provide a reference point for on-going competence assessment and complaints about lack of competence:</w:t>
            </w:r>
          </w:p>
          <w:p w:rsidR="003D121F" w:rsidRPr="00E8585B" w:rsidRDefault="003D121F" w:rsidP="00B1230D">
            <w:pPr>
              <w:spacing w:before="60" w:after="60"/>
              <w:jc w:val="left"/>
              <w:rPr>
                <w:rFonts w:ascii="Arial Mäori" w:hAnsi="Arial Mäori"/>
                <w:sz w:val="20"/>
                <w:szCs w:val="22"/>
              </w:rPr>
            </w:pPr>
            <w:r w:rsidRPr="00E8585B">
              <w:rPr>
                <w:rFonts w:ascii="Arial Mäori" w:hAnsi="Arial Mäori"/>
                <w:sz w:val="20"/>
                <w:szCs w:val="22"/>
              </w:rPr>
              <w:t xml:space="preserve">Scopes of practice can be used in disciplinary actions against a professional, i.e. professional misconduct, working outside of a scope of practice etc.  </w:t>
            </w:r>
          </w:p>
        </w:tc>
        <w:tc>
          <w:tcPr>
            <w:tcW w:w="4945" w:type="dxa"/>
            <w:tcBorders>
              <w:top w:val="single" w:sz="4" w:space="0" w:color="auto"/>
              <w:left w:val="single" w:sz="4" w:space="0" w:color="auto"/>
              <w:bottom w:val="single" w:sz="4" w:space="0" w:color="auto"/>
              <w:right w:val="single" w:sz="4" w:space="0" w:color="auto"/>
            </w:tcBorders>
            <w:hideMark/>
          </w:tcPr>
          <w:p w:rsidR="003D121F" w:rsidRPr="00E8585B" w:rsidRDefault="003D121F" w:rsidP="00B1230D">
            <w:pPr>
              <w:spacing w:before="60" w:after="60"/>
              <w:jc w:val="left"/>
              <w:rPr>
                <w:rFonts w:ascii="Arial Mäori" w:hAnsi="Arial Mäori"/>
                <w:sz w:val="20"/>
                <w:szCs w:val="22"/>
                <w:u w:val="single"/>
              </w:rPr>
            </w:pPr>
            <w:r w:rsidRPr="00E8585B">
              <w:rPr>
                <w:rFonts w:ascii="Arial Mäori" w:hAnsi="Arial Mäori"/>
                <w:sz w:val="20"/>
                <w:szCs w:val="22"/>
                <w:u w:val="single"/>
              </w:rPr>
              <w:t xml:space="preserve">Provide a way of determining whether particular tasks belong to one profession or another. </w:t>
            </w:r>
          </w:p>
          <w:p w:rsidR="003D121F" w:rsidRPr="00E8585B" w:rsidRDefault="003D121F" w:rsidP="00A150A1">
            <w:pPr>
              <w:spacing w:before="60" w:after="60"/>
              <w:jc w:val="left"/>
              <w:rPr>
                <w:rFonts w:ascii="Arial Mäori" w:hAnsi="Arial Mäori"/>
                <w:sz w:val="20"/>
                <w:szCs w:val="22"/>
              </w:rPr>
            </w:pPr>
            <w:r w:rsidRPr="00E8585B">
              <w:rPr>
                <w:rFonts w:ascii="Arial Mäori" w:hAnsi="Arial Mäori"/>
                <w:sz w:val="20"/>
                <w:szCs w:val="22"/>
              </w:rPr>
              <w:t>For example, a significant proportion of a medical practitioner’s role could be undertaken by a registered nurse who is operating at the top of their scope. The overlap is entirely appropriate, and is overseen by the respective regulatory authorities.</w:t>
            </w:r>
          </w:p>
        </w:tc>
      </w:tr>
      <w:tr w:rsidR="003D121F" w:rsidRPr="008E1406" w:rsidTr="00B1230D">
        <w:tc>
          <w:tcPr>
            <w:tcW w:w="4944" w:type="dxa"/>
            <w:tcBorders>
              <w:top w:val="single" w:sz="4" w:space="0" w:color="auto"/>
              <w:left w:val="single" w:sz="4" w:space="0" w:color="auto"/>
              <w:bottom w:val="single" w:sz="4" w:space="0" w:color="auto"/>
              <w:right w:val="single" w:sz="4" w:space="0" w:color="auto"/>
            </w:tcBorders>
            <w:hideMark/>
          </w:tcPr>
          <w:p w:rsidR="003D121F" w:rsidRPr="00E8585B" w:rsidRDefault="003D121F" w:rsidP="00B1230D">
            <w:pPr>
              <w:spacing w:before="60" w:after="60"/>
              <w:jc w:val="left"/>
              <w:rPr>
                <w:rFonts w:ascii="Arial Mäori" w:hAnsi="Arial Mäori"/>
                <w:sz w:val="20"/>
                <w:szCs w:val="22"/>
              </w:rPr>
            </w:pPr>
            <w:r w:rsidRPr="00E8585B">
              <w:rPr>
                <w:rFonts w:ascii="Arial Mäori" w:hAnsi="Arial Mäori"/>
                <w:sz w:val="20"/>
                <w:szCs w:val="22"/>
              </w:rPr>
              <w:t>Provide a reference point for an employer or funder of a service when deciding what skill set and competence they need.</w:t>
            </w:r>
          </w:p>
        </w:tc>
        <w:tc>
          <w:tcPr>
            <w:tcW w:w="4945" w:type="dxa"/>
            <w:tcBorders>
              <w:top w:val="single" w:sz="4" w:space="0" w:color="auto"/>
              <w:left w:val="single" w:sz="4" w:space="0" w:color="auto"/>
              <w:bottom w:val="single" w:sz="4" w:space="0" w:color="auto"/>
              <w:right w:val="single" w:sz="4" w:space="0" w:color="auto"/>
            </w:tcBorders>
          </w:tcPr>
          <w:p w:rsidR="003D121F" w:rsidRPr="00E8585B" w:rsidRDefault="003D121F" w:rsidP="00B1230D">
            <w:pPr>
              <w:spacing w:before="60" w:after="60"/>
              <w:jc w:val="left"/>
              <w:rPr>
                <w:rFonts w:ascii="Arial Mäori" w:hAnsi="Arial Mäori"/>
                <w:sz w:val="20"/>
                <w:szCs w:val="22"/>
              </w:rPr>
            </w:pPr>
          </w:p>
        </w:tc>
      </w:tr>
      <w:tr w:rsidR="003D121F" w:rsidRPr="008E1406" w:rsidTr="00B1230D">
        <w:tc>
          <w:tcPr>
            <w:tcW w:w="4944" w:type="dxa"/>
            <w:tcBorders>
              <w:top w:val="single" w:sz="4" w:space="0" w:color="auto"/>
              <w:left w:val="single" w:sz="4" w:space="0" w:color="auto"/>
              <w:bottom w:val="single" w:sz="4" w:space="0" w:color="auto"/>
              <w:right w:val="single" w:sz="4" w:space="0" w:color="auto"/>
            </w:tcBorders>
            <w:hideMark/>
          </w:tcPr>
          <w:p w:rsidR="003D121F" w:rsidRPr="00E8585B" w:rsidRDefault="003D121F" w:rsidP="00A150A1">
            <w:pPr>
              <w:spacing w:before="60" w:after="60"/>
              <w:jc w:val="left"/>
              <w:rPr>
                <w:rFonts w:ascii="Arial Mäori" w:hAnsi="Arial Mäori"/>
                <w:sz w:val="20"/>
                <w:szCs w:val="22"/>
              </w:rPr>
            </w:pPr>
            <w:r w:rsidRPr="00E8585B">
              <w:rPr>
                <w:rFonts w:ascii="Arial Mäori" w:hAnsi="Arial Mäori"/>
                <w:sz w:val="20"/>
                <w:szCs w:val="22"/>
              </w:rPr>
              <w:t>Provide clarity about different specialisations within a profession, and illustrate career progression pathways. A specialist scope is already being developed for social workers in the health sector.</w:t>
            </w:r>
          </w:p>
        </w:tc>
        <w:tc>
          <w:tcPr>
            <w:tcW w:w="4945" w:type="dxa"/>
            <w:tcBorders>
              <w:top w:val="single" w:sz="4" w:space="0" w:color="auto"/>
              <w:left w:val="single" w:sz="4" w:space="0" w:color="auto"/>
              <w:bottom w:val="single" w:sz="4" w:space="0" w:color="auto"/>
              <w:right w:val="single" w:sz="4" w:space="0" w:color="auto"/>
            </w:tcBorders>
          </w:tcPr>
          <w:p w:rsidR="003D121F" w:rsidRPr="00E8585B" w:rsidRDefault="003D121F" w:rsidP="00B1230D">
            <w:pPr>
              <w:spacing w:before="60" w:after="60"/>
              <w:jc w:val="left"/>
              <w:rPr>
                <w:rFonts w:ascii="Arial Mäori" w:hAnsi="Arial Mäori"/>
                <w:sz w:val="20"/>
                <w:szCs w:val="22"/>
              </w:rPr>
            </w:pPr>
          </w:p>
        </w:tc>
      </w:tr>
    </w:tbl>
    <w:p w:rsidR="003D121F" w:rsidRDefault="003D121F" w:rsidP="00E8585B">
      <w:pPr>
        <w:pStyle w:val="Heading3"/>
      </w:pPr>
      <w:r>
        <w:t xml:space="preserve">The initial </w:t>
      </w:r>
      <w:r w:rsidR="00B1230D">
        <w:t xml:space="preserve">SWRL </w:t>
      </w:r>
      <w:r>
        <w:t xml:space="preserve">Bill did not include scopes of practice because they were </w:t>
      </w:r>
      <w:r w:rsidR="009A06F2">
        <w:t xml:space="preserve">assessed as </w:t>
      </w:r>
      <w:r>
        <w:t>not necessary to protect the public</w:t>
      </w:r>
      <w:r w:rsidR="001543D9">
        <w:t>, and as presenting some regulatory risk</w:t>
      </w:r>
    </w:p>
    <w:p w:rsidR="003D121F" w:rsidRDefault="003D121F" w:rsidP="00A11DF6">
      <w:pPr>
        <w:pStyle w:val="BodyText"/>
        <w:numPr>
          <w:ilvl w:val="0"/>
          <w:numId w:val="12"/>
        </w:numPr>
        <w:jc w:val="both"/>
      </w:pPr>
      <w:r>
        <w:t>The Select Committee Inquiry recommended the Government require social workers to practise in accordance with scope</w:t>
      </w:r>
      <w:r w:rsidR="00974CCC">
        <w:t>s</w:t>
      </w:r>
      <w:r>
        <w:t xml:space="preserve"> of practice developed by the Board. </w:t>
      </w:r>
      <w:r w:rsidR="00A150A1">
        <w:t>Following the Committee’s recommendation, s</w:t>
      </w:r>
      <w:r w:rsidRPr="00F33EC4">
        <w:t>copes were considered during the early development of the Bill</w:t>
      </w:r>
      <w:r w:rsidR="009A06F2">
        <w:t xml:space="preserve">, but </w:t>
      </w:r>
      <w:r w:rsidR="00A150A1">
        <w:t xml:space="preserve">were </w:t>
      </w:r>
      <w:r w:rsidR="009A06F2">
        <w:t>not</w:t>
      </w:r>
      <w:r w:rsidRPr="00F33EC4">
        <w:t xml:space="preserve"> seen as </w:t>
      </w:r>
      <w:r w:rsidR="00974CCC">
        <w:t>necessary</w:t>
      </w:r>
      <w:r w:rsidRPr="00F33EC4">
        <w:t xml:space="preserve"> to </w:t>
      </w:r>
      <w:r w:rsidR="003A035D">
        <w:t xml:space="preserve">meet the objectives of </w:t>
      </w:r>
      <w:r w:rsidRPr="00F33EC4">
        <w:rPr>
          <w:rFonts w:eastAsia="Calibri"/>
        </w:rPr>
        <w:t>th</w:t>
      </w:r>
      <w:r>
        <w:rPr>
          <w:rFonts w:eastAsia="Calibri"/>
        </w:rPr>
        <w:t xml:space="preserve">e Bill. </w:t>
      </w:r>
      <w:r>
        <w:t>Furthermore, the Board was in the process of developing a scope of practice already,</w:t>
      </w:r>
      <w:r w:rsidR="00974CCC">
        <w:t xml:space="preserve"> which could have achieved many of the expected benefits without statutory recognition.</w:t>
      </w:r>
    </w:p>
    <w:p w:rsidR="009A06F2" w:rsidRDefault="003D121F" w:rsidP="00A11DF6">
      <w:pPr>
        <w:pStyle w:val="BodyText"/>
        <w:numPr>
          <w:ilvl w:val="0"/>
          <w:numId w:val="12"/>
        </w:numPr>
        <w:jc w:val="both"/>
      </w:pPr>
      <w:r w:rsidRPr="00F33EC4">
        <w:t>A key reason for not including definitions of social work</w:t>
      </w:r>
      <w:r>
        <w:t xml:space="preserve"> in the </w:t>
      </w:r>
      <w:r w:rsidR="009A06F2">
        <w:t xml:space="preserve">original </w:t>
      </w:r>
      <w:r>
        <w:t>Bill</w:t>
      </w:r>
      <w:r w:rsidR="009A06F2">
        <w:t>,</w:t>
      </w:r>
      <w:r w:rsidRPr="00F33EC4">
        <w:t xml:space="preserve"> or allowing scopes of practice to be used as </w:t>
      </w:r>
      <w:proofErr w:type="gramStart"/>
      <w:r w:rsidR="00974CCC" w:rsidRPr="00F33EC4">
        <w:t>definitions</w:t>
      </w:r>
      <w:r w:rsidR="009A06F2">
        <w:t>,</w:t>
      </w:r>
      <w:proofErr w:type="gramEnd"/>
      <w:r w:rsidRPr="00F33EC4">
        <w:t xml:space="preserve"> was to avoid establishing a licensing regime</w:t>
      </w:r>
      <w:r w:rsidR="00F02106">
        <w:t xml:space="preserve"> (meaning only social workers can do social work)</w:t>
      </w:r>
      <w:r w:rsidR="009A06F2">
        <w:t>. Such a regime</w:t>
      </w:r>
      <w:r w:rsidR="00974CCC">
        <w:t xml:space="preserve"> would limit unregistered people from performing tasks commonly associated with social work even if they did not hold themselves out as qualified and registered professional social workers.  </w:t>
      </w:r>
    </w:p>
    <w:p w:rsidR="00974CCC" w:rsidRDefault="009A06F2" w:rsidP="00A11DF6">
      <w:pPr>
        <w:pStyle w:val="BodyText"/>
        <w:numPr>
          <w:ilvl w:val="0"/>
          <w:numId w:val="12"/>
        </w:numPr>
        <w:jc w:val="both"/>
      </w:pPr>
      <w:r w:rsidRPr="00D439CE">
        <w:t>A</w:t>
      </w:r>
      <w:r>
        <w:t>lthough a</w:t>
      </w:r>
      <w:r w:rsidRPr="00D439CE">
        <w:t xml:space="preserve"> licensing regime was </w:t>
      </w:r>
      <w:r>
        <w:t xml:space="preserve">an option </w:t>
      </w:r>
      <w:r w:rsidRPr="00D439CE">
        <w:t>recommended by the Select Committee</w:t>
      </w:r>
      <w:r>
        <w:t xml:space="preserve"> Inquiry, </w:t>
      </w:r>
      <w:r w:rsidRPr="00D439CE">
        <w:t>after careful consideration the previous government concluded this would not be a workable approach because of the risk of affecting related occupations such as school guidance counsellors, Whanau Ora navigators and probation officers</w:t>
      </w:r>
      <w:r>
        <w:t xml:space="preserve">. This decision, including its </w:t>
      </w:r>
      <w:r>
        <w:lastRenderedPageBreak/>
        <w:t>reasons, has been publicly communicated in the past and I consider it still sound. [CAB-17-MIN-0234 refers].</w:t>
      </w:r>
    </w:p>
    <w:p w:rsidR="003D121F" w:rsidRDefault="00974CCC" w:rsidP="00A11DF6">
      <w:pPr>
        <w:pStyle w:val="BodyText"/>
        <w:numPr>
          <w:ilvl w:val="0"/>
          <w:numId w:val="12"/>
        </w:numPr>
        <w:jc w:val="both"/>
      </w:pPr>
      <w:r>
        <w:t>C</w:t>
      </w:r>
      <w:r w:rsidR="003D121F" w:rsidRPr="00D45E14">
        <w:t xml:space="preserve">ertification and title protection of social workers </w:t>
      </w:r>
      <w:r w:rsidR="00F02106">
        <w:t xml:space="preserve">(only people accepted by the Board as </w:t>
      </w:r>
      <w:r w:rsidR="007E769F">
        <w:t xml:space="preserve">meeting qualification, competence, and fit and proper person standards </w:t>
      </w:r>
      <w:r w:rsidR="00F02106">
        <w:t xml:space="preserve">can claim to be social workers) </w:t>
      </w:r>
      <w:r w:rsidR="001543D9">
        <w:t>remains the</w:t>
      </w:r>
      <w:r w:rsidR="003D121F" w:rsidRPr="00D45E14">
        <w:t xml:space="preserve"> best </w:t>
      </w:r>
      <w:r w:rsidR="001543D9">
        <w:t xml:space="preserve">mechanism for identifying who should be </w:t>
      </w:r>
      <w:r w:rsidR="001733FB">
        <w:t>registered</w:t>
      </w:r>
      <w:r>
        <w:t xml:space="preserve"> because</w:t>
      </w:r>
      <w:r w:rsidRPr="00974CCC">
        <w:t xml:space="preserve"> </w:t>
      </w:r>
      <w:r>
        <w:t>s</w:t>
      </w:r>
      <w:r w:rsidRPr="00D45E14">
        <w:t>ocial work tasks cannot always be easily distinguished from those undertaken by related social service occupations</w:t>
      </w:r>
      <w:r>
        <w:t>.</w:t>
      </w:r>
      <w:r w:rsidR="001733FB">
        <w:t xml:space="preserve"> However, after careful consideration, I am now persuaded that provision for scopes of practice will offer some important benefits to support the certification and title protection regime, without posing the risks previously anticipated. </w:t>
      </w:r>
      <w:r w:rsidR="00F02106">
        <w:t>This will mirror the</w:t>
      </w:r>
      <w:r w:rsidR="003D121F" w:rsidRPr="00D45E14">
        <w:t xml:space="preserve"> approach that is well established and accepted across the health sector, and is compatible with multidisciplinary work such as that enabled by the new delegation powers in the Oranga Tamariki/Children's and Young People's Well-being Act 1989 (formerly known as the Children, Young Persons and Their Families Act 1989).</w:t>
      </w:r>
    </w:p>
    <w:p w:rsidR="003D121F" w:rsidRPr="00F768EA" w:rsidRDefault="003D121F" w:rsidP="00E8585B">
      <w:pPr>
        <w:pStyle w:val="Heading3"/>
      </w:pPr>
      <w:r>
        <w:t xml:space="preserve">Many submitters were concerned about an apparent </w:t>
      </w:r>
      <w:r w:rsidR="003A035D">
        <w:t xml:space="preserve">ability </w:t>
      </w:r>
      <w:proofErr w:type="gramStart"/>
      <w:r w:rsidR="003A035D">
        <w:t xml:space="preserve">of </w:t>
      </w:r>
      <w:r>
        <w:t xml:space="preserve"> employers</w:t>
      </w:r>
      <w:proofErr w:type="gramEnd"/>
      <w:r>
        <w:t xml:space="preserve"> to de</w:t>
      </w:r>
      <w:r w:rsidR="003A035D">
        <w:t xml:space="preserve">termine who is a social worker </w:t>
      </w:r>
      <w:r>
        <w:t>under the Bill as introduced</w:t>
      </w:r>
    </w:p>
    <w:p w:rsidR="003D121F" w:rsidRDefault="003D121F" w:rsidP="00A11DF6">
      <w:pPr>
        <w:pStyle w:val="BodyText"/>
        <w:numPr>
          <w:ilvl w:val="0"/>
          <w:numId w:val="12"/>
        </w:numPr>
        <w:jc w:val="both"/>
      </w:pPr>
      <w:r>
        <w:t xml:space="preserve">A large number of submitters at Select Committee expressed the concern that the framing of </w:t>
      </w:r>
      <w:r w:rsidRPr="00E8585B">
        <w:t>new</w:t>
      </w:r>
      <w:r>
        <w:t xml:space="preserve"> section 6AAB </w:t>
      </w:r>
      <w:r w:rsidR="00280615">
        <w:t xml:space="preserve">(which defined “practising as a social worker”) </w:t>
      </w:r>
      <w:r>
        <w:t xml:space="preserve">would effectively mean that employers determine who is and is not practising as a social worker. In particular, many submitters were concerned that employers </w:t>
      </w:r>
      <w:r w:rsidR="003A035D">
        <w:t xml:space="preserve">of </w:t>
      </w:r>
      <w:r>
        <w:t>social workers would change job titles and descriptions in order to avoid registration.</w:t>
      </w:r>
      <w:r w:rsidRPr="00F768EA">
        <w:t xml:space="preserve"> </w:t>
      </w:r>
    </w:p>
    <w:p w:rsidR="003D121F" w:rsidRDefault="003D121F" w:rsidP="00A11DF6">
      <w:pPr>
        <w:pStyle w:val="BodyText"/>
        <w:numPr>
          <w:ilvl w:val="0"/>
          <w:numId w:val="12"/>
        </w:numPr>
        <w:jc w:val="both"/>
      </w:pPr>
      <w:r>
        <w:t xml:space="preserve">I </w:t>
      </w:r>
      <w:r w:rsidR="003A035D">
        <w:t xml:space="preserve">recognise </w:t>
      </w:r>
      <w:r>
        <w:t>that social workers and their employers have incentives to avoid registration for cost reasons, but there are several important factors that encourage registration</w:t>
      </w:r>
      <w:r w:rsidR="00E8585B">
        <w:t>:</w:t>
      </w:r>
      <w:r>
        <w:t xml:space="preserve"> </w:t>
      </w:r>
    </w:p>
    <w:p w:rsidR="003D121F" w:rsidRDefault="00E8585B" w:rsidP="00A11DF6">
      <w:pPr>
        <w:pStyle w:val="BodyText"/>
        <w:numPr>
          <w:ilvl w:val="0"/>
          <w:numId w:val="13"/>
        </w:numPr>
        <w:jc w:val="both"/>
      </w:pPr>
      <w:r>
        <w:t>G</w:t>
      </w:r>
      <w:r w:rsidR="003D121F">
        <w:t xml:space="preserve">overnment is the main purchaser of social worker services, either directly or through contracts with providers. </w:t>
      </w:r>
      <w:r w:rsidR="00EA58C0">
        <w:t>T</w:t>
      </w:r>
      <w:r w:rsidR="003D121F">
        <w:t xml:space="preserve">he government is </w:t>
      </w:r>
      <w:r w:rsidR="003A035D">
        <w:t>well</w:t>
      </w:r>
      <w:r w:rsidR="003D121F">
        <w:t xml:space="preserve"> position</w:t>
      </w:r>
      <w:r w:rsidR="003A035D">
        <w:t>ed</w:t>
      </w:r>
      <w:r w:rsidR="003D121F">
        <w:t xml:space="preserve"> to </w:t>
      </w:r>
      <w:r w:rsidR="00E07D40">
        <w:t xml:space="preserve">limit </w:t>
      </w:r>
      <w:r w:rsidR="003D121F">
        <w:t xml:space="preserve">regulatory avoidance </w:t>
      </w:r>
      <w:r w:rsidR="00EA58C0">
        <w:t>through</w:t>
      </w:r>
      <w:r w:rsidR="003D121F">
        <w:t xml:space="preserve"> its own employment practi</w:t>
      </w:r>
      <w:r w:rsidR="00EA58C0">
        <w:t>c</w:t>
      </w:r>
      <w:r w:rsidR="003D121F">
        <w:t xml:space="preserve">es and by </w:t>
      </w:r>
      <w:r w:rsidR="00E07D40">
        <w:t xml:space="preserve">ensuring its contracting practice supports </w:t>
      </w:r>
      <w:r w:rsidR="003D121F">
        <w:t xml:space="preserve">organisations that employ registered social workers. </w:t>
      </w:r>
    </w:p>
    <w:p w:rsidR="003D121F" w:rsidRDefault="00E8585B" w:rsidP="00A11DF6">
      <w:pPr>
        <w:pStyle w:val="BodyText"/>
        <w:numPr>
          <w:ilvl w:val="0"/>
          <w:numId w:val="13"/>
        </w:numPr>
        <w:jc w:val="both"/>
      </w:pPr>
      <w:r>
        <w:t>The SWRL</w:t>
      </w:r>
      <w:r w:rsidR="003D121F">
        <w:t xml:space="preserve"> Bill does not prevent individuals from being registered as a social worker if they have the appropriate qualifications, regardless of their formal job title, and many will wish to maintain a professional identity. </w:t>
      </w:r>
    </w:p>
    <w:p w:rsidR="00E8585B" w:rsidRDefault="00E8585B" w:rsidP="00A11DF6">
      <w:pPr>
        <w:pStyle w:val="BodyText"/>
        <w:numPr>
          <w:ilvl w:val="0"/>
          <w:numId w:val="13"/>
        </w:numPr>
        <w:jc w:val="both"/>
      </w:pPr>
      <w:r>
        <w:t>T</w:t>
      </w:r>
      <w:r w:rsidR="003D121F">
        <w:t xml:space="preserve">here are strong reputational incentives to maintain registration across government and among major social service providers. </w:t>
      </w:r>
    </w:p>
    <w:p w:rsidR="003D121F" w:rsidRDefault="003D121F" w:rsidP="00A11DF6">
      <w:pPr>
        <w:pStyle w:val="BodyText"/>
        <w:numPr>
          <w:ilvl w:val="0"/>
          <w:numId w:val="12"/>
        </w:numPr>
        <w:jc w:val="both"/>
      </w:pPr>
      <w:r>
        <w:t>Other professions have similar risks but have an established professional norm of regulation. I am confident that the social work profession will, in time, evolve in a similar way.</w:t>
      </w:r>
    </w:p>
    <w:p w:rsidR="003D121F" w:rsidRPr="0022507D" w:rsidRDefault="003D121F" w:rsidP="00E8585B">
      <w:pPr>
        <w:pStyle w:val="Heading3"/>
      </w:pPr>
      <w:r w:rsidRPr="0022507D">
        <w:t xml:space="preserve">Including </w:t>
      </w:r>
      <w:r>
        <w:t xml:space="preserve">provision for </w:t>
      </w:r>
      <w:r w:rsidRPr="0022507D">
        <w:t xml:space="preserve">scopes of practice </w:t>
      </w:r>
      <w:r>
        <w:t>will address sector concerns and c</w:t>
      </w:r>
      <w:r w:rsidRPr="0022507D">
        <w:t>ontribute to the Bill's object of raising social worker professionalism</w:t>
      </w:r>
    </w:p>
    <w:p w:rsidR="003D121F" w:rsidRDefault="003D121F" w:rsidP="00A11DF6">
      <w:pPr>
        <w:pStyle w:val="BodyText"/>
        <w:numPr>
          <w:ilvl w:val="0"/>
          <w:numId w:val="12"/>
        </w:numPr>
        <w:jc w:val="both"/>
      </w:pPr>
      <w:r>
        <w:t xml:space="preserve">After considering the concerns of the sector, I propose adding provision </w:t>
      </w:r>
      <w:r w:rsidR="00EA58C0">
        <w:t xml:space="preserve">to the SWRL Bill </w:t>
      </w:r>
      <w:r>
        <w:t>for social workers to practise within scopes</w:t>
      </w:r>
      <w:r w:rsidR="00EA58C0">
        <w:t xml:space="preserve"> of practice</w:t>
      </w:r>
      <w:r>
        <w:t xml:space="preserve">, using the approach </w:t>
      </w:r>
      <w:r w:rsidR="00EA58C0">
        <w:t xml:space="preserve">adopted </w:t>
      </w:r>
      <w:r>
        <w:t>in the HPCA Act. Certification and title p</w:t>
      </w:r>
      <w:r w:rsidRPr="00F453C3">
        <w:t xml:space="preserve">rotection </w:t>
      </w:r>
      <w:r>
        <w:t xml:space="preserve">would remain </w:t>
      </w:r>
      <w:r w:rsidRPr="00F453C3">
        <w:t>the main regulatory mechanism</w:t>
      </w:r>
      <w:r w:rsidR="00280615">
        <w:t xml:space="preserve"> but provision for scopes of practice w</w:t>
      </w:r>
      <w:r w:rsidR="007E769F">
        <w:t>ould</w:t>
      </w:r>
      <w:r w:rsidR="00280615">
        <w:t xml:space="preserve"> replace new section 6AAB</w:t>
      </w:r>
      <w:r w:rsidR="007E769F">
        <w:t xml:space="preserve"> (the definition of practising as a social worker)</w:t>
      </w:r>
      <w:r>
        <w:t>.</w:t>
      </w:r>
    </w:p>
    <w:p w:rsidR="003D121F" w:rsidRPr="00F453C3" w:rsidRDefault="003D121F" w:rsidP="00A11DF6">
      <w:pPr>
        <w:pStyle w:val="BodyText"/>
        <w:numPr>
          <w:ilvl w:val="0"/>
          <w:numId w:val="12"/>
        </w:numPr>
        <w:jc w:val="both"/>
      </w:pPr>
      <w:r>
        <w:t>S</w:t>
      </w:r>
      <w:r w:rsidRPr="00F453C3">
        <w:t>cope</w:t>
      </w:r>
      <w:r w:rsidR="00EA58C0">
        <w:t>s of practice</w:t>
      </w:r>
      <w:r w:rsidRPr="00F453C3">
        <w:t xml:space="preserve"> serve an important range of </w:t>
      </w:r>
      <w:r w:rsidR="00EA58C0">
        <w:t>functions</w:t>
      </w:r>
      <w:r w:rsidRPr="00F453C3">
        <w:t xml:space="preserve"> in regulating professions.</w:t>
      </w:r>
      <w:r>
        <w:t xml:space="preserve"> </w:t>
      </w:r>
      <w:r w:rsidRPr="00F453C3">
        <w:t>Although a statutory basis is not vital to achieve these purposes, it ensures clarity and transparency for all stakeholders, provides a lever for ensuring the accountability of social workers</w:t>
      </w:r>
      <w:r w:rsidR="00310953">
        <w:t xml:space="preserve">. It will also </w:t>
      </w:r>
      <w:r w:rsidR="00310953">
        <w:lastRenderedPageBreak/>
        <w:t>add</w:t>
      </w:r>
      <w:r w:rsidRPr="00F453C3">
        <w:t xml:space="preserve"> to the status of the profession</w:t>
      </w:r>
      <w:r w:rsidR="00310953">
        <w:t>, which often aligns itself with health professionals</w:t>
      </w:r>
      <w:r w:rsidRPr="00F453C3">
        <w:t xml:space="preserve"> </w:t>
      </w:r>
      <w:r>
        <w:t xml:space="preserve">who </w:t>
      </w:r>
      <w:r w:rsidRPr="00F453C3">
        <w:t>operate within scopes that have a statutory basis.</w:t>
      </w:r>
    </w:p>
    <w:p w:rsidR="003D121F" w:rsidRDefault="003D121F" w:rsidP="00A11DF6">
      <w:pPr>
        <w:pStyle w:val="BodyText"/>
        <w:numPr>
          <w:ilvl w:val="0"/>
          <w:numId w:val="12"/>
        </w:numPr>
        <w:jc w:val="both"/>
      </w:pPr>
      <w:r w:rsidRPr="00F453C3">
        <w:t>The HPCA model allows for regulation around scopes of practice by notice published in the Gazette,</w:t>
      </w:r>
      <w:r w:rsidR="00BF5BE7">
        <w:rPr>
          <w:rStyle w:val="FootnoteReference"/>
        </w:rPr>
        <w:footnoteReference w:id="1"/>
      </w:r>
      <w:r w:rsidRPr="00F453C3">
        <w:t xml:space="preserve"> rather than embedding them in the legislation.</w:t>
      </w:r>
      <w:r>
        <w:t xml:space="preserve"> </w:t>
      </w:r>
      <w:r w:rsidRPr="00F453C3">
        <w:t>Including scopes of practice themselves in the legislation would be inflexible and hinder the development of specialist scopes, something that is already under discussion across the sector.</w:t>
      </w:r>
    </w:p>
    <w:p w:rsidR="007E769F" w:rsidRPr="00F453C3" w:rsidRDefault="007E769F" w:rsidP="007E769F">
      <w:pPr>
        <w:pStyle w:val="BodyText"/>
        <w:numPr>
          <w:ilvl w:val="0"/>
          <w:numId w:val="12"/>
        </w:numPr>
        <w:jc w:val="both"/>
      </w:pPr>
      <w:r>
        <w:t>The HPCA model requires the regulatory authority to prescribe the qualifications required for each of the scopes of the practice it describes, by notice published in the Gazette. I propose that the Board should similarly prescribe the qualifications for its scopes of practice by notice in the Gazette.</w:t>
      </w:r>
    </w:p>
    <w:p w:rsidR="003D121F" w:rsidRDefault="003D121F" w:rsidP="00A11DF6">
      <w:pPr>
        <w:pStyle w:val="BodyText"/>
        <w:numPr>
          <w:ilvl w:val="0"/>
          <w:numId w:val="12"/>
        </w:numPr>
        <w:jc w:val="both"/>
      </w:pPr>
      <w:r w:rsidRPr="00F453C3">
        <w:t>The inclusion of provision for scopes</w:t>
      </w:r>
      <w:r w:rsidR="007E769F">
        <w:t xml:space="preserve"> and prescribed qualifications</w:t>
      </w:r>
      <w:r w:rsidRPr="00F453C3">
        <w:t xml:space="preserve"> </w:t>
      </w:r>
      <w:r>
        <w:t>will</w:t>
      </w:r>
      <w:r w:rsidRPr="00F453C3">
        <w:t xml:space="preserve"> offer some important benefits and encourage greater sector ownership of the legislation.</w:t>
      </w:r>
      <w:r>
        <w:t xml:space="preserve"> Given the strength of feeling expressed across the sector, a careful</w:t>
      </w:r>
      <w:r w:rsidRPr="00F453C3">
        <w:t xml:space="preserve"> response </w:t>
      </w:r>
      <w:r>
        <w:t>is required to ensure</w:t>
      </w:r>
      <w:r w:rsidRPr="00F453C3">
        <w:t xml:space="preserve"> the successful implementation of the legislation </w:t>
      </w:r>
      <w:r w:rsidR="003F6621">
        <w:t>is not</w:t>
      </w:r>
      <w:r w:rsidRPr="00F453C3">
        <w:t xml:space="preserve"> compromised.</w:t>
      </w:r>
      <w:r>
        <w:t xml:space="preserve"> </w:t>
      </w:r>
      <w:r w:rsidR="00310953">
        <w:t>My o</w:t>
      </w:r>
      <w:r>
        <w:t>fficials will continue to work closely with the sector representatives on the details of the SOP to ensure the objectives of the Bill are realised in practi</w:t>
      </w:r>
      <w:r w:rsidR="001543D9">
        <w:t>c</w:t>
      </w:r>
      <w:r>
        <w:t>e.</w:t>
      </w:r>
    </w:p>
    <w:p w:rsidR="003D121F" w:rsidRPr="00D439CE" w:rsidRDefault="003D121F" w:rsidP="00E8585B">
      <w:pPr>
        <w:pStyle w:val="Heading3"/>
      </w:pPr>
      <w:r>
        <w:t>Clarifying related aspects of the</w:t>
      </w:r>
      <w:r w:rsidRPr="00D439CE">
        <w:t xml:space="preserve"> registration regime to </w:t>
      </w:r>
      <w:r>
        <w:t>address other concerns</w:t>
      </w:r>
    </w:p>
    <w:p w:rsidR="003D121F" w:rsidRPr="00D439CE" w:rsidRDefault="003D121F" w:rsidP="00A11DF6">
      <w:pPr>
        <w:pStyle w:val="BodyText"/>
        <w:numPr>
          <w:ilvl w:val="0"/>
          <w:numId w:val="12"/>
        </w:numPr>
        <w:jc w:val="both"/>
      </w:pPr>
      <w:r w:rsidRPr="00D439CE">
        <w:t xml:space="preserve">Several submitters expressed </w:t>
      </w:r>
      <w:r w:rsidR="007C319C" w:rsidRPr="00D439CE">
        <w:t>concern</w:t>
      </w:r>
      <w:r w:rsidRPr="00D439CE">
        <w:t xml:space="preserve"> about</w:t>
      </w:r>
      <w:r w:rsidR="00EA58C0">
        <w:t xml:space="preserve"> when a registered person would be required to hold an annual practising certific</w:t>
      </w:r>
      <w:r w:rsidR="008827DA">
        <w:t>ate. One example considered at C</w:t>
      </w:r>
      <w:r w:rsidR="00EA58C0">
        <w:t>ommittee was</w:t>
      </w:r>
      <w:r w:rsidRPr="00D439CE">
        <w:t xml:space="preserve"> the situation of ski</w:t>
      </w:r>
      <w:r w:rsidR="00310953">
        <w:t>lled</w:t>
      </w:r>
      <w:r w:rsidRPr="00D439CE">
        <w:t xml:space="preserve"> volunteers who are retired social workers no longer wish</w:t>
      </w:r>
      <w:r w:rsidR="00310953">
        <w:t>ing</w:t>
      </w:r>
      <w:r w:rsidRPr="00D439CE">
        <w:t xml:space="preserve"> to be “practising as social workers” but who might be compelled to maintain their registration, or censured for practising without a practising certificate. I am also aware of earlier concerns that the Board has</w:t>
      </w:r>
      <w:r w:rsidR="00EA58C0">
        <w:t xml:space="preserve"> </w:t>
      </w:r>
      <w:r w:rsidRPr="00D439CE">
        <w:t xml:space="preserve">acted in an overly assertive manner when </w:t>
      </w:r>
      <w:r w:rsidR="00EA58C0">
        <w:t>engaging with</w:t>
      </w:r>
      <w:r w:rsidRPr="00D439CE">
        <w:t xml:space="preserve"> </w:t>
      </w:r>
      <w:r w:rsidR="00EA58C0">
        <w:t>registered people who did not have annual practising certificates, some of</w:t>
      </w:r>
      <w:r w:rsidRPr="00D439CE">
        <w:t xml:space="preserve"> who</w:t>
      </w:r>
      <w:r w:rsidR="00EA58C0">
        <w:t>m</w:t>
      </w:r>
      <w:r w:rsidRPr="00D439CE">
        <w:t xml:space="preserve"> </w:t>
      </w:r>
      <w:r w:rsidR="00EA58C0">
        <w:t>had moved to related social service occupations and were arguably no longer practising social work.</w:t>
      </w:r>
    </w:p>
    <w:p w:rsidR="007C319C" w:rsidRDefault="003D121F" w:rsidP="00A11DF6">
      <w:pPr>
        <w:pStyle w:val="BodyText"/>
        <w:numPr>
          <w:ilvl w:val="0"/>
          <w:numId w:val="12"/>
        </w:numPr>
        <w:jc w:val="both"/>
      </w:pPr>
      <w:r w:rsidRPr="00D439CE">
        <w:t>One of the intentions of the</w:t>
      </w:r>
      <w:r w:rsidR="00EA58C0">
        <w:t xml:space="preserve"> SWRL</w:t>
      </w:r>
      <w:r w:rsidRPr="00D439CE">
        <w:t xml:space="preserve"> Bill is to make it much clearer </w:t>
      </w:r>
      <w:r>
        <w:t>to all parties the requirements of the regime</w:t>
      </w:r>
      <w:r w:rsidR="00310953">
        <w:t>,</w:t>
      </w:r>
      <w:r w:rsidRPr="00B51728">
        <w:t xml:space="preserve"> </w:t>
      </w:r>
      <w:r>
        <w:t xml:space="preserve">and the circumstances and criteria that </w:t>
      </w:r>
      <w:r w:rsidR="00EA58C0">
        <w:t xml:space="preserve">determine </w:t>
      </w:r>
      <w:r>
        <w:t xml:space="preserve">when enforcement action </w:t>
      </w:r>
      <w:r w:rsidRPr="00BD5FEE">
        <w:t>should be taken</w:t>
      </w:r>
      <w:r>
        <w:t>.</w:t>
      </w:r>
      <w:r w:rsidRPr="00D439CE">
        <w:t xml:space="preserve"> </w:t>
      </w:r>
      <w:r>
        <w:t>As part of minor and technical changes</w:t>
      </w:r>
      <w:r w:rsidR="00EA58C0">
        <w:t>,</w:t>
      </w:r>
      <w:r>
        <w:t xml:space="preserve"> I intend to clarify a</w:t>
      </w:r>
      <w:r w:rsidRPr="00D439CE">
        <w:t xml:space="preserve"> requirement that social workers who wish to leave the profession can be deregistered at their request, unless they are facing disciplinary action</w:t>
      </w:r>
      <w:r w:rsidR="00EA58C0">
        <w:t xml:space="preserve">, </w:t>
      </w:r>
      <w:r w:rsidR="003F6621">
        <w:t xml:space="preserve">or </w:t>
      </w:r>
      <w:r w:rsidRPr="00D439CE">
        <w:t>are trying to evade the regime.</w:t>
      </w:r>
      <w:r w:rsidR="007C319C">
        <w:t xml:space="preserve"> </w:t>
      </w:r>
    </w:p>
    <w:p w:rsidR="003D121F" w:rsidRPr="00D439CE" w:rsidRDefault="003D121F" w:rsidP="00A11DF6">
      <w:pPr>
        <w:pStyle w:val="BodyText"/>
        <w:numPr>
          <w:ilvl w:val="0"/>
          <w:numId w:val="12"/>
        </w:numPr>
        <w:jc w:val="both"/>
      </w:pPr>
      <w:r>
        <w:t>A clearer</w:t>
      </w:r>
      <w:r w:rsidRPr="00D439CE">
        <w:t xml:space="preserve"> ability to </w:t>
      </w:r>
      <w:r w:rsidR="00EA58C0">
        <w:t>'</w:t>
      </w:r>
      <w:r w:rsidRPr="00D439CE">
        <w:t>de-register</w:t>
      </w:r>
      <w:r w:rsidR="00EA58C0">
        <w:t>'</w:t>
      </w:r>
      <w:r w:rsidRPr="00D439CE">
        <w:t xml:space="preserve"> would also address </w:t>
      </w:r>
      <w:r>
        <w:t xml:space="preserve">the </w:t>
      </w:r>
      <w:r w:rsidRPr="00D439CE">
        <w:t xml:space="preserve">concerns </w:t>
      </w:r>
      <w:r>
        <w:t>of some</w:t>
      </w:r>
      <w:r w:rsidRPr="00D439CE">
        <w:t xml:space="preserve"> social workers who wish to leave the profession and take up a different career, but could be forced to maintain social work registration if their new work has elemen</w:t>
      </w:r>
      <w:r w:rsidR="007C319C">
        <w:t xml:space="preserve">ts in common with social work. </w:t>
      </w:r>
      <w:r w:rsidRPr="00D439CE">
        <w:t xml:space="preserve">The current Board has already expressed its willingness to address these concerns, and </w:t>
      </w:r>
      <w:r w:rsidR="00310953">
        <w:t>my official</w:t>
      </w:r>
      <w:r w:rsidR="00310953" w:rsidRPr="00D439CE">
        <w:t xml:space="preserve"> </w:t>
      </w:r>
      <w:r w:rsidRPr="00D439CE">
        <w:t>will work with them to achieve the best balance of statutory requirements and discretionary policy</w:t>
      </w:r>
      <w:r>
        <w:t xml:space="preserve">.  </w:t>
      </w:r>
    </w:p>
    <w:p w:rsidR="007C319C" w:rsidRPr="007C319C" w:rsidRDefault="00EA58C0" w:rsidP="00A11DF6">
      <w:pPr>
        <w:pStyle w:val="BodyText"/>
        <w:numPr>
          <w:ilvl w:val="0"/>
          <w:numId w:val="12"/>
        </w:numPr>
        <w:jc w:val="both"/>
      </w:pPr>
      <w:r>
        <w:t>In addition, c</w:t>
      </w:r>
      <w:r w:rsidR="003D121F" w:rsidRPr="007C319C">
        <w:t>oncerns have been raised that statutory provision for scopes</w:t>
      </w:r>
      <w:r w:rsidR="003460E5">
        <w:t xml:space="preserve"> of practice</w:t>
      </w:r>
      <w:r w:rsidR="003D121F" w:rsidRPr="007C319C">
        <w:t xml:space="preserve"> might </w:t>
      </w:r>
      <w:r w:rsidR="003D121F" w:rsidRPr="00D439CE">
        <w:t>be used in a way that is not consistent with the Government’s intentions of allowing employers to decide on their workforce needs. As described above, following the HPCA Act model w</w:t>
      </w:r>
      <w:r w:rsidR="003D121F">
        <w:t>ill</w:t>
      </w:r>
      <w:r w:rsidR="003D121F" w:rsidRPr="00D439CE">
        <w:t xml:space="preserve"> greatly reduce this risk.</w:t>
      </w:r>
      <w:r>
        <w:t xml:space="preserve"> </w:t>
      </w:r>
      <w:r w:rsidR="003460E5">
        <w:t>Furthermore</w:t>
      </w:r>
      <w:r>
        <w:t>, t</w:t>
      </w:r>
      <w:r w:rsidR="007C319C" w:rsidRPr="007C319C">
        <w:t xml:space="preserve">he Board is a Crown agent and </w:t>
      </w:r>
      <w:r w:rsidR="003460E5">
        <w:t xml:space="preserve">is obliged </w:t>
      </w:r>
      <w:r w:rsidR="007C319C" w:rsidRPr="007C319C">
        <w:t xml:space="preserve">to give effect to government policy. </w:t>
      </w:r>
      <w:r w:rsidR="00280615">
        <w:t>Available</w:t>
      </w:r>
      <w:r w:rsidR="007C319C" w:rsidRPr="007C319C">
        <w:t xml:space="preserve"> mechanisms </w:t>
      </w:r>
      <w:r w:rsidR="00280615">
        <w:t>to ensure this consistency are:</w:t>
      </w:r>
    </w:p>
    <w:p w:rsidR="007C319C" w:rsidRPr="007C319C" w:rsidRDefault="007C319C" w:rsidP="00A11DF6">
      <w:pPr>
        <w:pStyle w:val="BodyTextlevel2"/>
        <w:numPr>
          <w:ilvl w:val="1"/>
          <w:numId w:val="12"/>
        </w:numPr>
        <w:jc w:val="both"/>
      </w:pPr>
      <w:r w:rsidRPr="007C319C">
        <w:lastRenderedPageBreak/>
        <w:t xml:space="preserve">setting specific deliverables across the Board’s annual work programme </w:t>
      </w:r>
      <w:r w:rsidR="00DB341E">
        <w:t xml:space="preserve">through the </w:t>
      </w:r>
      <w:r w:rsidRPr="007C319C">
        <w:t>annual Statement of Performance Expectations</w:t>
      </w:r>
    </w:p>
    <w:p w:rsidR="007C319C" w:rsidRPr="007C319C" w:rsidRDefault="007C319C" w:rsidP="00A11DF6">
      <w:pPr>
        <w:pStyle w:val="BodyTextlevel2"/>
        <w:numPr>
          <w:ilvl w:val="1"/>
          <w:numId w:val="12"/>
        </w:numPr>
        <w:jc w:val="both"/>
      </w:pPr>
      <w:r w:rsidRPr="007C319C">
        <w:t>giving mini</w:t>
      </w:r>
      <w:r w:rsidR="003460E5">
        <w:t>sterial direction</w:t>
      </w:r>
      <w:r w:rsidR="00310953">
        <w:t xml:space="preserve"> on government policy</w:t>
      </w:r>
      <w:r w:rsidR="003460E5">
        <w:t xml:space="preserve"> to the Board</w:t>
      </w:r>
      <w:r w:rsidR="00280615">
        <w:t xml:space="preserve"> as </w:t>
      </w:r>
      <w:r w:rsidR="00310953">
        <w:t xml:space="preserve">allowed for </w:t>
      </w:r>
      <w:r w:rsidR="00280615">
        <w:t>under the Crown Entities Act 2004</w:t>
      </w:r>
    </w:p>
    <w:p w:rsidR="007C319C" w:rsidRPr="007C319C" w:rsidRDefault="00E21D56" w:rsidP="00A11DF6">
      <w:pPr>
        <w:pStyle w:val="BodyTextlevel2"/>
        <w:numPr>
          <w:ilvl w:val="1"/>
          <w:numId w:val="12"/>
        </w:numPr>
        <w:jc w:val="both"/>
      </w:pPr>
      <w:r>
        <w:t xml:space="preserve"> </w:t>
      </w:r>
      <w:proofErr w:type="gramStart"/>
      <w:r>
        <w:t>ensuring</w:t>
      </w:r>
      <w:proofErr w:type="gramEnd"/>
      <w:r w:rsidR="007C319C" w:rsidRPr="007C319C">
        <w:t xml:space="preserve"> </w:t>
      </w:r>
      <w:r>
        <w:t xml:space="preserve">appointed </w:t>
      </w:r>
      <w:r w:rsidR="007C319C" w:rsidRPr="007C319C">
        <w:t>Board member</w:t>
      </w:r>
      <w:r>
        <w:t>s</w:t>
      </w:r>
      <w:r w:rsidR="007C319C" w:rsidRPr="007C319C">
        <w:t xml:space="preserve"> have a clear understanding of government priorities</w:t>
      </w:r>
      <w:r w:rsidR="003460E5">
        <w:t>.</w:t>
      </w:r>
    </w:p>
    <w:p w:rsidR="007C319C" w:rsidRPr="007C319C" w:rsidRDefault="007C319C" w:rsidP="00A11DF6">
      <w:pPr>
        <w:pStyle w:val="BodyText"/>
        <w:numPr>
          <w:ilvl w:val="0"/>
          <w:numId w:val="4"/>
        </w:numPr>
        <w:jc w:val="both"/>
      </w:pPr>
      <w:r w:rsidRPr="007C319C">
        <w:t>Since its establishment in 2003, successive governments have largely left it to the Board</w:t>
      </w:r>
      <w:r w:rsidR="003460E5">
        <w:t>'s discretion</w:t>
      </w:r>
      <w:r w:rsidRPr="007C319C">
        <w:t xml:space="preserve"> to determine the details of social worker registration policy within the framework provided by legislation. I am mindful that any actions taken to manage the Board's performance and implementation of these reforms should respect its legislative role and status.</w:t>
      </w:r>
      <w:r w:rsidR="00DB341E">
        <w:t xml:space="preserve"> </w:t>
      </w:r>
      <w:r w:rsidRPr="007C319C">
        <w:t xml:space="preserve">It is also important to be careful and transparent because government has conflicting interests as the major employer and funder of social workers, as well as the power to regulate the sector.  </w:t>
      </w:r>
    </w:p>
    <w:p w:rsidR="003D121F" w:rsidRPr="000678E3" w:rsidRDefault="003D121F" w:rsidP="007C319C">
      <w:pPr>
        <w:pStyle w:val="Heading1"/>
      </w:pPr>
      <w:r w:rsidRPr="000678E3">
        <w:t>Enforcing confidentiality of competence assessments</w:t>
      </w:r>
    </w:p>
    <w:p w:rsidR="003460E5" w:rsidRDefault="003D121F" w:rsidP="00A11DF6">
      <w:pPr>
        <w:pStyle w:val="BodyText"/>
        <w:numPr>
          <w:ilvl w:val="0"/>
          <w:numId w:val="12"/>
        </w:numPr>
        <w:jc w:val="both"/>
      </w:pPr>
      <w:r>
        <w:t xml:space="preserve">Cabinet approval is required </w:t>
      </w:r>
      <w:r w:rsidR="003460E5">
        <w:t>for a minor policy change to introduce</w:t>
      </w:r>
      <w:r>
        <w:t xml:space="preserve"> a new criminal offence, required to recalibrate the SWR Act in line with the HPCA Act.  </w:t>
      </w:r>
    </w:p>
    <w:p w:rsidR="003D121F" w:rsidRDefault="003D121F" w:rsidP="00A11DF6">
      <w:pPr>
        <w:pStyle w:val="BodyText"/>
        <w:numPr>
          <w:ilvl w:val="0"/>
          <w:numId w:val="12"/>
        </w:numPr>
        <w:jc w:val="both"/>
      </w:pPr>
      <w:r>
        <w:t xml:space="preserve">People who are assessing the competence of a social worker may examine the records made or kept by that social worker for the purpose of assessing their competence.  Such records are likely to contain client information and other sensitive matters and are subject to a statutory obligation of </w:t>
      </w:r>
      <w:r w:rsidR="003F6621">
        <w:t>confidentiality</w:t>
      </w:r>
      <w:r>
        <w:t xml:space="preserve"> under the SWR Act. </w:t>
      </w:r>
      <w:r w:rsidR="003460E5">
        <w:t xml:space="preserve">Currently </w:t>
      </w:r>
      <w:r>
        <w:t xml:space="preserve">there is no specific criminal offence to enforce these obligations if they are breached. </w:t>
      </w:r>
    </w:p>
    <w:p w:rsidR="003D121F" w:rsidRDefault="003D121F" w:rsidP="00A11DF6">
      <w:pPr>
        <w:pStyle w:val="BodyText"/>
        <w:numPr>
          <w:ilvl w:val="0"/>
          <w:numId w:val="12"/>
        </w:numPr>
        <w:jc w:val="both"/>
      </w:pPr>
      <w:r>
        <w:t xml:space="preserve">I am proposing that a new offence is created on terms similar to the corresponding offence in the HPCA Act, namely that </w:t>
      </w:r>
      <w:r w:rsidRPr="006E7B4A">
        <w:t>it is an offence for a person to disclose information obtained by examining records except for an authorised purpose. The offence would be punishable on conviction by a fine of not more than $2,000</w:t>
      </w:r>
      <w:r w:rsidR="00443B3B">
        <w:t xml:space="preserve"> (rather than the $10,000 </w:t>
      </w:r>
      <w:proofErr w:type="spellStart"/>
      <w:r w:rsidR="00443B3B">
        <w:t>maximun</w:t>
      </w:r>
      <w:proofErr w:type="spellEnd"/>
      <w:r w:rsidR="00443B3B">
        <w:t xml:space="preserve"> fine under the HPCA Act)</w:t>
      </w:r>
      <w:r w:rsidRPr="006E7B4A">
        <w:t>.</w:t>
      </w:r>
      <w:r>
        <w:t xml:space="preserve"> This change does not affect social work practice because it relates solely to competence</w:t>
      </w:r>
      <w:r w:rsidRPr="002D555C">
        <w:t xml:space="preserve"> </w:t>
      </w:r>
      <w:r>
        <w:t>assessments and does not change existing obligations of client confidentiality.</w:t>
      </w:r>
    </w:p>
    <w:p w:rsidR="00BF5BE7" w:rsidRPr="00BF5BE7" w:rsidRDefault="00BF5BE7" w:rsidP="00BF5BE7">
      <w:pPr>
        <w:pStyle w:val="Heading1"/>
      </w:pPr>
      <w:r>
        <w:t>Extending the obligation on employers to report issues of competence</w:t>
      </w:r>
    </w:p>
    <w:p w:rsidR="00BF5BE7" w:rsidRPr="00DB341E" w:rsidRDefault="00443B3B" w:rsidP="00A11DF6">
      <w:pPr>
        <w:pStyle w:val="BodyText"/>
        <w:numPr>
          <w:ilvl w:val="0"/>
          <w:numId w:val="12"/>
        </w:numPr>
        <w:jc w:val="both"/>
      </w:pPr>
      <w:r w:rsidRPr="00DB341E">
        <w:t xml:space="preserve">As currently drafted in the Bill, new section 38B is a mandatory requirement for employers to report to the Board </w:t>
      </w:r>
      <w:r>
        <w:t>a reasonable belief that</w:t>
      </w:r>
      <w:r w:rsidRPr="00DB341E">
        <w:t xml:space="preserve"> a social worker </w:t>
      </w:r>
      <w:r>
        <w:t>is not competent to practise, after first taking reasonable steps to improve the social worker’s competency</w:t>
      </w:r>
      <w:r w:rsidRPr="00DB341E">
        <w:t xml:space="preserve">. </w:t>
      </w:r>
      <w:r w:rsidR="0029449A" w:rsidRPr="00DB341E">
        <w:t xml:space="preserve"> </w:t>
      </w:r>
      <w:r>
        <w:t xml:space="preserve">It </w:t>
      </w:r>
      <w:r w:rsidR="0029449A" w:rsidRPr="00DB341E">
        <w:t xml:space="preserve">does not include a requirement to report to the Board where a </w:t>
      </w:r>
      <w:r w:rsidR="00280615">
        <w:t>social worker</w:t>
      </w:r>
      <w:r w:rsidR="0029449A" w:rsidRPr="00DB341E">
        <w:t xml:space="preserve"> resigns o</w:t>
      </w:r>
      <w:r w:rsidR="008827DA">
        <w:t>r</w:t>
      </w:r>
      <w:r w:rsidR="0029449A" w:rsidRPr="00DB341E">
        <w:t xml:space="preserve"> is dismissed for reasons of competence, as is the case for health practitioners. This creates the risk an employee can avoid being reported to the Board by an employer, by leaving a position.</w:t>
      </w:r>
    </w:p>
    <w:p w:rsidR="00E21D56" w:rsidRDefault="007D0816" w:rsidP="00A11DF6">
      <w:pPr>
        <w:pStyle w:val="BodyText"/>
        <w:numPr>
          <w:ilvl w:val="0"/>
          <w:numId w:val="12"/>
        </w:numPr>
        <w:jc w:val="both"/>
      </w:pPr>
      <w:r w:rsidRPr="00DB341E">
        <w:t>I propose</w:t>
      </w:r>
      <w:r w:rsidR="0029449A" w:rsidRPr="00DB341E">
        <w:t xml:space="preserve"> to extend the requirement for employers of social workers to report concerns to the Board about a social worker employee's competence to be similar. </w:t>
      </w:r>
      <w:r w:rsidR="00E21D56">
        <w:t xml:space="preserve">This provision is focused on issues of competence and is not intended to address matters that relate to employment disputes. </w:t>
      </w:r>
    </w:p>
    <w:p w:rsidR="007D0816" w:rsidRPr="00DB341E" w:rsidRDefault="0029449A" w:rsidP="00A11DF6">
      <w:pPr>
        <w:pStyle w:val="BodyText"/>
        <w:numPr>
          <w:ilvl w:val="0"/>
          <w:numId w:val="12"/>
        </w:numPr>
        <w:jc w:val="both"/>
      </w:pPr>
      <w:r w:rsidRPr="00DB341E">
        <w:t>Though only a minor change, this extends the obligation placed on employers beyond the original Cabinet decision. As such, it requires Cabinet approval to be included in the SOP.</w:t>
      </w:r>
    </w:p>
    <w:p w:rsidR="003D121F" w:rsidRDefault="003D121F" w:rsidP="00BF5BE7">
      <w:pPr>
        <w:pStyle w:val="Heading1"/>
        <w:jc w:val="both"/>
      </w:pPr>
      <w:r>
        <w:lastRenderedPageBreak/>
        <w:t>P</w:t>
      </w:r>
      <w:r w:rsidRPr="00D439CE">
        <w:t xml:space="preserve">ower </w:t>
      </w:r>
      <w:r w:rsidRPr="0087073D">
        <w:t xml:space="preserve">to require information </w:t>
      </w:r>
      <w:r>
        <w:t>for</w:t>
      </w:r>
      <w:r w:rsidRPr="0087073D">
        <w:t xml:space="preserve"> enforcement </w:t>
      </w:r>
      <w:r>
        <w:t>purposes</w:t>
      </w:r>
    </w:p>
    <w:p w:rsidR="003D121F" w:rsidRPr="00DB341E" w:rsidRDefault="003D121F" w:rsidP="00A11DF6">
      <w:pPr>
        <w:pStyle w:val="BodyText"/>
        <w:numPr>
          <w:ilvl w:val="0"/>
          <w:numId w:val="4"/>
        </w:numPr>
        <w:jc w:val="both"/>
      </w:pPr>
      <w:r w:rsidRPr="00DB341E">
        <w:t>Cabinet approval is also required for a new power to require people to supply information to enable enforcement of the offences relating to title protection, for example, to document claims by an unregistered person that they were a social worker.</w:t>
      </w:r>
    </w:p>
    <w:p w:rsidR="003D121F" w:rsidRPr="00DB341E" w:rsidRDefault="003D121F" w:rsidP="00A11DF6">
      <w:pPr>
        <w:pStyle w:val="BodyText"/>
        <w:numPr>
          <w:ilvl w:val="0"/>
          <w:numId w:val="4"/>
        </w:numPr>
        <w:jc w:val="both"/>
      </w:pPr>
      <w:r w:rsidRPr="00DB341E">
        <w:t>The HPCA Act has powers of search and surveillance for enforcement purposes, but I consider such powers would be unnecessarily intrusive in a social work context. Instead I am recommending a narrower power based on section 11 of the Social Security Act 1964</w:t>
      </w:r>
      <w:r w:rsidR="00B1230D" w:rsidRPr="00DB341E">
        <w:t xml:space="preserve"> that</w:t>
      </w:r>
      <w:r w:rsidRPr="00DB341E">
        <w:t xml:space="preserve"> </w:t>
      </w:r>
      <w:r w:rsidR="00B1230D" w:rsidRPr="00DB341E">
        <w:t xml:space="preserve">authorises </w:t>
      </w:r>
      <w:r w:rsidRPr="00DB341E">
        <w:t xml:space="preserve">the department responsible for administering the Act to </w:t>
      </w:r>
      <w:r w:rsidR="00443B3B" w:rsidRPr="00DB341E">
        <w:t xml:space="preserve">require </w:t>
      </w:r>
      <w:r w:rsidR="00443B3B">
        <w:t xml:space="preserve">people to supply </w:t>
      </w:r>
      <w:r w:rsidR="00443B3B" w:rsidRPr="00DB341E">
        <w:t xml:space="preserve">information </w:t>
      </w:r>
      <w:r w:rsidR="00443B3B">
        <w:t xml:space="preserve">or produce documents </w:t>
      </w:r>
      <w:r w:rsidR="00443B3B" w:rsidRPr="00DB341E">
        <w:t>necessary for enforcement purposes, and which includes an offence provision for failure or refusal to provide any required information</w:t>
      </w:r>
      <w:r w:rsidR="00443B3B">
        <w:t xml:space="preserve"> or document</w:t>
      </w:r>
      <w:r w:rsidR="00443B3B" w:rsidRPr="00DB341E">
        <w:t xml:space="preserve">. </w:t>
      </w:r>
      <w:r w:rsidRPr="00DB341E">
        <w:t xml:space="preserve"> </w:t>
      </w:r>
    </w:p>
    <w:p w:rsidR="003D121F" w:rsidRDefault="003D121F" w:rsidP="00BF5BE7">
      <w:pPr>
        <w:pStyle w:val="Heading1"/>
        <w:jc w:val="both"/>
      </w:pPr>
      <w:r>
        <w:t>Maintaining comparability with the HPCA Act 2003</w:t>
      </w:r>
    </w:p>
    <w:p w:rsidR="003D121F" w:rsidRPr="00D439CE" w:rsidRDefault="0029449A" w:rsidP="007E769F">
      <w:pPr>
        <w:pStyle w:val="BodyText"/>
        <w:numPr>
          <w:ilvl w:val="0"/>
          <w:numId w:val="4"/>
        </w:numPr>
        <w:jc w:val="both"/>
      </w:pPr>
      <w:r w:rsidRPr="0029449A">
        <w:t>T</w:t>
      </w:r>
      <w:r w:rsidR="003D121F" w:rsidRPr="0029449A">
        <w:t>he HPCAA Bill is</w:t>
      </w:r>
      <w:r w:rsidR="003D121F" w:rsidRPr="00387810">
        <w:t xml:space="preserve"> currently before </w:t>
      </w:r>
      <w:r w:rsidR="003D121F">
        <w:t>the Health Committee, with the report back due on 20 August 2018</w:t>
      </w:r>
      <w:r w:rsidR="003D121F" w:rsidRPr="00387810">
        <w:t xml:space="preserve">. </w:t>
      </w:r>
      <w:r w:rsidR="003D121F" w:rsidRPr="00D37EB3">
        <w:t xml:space="preserve">In line with the policy decision that the Social Workers Registration Act be restructured and recalibrated in a way that is </w:t>
      </w:r>
      <w:r w:rsidR="003D121F">
        <w:t xml:space="preserve">more in line with the HPCA Act </w:t>
      </w:r>
      <w:r w:rsidR="003D121F" w:rsidRPr="00D37EB3">
        <w:t>[CAB-17-MIN-0234 refers]</w:t>
      </w:r>
      <w:r w:rsidR="003D121F">
        <w:t>,</w:t>
      </w:r>
      <w:r w:rsidR="003D121F" w:rsidRPr="00D37EB3">
        <w:t xml:space="preserve"> </w:t>
      </w:r>
      <w:r w:rsidR="003D121F">
        <w:t xml:space="preserve">it is important that </w:t>
      </w:r>
      <w:r w:rsidR="003D121F" w:rsidRPr="00D37EB3">
        <w:t xml:space="preserve">the SOP </w:t>
      </w:r>
      <w:r w:rsidR="003D121F" w:rsidRPr="000D1E3B">
        <w:t>include equivalents to any relevant amendments to the HPCA Act proposed in the HPCAA Bill.</w:t>
      </w:r>
      <w:r w:rsidR="003D121F" w:rsidRPr="00D439CE">
        <w:t xml:space="preserve"> The HPCAA Bill includes minor amendments to the HPCA Act which need to be replicated in the SWR Act for scopes of practice to work in a comparable manner. </w:t>
      </w:r>
    </w:p>
    <w:p w:rsidR="003D121F" w:rsidRPr="000D1E3B" w:rsidRDefault="003D121F" w:rsidP="00BF5BE7">
      <w:pPr>
        <w:pStyle w:val="Heading1"/>
        <w:jc w:val="both"/>
      </w:pPr>
      <w:r w:rsidRPr="000D1E3B">
        <w:t>Minor technical and administrative changes</w:t>
      </w:r>
    </w:p>
    <w:p w:rsidR="003D121F" w:rsidRPr="000D1E3B" w:rsidRDefault="003D121F" w:rsidP="00A11DF6">
      <w:pPr>
        <w:pStyle w:val="BodyText"/>
        <w:numPr>
          <w:ilvl w:val="0"/>
          <w:numId w:val="4"/>
        </w:numPr>
        <w:jc w:val="both"/>
      </w:pPr>
      <w:r w:rsidRPr="000D1E3B">
        <w:t xml:space="preserve">I will also use a SOP to make a number of other minor and technical changes, and changes to recalibrate the SWR Act to be more consistent with the HPCA </w:t>
      </w:r>
      <w:proofErr w:type="gramStart"/>
      <w:r w:rsidRPr="000D1E3B">
        <w:t>Act,</w:t>
      </w:r>
      <w:proofErr w:type="gramEnd"/>
      <w:r w:rsidRPr="000D1E3B">
        <w:t xml:space="preserve"> under the authorisation Cabinet has given me [CAB-17-MIN-0234 refers]. These are necessary to ensure the smooth functioning of the new registration regime.</w:t>
      </w:r>
    </w:p>
    <w:p w:rsidR="003D121F" w:rsidRDefault="003D121F" w:rsidP="00A11DF6">
      <w:pPr>
        <w:pStyle w:val="BodyText"/>
        <w:numPr>
          <w:ilvl w:val="0"/>
          <w:numId w:val="4"/>
        </w:numPr>
        <w:jc w:val="both"/>
      </w:pPr>
      <w:r w:rsidRPr="00D439CE">
        <w:t>Further minor amendments may be included in the SOP following feedback from the Parliamentary Counsel Office (PCO), the Board and a small sector expert group on the suitability of proposed amendments.</w:t>
      </w:r>
    </w:p>
    <w:p w:rsidR="003D121F" w:rsidRPr="00986DD1" w:rsidRDefault="003D121F" w:rsidP="00BF5BE7">
      <w:pPr>
        <w:pStyle w:val="Heading1"/>
        <w:jc w:val="both"/>
      </w:pPr>
      <w:r>
        <w:t>Implementation</w:t>
      </w:r>
    </w:p>
    <w:p w:rsidR="003D121F" w:rsidRDefault="003D121F" w:rsidP="00A11DF6">
      <w:pPr>
        <w:pStyle w:val="BodyText"/>
        <w:numPr>
          <w:ilvl w:val="0"/>
          <w:numId w:val="4"/>
        </w:numPr>
        <w:jc w:val="both"/>
      </w:pPr>
      <w:bookmarkStart w:id="2" w:name="_Ref515524676"/>
      <w:r>
        <w:t>The Bill holds a category three priority on the 2018 Legislation Programme (to be passed in 2018 if possible). Assuming the Bill receives Royal Assent in 2018, changes to social worker registration will be implemented as follows:</w:t>
      </w:r>
    </w:p>
    <w:p w:rsidR="003D121F" w:rsidRPr="00133514" w:rsidRDefault="003D121F" w:rsidP="00A11DF6">
      <w:pPr>
        <w:pStyle w:val="BodyText"/>
        <w:numPr>
          <w:ilvl w:val="0"/>
          <w:numId w:val="11"/>
        </w:numPr>
        <w:tabs>
          <w:tab w:val="num" w:pos="1134"/>
          <w:tab w:val="left" w:pos="1276"/>
        </w:tabs>
        <w:spacing w:before="120"/>
        <w:ind w:left="1134" w:hanging="567"/>
        <w:jc w:val="both"/>
      </w:pPr>
      <w:r w:rsidRPr="00133514">
        <w:t xml:space="preserve">most of the Bill will enter into force immediately, including the commencement of transitional provisions, </w:t>
      </w:r>
      <w:r>
        <w:t>and</w:t>
      </w:r>
      <w:r w:rsidRPr="00133514">
        <w:t xml:space="preserve"> </w:t>
      </w:r>
      <w:r>
        <w:t xml:space="preserve">various </w:t>
      </w:r>
      <w:r w:rsidRPr="00133514">
        <w:t>administrative and efficiency improvements;</w:t>
      </w:r>
    </w:p>
    <w:p w:rsidR="003D121F" w:rsidRPr="00133514" w:rsidRDefault="003D121F" w:rsidP="00A11DF6">
      <w:pPr>
        <w:pStyle w:val="BodyText"/>
        <w:numPr>
          <w:ilvl w:val="0"/>
          <w:numId w:val="11"/>
        </w:numPr>
        <w:tabs>
          <w:tab w:val="num" w:pos="1134"/>
          <w:tab w:val="left" w:pos="1276"/>
        </w:tabs>
        <w:spacing w:before="120"/>
        <w:ind w:left="1134" w:hanging="567"/>
        <w:jc w:val="both"/>
      </w:pPr>
      <w:r w:rsidRPr="00133514">
        <w:t>in 2020, provisions for mandatory r</w:t>
      </w:r>
      <w:r>
        <w:t>egistration (including protection of the use of the terms</w:t>
      </w:r>
      <w:r w:rsidRPr="00133514">
        <w:t xml:space="preserve"> </w:t>
      </w:r>
      <w:r>
        <w:t>“</w:t>
      </w:r>
      <w:r w:rsidRPr="00133514">
        <w:t>social worker</w:t>
      </w:r>
      <w:r>
        <w:t>”</w:t>
      </w:r>
      <w:r w:rsidRPr="00133514">
        <w:t xml:space="preserve"> and </w:t>
      </w:r>
      <w:r>
        <w:t xml:space="preserve">“social work”, and registration within applicable scopes of social work practice) </w:t>
      </w:r>
      <w:r w:rsidRPr="00133514">
        <w:t>will enter into force, after which point all practising social workers must be registered;</w:t>
      </w:r>
    </w:p>
    <w:p w:rsidR="003D121F" w:rsidRDefault="003D121F" w:rsidP="00A11DF6">
      <w:pPr>
        <w:pStyle w:val="BodyText"/>
        <w:numPr>
          <w:ilvl w:val="0"/>
          <w:numId w:val="11"/>
        </w:numPr>
        <w:tabs>
          <w:tab w:val="num" w:pos="1134"/>
          <w:tab w:val="left" w:pos="1276"/>
        </w:tabs>
        <w:spacing w:before="120"/>
        <w:ind w:left="1134" w:hanging="567"/>
        <w:jc w:val="both"/>
      </w:pPr>
      <w:proofErr w:type="gramStart"/>
      <w:r w:rsidRPr="00133514">
        <w:t>in</w:t>
      </w:r>
      <w:proofErr w:type="gramEnd"/>
      <w:r w:rsidRPr="00133514">
        <w:t xml:space="preserve"> 2023, the experience-based pathway </w:t>
      </w:r>
      <w:r>
        <w:t xml:space="preserve">to registration (section 13) </w:t>
      </w:r>
      <w:r w:rsidRPr="00133514">
        <w:t xml:space="preserve">will be repealed, which </w:t>
      </w:r>
      <w:r>
        <w:t>will complete the legislative changes.</w:t>
      </w:r>
    </w:p>
    <w:p w:rsidR="003D121F" w:rsidRDefault="003D121F" w:rsidP="00A11DF6">
      <w:pPr>
        <w:pStyle w:val="BodyText"/>
        <w:numPr>
          <w:ilvl w:val="0"/>
          <w:numId w:val="4"/>
        </w:numPr>
        <w:jc w:val="both"/>
      </w:pPr>
      <w:r>
        <w:t>Recent consultations have not identified any need to revise these time frames.</w:t>
      </w:r>
      <w:bookmarkEnd w:id="2"/>
      <w:r>
        <w:t xml:space="preserve">  </w:t>
      </w:r>
    </w:p>
    <w:p w:rsidR="003D121F" w:rsidRDefault="003D121F" w:rsidP="00A11DF6">
      <w:pPr>
        <w:pStyle w:val="BodyText"/>
        <w:numPr>
          <w:ilvl w:val="0"/>
          <w:numId w:val="4"/>
        </w:numPr>
        <w:jc w:val="both"/>
      </w:pPr>
      <w:r w:rsidRPr="00D439CE">
        <w:lastRenderedPageBreak/>
        <w:t>Detailed cross-sector implementation planning has not yet begun but will involve input from a range of stakeholders including the Board, sector representatives and major employers.</w:t>
      </w:r>
      <w:r>
        <w:t xml:space="preserve"> I </w:t>
      </w:r>
      <w:r w:rsidR="003460E5">
        <w:t xml:space="preserve">intend to </w:t>
      </w:r>
      <w:r>
        <w:t>report to Cabinet on implementation issues</w:t>
      </w:r>
      <w:r w:rsidR="003460E5">
        <w:t xml:space="preserve"> arising </w:t>
      </w:r>
      <w:r>
        <w:t xml:space="preserve">later this year, including: </w:t>
      </w:r>
    </w:p>
    <w:p w:rsidR="003D121F" w:rsidRDefault="003460E5" w:rsidP="00A11DF6">
      <w:pPr>
        <w:pStyle w:val="BodyText"/>
        <w:numPr>
          <w:ilvl w:val="0"/>
          <w:numId w:val="14"/>
        </w:numPr>
        <w:jc w:val="both"/>
      </w:pPr>
      <w:r>
        <w:t>i</w:t>
      </w:r>
      <w:r w:rsidR="003D121F">
        <w:t>nformation and promotion of the new requirements and timeframes to current social workers and employers, as well as training providers and current and prospective students</w:t>
      </w:r>
    </w:p>
    <w:p w:rsidR="003D121F" w:rsidRPr="00D439CE" w:rsidRDefault="003D121F" w:rsidP="00A11DF6">
      <w:pPr>
        <w:pStyle w:val="BodyText"/>
        <w:numPr>
          <w:ilvl w:val="0"/>
          <w:numId w:val="14"/>
        </w:numPr>
        <w:jc w:val="both"/>
      </w:pPr>
      <w:r>
        <w:t>funding implications for the sector</w:t>
      </w:r>
      <w:r w:rsidR="007F4E8E">
        <w:t>, as detailed in the Financial Implications section of this paper</w:t>
      </w:r>
    </w:p>
    <w:p w:rsidR="003D121F" w:rsidRDefault="003D121F" w:rsidP="00A11DF6">
      <w:pPr>
        <w:pStyle w:val="BodyText"/>
        <w:numPr>
          <w:ilvl w:val="0"/>
          <w:numId w:val="14"/>
        </w:numPr>
        <w:jc w:val="both"/>
      </w:pPr>
      <w:r w:rsidRPr="00D439CE">
        <w:t xml:space="preserve">enforcement </w:t>
      </w:r>
      <w:r>
        <w:t>capability</w:t>
      </w:r>
      <w:r w:rsidRPr="00BF1A6C">
        <w:t xml:space="preserve"> </w:t>
      </w:r>
      <w:r>
        <w:t xml:space="preserve">and resourcing </w:t>
      </w:r>
      <w:r w:rsidRPr="00BF1A6C">
        <w:t>to investigate concerns of people claiming to be social workers when they are not reg</w:t>
      </w:r>
      <w:r>
        <w:t>istered</w:t>
      </w:r>
      <w:r w:rsidRPr="00BF1A6C">
        <w:t xml:space="preserve"> and</w:t>
      </w:r>
      <w:r>
        <w:t>,</w:t>
      </w:r>
      <w:r w:rsidRPr="00BF1A6C">
        <w:t xml:space="preserve"> where </w:t>
      </w:r>
      <w:r>
        <w:t>necessary,</w:t>
      </w:r>
      <w:r w:rsidRPr="00BF1A6C">
        <w:t xml:space="preserve"> to prosecute those individuals</w:t>
      </w:r>
      <w:r>
        <w:t xml:space="preserve"> </w:t>
      </w:r>
    </w:p>
    <w:p w:rsidR="003D121F" w:rsidRDefault="003460E5" w:rsidP="00A11DF6">
      <w:pPr>
        <w:pStyle w:val="BodyText"/>
        <w:numPr>
          <w:ilvl w:val="0"/>
          <w:numId w:val="14"/>
        </w:numPr>
        <w:jc w:val="both"/>
      </w:pPr>
      <w:proofErr w:type="gramStart"/>
      <w:r>
        <w:t>any</w:t>
      </w:r>
      <w:proofErr w:type="gramEnd"/>
      <w:r>
        <w:t xml:space="preserve"> l</w:t>
      </w:r>
      <w:r w:rsidR="003D121F">
        <w:t xml:space="preserve">inkages with related policy work currently being scoped by the </w:t>
      </w:r>
      <w:r w:rsidR="003D121F" w:rsidRPr="007F01AA">
        <w:t>New Zealand Qualifications Authority</w:t>
      </w:r>
      <w:r w:rsidR="003D121F">
        <w:t xml:space="preserve"> looking at social work education and training needs,</w:t>
      </w:r>
      <w:r w:rsidR="003D121F" w:rsidRPr="007D4942">
        <w:t xml:space="preserve"> </w:t>
      </w:r>
      <w:r w:rsidR="003D121F">
        <w:t>and workforce planning issues.</w:t>
      </w:r>
    </w:p>
    <w:p w:rsidR="003D121F" w:rsidRPr="00DA1D86" w:rsidRDefault="003D121F" w:rsidP="005010D2">
      <w:pPr>
        <w:pStyle w:val="Heading1"/>
        <w:jc w:val="both"/>
      </w:pPr>
      <w:r w:rsidRPr="00DA1D86">
        <w:t>Consultation</w:t>
      </w:r>
    </w:p>
    <w:p w:rsidR="003D121F" w:rsidRPr="007F01AA" w:rsidRDefault="003D121F" w:rsidP="00A11DF6">
      <w:pPr>
        <w:pStyle w:val="BodyText"/>
        <w:numPr>
          <w:ilvl w:val="0"/>
          <w:numId w:val="4"/>
        </w:numPr>
        <w:jc w:val="both"/>
      </w:pPr>
      <w:r w:rsidRPr="007F01AA">
        <w:t xml:space="preserve">The following government agencies were consulted during the </w:t>
      </w:r>
      <w:r>
        <w:t>development of this paper</w:t>
      </w:r>
      <w:r w:rsidRPr="007F01AA">
        <w:t>: the Ministries for Children Oranga Tamariki, Pacific Peoples</w:t>
      </w:r>
      <w:r>
        <w:t>,</w:t>
      </w:r>
      <w:r w:rsidRPr="007F01AA">
        <w:t xml:space="preserve"> and Women; the Ministries of Business, Innovation and Employment, Defence, Education, Health, and Justice; the Departments of Corrections, Internal Affairs and Prime Minister and Cabinet; New Zealand Police; the Accident Compensation Corporation; the New Zealand Qualifications Authority; Te Puni </w:t>
      </w:r>
      <w:proofErr w:type="spellStart"/>
      <w:r w:rsidRPr="007F01AA">
        <w:t>K</w:t>
      </w:r>
      <w:r>
        <w:t>o</w:t>
      </w:r>
      <w:r w:rsidRPr="007F01AA">
        <w:t>kiri</w:t>
      </w:r>
      <w:proofErr w:type="spellEnd"/>
      <w:r w:rsidRPr="007F01AA">
        <w:t xml:space="preserve">, the Tertiary Education Commission; the State Services Commission; the Privacy Commission; and the Treasury. </w:t>
      </w:r>
    </w:p>
    <w:p w:rsidR="003D121F" w:rsidRDefault="003D121F" w:rsidP="00A11DF6">
      <w:pPr>
        <w:pStyle w:val="BodyText"/>
        <w:numPr>
          <w:ilvl w:val="0"/>
          <w:numId w:val="4"/>
        </w:numPr>
        <w:jc w:val="both"/>
      </w:pPr>
      <w:r>
        <w:t xml:space="preserve">The Board has been </w:t>
      </w:r>
      <w:r w:rsidRPr="00387810">
        <w:t xml:space="preserve">consulted </w:t>
      </w:r>
      <w:r>
        <w:t xml:space="preserve">on the contents of the Bill </w:t>
      </w:r>
      <w:r w:rsidRPr="00387810">
        <w:t xml:space="preserve">throughout the policy and drafting processes, and also during the Select Committee stage with approval from the </w:t>
      </w:r>
      <w:r>
        <w:t xml:space="preserve">Social Services and Community </w:t>
      </w:r>
      <w:r w:rsidRPr="00387810">
        <w:t>Committee.</w:t>
      </w:r>
      <w:r>
        <w:t xml:space="preserve"> </w:t>
      </w:r>
    </w:p>
    <w:p w:rsidR="003D121F" w:rsidRDefault="003D121F" w:rsidP="00A11DF6">
      <w:pPr>
        <w:pStyle w:val="BodyText"/>
        <w:numPr>
          <w:ilvl w:val="0"/>
          <w:numId w:val="4"/>
        </w:numPr>
        <w:jc w:val="both"/>
      </w:pPr>
      <w:r w:rsidRPr="00387810">
        <w:t xml:space="preserve">The Select Committee received over 100 submissions from a range of agencies and individuals, including NGO employers of social workers, individual social workers, training providers, and agencies </w:t>
      </w:r>
      <w:r>
        <w:t>who</w:t>
      </w:r>
      <w:r w:rsidRPr="00387810">
        <w:t xml:space="preserve"> have a mandate to advocate for social work clients</w:t>
      </w:r>
      <w:r>
        <w:t>. Those submissions informed the proposals in this paper.</w:t>
      </w:r>
    </w:p>
    <w:p w:rsidR="003D121F" w:rsidRPr="00133514" w:rsidRDefault="003D121F" w:rsidP="00A11DF6">
      <w:pPr>
        <w:pStyle w:val="BodyText"/>
        <w:numPr>
          <w:ilvl w:val="0"/>
          <w:numId w:val="4"/>
        </w:numPr>
        <w:jc w:val="both"/>
      </w:pPr>
      <w:r>
        <w:t xml:space="preserve">In addition, officials have consulted with the </w:t>
      </w:r>
      <w:r w:rsidR="003460E5">
        <w:t>"</w:t>
      </w:r>
      <w:r w:rsidRPr="00387810">
        <w:t>Social Work Alliance</w:t>
      </w:r>
      <w:r w:rsidR="003460E5">
        <w:t>"</w:t>
      </w:r>
      <w:r w:rsidRPr="00387810">
        <w:t xml:space="preserve"> as a </w:t>
      </w:r>
      <w:r>
        <w:t xml:space="preserve">cross-sector representative body, specifically in relation to the utility and design of a 'scopes of practice' approach to social worker registration. The Alliance is convened by the Board, and includes: Aotearoa New Zealand Association of Social Workers, </w:t>
      </w:r>
      <w:proofErr w:type="spellStart"/>
      <w:r>
        <w:t>Careerforce</w:t>
      </w:r>
      <w:proofErr w:type="spellEnd"/>
      <w:r>
        <w:t xml:space="preserve">, Council for Social Work Education Aotearoa New Zealand, </w:t>
      </w:r>
      <w:r w:rsidR="00AD3DC3">
        <w:t xml:space="preserve">District Health Boards’ Health Social Work Leaders’ Council </w:t>
      </w:r>
      <w:r>
        <w:t xml:space="preserve">s, Ministry for Children/Oranga Tamariki, New Zealand Council of Christian Social Services, Social Service Providers Aotearoa, Social Workers Registration Board, Tangata Whenua Social Workers Association, and The New Zealand Public Service Association. </w:t>
      </w:r>
    </w:p>
    <w:p w:rsidR="003D121F" w:rsidRDefault="003D121F" w:rsidP="0029449A">
      <w:pPr>
        <w:pStyle w:val="Heading3"/>
        <w:jc w:val="both"/>
      </w:pPr>
      <w:r>
        <w:t>Further consultation with the sector will be needed</w:t>
      </w:r>
    </w:p>
    <w:p w:rsidR="003D121F" w:rsidRDefault="003D121F" w:rsidP="00A11DF6">
      <w:pPr>
        <w:pStyle w:val="BodyText"/>
        <w:numPr>
          <w:ilvl w:val="0"/>
          <w:numId w:val="4"/>
        </w:numPr>
        <w:jc w:val="both"/>
      </w:pPr>
      <w:r>
        <w:t>I seek Cabinet agreement to Ministry of Social Development officials consulting the Board and sector on specific technical details of the SOP, to ensure the SOP will work as intended and with the confidence of the social work profession.</w:t>
      </w:r>
    </w:p>
    <w:p w:rsidR="003D121F" w:rsidRPr="00DA1D86" w:rsidRDefault="003D121F" w:rsidP="005010D2">
      <w:pPr>
        <w:pStyle w:val="Heading1"/>
        <w:jc w:val="both"/>
      </w:pPr>
      <w:r w:rsidRPr="00DA1D86">
        <w:lastRenderedPageBreak/>
        <w:t>Financial Implications</w:t>
      </w:r>
    </w:p>
    <w:p w:rsidR="003D121F" w:rsidRDefault="003D121F" w:rsidP="00A11DF6">
      <w:pPr>
        <w:pStyle w:val="BodyText"/>
        <w:numPr>
          <w:ilvl w:val="0"/>
          <w:numId w:val="4"/>
        </w:numPr>
        <w:jc w:val="both"/>
      </w:pPr>
      <w:r>
        <w:t xml:space="preserve">The proposals in this paper do not have additional financial implications beyond those identified for the original Bill.  </w:t>
      </w:r>
    </w:p>
    <w:p w:rsidR="00EE12DB" w:rsidRDefault="00976D39" w:rsidP="00A11DF6">
      <w:pPr>
        <w:pStyle w:val="BodyText"/>
        <w:numPr>
          <w:ilvl w:val="0"/>
          <w:numId w:val="4"/>
        </w:numPr>
        <w:jc w:val="both"/>
      </w:pPr>
      <w:r>
        <w:t>The Regulatory Impact Statement and Cabinet paper for the original Bill concluded that c</w:t>
      </w:r>
      <w:r w:rsidR="003D121F">
        <w:t xml:space="preserve">osts for the whole package of changes </w:t>
      </w:r>
      <w:r w:rsidR="004A60A9">
        <w:t>we</w:t>
      </w:r>
      <w:r w:rsidR="003D121F">
        <w:t>re primarily expected to arise in three ways</w:t>
      </w:r>
      <w:r w:rsidR="00EE12DB">
        <w:t>:</w:t>
      </w:r>
    </w:p>
    <w:p w:rsidR="00EE12DB" w:rsidRPr="00177E1D" w:rsidRDefault="00EE12DB" w:rsidP="00EE12DB">
      <w:pPr>
        <w:pStyle w:val="BodyTextlevel2"/>
        <w:rPr>
          <w:lang w:val="en-GB" w:eastAsia="en-GB"/>
        </w:rPr>
      </w:pPr>
      <w:r w:rsidRPr="00177E1D">
        <w:rPr>
          <w:lang w:val="en-GB" w:eastAsia="en-GB"/>
        </w:rPr>
        <w:t xml:space="preserve">a one-off transitional cost of up-skilling current social workers who will need to obtain </w:t>
      </w:r>
      <w:r>
        <w:rPr>
          <w:lang w:val="en-GB" w:eastAsia="en-GB"/>
        </w:rPr>
        <w:t>a recognised</w:t>
      </w:r>
      <w:r w:rsidRPr="00177E1D">
        <w:rPr>
          <w:lang w:val="en-GB" w:eastAsia="en-GB"/>
        </w:rPr>
        <w:t xml:space="preserve"> social work qualificat</w:t>
      </w:r>
      <w:r>
        <w:rPr>
          <w:lang w:val="en-GB" w:eastAsia="en-GB"/>
        </w:rPr>
        <w:t>ion</w:t>
      </w:r>
      <w:r w:rsidRPr="00177E1D">
        <w:rPr>
          <w:lang w:val="en-GB" w:eastAsia="en-GB"/>
        </w:rPr>
        <w:t xml:space="preserve"> </w:t>
      </w:r>
    </w:p>
    <w:p w:rsidR="00EE12DB" w:rsidRPr="004B74CF" w:rsidRDefault="00EE12DB" w:rsidP="00EE12DB">
      <w:pPr>
        <w:pStyle w:val="BodyTextlevel2"/>
        <w:rPr>
          <w:lang w:val="en-GB" w:eastAsia="en-GB"/>
        </w:rPr>
      </w:pPr>
      <w:r w:rsidRPr="00177E1D">
        <w:rPr>
          <w:lang w:val="en-GB" w:eastAsia="en-GB"/>
        </w:rPr>
        <w:t>on-going cost increases from registration, annual practicing certificate renewals</w:t>
      </w:r>
      <w:r>
        <w:rPr>
          <w:lang w:val="en-GB" w:eastAsia="en-GB"/>
        </w:rPr>
        <w:t>,</w:t>
      </w:r>
      <w:r w:rsidRPr="00177E1D">
        <w:rPr>
          <w:lang w:val="en-GB" w:eastAsia="en-GB"/>
        </w:rPr>
        <w:t xml:space="preserve"> </w:t>
      </w:r>
      <w:r>
        <w:rPr>
          <w:lang w:val="en-GB" w:eastAsia="en-GB"/>
        </w:rPr>
        <w:t xml:space="preserve">continuing </w:t>
      </w:r>
      <w:r w:rsidRPr="00177E1D">
        <w:rPr>
          <w:lang w:val="en-GB" w:eastAsia="en-GB"/>
        </w:rPr>
        <w:t xml:space="preserve">professional </w:t>
      </w:r>
      <w:r w:rsidRPr="004B74CF">
        <w:rPr>
          <w:lang w:val="en-GB" w:eastAsia="en-GB"/>
        </w:rPr>
        <w:t>development and supervision for newly registered social workers</w:t>
      </w:r>
    </w:p>
    <w:p w:rsidR="003D121F" w:rsidRPr="00EE12DB" w:rsidRDefault="00EE12DB" w:rsidP="00EE12DB">
      <w:pPr>
        <w:pStyle w:val="BodyTextlevel2"/>
        <w:rPr>
          <w:lang w:val="en-GB" w:eastAsia="en-GB"/>
        </w:rPr>
      </w:pPr>
      <w:proofErr w:type="gramStart"/>
      <w:r>
        <w:rPr>
          <w:lang w:val="en-GB" w:eastAsia="en-GB"/>
        </w:rPr>
        <w:t>increased</w:t>
      </w:r>
      <w:proofErr w:type="gramEnd"/>
      <w:r>
        <w:rPr>
          <w:lang w:val="en-GB" w:eastAsia="en-GB"/>
        </w:rPr>
        <w:t xml:space="preserve"> professionalism and expectations of increasing quality may lead to pressures to increase salary levels, </w:t>
      </w:r>
      <w:r w:rsidR="000C2819">
        <w:rPr>
          <w:lang w:val="en-GB" w:eastAsia="en-GB"/>
        </w:rPr>
        <w:t xml:space="preserve">and contract rates, </w:t>
      </w:r>
      <w:r>
        <w:rPr>
          <w:lang w:val="en-GB" w:eastAsia="en-GB"/>
        </w:rPr>
        <w:t>particularly in the NGO sector</w:t>
      </w:r>
      <w:r w:rsidRPr="004B74CF">
        <w:rPr>
          <w:lang w:val="en-GB" w:eastAsia="en-GB"/>
        </w:rPr>
        <w:t>.</w:t>
      </w:r>
      <w:r w:rsidR="004A60A9" w:rsidRPr="00EE12DB">
        <w:rPr>
          <w:lang w:val="en-GB" w:eastAsia="en-GB"/>
        </w:rPr>
        <w:t xml:space="preserve">  </w:t>
      </w:r>
    </w:p>
    <w:p w:rsidR="000E2768" w:rsidRPr="000E2768" w:rsidRDefault="000E2768" w:rsidP="00A11DF6">
      <w:pPr>
        <w:pStyle w:val="BodyText"/>
        <w:numPr>
          <w:ilvl w:val="0"/>
          <w:numId w:val="4"/>
        </w:numPr>
        <w:jc w:val="both"/>
      </w:pPr>
      <w:r>
        <w:t xml:space="preserve">As detailed below, </w:t>
      </w:r>
      <w:r w:rsidRPr="000E2768">
        <w:t xml:space="preserve">the direct costs of the change </w:t>
      </w:r>
      <w:r>
        <w:t xml:space="preserve">across the whole sector could </w:t>
      </w:r>
      <w:r w:rsidRPr="000E2768">
        <w:t>be in the order of $20 million over the four years following implementation</w:t>
      </w:r>
      <w:r>
        <w:t xml:space="preserve">, including </w:t>
      </w:r>
      <w:r w:rsidRPr="000E2768">
        <w:t xml:space="preserve">up-skilling costs, registration and practicing certificate costs; Board </w:t>
      </w:r>
      <w:r>
        <w:t>communications</w:t>
      </w:r>
      <w:r w:rsidRPr="000E2768">
        <w:t xml:space="preserve"> and infrastructure costs and professional development release costs</w:t>
      </w:r>
      <w:r>
        <w:t>.</w:t>
      </w:r>
      <w:r w:rsidRPr="000E2768">
        <w:t xml:space="preserve"> </w:t>
      </w:r>
      <w:r>
        <w:t xml:space="preserve"> </w:t>
      </w:r>
      <w:r w:rsidR="00FD47D4">
        <w:t xml:space="preserve">The most substantial cost is the most uncertain to estimate, namely the educational costs of up-skilling insufficiently qualified social workers. </w:t>
      </w:r>
      <w:r>
        <w:t>I</w:t>
      </w:r>
      <w:r w:rsidRPr="000E2768">
        <w:t xml:space="preserve">ndirect costs are </w:t>
      </w:r>
      <w:r w:rsidR="00FD47D4">
        <w:t xml:space="preserve">also </w:t>
      </w:r>
      <w:r w:rsidRPr="000E2768">
        <w:t xml:space="preserve">hard to quantify </w:t>
      </w:r>
      <w:r w:rsidR="00FD47D4">
        <w:t xml:space="preserve">and </w:t>
      </w:r>
      <w:r w:rsidRPr="000E2768">
        <w:t>potentially larger</w:t>
      </w:r>
      <w:r w:rsidR="00FD47D4">
        <w:t>, but should result in quality improvements. However they will</w:t>
      </w:r>
      <w:r w:rsidRPr="000E2768">
        <w:t xml:space="preserve"> combine with and add to existing pressures </w:t>
      </w:r>
      <w:r w:rsidR="00FD47D4">
        <w:t>on</w:t>
      </w:r>
      <w:r w:rsidR="00FD47D4" w:rsidRPr="000E2768">
        <w:t xml:space="preserve"> </w:t>
      </w:r>
      <w:r w:rsidRPr="000E2768">
        <w:t>contracted NGO social services.</w:t>
      </w:r>
    </w:p>
    <w:p w:rsidR="00EE12DB" w:rsidRDefault="00EE12DB" w:rsidP="00A11DF6">
      <w:pPr>
        <w:pStyle w:val="BodyText"/>
        <w:numPr>
          <w:ilvl w:val="0"/>
          <w:numId w:val="4"/>
        </w:numPr>
        <w:jc w:val="both"/>
      </w:pPr>
      <w:r>
        <w:t xml:space="preserve">The submissions process and further consultation with stakeholders has not identified any </w:t>
      </w:r>
      <w:r w:rsidR="00FD47D4">
        <w:t xml:space="preserve">new </w:t>
      </w:r>
      <w:r>
        <w:t>financial implications, or provided additional information which would significantly change the initial cost estimates</w:t>
      </w:r>
      <w:r w:rsidR="00D757CD">
        <w:t>, other than possible transitional costs for the Board</w:t>
      </w:r>
      <w:r>
        <w:t xml:space="preserve">. </w:t>
      </w:r>
      <w:r w:rsidR="00302697" w:rsidRPr="006B0FF8">
        <w:t xml:space="preserve">Most of these costs will ultimately fall back to government as the primary employer and funder of social work services, but individuals and NGOs who are not contracted to government will bear some additional costs.  </w:t>
      </w:r>
    </w:p>
    <w:p w:rsidR="00EE12DB" w:rsidRDefault="00FD47D4" w:rsidP="00EE12DB">
      <w:pPr>
        <w:pStyle w:val="Heading3"/>
        <w:jc w:val="both"/>
      </w:pPr>
      <w:r>
        <w:t>Details of c</w:t>
      </w:r>
      <w:r w:rsidR="00EE12DB">
        <w:t>ost estimates and impacts</w:t>
      </w:r>
    </w:p>
    <w:p w:rsidR="003D121F" w:rsidRDefault="000C2819" w:rsidP="00A11DF6">
      <w:pPr>
        <w:pStyle w:val="BodyText"/>
        <w:numPr>
          <w:ilvl w:val="0"/>
          <w:numId w:val="4"/>
        </w:numPr>
        <w:jc w:val="both"/>
      </w:pPr>
      <w:r>
        <w:t>The o</w:t>
      </w:r>
      <w:r w:rsidR="004A60A9">
        <w:t xml:space="preserve">ne-off </w:t>
      </w:r>
      <w:r w:rsidR="004A60A9" w:rsidRPr="000C2819">
        <w:rPr>
          <w:u w:val="single"/>
        </w:rPr>
        <w:t>transitional costs of up-skilling current social workers</w:t>
      </w:r>
      <w:r w:rsidR="004A60A9">
        <w:t xml:space="preserve"> who will need to obtain a recognised social work qualification</w:t>
      </w:r>
      <w:r>
        <w:t xml:space="preserve"> </w:t>
      </w:r>
      <w:r w:rsidR="0012561C">
        <w:t xml:space="preserve">will </w:t>
      </w:r>
      <w:r w:rsidR="00976D39">
        <w:t xml:space="preserve">depend very much on the number of social workers who undertake further training, and what </w:t>
      </w:r>
      <w:r w:rsidR="0012561C">
        <w:t xml:space="preserve">courses they take. This could range from some final papers, a full four year degree course or a two year post graduate programme. </w:t>
      </w:r>
      <w:r w:rsidR="004A60A9" w:rsidRPr="004A60A9">
        <w:t>Costs of up to $5 million per year in the first few years were estimated,</w:t>
      </w:r>
      <w:r w:rsidR="004A60A9">
        <w:t xml:space="preserve"> </w:t>
      </w:r>
      <w:r w:rsidR="004A60A9" w:rsidRPr="004A60A9">
        <w:t>based on 500 extra full-time equivalent social work students until up-skilling is complete.</w:t>
      </w:r>
      <w:r w:rsidR="00B31E9D">
        <w:t xml:space="preserve"> </w:t>
      </w:r>
      <w:r w:rsidR="00B31E9D" w:rsidRPr="000C2819">
        <w:t>Increased training costs for both currently practising social workers and future social workers will fall primarily in the education sector, to tertiary training providers, student allowances and the student loan scheme. It would require additional funding or reprioritisation within the sector.</w:t>
      </w:r>
    </w:p>
    <w:p w:rsidR="000C2819" w:rsidRPr="000C2819" w:rsidRDefault="00B31E9D" w:rsidP="00A11DF6">
      <w:pPr>
        <w:pStyle w:val="BodyText"/>
        <w:numPr>
          <w:ilvl w:val="0"/>
          <w:numId w:val="4"/>
        </w:numPr>
        <w:spacing w:after="60"/>
        <w:rPr>
          <w:lang w:val="en-GB" w:eastAsia="en-GB"/>
        </w:rPr>
      </w:pPr>
      <w:r w:rsidRPr="000C2819">
        <w:rPr>
          <w:u w:val="single"/>
        </w:rPr>
        <w:t xml:space="preserve">On-going costs for additional </w:t>
      </w:r>
      <w:proofErr w:type="gramStart"/>
      <w:r w:rsidRPr="000C2819">
        <w:rPr>
          <w:u w:val="single"/>
        </w:rPr>
        <w:t>registrations</w:t>
      </w:r>
      <w:r w:rsidR="00302697">
        <w:rPr>
          <w:u w:val="single"/>
        </w:rPr>
        <w:t>,</w:t>
      </w:r>
      <w:proofErr w:type="gramEnd"/>
      <w:r w:rsidR="00302697">
        <w:rPr>
          <w:u w:val="single"/>
        </w:rPr>
        <w:t xml:space="preserve"> offset by the </w:t>
      </w:r>
      <w:r w:rsidR="00BF7082">
        <w:rPr>
          <w:u w:val="single"/>
        </w:rPr>
        <w:t>ending of current competency assessments.</w:t>
      </w:r>
      <w:r w:rsidR="00302697">
        <w:rPr>
          <w:u w:val="single"/>
        </w:rPr>
        <w:t xml:space="preserve"> </w:t>
      </w:r>
      <w:r w:rsidRPr="000C2819">
        <w:rPr>
          <w:lang w:val="en-GB" w:eastAsia="en-GB"/>
        </w:rPr>
        <w:t xml:space="preserve">At present rates, an additional 2,000 registrations would give rise to a total </w:t>
      </w:r>
      <w:r w:rsidR="000C2819">
        <w:rPr>
          <w:lang w:val="en-GB" w:eastAsia="en-GB"/>
        </w:rPr>
        <w:t xml:space="preserve">cost </w:t>
      </w:r>
      <w:r w:rsidRPr="000C2819">
        <w:rPr>
          <w:lang w:val="en-GB" w:eastAsia="en-GB"/>
        </w:rPr>
        <w:t xml:space="preserve">of $690,000 in new registration fees, and $736,000 in annual practicing certificate fees. </w:t>
      </w:r>
      <w:r w:rsidR="00D757CD" w:rsidRPr="000C2819">
        <w:rPr>
          <w:lang w:val="en-GB" w:eastAsia="en-GB"/>
        </w:rPr>
        <w:t xml:space="preserve">However, current social workers (or their employers) will benefit from the ending of the current requirement for a separate competency assessment, a saving of $255 per person on initial </w:t>
      </w:r>
      <w:r w:rsidR="00BF7082">
        <w:rPr>
          <w:lang w:val="en-GB" w:eastAsia="en-GB"/>
        </w:rPr>
        <w:t>assessment, and $155</w:t>
      </w:r>
      <w:r w:rsidR="00D757CD" w:rsidRPr="000C2819">
        <w:rPr>
          <w:lang w:val="en-GB" w:eastAsia="en-GB"/>
        </w:rPr>
        <w:t xml:space="preserve"> every five years after that.</w:t>
      </w:r>
      <w:r w:rsidR="00302697">
        <w:rPr>
          <w:lang w:val="en-GB" w:eastAsia="en-GB"/>
        </w:rPr>
        <w:t xml:space="preserve"> The total cost of competency assessments currently is around $230,000 per year.</w:t>
      </w:r>
    </w:p>
    <w:p w:rsidR="000C2819" w:rsidRDefault="00D757CD" w:rsidP="00FD47D4">
      <w:pPr>
        <w:pStyle w:val="BodyText"/>
        <w:numPr>
          <w:ilvl w:val="0"/>
          <w:numId w:val="4"/>
        </w:numPr>
        <w:spacing w:after="60"/>
        <w:rPr>
          <w:lang w:val="en-GB" w:eastAsia="en-GB"/>
        </w:rPr>
      </w:pPr>
      <w:r w:rsidRPr="000C2819">
        <w:rPr>
          <w:lang w:val="en-GB" w:eastAsia="en-GB"/>
        </w:rPr>
        <w:t xml:space="preserve">There may be some </w:t>
      </w:r>
      <w:r w:rsidR="000C2819" w:rsidRPr="000C2819">
        <w:rPr>
          <w:lang w:val="en-GB" w:eastAsia="en-GB"/>
        </w:rPr>
        <w:t xml:space="preserve">one-off transitional costs for the Board to cover </w:t>
      </w:r>
      <w:r w:rsidR="000C2819" w:rsidRPr="00FD47D4">
        <w:rPr>
          <w:lang w:val="en-GB" w:eastAsia="en-GB"/>
        </w:rPr>
        <w:t xml:space="preserve">communication and implementation issues, as well as the cost of new registration database. This may be the </w:t>
      </w:r>
      <w:r w:rsidR="000C2819" w:rsidRPr="00FD47D4">
        <w:rPr>
          <w:lang w:val="en-GB" w:eastAsia="en-GB"/>
        </w:rPr>
        <w:lastRenderedPageBreak/>
        <w:t xml:space="preserve">subject of a Budget bid in 2019 (the Board currently is funded entirely by fees, and receives no separate government funding). </w:t>
      </w:r>
      <w:r w:rsidR="00BE140E" w:rsidRPr="00FD47D4">
        <w:rPr>
          <w:lang w:val="en-GB" w:eastAsia="en-GB"/>
        </w:rPr>
        <w:t>The SWRB is undertaking a Funding Model Review in Q3 of 2018/19, including a review of their fee structure and which would inform any bid. H</w:t>
      </w:r>
      <w:r w:rsidR="000C2819" w:rsidRPr="00FD47D4">
        <w:rPr>
          <w:lang w:val="en-GB" w:eastAsia="en-GB"/>
        </w:rPr>
        <w:t>owever, i</w:t>
      </w:r>
      <w:r w:rsidRPr="000C2819">
        <w:rPr>
          <w:lang w:val="en-GB" w:eastAsia="en-GB"/>
        </w:rPr>
        <w:t>n the longer term</w:t>
      </w:r>
      <w:r w:rsidR="000C2819">
        <w:rPr>
          <w:lang w:val="en-GB" w:eastAsia="en-GB"/>
        </w:rPr>
        <w:t>, overall cost reductions are expected</w:t>
      </w:r>
      <w:r w:rsidRPr="000C2819">
        <w:rPr>
          <w:lang w:val="en-GB" w:eastAsia="en-GB"/>
        </w:rPr>
        <w:t xml:space="preserve"> because of economies of scale and the streamlining of competency assessment processes.  </w:t>
      </w:r>
    </w:p>
    <w:p w:rsidR="003D121F" w:rsidRDefault="00302697" w:rsidP="00A11DF6">
      <w:pPr>
        <w:pStyle w:val="BodyText"/>
        <w:numPr>
          <w:ilvl w:val="0"/>
          <w:numId w:val="4"/>
        </w:numPr>
        <w:jc w:val="both"/>
      </w:pPr>
      <w:r>
        <w:rPr>
          <w:lang w:val="en-GB" w:eastAsia="en-GB"/>
        </w:rPr>
        <w:t xml:space="preserve">The intended effect of the changes to </w:t>
      </w:r>
      <w:r w:rsidR="00B31E9D" w:rsidRPr="000C2819">
        <w:rPr>
          <w:lang w:val="en-GB" w:eastAsia="en-GB"/>
        </w:rPr>
        <w:t xml:space="preserve">increase professionalism and </w:t>
      </w:r>
      <w:r>
        <w:rPr>
          <w:lang w:val="en-GB" w:eastAsia="en-GB"/>
        </w:rPr>
        <w:t xml:space="preserve">raise quality </w:t>
      </w:r>
      <w:r w:rsidR="00B31E9D" w:rsidRPr="000C2819">
        <w:rPr>
          <w:lang w:val="en-GB" w:eastAsia="en-GB"/>
        </w:rPr>
        <w:t xml:space="preserve">may </w:t>
      </w:r>
      <w:r>
        <w:rPr>
          <w:lang w:val="en-GB" w:eastAsia="en-GB"/>
        </w:rPr>
        <w:t xml:space="preserve">well </w:t>
      </w:r>
      <w:r w:rsidR="00B31E9D" w:rsidRPr="000C2819">
        <w:rPr>
          <w:lang w:val="en-GB" w:eastAsia="en-GB"/>
        </w:rPr>
        <w:t xml:space="preserve">lead to </w:t>
      </w:r>
      <w:r w:rsidR="00B31E9D" w:rsidRPr="000C2819">
        <w:rPr>
          <w:u w:val="single"/>
          <w:lang w:val="en-GB" w:eastAsia="en-GB"/>
        </w:rPr>
        <w:t>pressures to increase salary levels</w:t>
      </w:r>
      <w:r w:rsidR="000C2819" w:rsidRPr="000C2819">
        <w:rPr>
          <w:u w:val="single"/>
          <w:lang w:val="en-GB" w:eastAsia="en-GB"/>
        </w:rPr>
        <w:t>, and contract rates</w:t>
      </w:r>
      <w:r>
        <w:rPr>
          <w:u w:val="single"/>
          <w:lang w:val="en-GB" w:eastAsia="en-GB"/>
        </w:rPr>
        <w:t>.</w:t>
      </w:r>
      <w:r w:rsidR="009D0C53">
        <w:t xml:space="preserve"> </w:t>
      </w:r>
      <w:r>
        <w:t xml:space="preserve">Salary levels in the NGO sector are distinctly lower than for direct government employees. </w:t>
      </w:r>
      <w:r>
        <w:rPr>
          <w:lang w:val="en-GB" w:eastAsia="en-GB"/>
        </w:rPr>
        <w:t xml:space="preserve">Additionally, </w:t>
      </w:r>
      <w:r w:rsidR="000C2819" w:rsidRPr="000C2819">
        <w:rPr>
          <w:lang w:val="en-GB" w:eastAsia="en-GB"/>
        </w:rPr>
        <w:t xml:space="preserve">employers may also have to meet extra costs from staff taking time away from core social work activities for the proposed 20 hours per year continuing professional development. </w:t>
      </w:r>
      <w:r w:rsidR="009D0C53" w:rsidRPr="00D439CE">
        <w:t>Th</w:t>
      </w:r>
      <w:r w:rsidR="000C2819">
        <w:t>ese</w:t>
      </w:r>
      <w:r w:rsidR="009D0C53" w:rsidRPr="00D439CE">
        <w:t xml:space="preserve"> </w:t>
      </w:r>
      <w:r w:rsidR="000C2819">
        <w:t>increased cost pressures</w:t>
      </w:r>
      <w:r w:rsidR="009D0C53" w:rsidRPr="00D439CE">
        <w:t xml:space="preserve"> </w:t>
      </w:r>
      <w:r w:rsidR="000C2819">
        <w:t>were</w:t>
      </w:r>
      <w:r w:rsidR="009D0C53" w:rsidRPr="00D439CE">
        <w:t xml:space="preserve"> raised by a number of submissions to the Select Committee, </w:t>
      </w:r>
      <w:r w:rsidRPr="00D439CE">
        <w:t xml:space="preserve">and </w:t>
      </w:r>
      <w:r>
        <w:t>NGOs</w:t>
      </w:r>
      <w:r w:rsidRPr="00D439CE">
        <w:t xml:space="preserve"> are likely to look to government agencies to support them financially to make this transition.  </w:t>
      </w:r>
      <w:r>
        <w:t>This</w:t>
      </w:r>
      <w:r w:rsidR="009D0C53" w:rsidRPr="00D439CE">
        <w:t xml:space="preserve"> </w:t>
      </w:r>
      <w:r w:rsidR="009D0C53">
        <w:t xml:space="preserve">is part of the wider picture </w:t>
      </w:r>
      <w:r>
        <w:t>of serious funding pressures for NGOs contracted to deliver social services, which</w:t>
      </w:r>
      <w:r w:rsidR="009D0C53" w:rsidRPr="00D439CE">
        <w:t xml:space="preserve"> need to be considered in implementation planning.</w:t>
      </w:r>
      <w:r w:rsidR="009D0C53">
        <w:t xml:space="preserve">  </w:t>
      </w:r>
    </w:p>
    <w:p w:rsidR="003D121F" w:rsidRPr="00826DF5" w:rsidRDefault="003D121F" w:rsidP="00BF5BE7">
      <w:pPr>
        <w:pStyle w:val="Heading1"/>
        <w:jc w:val="both"/>
      </w:pPr>
      <w:r w:rsidRPr="00826DF5">
        <w:t>Legislative Implications</w:t>
      </w:r>
    </w:p>
    <w:p w:rsidR="003D121F" w:rsidRDefault="003D121F" w:rsidP="00A11DF6">
      <w:pPr>
        <w:pStyle w:val="BodyText"/>
        <w:numPr>
          <w:ilvl w:val="0"/>
          <w:numId w:val="4"/>
        </w:numPr>
        <w:jc w:val="both"/>
      </w:pPr>
      <w:r>
        <w:t xml:space="preserve">Proposals in this paper will be implemented by </w:t>
      </w:r>
      <w:r w:rsidR="00280615">
        <w:t xml:space="preserve">a </w:t>
      </w:r>
      <w:r>
        <w:t xml:space="preserve">SOP amending the SWRL Bill, which </w:t>
      </w:r>
      <w:r w:rsidR="00280615">
        <w:t xml:space="preserve">is </w:t>
      </w:r>
      <w:r>
        <w:t>currently before Parliament for its consideration.</w:t>
      </w:r>
      <w:r w:rsidR="007D0816">
        <w:t xml:space="preserve"> T</w:t>
      </w:r>
      <w:r w:rsidR="007D0816" w:rsidRPr="00387810">
        <w:t xml:space="preserve">he </w:t>
      </w:r>
      <w:r w:rsidR="007D0816">
        <w:t>SWRL</w:t>
      </w:r>
      <w:r w:rsidR="007D0816" w:rsidRPr="00387810">
        <w:t xml:space="preserve"> Bill holds a category three priority on the 2018 Legislation Programme (</w:t>
      </w:r>
      <w:r w:rsidR="007D0816" w:rsidRPr="0067091B">
        <w:t>to be passed if possible in 2018</w:t>
      </w:r>
      <w:r w:rsidR="007D0816" w:rsidRPr="00387810">
        <w:t>)</w:t>
      </w:r>
      <w:r w:rsidR="007D0816">
        <w:t>.</w:t>
      </w:r>
    </w:p>
    <w:p w:rsidR="003D121F" w:rsidRDefault="003D121F" w:rsidP="00A11DF6">
      <w:pPr>
        <w:pStyle w:val="BodyText"/>
        <w:numPr>
          <w:ilvl w:val="0"/>
          <w:numId w:val="4"/>
        </w:numPr>
        <w:jc w:val="both"/>
      </w:pPr>
      <w:r>
        <w:t>Regulations are not required to bring the SWRL Bill as amended into operation because the Bill contains fixed commencement provisions and, where relevant and appropriate, transitional provisions have fixed expiry periods.</w:t>
      </w:r>
      <w:r w:rsidR="00443B3B">
        <w:t xml:space="preserve"> However, under a new provision in the Bill recommended by the Social Services and Community Committee, regulations may be made regulating the use of identification by social workers when dealing with members of the public.</w:t>
      </w:r>
    </w:p>
    <w:p w:rsidR="003D121F" w:rsidRDefault="003D121F" w:rsidP="00A11DF6">
      <w:pPr>
        <w:pStyle w:val="BodyText"/>
        <w:numPr>
          <w:ilvl w:val="0"/>
          <w:numId w:val="4"/>
        </w:numPr>
        <w:jc w:val="both"/>
      </w:pPr>
      <w:r>
        <w:t xml:space="preserve">The Board </w:t>
      </w:r>
      <w:r w:rsidR="003F6621">
        <w:t>will be</w:t>
      </w:r>
      <w:r>
        <w:t xml:space="preserve"> required to publish notices defining applicable scopes of social work practice </w:t>
      </w:r>
      <w:r w:rsidR="00443B3B">
        <w:t xml:space="preserve">and prescribed qualification </w:t>
      </w:r>
      <w:r>
        <w:t xml:space="preserve">in the New Zealand </w:t>
      </w:r>
      <w:r w:rsidRPr="00F007A6">
        <w:t>Gazette within two years of commencement.</w:t>
      </w:r>
      <w:r>
        <w:t xml:space="preserve"> These n</w:t>
      </w:r>
      <w:r w:rsidRPr="00387810">
        <w:t xml:space="preserve">otices </w:t>
      </w:r>
      <w:r>
        <w:t>would be</w:t>
      </w:r>
      <w:r w:rsidRPr="00387810">
        <w:t xml:space="preserve"> disallowable instruments</w:t>
      </w:r>
      <w:r>
        <w:t xml:space="preserve"> but not legislative instruments</w:t>
      </w:r>
      <w:r w:rsidRPr="00387810">
        <w:t xml:space="preserve"> for the purposes of the Legislation Act 2012.</w:t>
      </w:r>
    </w:p>
    <w:p w:rsidR="003D121F" w:rsidRPr="008C3D40" w:rsidRDefault="003D121F" w:rsidP="00BF5BE7">
      <w:pPr>
        <w:pStyle w:val="Heading1"/>
        <w:jc w:val="both"/>
      </w:pPr>
      <w:r>
        <w:t>Regulat</w:t>
      </w:r>
      <w:r w:rsidRPr="008C3D40">
        <w:t>ory Impact Analysis</w:t>
      </w:r>
    </w:p>
    <w:p w:rsidR="003D121F" w:rsidRDefault="003D121F" w:rsidP="00A11DF6">
      <w:pPr>
        <w:pStyle w:val="BodyText"/>
        <w:numPr>
          <w:ilvl w:val="0"/>
          <w:numId w:val="4"/>
        </w:numPr>
        <w:jc w:val="both"/>
      </w:pPr>
      <w:r>
        <w:t>A Regulatory Impact Statement (RIS) was prepared in accordance with the relevant requirements for and considered by Cabinet when it agreed to the drafting of the Bill in 2017 [</w:t>
      </w:r>
      <w:r w:rsidRPr="00FF2093">
        <w:t>CAB-17-MIN-0234 refers</w:t>
      </w:r>
      <w:r>
        <w:t>]. The RIS included a risk and impact assessment of effects from the introduction of ‘mandatory certification’ as required by the Policy Framework for Occupational Regulation. The Regulatory Impact Analysis Team at the Treasury assessed the RIS as partially meeting quality assurance criteria.</w:t>
      </w:r>
    </w:p>
    <w:p w:rsidR="003D121F" w:rsidRDefault="003D121F" w:rsidP="00A11DF6">
      <w:pPr>
        <w:pStyle w:val="BodyText"/>
        <w:numPr>
          <w:ilvl w:val="0"/>
          <w:numId w:val="4"/>
        </w:numPr>
        <w:jc w:val="both"/>
      </w:pPr>
      <w:r>
        <w:t xml:space="preserve">The changes proposed within this paper have only minor effects on the original regulatory assessment. In agreement with the Treasury’s Regulatory Impact Assessment Team, supplementary material has been added to the original RIS where necessary. </w:t>
      </w:r>
      <w:r w:rsidR="00BF5BE7" w:rsidRPr="00F007A6">
        <w:t>The Regulatory Impact Analysis Team at the Treasury assessed the supplementary information as partially meeting quality assurance criteria.</w:t>
      </w:r>
    </w:p>
    <w:p w:rsidR="003D121F" w:rsidRPr="008C3D40" w:rsidRDefault="003D121F" w:rsidP="00BF5BE7">
      <w:pPr>
        <w:pStyle w:val="Heading1"/>
        <w:jc w:val="both"/>
      </w:pPr>
      <w:r w:rsidRPr="008C3D40">
        <w:t>Human Rights</w:t>
      </w:r>
    </w:p>
    <w:p w:rsidR="003D121F" w:rsidRDefault="003D121F" w:rsidP="00A11DF6">
      <w:pPr>
        <w:pStyle w:val="BodyText"/>
        <w:numPr>
          <w:ilvl w:val="0"/>
          <w:numId w:val="4"/>
        </w:numPr>
        <w:jc w:val="both"/>
      </w:pPr>
      <w:r>
        <w:t xml:space="preserve">The Ministry of Justice vetted the SWRL Bill for compliance with the rights and freedoms contained in the New Zealand Bill of Rights Act 1990 and the Human Rights Act 1993. The Ministry of Justice concluded that the SWRL Bill's effects on freedom of expression and </w:t>
      </w:r>
      <w:r>
        <w:lastRenderedPageBreak/>
        <w:t>freedom from discrimination were justified in the circumstances.</w:t>
      </w:r>
      <w:r w:rsidRPr="00BF5BE7">
        <w:rPr>
          <w:vertAlign w:val="superscript"/>
        </w:rPr>
        <w:footnoteReference w:id="2"/>
      </w:r>
      <w:r>
        <w:t xml:space="preserve"> As such, the SWRL Bill appears to be consistent with fundamental freedoms in a free and democratic society.</w:t>
      </w:r>
    </w:p>
    <w:p w:rsidR="003D121F" w:rsidRPr="007663F7" w:rsidRDefault="003D121F" w:rsidP="00A11DF6">
      <w:pPr>
        <w:pStyle w:val="BodyText"/>
        <w:numPr>
          <w:ilvl w:val="0"/>
          <w:numId w:val="4"/>
        </w:numPr>
        <w:jc w:val="both"/>
      </w:pPr>
      <w:r>
        <w:t>The SOP will be vetted prior to seeking Cabinet approval for lodgement, to ensure the SWLR Bill's compliance is not undermined by proposals in this paper. No issues of compliance are anticipated at this time.</w:t>
      </w:r>
    </w:p>
    <w:p w:rsidR="003D121F" w:rsidRPr="007663F7" w:rsidRDefault="003D121F" w:rsidP="00BF5BE7">
      <w:pPr>
        <w:pStyle w:val="Heading1"/>
        <w:jc w:val="both"/>
      </w:pPr>
      <w:r w:rsidRPr="007663F7">
        <w:t>Gender Implications</w:t>
      </w:r>
    </w:p>
    <w:p w:rsidR="003D121F" w:rsidRDefault="003D121F" w:rsidP="00A11DF6">
      <w:pPr>
        <w:pStyle w:val="BodyText"/>
        <w:numPr>
          <w:ilvl w:val="0"/>
          <w:numId w:val="4"/>
        </w:numPr>
        <w:jc w:val="both"/>
      </w:pPr>
      <w:r>
        <w:t>Nothing in this paper or the SWRL Bill has a different effect on basis of gender. However, as social workers are overwhelmingly women, moves to increase their professional status may result in better work conditions for social workers and, indirectly, an improvement in the working conditions of women.</w:t>
      </w:r>
    </w:p>
    <w:p w:rsidR="003D121F" w:rsidRPr="007663F7" w:rsidRDefault="003D121F" w:rsidP="00A11DF6">
      <w:pPr>
        <w:pStyle w:val="BodyText"/>
        <w:numPr>
          <w:ilvl w:val="0"/>
          <w:numId w:val="4"/>
        </w:numPr>
        <w:jc w:val="both"/>
      </w:pPr>
      <w:r>
        <w:t>A</w:t>
      </w:r>
      <w:r w:rsidRPr="00B2159B">
        <w:t xml:space="preserve"> pay equity claim</w:t>
      </w:r>
      <w:r>
        <w:t xml:space="preserve"> has been lodged</w:t>
      </w:r>
      <w:r w:rsidRPr="00B2159B">
        <w:t xml:space="preserve"> on behalf of social workers employed by the Ministry for Children</w:t>
      </w:r>
      <w:r>
        <w:t xml:space="preserve"> </w:t>
      </w:r>
      <w:r w:rsidRPr="00B2159B">
        <w:t>Oranga Tamariki.</w:t>
      </w:r>
      <w:r>
        <w:t xml:space="preserve"> T</w:t>
      </w:r>
      <w:r w:rsidRPr="007663F7">
        <w:t>he State Services Commission has</w:t>
      </w:r>
      <w:r>
        <w:t xml:space="preserve"> previously</w:t>
      </w:r>
      <w:r w:rsidRPr="007663F7">
        <w:t xml:space="preserve"> advised it considers </w:t>
      </w:r>
      <w:r>
        <w:t>mandatory</w:t>
      </w:r>
      <w:r w:rsidRPr="007663F7">
        <w:t xml:space="preserve"> registration of socia</w:t>
      </w:r>
      <w:r>
        <w:t xml:space="preserve">l workers is unlikely to </w:t>
      </w:r>
      <w:r w:rsidRPr="007663F7">
        <w:t>material</w:t>
      </w:r>
      <w:r>
        <w:t>ly</w:t>
      </w:r>
      <w:r w:rsidRPr="007663F7">
        <w:t xml:space="preserve"> </w:t>
      </w:r>
      <w:r>
        <w:t xml:space="preserve">affect </w:t>
      </w:r>
      <w:r w:rsidRPr="007663F7">
        <w:t>pay equity claims</w:t>
      </w:r>
      <w:r>
        <w:t>. A change in the obligation to register d</w:t>
      </w:r>
      <w:r w:rsidRPr="007663F7">
        <w:t xml:space="preserve">oes not change the nature of </w:t>
      </w:r>
      <w:r>
        <w:t>social</w:t>
      </w:r>
      <w:r w:rsidRPr="007663F7">
        <w:t xml:space="preserve"> work and therefore </w:t>
      </w:r>
      <w:r>
        <w:t>does not affect the potential comparator groups for social workers as a whole.</w:t>
      </w:r>
    </w:p>
    <w:p w:rsidR="003D121F" w:rsidRPr="003578A4" w:rsidRDefault="003D121F" w:rsidP="00BF5BE7">
      <w:pPr>
        <w:pStyle w:val="Heading1"/>
        <w:jc w:val="both"/>
      </w:pPr>
      <w:r w:rsidRPr="003578A4">
        <w:t>Disability Perspective</w:t>
      </w:r>
    </w:p>
    <w:p w:rsidR="003D121F" w:rsidRDefault="003D121F" w:rsidP="00A11DF6">
      <w:pPr>
        <w:pStyle w:val="BodyText"/>
        <w:numPr>
          <w:ilvl w:val="0"/>
          <w:numId w:val="4"/>
        </w:numPr>
        <w:jc w:val="both"/>
      </w:pPr>
      <w:r w:rsidRPr="00AB759C">
        <w:t xml:space="preserve">The </w:t>
      </w:r>
      <w:r>
        <w:t>SWRL Bill, as amended by the proposals in this paper, is</w:t>
      </w:r>
      <w:r w:rsidRPr="00AB759C">
        <w:t xml:space="preserve"> expected to respond to the needs and interests of people with disabilities who receive social work services.</w:t>
      </w:r>
    </w:p>
    <w:p w:rsidR="003D121F" w:rsidRPr="003578A4" w:rsidRDefault="003D121F" w:rsidP="00BF5BE7">
      <w:pPr>
        <w:pStyle w:val="Heading1"/>
        <w:jc w:val="both"/>
      </w:pPr>
      <w:r w:rsidRPr="003578A4">
        <w:t>Publicity</w:t>
      </w:r>
      <w:r w:rsidRPr="00E40A2B">
        <w:t xml:space="preserve"> </w:t>
      </w:r>
      <w:r>
        <w:t>and Proact</w:t>
      </w:r>
      <w:r w:rsidRPr="003578A4">
        <w:t>ive Release</w:t>
      </w:r>
    </w:p>
    <w:p w:rsidR="003D121F" w:rsidRDefault="003D121F" w:rsidP="00A11DF6">
      <w:pPr>
        <w:pStyle w:val="BodyText"/>
        <w:numPr>
          <w:ilvl w:val="0"/>
          <w:numId w:val="4"/>
        </w:numPr>
        <w:jc w:val="both"/>
      </w:pPr>
      <w:r w:rsidRPr="00AB759C">
        <w:t xml:space="preserve">The </w:t>
      </w:r>
      <w:r>
        <w:t>SWRL Bill has been the subject of significant sector advocacy and public comment supporting a 'scopes of practice' approach to social worker registration. The proposals in this paper are a direct response to that campaign and subsequent consultation with a range of sector representatives and government agencies. It is likely there will be significant sector interest in the decision to adopt the proposals in this paper.</w:t>
      </w:r>
    </w:p>
    <w:p w:rsidR="003D121F" w:rsidRDefault="003D121F" w:rsidP="00A11DF6">
      <w:pPr>
        <w:pStyle w:val="BodyText"/>
        <w:numPr>
          <w:ilvl w:val="0"/>
          <w:numId w:val="4"/>
        </w:numPr>
        <w:jc w:val="both"/>
      </w:pPr>
      <w:r>
        <w:t>Proactive messaging about these proposals is important to ensure sector confidence in the wider SWRL Bill. Accordingly I propose to proactively release this paper (with appropriate redactions as if it w</w:t>
      </w:r>
      <w:r w:rsidR="00443B3B">
        <w:t>ere</w:t>
      </w:r>
      <w:r>
        <w:t xml:space="preserve"> released under the Official Information Act 1982) with an accompanying press release when the SOP is tabled in the House.  </w:t>
      </w:r>
    </w:p>
    <w:p w:rsidR="00BF5BE7" w:rsidRDefault="00BF5BE7">
      <w:pPr>
        <w:jc w:val="left"/>
        <w:rPr>
          <w:rFonts w:ascii="Arial Mäori" w:hAnsi="Arial Mäori"/>
          <w:b/>
          <w:kern w:val="28"/>
          <w:sz w:val="24"/>
        </w:rPr>
      </w:pPr>
      <w:r>
        <w:br w:type="page"/>
      </w:r>
    </w:p>
    <w:p w:rsidR="000559EF" w:rsidRPr="00661CCE" w:rsidRDefault="000559EF" w:rsidP="002C4C2E">
      <w:pPr>
        <w:pStyle w:val="Heading1"/>
        <w:jc w:val="both"/>
        <w:rPr>
          <w:rFonts w:ascii="Arial" w:hAnsi="Arial" w:cs="Arial"/>
          <w:b w:val="0"/>
          <w:szCs w:val="24"/>
        </w:rPr>
      </w:pPr>
      <w:r w:rsidRPr="003578A4">
        <w:lastRenderedPageBreak/>
        <w:t>Recommendations</w:t>
      </w:r>
    </w:p>
    <w:p w:rsidR="000559EF" w:rsidRDefault="000559EF" w:rsidP="002C4C2E">
      <w:pPr>
        <w:pStyle w:val="BodyText"/>
        <w:numPr>
          <w:ilvl w:val="0"/>
          <w:numId w:val="0"/>
        </w:numPr>
        <w:tabs>
          <w:tab w:val="left" w:pos="720"/>
        </w:tabs>
        <w:jc w:val="both"/>
      </w:pPr>
      <w:r>
        <w:t>The Minister for Social Development recommends that the Social Wellbeing Committee:</w:t>
      </w:r>
    </w:p>
    <w:p w:rsidR="000559EF" w:rsidRPr="002C4C2E" w:rsidRDefault="000559EF" w:rsidP="002C4C2E">
      <w:pPr>
        <w:pStyle w:val="RecNumbering"/>
        <w:jc w:val="both"/>
      </w:pPr>
      <w:r>
        <w:rPr>
          <w:b/>
        </w:rPr>
        <w:t>n</w:t>
      </w:r>
      <w:r w:rsidRPr="002C4C2E">
        <w:rPr>
          <w:b/>
        </w:rPr>
        <w:t>ote</w:t>
      </w:r>
      <w:r>
        <w:t xml:space="preserve"> that in 2016 the Social Services Committee inquired into the operation of the Social Workers Registration Act 2003, concluding that legislative reform was needed to strengthen occupational regulation for social workers </w:t>
      </w:r>
    </w:p>
    <w:p w:rsidR="000559EF" w:rsidRDefault="000559EF" w:rsidP="002C4C2E">
      <w:pPr>
        <w:pStyle w:val="RecNumbering"/>
        <w:jc w:val="both"/>
      </w:pPr>
      <w:r w:rsidRPr="00200FC7">
        <w:rPr>
          <w:b/>
        </w:rPr>
        <w:t>note</w:t>
      </w:r>
      <w:r w:rsidRPr="00200FC7">
        <w:t xml:space="preserve"> </w:t>
      </w:r>
      <w:r w:rsidRPr="00A01820">
        <w:t>that public submissions on the Social Workers Registration Legislation Bill</w:t>
      </w:r>
      <w:r>
        <w:t xml:space="preserve"> and  social work sector representatives have strongly supported the introduction of provision for scopes of practice</w:t>
      </w:r>
    </w:p>
    <w:p w:rsidR="000559EF" w:rsidRDefault="000559EF" w:rsidP="002C4C2E">
      <w:pPr>
        <w:pStyle w:val="RecNumbering"/>
        <w:jc w:val="both"/>
      </w:pPr>
      <w:r w:rsidRPr="00200FC7">
        <w:rPr>
          <w:b/>
        </w:rPr>
        <w:t>note</w:t>
      </w:r>
      <w:r w:rsidRPr="00200FC7">
        <w:t xml:space="preserve"> </w:t>
      </w:r>
      <w:r w:rsidRPr="00A01820">
        <w:t>that</w:t>
      </w:r>
      <w:r>
        <w:t xml:space="preserve"> I propose introducing a Supplementary Order Paper to make amendments to the </w:t>
      </w:r>
      <w:r w:rsidRPr="00A01820">
        <w:t>Social Workers Registration Legislation Bill</w:t>
      </w:r>
    </w:p>
    <w:p w:rsidR="000559EF" w:rsidRPr="00200FC7" w:rsidRDefault="000559EF" w:rsidP="002C4C2E">
      <w:pPr>
        <w:pStyle w:val="RecNumbering"/>
        <w:jc w:val="both"/>
      </w:pPr>
      <w:r w:rsidRPr="00200FC7">
        <w:rPr>
          <w:b/>
        </w:rPr>
        <w:t>agree</w:t>
      </w:r>
      <w:r w:rsidRPr="00200FC7">
        <w:t xml:space="preserve"> </w:t>
      </w:r>
      <w:r w:rsidRPr="00A52B6A">
        <w:t xml:space="preserve">to the following policy changes for inclusion in a Supplementary Order Paper to </w:t>
      </w:r>
      <w:r>
        <w:t xml:space="preserve">amend </w:t>
      </w:r>
      <w:r w:rsidRPr="00A52B6A">
        <w:t>the Social Workers Registration Legislation Bill</w:t>
      </w:r>
      <w:r>
        <w:t xml:space="preserve"> to</w:t>
      </w:r>
      <w:r w:rsidRPr="00A52B6A">
        <w:t>:</w:t>
      </w:r>
    </w:p>
    <w:p w:rsidR="000559EF" w:rsidRPr="00BF5BE7" w:rsidRDefault="000559EF" w:rsidP="002C4C2E">
      <w:pPr>
        <w:pStyle w:val="RecNumbering2"/>
        <w:jc w:val="both"/>
      </w:pPr>
      <w:r>
        <w:t xml:space="preserve">introduce provisions requiring </w:t>
      </w:r>
      <w:r w:rsidRPr="00BF5BE7">
        <w:t>social workers to practise within scopes of practice determined by the Social Workers Registration Board</w:t>
      </w:r>
      <w:r>
        <w:t>,</w:t>
      </w:r>
      <w:r w:rsidRPr="00BF5BE7">
        <w:t xml:space="preserve"> </w:t>
      </w:r>
      <w:r>
        <w:t>including</w:t>
      </w:r>
      <w:r w:rsidRPr="00BF5BE7">
        <w:t xml:space="preserve"> </w:t>
      </w:r>
      <w:r>
        <w:t xml:space="preserve">incidental and </w:t>
      </w:r>
      <w:r w:rsidRPr="00BF5BE7">
        <w:t xml:space="preserve">related provisions </w:t>
      </w:r>
      <w:r>
        <w:t xml:space="preserve">generally in line with the legislative framework </w:t>
      </w:r>
      <w:r w:rsidRPr="00BF5BE7">
        <w:t>of the Health Practitioners Competence Assurance Act 2003</w:t>
      </w:r>
    </w:p>
    <w:p w:rsidR="000559EF" w:rsidRDefault="000559EF" w:rsidP="002C4C2E">
      <w:pPr>
        <w:pStyle w:val="RecNumbering2"/>
        <w:jc w:val="both"/>
      </w:pPr>
      <w:r>
        <w:t>make it</w:t>
      </w:r>
      <w:r w:rsidR="00943E4D">
        <w:t xml:space="preserve"> </w:t>
      </w:r>
      <w:r w:rsidRPr="00BF5BE7">
        <w:t>an offence to breach the confidentiality obligations of section 46 of the Social Workers Registration 2003</w:t>
      </w:r>
      <w:r>
        <w:t xml:space="preserve">, </w:t>
      </w:r>
      <w:r w:rsidRPr="00BF5BE7">
        <w:t>punishable on conviction by a fine not exceeding $2,000</w:t>
      </w:r>
    </w:p>
    <w:p w:rsidR="000559EF" w:rsidRPr="00BF5BE7" w:rsidRDefault="000559EF" w:rsidP="002C4C2E">
      <w:pPr>
        <w:pStyle w:val="RecNumbering2"/>
        <w:jc w:val="both"/>
      </w:pPr>
      <w:r>
        <w:t xml:space="preserve">require </w:t>
      </w:r>
      <w:r w:rsidR="009E3CE3">
        <w:t>that employers</w:t>
      </w:r>
      <w:r w:rsidR="009E3CE3" w:rsidRPr="005010D2">
        <w:t xml:space="preserve"> </w:t>
      </w:r>
      <w:r w:rsidR="009E3CE3" w:rsidRPr="005A07FA">
        <w:t xml:space="preserve">of social workers report to the Board if </w:t>
      </w:r>
      <w:r w:rsidR="009E3CE3">
        <w:t>a</w:t>
      </w:r>
      <w:r w:rsidR="009E3CE3" w:rsidRPr="005A07FA">
        <w:t xml:space="preserve"> </w:t>
      </w:r>
      <w:r w:rsidR="009E3CE3">
        <w:t>social worker</w:t>
      </w:r>
      <w:r w:rsidR="009E3CE3" w:rsidRPr="005A07FA">
        <w:t xml:space="preserve"> resigns or is dismissed for reasons relating to their competence</w:t>
      </w:r>
    </w:p>
    <w:p w:rsidR="000559EF" w:rsidRDefault="000559EF" w:rsidP="002C4C2E">
      <w:pPr>
        <w:pStyle w:val="RecNumbering2"/>
        <w:jc w:val="both"/>
      </w:pPr>
      <w:r>
        <w:t xml:space="preserve">empower </w:t>
      </w:r>
      <w:r w:rsidRPr="00BF5BE7">
        <w:t>the department responsible for administration of the Social Workers Registration Act</w:t>
      </w:r>
      <w:r>
        <w:t xml:space="preserve"> </w:t>
      </w:r>
      <w:r w:rsidR="00943E4D">
        <w:t xml:space="preserve">2003 </w:t>
      </w:r>
      <w:r>
        <w:t>to:</w:t>
      </w:r>
    </w:p>
    <w:p w:rsidR="000559EF" w:rsidRDefault="000559EF" w:rsidP="00A11DF6">
      <w:pPr>
        <w:pStyle w:val="RecNumbering2"/>
        <w:numPr>
          <w:ilvl w:val="2"/>
          <w:numId w:val="2"/>
        </w:numPr>
        <w:jc w:val="both"/>
      </w:pPr>
      <w:r>
        <w:t xml:space="preserve">require </w:t>
      </w:r>
      <w:r w:rsidRPr="00BF5BE7">
        <w:t xml:space="preserve">any person to provide information or </w:t>
      </w:r>
      <w:r w:rsidR="009E3CE3">
        <w:t xml:space="preserve">produce </w:t>
      </w:r>
      <w:r w:rsidRPr="00BF5BE7">
        <w:t xml:space="preserve">documents </w:t>
      </w:r>
      <w:r>
        <w:t>necessary</w:t>
      </w:r>
      <w:r w:rsidRPr="00BF5BE7">
        <w:t xml:space="preserve"> to enforce the offence provisions relating to title protection</w:t>
      </w:r>
      <w:r>
        <w:t xml:space="preserve">; and </w:t>
      </w:r>
    </w:p>
    <w:p w:rsidR="000559EF" w:rsidRDefault="000559EF" w:rsidP="00A11DF6">
      <w:pPr>
        <w:pStyle w:val="RecNumbering2"/>
        <w:numPr>
          <w:ilvl w:val="2"/>
          <w:numId w:val="2"/>
        </w:numPr>
        <w:jc w:val="both"/>
      </w:pPr>
      <w:r>
        <w:t xml:space="preserve">make it </w:t>
      </w:r>
      <w:r w:rsidRPr="00BF5BE7">
        <w:t>an offence to r</w:t>
      </w:r>
      <w:r>
        <w:t>efuse or fail to comply with such a</w:t>
      </w:r>
      <w:r w:rsidRPr="00BF5BE7">
        <w:t xml:space="preserve"> requirement</w:t>
      </w:r>
      <w:r>
        <w:t>,</w:t>
      </w:r>
      <w:r w:rsidRPr="00BF5BE7">
        <w:t xml:space="preserve"> punishable </w:t>
      </w:r>
      <w:r>
        <w:t xml:space="preserve">on conviction </w:t>
      </w:r>
      <w:r w:rsidRPr="00BF5BE7">
        <w:t>by a fine not exceeding $2,000</w:t>
      </w:r>
    </w:p>
    <w:p w:rsidR="000559EF" w:rsidRPr="00387810" w:rsidRDefault="000559EF" w:rsidP="002C4C2E">
      <w:pPr>
        <w:pStyle w:val="RecNumbering"/>
        <w:jc w:val="both"/>
      </w:pPr>
      <w:proofErr w:type="gramStart"/>
      <w:r w:rsidRPr="00387810">
        <w:rPr>
          <w:b/>
        </w:rPr>
        <w:t>note</w:t>
      </w:r>
      <w:proofErr w:type="gramEnd"/>
      <w:r w:rsidRPr="00387810">
        <w:t xml:space="preserve"> that on 15 May 2017 Cabinet agreed </w:t>
      </w:r>
      <w:r>
        <w:t>to a number of recommendations to the Social Workers Registration Act 2003 to make registration mandatory for practising social workers.</w:t>
      </w:r>
      <w:r w:rsidRPr="00387810">
        <w:t xml:space="preserve"> [CAB-17-MIN-0234</w:t>
      </w:r>
      <w:r>
        <w:t>,</w:t>
      </w:r>
      <w:r w:rsidRPr="00387810">
        <w:t xml:space="preserve"> recommendation 8 refers]</w:t>
      </w:r>
    </w:p>
    <w:p w:rsidR="000559EF" w:rsidRPr="002C4C2E" w:rsidRDefault="000559EF" w:rsidP="002C4C2E">
      <w:pPr>
        <w:pStyle w:val="RecNumbering"/>
        <w:jc w:val="both"/>
        <w:rPr>
          <w:b/>
        </w:rPr>
      </w:pPr>
      <w:r w:rsidRPr="005C52B3">
        <w:rPr>
          <w:b/>
        </w:rPr>
        <w:t>note</w:t>
      </w:r>
      <w:r w:rsidRPr="00387810">
        <w:t xml:space="preserve"> </w:t>
      </w:r>
      <w:r>
        <w:t xml:space="preserve">that changes contained in the </w:t>
      </w:r>
      <w:r w:rsidRPr="00387810">
        <w:t xml:space="preserve">detail </w:t>
      </w:r>
      <w:r>
        <w:t>of</w:t>
      </w:r>
      <w:r w:rsidRPr="00387810">
        <w:t xml:space="preserve"> the </w:t>
      </w:r>
      <w:r>
        <w:t xml:space="preserve">title protection </w:t>
      </w:r>
      <w:r w:rsidR="00942C08">
        <w:t>provisions</w:t>
      </w:r>
      <w:r>
        <w:t xml:space="preserve"> recommendation referred to in recommendation 5</w:t>
      </w:r>
      <w:r w:rsidR="00BF0D83">
        <w:t xml:space="preserve"> above</w:t>
      </w:r>
      <w:r w:rsidRPr="00387810">
        <w:t xml:space="preserve"> </w:t>
      </w:r>
      <w:r>
        <w:t>prevents the adoption of a scopes of practice approach as described in recommendation 3.1 above</w:t>
      </w:r>
      <w:r w:rsidRPr="00387810" w:rsidDel="005C52B3">
        <w:t xml:space="preserve"> </w:t>
      </w:r>
    </w:p>
    <w:p w:rsidR="000559EF" w:rsidRPr="005C52B3" w:rsidRDefault="000559EF" w:rsidP="002C4C2E">
      <w:pPr>
        <w:pStyle w:val="RecNumbering"/>
        <w:jc w:val="both"/>
        <w:rPr>
          <w:b/>
        </w:rPr>
      </w:pPr>
      <w:r w:rsidRPr="005C52B3">
        <w:rPr>
          <w:b/>
        </w:rPr>
        <w:t>agree</w:t>
      </w:r>
      <w:r w:rsidRPr="00387810">
        <w:t xml:space="preserve"> </w:t>
      </w:r>
      <w:r w:rsidR="009E3CE3" w:rsidRPr="00387810">
        <w:t xml:space="preserve">to </w:t>
      </w:r>
      <w:r w:rsidR="009E3CE3">
        <w:t xml:space="preserve">recommend to Cabinet that it </w:t>
      </w:r>
      <w:r w:rsidR="009E3CE3" w:rsidRPr="00387810">
        <w:t>rescind</w:t>
      </w:r>
      <w:r w:rsidR="009E3CE3">
        <w:t>s</w:t>
      </w:r>
      <w:r w:rsidR="009E3CE3" w:rsidRPr="00387810">
        <w:t xml:space="preserve"> recommendation 8 in CAB-17-MIN-0234</w:t>
      </w:r>
      <w:r w:rsidR="009E3CE3">
        <w:t xml:space="preserve"> (which is given effect in new section 6AAB in the Bill) in order to enable provision of a scopes of practice approach </w:t>
      </w:r>
      <w:bookmarkStart w:id="3" w:name="_GoBack"/>
      <w:bookmarkEnd w:id="3"/>
    </w:p>
    <w:p w:rsidR="000559EF" w:rsidRPr="00387810" w:rsidRDefault="000559EF" w:rsidP="002C4C2E">
      <w:pPr>
        <w:pStyle w:val="RecNumbering"/>
        <w:jc w:val="both"/>
      </w:pPr>
      <w:r w:rsidRPr="00387810">
        <w:rPr>
          <w:b/>
        </w:rPr>
        <w:t>note</w:t>
      </w:r>
      <w:r w:rsidRPr="00387810">
        <w:t xml:space="preserve"> </w:t>
      </w:r>
      <w:r>
        <w:t xml:space="preserve">that </w:t>
      </w:r>
      <w:r w:rsidRPr="00387810">
        <w:t xml:space="preserve">minor and technical changes, </w:t>
      </w:r>
      <w:r>
        <w:t xml:space="preserve">including </w:t>
      </w:r>
      <w:r w:rsidRPr="00387810">
        <w:t>changes made to recalibrate the Social Workers Registration Act 2003 to be more in line with the Health Practitioners Competence Assurance Act 2003</w:t>
      </w:r>
      <w:r>
        <w:t>,</w:t>
      </w:r>
      <w:r w:rsidRPr="00387810">
        <w:t xml:space="preserve"> </w:t>
      </w:r>
      <w:r>
        <w:t>will be made</w:t>
      </w:r>
      <w:r w:rsidRPr="00387810">
        <w:t xml:space="preserve"> to support drafting of the Supplementary Order Paper for the Social Workers Registration Legislation Bill</w:t>
      </w:r>
    </w:p>
    <w:p w:rsidR="000559EF" w:rsidRPr="00387810" w:rsidRDefault="000559EF" w:rsidP="002C4C2E">
      <w:pPr>
        <w:pStyle w:val="RecNumbering"/>
        <w:ind w:left="993" w:hanging="561"/>
        <w:jc w:val="both"/>
        <w:rPr>
          <w:b/>
        </w:rPr>
      </w:pPr>
      <w:r w:rsidRPr="00387810">
        <w:rPr>
          <w:b/>
        </w:rPr>
        <w:lastRenderedPageBreak/>
        <w:t>invite</w:t>
      </w:r>
      <w:r w:rsidRPr="00387810">
        <w:t xml:space="preserve"> the Minister for Social Development to issue drafting instructions to the Parliamentary Counsel Office for the development of a Supplementary Order Paper to the Social Workers Registration Legislation Bill giving effect to the recommendations in paragraphs 2 to 7 above</w:t>
      </w:r>
    </w:p>
    <w:p w:rsidR="000559EF" w:rsidRPr="0088335F" w:rsidRDefault="000559EF" w:rsidP="002C4C2E">
      <w:pPr>
        <w:pStyle w:val="RecNumbering"/>
        <w:ind w:left="993" w:hanging="561"/>
        <w:jc w:val="both"/>
        <w:rPr>
          <w:b/>
        </w:rPr>
      </w:pPr>
      <w:r w:rsidRPr="00387810">
        <w:rPr>
          <w:b/>
        </w:rPr>
        <w:t>note</w:t>
      </w:r>
      <w:r w:rsidRPr="00387810">
        <w:t xml:space="preserve"> a Health Practitioners Competence Assurance Amendment Bill is currently </w:t>
      </w:r>
      <w:r>
        <w:t>being considered by Parliament</w:t>
      </w:r>
    </w:p>
    <w:p w:rsidR="000559EF" w:rsidRPr="005010D2" w:rsidRDefault="000559EF" w:rsidP="002C4C2E">
      <w:pPr>
        <w:pStyle w:val="RecNumbering"/>
        <w:jc w:val="both"/>
        <w:rPr>
          <w:b/>
        </w:rPr>
      </w:pPr>
      <w:r w:rsidRPr="00387810">
        <w:rPr>
          <w:b/>
        </w:rPr>
        <w:t>agree</w:t>
      </w:r>
      <w:r w:rsidRPr="00387810">
        <w:t xml:space="preserve"> the </w:t>
      </w:r>
      <w:r w:rsidRPr="0067091B">
        <w:t>Supplementary Order Paper</w:t>
      </w:r>
      <w:r w:rsidRPr="00387810">
        <w:t xml:space="preserve"> can include equivalents to relevant amendments in the Health Practitioners Competence Assurance Amendment Bill</w:t>
      </w:r>
    </w:p>
    <w:p w:rsidR="000559EF" w:rsidRPr="00387810" w:rsidRDefault="000559EF" w:rsidP="002C4C2E">
      <w:pPr>
        <w:pStyle w:val="RecNumbering"/>
        <w:jc w:val="both"/>
        <w:rPr>
          <w:b/>
        </w:rPr>
      </w:pPr>
      <w:r w:rsidRPr="00387810">
        <w:rPr>
          <w:b/>
        </w:rPr>
        <w:t>agree</w:t>
      </w:r>
      <w:r w:rsidRPr="00387810">
        <w:t xml:space="preserve"> that the Ministry of Social Development may consult with the </w:t>
      </w:r>
      <w:r>
        <w:t>"</w:t>
      </w:r>
      <w:r w:rsidRPr="00387810">
        <w:t>Social Work Alliance</w:t>
      </w:r>
      <w:r>
        <w:t>"</w:t>
      </w:r>
      <w:r w:rsidRPr="00387810">
        <w:t xml:space="preserve"> in developing drafting instructions</w:t>
      </w:r>
      <w:r w:rsidR="009E3CE3">
        <w:t>, and drafting of</w:t>
      </w:r>
      <w:r w:rsidRPr="00387810">
        <w:t xml:space="preserve"> the </w:t>
      </w:r>
      <w:r w:rsidRPr="0067091B">
        <w:t>Supplementary Order Paper</w:t>
      </w:r>
      <w:r>
        <w:t>,</w:t>
      </w:r>
      <w:r w:rsidRPr="00387810">
        <w:t xml:space="preserve"> for the purpose of ensuring the workability of the</w:t>
      </w:r>
      <w:r>
        <w:t>se</w:t>
      </w:r>
      <w:r w:rsidRPr="00387810">
        <w:t xml:space="preserve"> proposals</w:t>
      </w:r>
    </w:p>
    <w:p w:rsidR="000559EF" w:rsidRPr="002C4C2E" w:rsidRDefault="000559EF" w:rsidP="002C4C2E">
      <w:pPr>
        <w:pStyle w:val="RecNumbering"/>
        <w:jc w:val="both"/>
        <w:rPr>
          <w:b/>
        </w:rPr>
      </w:pPr>
      <w:r w:rsidRPr="00387810">
        <w:rPr>
          <w:b/>
        </w:rPr>
        <w:t>note</w:t>
      </w:r>
      <w:r w:rsidRPr="00387810">
        <w:t xml:space="preserve"> that</w:t>
      </w:r>
      <w:r>
        <w:t xml:space="preserve"> </w:t>
      </w:r>
      <w:r w:rsidRPr="00387810">
        <w:t>the Supplementary Order Paper to the Social Workers</w:t>
      </w:r>
      <w:r>
        <w:t xml:space="preserve"> Registration Legislation Bill </w:t>
      </w:r>
      <w:r w:rsidRPr="00387810">
        <w:t>will be reviewed for a Bill of Rights</w:t>
      </w:r>
      <w:r>
        <w:t xml:space="preserve"> Act</w:t>
      </w:r>
      <w:r w:rsidRPr="00387810">
        <w:t xml:space="preserve"> Assessment before it is considered by Cabinet </w:t>
      </w:r>
      <w:r>
        <w:t>Legislation Committee</w:t>
      </w:r>
    </w:p>
    <w:p w:rsidR="000559EF" w:rsidRPr="000559EF" w:rsidRDefault="000559EF" w:rsidP="000559EF">
      <w:pPr>
        <w:pStyle w:val="RecNumbering"/>
        <w:jc w:val="both"/>
        <w:rPr>
          <w:b/>
        </w:rPr>
      </w:pPr>
      <w:r w:rsidRPr="00200FC7">
        <w:rPr>
          <w:b/>
        </w:rPr>
        <w:t>note</w:t>
      </w:r>
      <w:r w:rsidRPr="00387810">
        <w:t xml:space="preserve"> that the Social Workers Registration Legislation Bill holds a category three priority on the 2018 Legislation Programme (</w:t>
      </w:r>
      <w:r w:rsidRPr="0067091B">
        <w:t>to be passed if possible in 2018</w:t>
      </w:r>
      <w:r w:rsidRPr="00387810">
        <w:t>) [CAB-18-MIN-0174 refers]</w:t>
      </w:r>
    </w:p>
    <w:p w:rsidR="000559EF" w:rsidRDefault="000559EF" w:rsidP="002C4C2E">
      <w:pPr>
        <w:pStyle w:val="RecNumbering"/>
        <w:jc w:val="both"/>
      </w:pPr>
      <w:r w:rsidRPr="00387757">
        <w:rPr>
          <w:b/>
        </w:rPr>
        <w:t>agree</w:t>
      </w:r>
      <w:r w:rsidRPr="00BF1A6C">
        <w:t xml:space="preserve"> to proactively publish this Cabinet paper on the Ministry of Social Development’s website following the </w:t>
      </w:r>
      <w:r>
        <w:t>circulation</w:t>
      </w:r>
      <w:r w:rsidRPr="00BF1A6C">
        <w:t xml:space="preserve"> of the Supplementary Order Paper</w:t>
      </w:r>
    </w:p>
    <w:p w:rsidR="000559EF" w:rsidRDefault="000559EF" w:rsidP="002C4C2E">
      <w:pPr>
        <w:pStyle w:val="RecNumbering"/>
        <w:jc w:val="both"/>
      </w:pPr>
      <w:proofErr w:type="gramStart"/>
      <w:r>
        <w:rPr>
          <w:b/>
        </w:rPr>
        <w:t>note</w:t>
      </w:r>
      <w:proofErr w:type="gramEnd"/>
      <w:r w:rsidRPr="00F86EA7">
        <w:t xml:space="preserve"> that the Minister for Social Development </w:t>
      </w:r>
      <w:r>
        <w:t xml:space="preserve">will </w:t>
      </w:r>
      <w:r w:rsidRPr="00F86EA7">
        <w:t xml:space="preserve">report back to Cabinet on mechanisms for investigating and prosecuting </w:t>
      </w:r>
      <w:r>
        <w:t>breaches of title protection and other arising implementation issues</w:t>
      </w:r>
      <w:r w:rsidRPr="00BF1A6C">
        <w:t>.</w:t>
      </w:r>
    </w:p>
    <w:tbl>
      <w:tblPr>
        <w:tblW w:w="9645" w:type="dxa"/>
        <w:tblLayout w:type="fixed"/>
        <w:tblLook w:val="04A0" w:firstRow="1" w:lastRow="0" w:firstColumn="1" w:lastColumn="0" w:noHBand="0" w:noVBand="1"/>
      </w:tblPr>
      <w:tblGrid>
        <w:gridCol w:w="9645"/>
      </w:tblGrid>
      <w:tr w:rsidR="000559EF" w:rsidTr="002C4C2E">
        <w:trPr>
          <w:trHeight w:val="973"/>
        </w:trPr>
        <w:tc>
          <w:tcPr>
            <w:tcW w:w="9647" w:type="dxa"/>
          </w:tcPr>
          <w:p w:rsidR="000559EF" w:rsidRDefault="000559EF" w:rsidP="000559EF">
            <w:pPr>
              <w:keepNext/>
              <w:spacing w:line="276" w:lineRule="auto"/>
            </w:pPr>
          </w:p>
          <w:p w:rsidR="000559EF" w:rsidRDefault="000559EF" w:rsidP="000559EF">
            <w:pPr>
              <w:keepNext/>
              <w:spacing w:line="276" w:lineRule="auto"/>
            </w:pPr>
          </w:p>
          <w:p w:rsidR="000559EF" w:rsidRDefault="000559EF" w:rsidP="000559EF">
            <w:pPr>
              <w:keepNext/>
              <w:spacing w:line="276" w:lineRule="auto"/>
            </w:pPr>
          </w:p>
          <w:p w:rsidR="000559EF" w:rsidRDefault="000559EF" w:rsidP="000559EF">
            <w:pPr>
              <w:keepNext/>
              <w:spacing w:line="276" w:lineRule="auto"/>
            </w:pPr>
          </w:p>
          <w:p w:rsidR="000559EF" w:rsidRDefault="000559EF" w:rsidP="000559EF">
            <w:pPr>
              <w:keepNext/>
              <w:spacing w:line="276" w:lineRule="auto"/>
            </w:pPr>
          </w:p>
          <w:p w:rsidR="000559EF" w:rsidRDefault="000559EF" w:rsidP="000559EF">
            <w:pPr>
              <w:keepNext/>
              <w:spacing w:line="276" w:lineRule="auto"/>
            </w:pPr>
            <w:r>
              <w:t>Authorised for lodgement</w:t>
            </w:r>
          </w:p>
        </w:tc>
      </w:tr>
      <w:tr w:rsidR="000559EF" w:rsidTr="002C4C2E">
        <w:trPr>
          <w:trHeight w:val="432"/>
        </w:trPr>
        <w:tc>
          <w:tcPr>
            <w:tcW w:w="9647" w:type="dxa"/>
            <w:hideMark/>
          </w:tcPr>
          <w:p w:rsidR="000559EF" w:rsidRDefault="000559EF" w:rsidP="000559EF">
            <w:pPr>
              <w:keepNext/>
              <w:spacing w:line="276" w:lineRule="auto"/>
            </w:pPr>
            <w:r>
              <w:t>Hon Carmel Sepuloni</w:t>
            </w:r>
          </w:p>
          <w:p w:rsidR="000559EF" w:rsidRDefault="000559EF" w:rsidP="000559EF">
            <w:pPr>
              <w:keepNext/>
              <w:spacing w:line="276" w:lineRule="auto"/>
            </w:pPr>
            <w:r>
              <w:t>Minister for Social Development</w:t>
            </w:r>
          </w:p>
          <w:p w:rsidR="000559EF" w:rsidRDefault="000559EF" w:rsidP="000559EF">
            <w:pPr>
              <w:keepNext/>
              <w:spacing w:line="276" w:lineRule="auto"/>
            </w:pPr>
          </w:p>
        </w:tc>
      </w:tr>
    </w:tbl>
    <w:p w:rsidR="000559EF" w:rsidRDefault="000559EF" w:rsidP="002C4C2E"/>
    <w:p w:rsidR="000559EF" w:rsidRDefault="000559EF" w:rsidP="000559EF">
      <w:r>
        <w:t>______ / ______ / ______</w:t>
      </w:r>
    </w:p>
    <w:p w:rsidR="003D121F" w:rsidRDefault="003D121F" w:rsidP="005C52B3"/>
    <w:p w:rsidR="000F3269" w:rsidRDefault="000F3269" w:rsidP="00A87939">
      <w:bookmarkStart w:id="4" w:name="bkmCursorStart"/>
      <w:bookmarkEnd w:id="4"/>
    </w:p>
    <w:sectPr w:rsidR="000F3269" w:rsidSect="009566BD">
      <w:pgSz w:w="11907" w:h="16840" w:code="9"/>
      <w:pgMar w:top="1418" w:right="1134" w:bottom="1418" w:left="1134" w:header="709"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8A" w:rsidRDefault="0022198A">
      <w:r>
        <w:separator/>
      </w:r>
    </w:p>
  </w:endnote>
  <w:endnote w:type="continuationSeparator" w:id="0">
    <w:p w:rsidR="0022198A" w:rsidRDefault="0022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8A" w:rsidRDefault="0022198A">
      <w:r>
        <w:separator/>
      </w:r>
    </w:p>
  </w:footnote>
  <w:footnote w:type="continuationSeparator" w:id="0">
    <w:p w:rsidR="0022198A" w:rsidRDefault="0022198A">
      <w:r>
        <w:continuationSeparator/>
      </w:r>
    </w:p>
  </w:footnote>
  <w:footnote w:id="1">
    <w:p w:rsidR="005C52B3" w:rsidRDefault="005C52B3">
      <w:pPr>
        <w:pStyle w:val="FootnoteText"/>
      </w:pPr>
      <w:r>
        <w:rPr>
          <w:rStyle w:val="FootnoteReference"/>
        </w:rPr>
        <w:footnoteRef/>
      </w:r>
      <w:r>
        <w:t xml:space="preserve"> The </w:t>
      </w:r>
      <w:r w:rsidRPr="00DB341E">
        <w:t>HPCA Act</w:t>
      </w:r>
      <w:r>
        <w:t xml:space="preserve"> specifies that notices of scopes of practice </w:t>
      </w:r>
      <w:r w:rsidR="007E769F">
        <w:t xml:space="preserve">and prescribed qualifications </w:t>
      </w:r>
      <w:r>
        <w:t>are disallowable instruments for the purpose of the Legislation Act 2012. Therefore, they are regulations as defined in the Interpretation Act 1999 and are subject to review by the Regulations Review Committee of Parliament.</w:t>
      </w:r>
    </w:p>
  </w:footnote>
  <w:footnote w:id="2">
    <w:p w:rsidR="005C52B3" w:rsidRDefault="005C52B3" w:rsidP="003D121F">
      <w:pPr>
        <w:pStyle w:val="FootnoteText"/>
      </w:pPr>
      <w:r w:rsidRPr="00F007A6">
        <w:rPr>
          <w:rStyle w:val="FootnoteReference"/>
        </w:rPr>
        <w:footnoteRef/>
      </w:r>
      <w:r w:rsidRPr="00F007A6">
        <w:t xml:space="preserve"> </w:t>
      </w:r>
      <w:r w:rsidR="00943E4D" w:rsidRPr="00F007A6">
        <w:t>Freedom from discrimination because of the provision relating to 18 years olds getting special protections as witnesses; freedom from expression due to the limitations on speech around the use of the term "social worker"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4CC3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F30EF250"/>
    <w:lvl w:ilvl="0">
      <w:start w:val="1"/>
      <w:numFmt w:val="decimal"/>
      <w:pStyle w:val="ListNumber"/>
      <w:lvlText w:val="%1"/>
      <w:lvlJc w:val="left"/>
      <w:pPr>
        <w:tabs>
          <w:tab w:val="num" w:pos="567"/>
        </w:tabs>
        <w:ind w:left="567" w:hanging="567"/>
      </w:pPr>
      <w:rPr>
        <w:rFonts w:hint="default"/>
      </w:rPr>
    </w:lvl>
  </w:abstractNum>
  <w:abstractNum w:abstractNumId="2">
    <w:nsid w:val="FFFFFF89"/>
    <w:multiLevelType w:val="singleLevel"/>
    <w:tmpl w:val="E3C6AAA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C2453E"/>
    <w:multiLevelType w:val="multilevel"/>
    <w:tmpl w:val="E5CC7454"/>
    <w:lvl w:ilvl="0">
      <w:start w:val="1"/>
      <w:numFmt w:val="decimal"/>
      <w:pStyle w:val="RecNumbering"/>
      <w:lvlText w:val="%1"/>
      <w:lvlJc w:val="left"/>
      <w:pPr>
        <w:tabs>
          <w:tab w:val="num" w:pos="987"/>
        </w:tabs>
        <w:ind w:left="987" w:hanging="494"/>
      </w:pPr>
      <w:rPr>
        <w:rFonts w:hint="default"/>
        <w:b w:val="0"/>
      </w:rPr>
    </w:lvl>
    <w:lvl w:ilvl="1">
      <w:start w:val="1"/>
      <w:numFmt w:val="decimal"/>
      <w:pStyle w:val="RecNumbering2"/>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nsid w:val="3174597C"/>
    <w:multiLevelType w:val="multilevel"/>
    <w:tmpl w:val="DED069A6"/>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5">
    <w:nsid w:val="41103B76"/>
    <w:multiLevelType w:val="multilevel"/>
    <w:tmpl w:val="96DAD554"/>
    <w:lvl w:ilvl="0">
      <w:start w:val="1"/>
      <w:numFmt w:val="bullet"/>
      <w:lvlText w:val=""/>
      <w:lvlJc w:val="left"/>
      <w:pPr>
        <w:tabs>
          <w:tab w:val="num" w:pos="8291"/>
        </w:tabs>
        <w:ind w:left="8291" w:hanging="494"/>
      </w:pPr>
      <w:rPr>
        <w:rFonts w:ascii="Symbol" w:hAnsi="Symbol"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6">
    <w:nsid w:val="4662735D"/>
    <w:multiLevelType w:val="hybridMultilevel"/>
    <w:tmpl w:val="BECC413E"/>
    <w:lvl w:ilvl="0" w:tplc="E200A7C4">
      <w:start w:val="1"/>
      <w:numFmt w:val="bullet"/>
      <w:pStyle w:val="Bullet2"/>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2427"/>
        </w:tabs>
        <w:ind w:left="2427" w:hanging="360"/>
      </w:pPr>
      <w:rPr>
        <w:rFonts w:ascii="Courier New" w:hAnsi="Courier New" w:cs="Courier New" w:hint="default"/>
      </w:rPr>
    </w:lvl>
    <w:lvl w:ilvl="2" w:tplc="04090005" w:tentative="1">
      <w:start w:val="1"/>
      <w:numFmt w:val="bullet"/>
      <w:lvlText w:val=""/>
      <w:lvlJc w:val="left"/>
      <w:pPr>
        <w:tabs>
          <w:tab w:val="num" w:pos="3147"/>
        </w:tabs>
        <w:ind w:left="3147" w:hanging="360"/>
      </w:pPr>
      <w:rPr>
        <w:rFonts w:ascii="Wingdings" w:hAnsi="Wingdings" w:hint="default"/>
      </w:rPr>
    </w:lvl>
    <w:lvl w:ilvl="3" w:tplc="04090001" w:tentative="1">
      <w:start w:val="1"/>
      <w:numFmt w:val="bullet"/>
      <w:lvlText w:val=""/>
      <w:lvlJc w:val="left"/>
      <w:pPr>
        <w:tabs>
          <w:tab w:val="num" w:pos="3867"/>
        </w:tabs>
        <w:ind w:left="3867" w:hanging="360"/>
      </w:pPr>
      <w:rPr>
        <w:rFonts w:ascii="Symbol" w:hAnsi="Symbol" w:hint="default"/>
      </w:rPr>
    </w:lvl>
    <w:lvl w:ilvl="4" w:tplc="04090003" w:tentative="1">
      <w:start w:val="1"/>
      <w:numFmt w:val="bullet"/>
      <w:lvlText w:val="o"/>
      <w:lvlJc w:val="left"/>
      <w:pPr>
        <w:tabs>
          <w:tab w:val="num" w:pos="4587"/>
        </w:tabs>
        <w:ind w:left="4587" w:hanging="360"/>
      </w:pPr>
      <w:rPr>
        <w:rFonts w:ascii="Courier New" w:hAnsi="Courier New" w:cs="Courier New" w:hint="default"/>
      </w:rPr>
    </w:lvl>
    <w:lvl w:ilvl="5" w:tplc="04090005" w:tentative="1">
      <w:start w:val="1"/>
      <w:numFmt w:val="bullet"/>
      <w:lvlText w:val=""/>
      <w:lvlJc w:val="left"/>
      <w:pPr>
        <w:tabs>
          <w:tab w:val="num" w:pos="5307"/>
        </w:tabs>
        <w:ind w:left="5307" w:hanging="360"/>
      </w:pPr>
      <w:rPr>
        <w:rFonts w:ascii="Wingdings" w:hAnsi="Wingdings" w:hint="default"/>
      </w:rPr>
    </w:lvl>
    <w:lvl w:ilvl="6" w:tplc="04090001" w:tentative="1">
      <w:start w:val="1"/>
      <w:numFmt w:val="bullet"/>
      <w:lvlText w:val=""/>
      <w:lvlJc w:val="left"/>
      <w:pPr>
        <w:tabs>
          <w:tab w:val="num" w:pos="6027"/>
        </w:tabs>
        <w:ind w:left="6027" w:hanging="360"/>
      </w:pPr>
      <w:rPr>
        <w:rFonts w:ascii="Symbol" w:hAnsi="Symbol" w:hint="default"/>
      </w:rPr>
    </w:lvl>
    <w:lvl w:ilvl="7" w:tplc="04090003" w:tentative="1">
      <w:start w:val="1"/>
      <w:numFmt w:val="bullet"/>
      <w:lvlText w:val="o"/>
      <w:lvlJc w:val="left"/>
      <w:pPr>
        <w:tabs>
          <w:tab w:val="num" w:pos="6747"/>
        </w:tabs>
        <w:ind w:left="6747" w:hanging="360"/>
      </w:pPr>
      <w:rPr>
        <w:rFonts w:ascii="Courier New" w:hAnsi="Courier New" w:cs="Courier New" w:hint="default"/>
      </w:rPr>
    </w:lvl>
    <w:lvl w:ilvl="8" w:tplc="04090005" w:tentative="1">
      <w:start w:val="1"/>
      <w:numFmt w:val="bullet"/>
      <w:lvlText w:val=""/>
      <w:lvlJc w:val="left"/>
      <w:pPr>
        <w:tabs>
          <w:tab w:val="num" w:pos="7467"/>
        </w:tabs>
        <w:ind w:left="7467" w:hanging="360"/>
      </w:pPr>
      <w:rPr>
        <w:rFonts w:ascii="Wingdings" w:hAnsi="Wingdings" w:hint="default"/>
      </w:rPr>
    </w:lvl>
  </w:abstractNum>
  <w:abstractNum w:abstractNumId="7">
    <w:nsid w:val="50B865E7"/>
    <w:multiLevelType w:val="multilevel"/>
    <w:tmpl w:val="3DB482FC"/>
    <w:styleLink w:val="RecList"/>
    <w:lvl w:ilvl="0">
      <w:start w:val="1"/>
      <w:numFmt w:val="decimal"/>
      <w:lvlText w:val="%1"/>
      <w:lvlJc w:val="left"/>
      <w:pPr>
        <w:tabs>
          <w:tab w:val="num" w:pos="987"/>
        </w:tabs>
        <w:ind w:left="987" w:hanging="494"/>
      </w:pPr>
      <w:rPr>
        <w:rFonts w:hint="default"/>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nsid w:val="59F54BCE"/>
    <w:multiLevelType w:val="multilevel"/>
    <w:tmpl w:val="7662F0D2"/>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9">
    <w:nsid w:val="5ADA139A"/>
    <w:multiLevelType w:val="hybridMultilevel"/>
    <w:tmpl w:val="B6F6A9C0"/>
    <w:lvl w:ilvl="0" w:tplc="814A6F34">
      <w:start w:val="1"/>
      <w:numFmt w:val="bullet"/>
      <w:pStyle w:val="Bullet1"/>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45076D"/>
    <w:multiLevelType w:val="multilevel"/>
    <w:tmpl w:val="7D5E1ACA"/>
    <w:lvl w:ilvl="0">
      <w:start w:val="1"/>
      <w:numFmt w:val="bullet"/>
      <w:lvlText w:val=""/>
      <w:lvlJc w:val="left"/>
      <w:pPr>
        <w:tabs>
          <w:tab w:val="num" w:pos="988"/>
        </w:tabs>
        <w:ind w:left="988" w:hanging="494"/>
      </w:pPr>
      <w:rPr>
        <w:rFonts w:ascii="Symbol" w:hAnsi="Symbol" w:hint="default"/>
      </w:rPr>
    </w:lvl>
    <w:lvl w:ilvl="1">
      <w:start w:val="1"/>
      <w:numFmt w:val="decimal"/>
      <w:lvlText w:val="%1.%2"/>
      <w:lvlJc w:val="left"/>
      <w:pPr>
        <w:tabs>
          <w:tab w:val="num" w:pos="987"/>
        </w:tabs>
        <w:ind w:left="1481" w:hanging="493"/>
      </w:pPr>
      <w:rPr>
        <w:rFonts w:hint="default"/>
      </w:rPr>
    </w:lvl>
    <w:lvl w:ilvl="2">
      <w:start w:val="1"/>
      <w:numFmt w:val="decimal"/>
      <w:lvlText w:val="%1.%2.%3"/>
      <w:lvlJc w:val="left"/>
      <w:pPr>
        <w:tabs>
          <w:tab w:val="num" w:pos="1174"/>
        </w:tabs>
        <w:ind w:left="2161" w:hanging="680"/>
      </w:pPr>
      <w:rPr>
        <w:rFonts w:hint="default"/>
      </w:rPr>
    </w:lvl>
    <w:lvl w:ilvl="3">
      <w:start w:val="1"/>
      <w:numFmt w:val="decimal"/>
      <w:lvlText w:val="%1.%2.%3.%4."/>
      <w:lvlJc w:val="left"/>
      <w:pPr>
        <w:tabs>
          <w:tab w:val="num" w:pos="2134"/>
        </w:tabs>
        <w:ind w:left="1702" w:hanging="648"/>
      </w:pPr>
      <w:rPr>
        <w:rFonts w:hint="default"/>
      </w:rPr>
    </w:lvl>
    <w:lvl w:ilvl="4">
      <w:start w:val="1"/>
      <w:numFmt w:val="decimal"/>
      <w:lvlText w:val="%1.%2.%3.%4.%5."/>
      <w:lvlJc w:val="left"/>
      <w:pPr>
        <w:tabs>
          <w:tab w:val="num" w:pos="2494"/>
        </w:tabs>
        <w:ind w:left="2206" w:hanging="792"/>
      </w:pPr>
      <w:rPr>
        <w:rFonts w:hint="default"/>
      </w:rPr>
    </w:lvl>
    <w:lvl w:ilvl="5">
      <w:start w:val="1"/>
      <w:numFmt w:val="decimal"/>
      <w:lvlText w:val="%1.%2.%3.%4.%5.%6."/>
      <w:lvlJc w:val="left"/>
      <w:pPr>
        <w:tabs>
          <w:tab w:val="num" w:pos="3214"/>
        </w:tabs>
        <w:ind w:left="2710" w:hanging="936"/>
      </w:pPr>
      <w:rPr>
        <w:rFonts w:hint="default"/>
      </w:rPr>
    </w:lvl>
    <w:lvl w:ilvl="6">
      <w:start w:val="1"/>
      <w:numFmt w:val="decimal"/>
      <w:lvlText w:val="%1.%2.%3.%4.%5.%6.%7."/>
      <w:lvlJc w:val="left"/>
      <w:pPr>
        <w:tabs>
          <w:tab w:val="num" w:pos="3574"/>
        </w:tabs>
        <w:ind w:left="3214" w:hanging="1080"/>
      </w:pPr>
      <w:rPr>
        <w:rFonts w:hint="default"/>
      </w:rPr>
    </w:lvl>
    <w:lvl w:ilvl="7">
      <w:start w:val="1"/>
      <w:numFmt w:val="decimal"/>
      <w:lvlText w:val="%1.%2.%3.%4.%5.%6.%7.%8."/>
      <w:lvlJc w:val="left"/>
      <w:pPr>
        <w:tabs>
          <w:tab w:val="num" w:pos="4294"/>
        </w:tabs>
        <w:ind w:left="3718" w:hanging="1224"/>
      </w:pPr>
      <w:rPr>
        <w:rFonts w:hint="default"/>
      </w:rPr>
    </w:lvl>
    <w:lvl w:ilvl="8">
      <w:start w:val="1"/>
      <w:numFmt w:val="decimal"/>
      <w:lvlText w:val="%1.%2.%3.%4.%5.%6.%7.%8.%9."/>
      <w:lvlJc w:val="left"/>
      <w:pPr>
        <w:tabs>
          <w:tab w:val="num" w:pos="4654"/>
        </w:tabs>
        <w:ind w:left="4294" w:hanging="1440"/>
      </w:pPr>
      <w:rPr>
        <w:rFonts w:hint="default"/>
      </w:rPr>
    </w:lvl>
  </w:abstractNum>
  <w:abstractNum w:abstractNumId="11">
    <w:nsid w:val="713D7592"/>
    <w:multiLevelType w:val="multilevel"/>
    <w:tmpl w:val="7D5E1ACA"/>
    <w:lvl w:ilvl="0">
      <w:start w:val="1"/>
      <w:numFmt w:val="bullet"/>
      <w:lvlText w:val=""/>
      <w:lvlJc w:val="left"/>
      <w:pPr>
        <w:tabs>
          <w:tab w:val="num" w:pos="988"/>
        </w:tabs>
        <w:ind w:left="988" w:hanging="494"/>
      </w:pPr>
      <w:rPr>
        <w:rFonts w:ascii="Symbol" w:hAnsi="Symbol" w:hint="default"/>
      </w:rPr>
    </w:lvl>
    <w:lvl w:ilvl="1">
      <w:start w:val="1"/>
      <w:numFmt w:val="decimal"/>
      <w:lvlText w:val="%1.%2"/>
      <w:lvlJc w:val="left"/>
      <w:pPr>
        <w:tabs>
          <w:tab w:val="num" w:pos="987"/>
        </w:tabs>
        <w:ind w:left="1481" w:hanging="493"/>
      </w:pPr>
      <w:rPr>
        <w:rFonts w:hint="default"/>
      </w:rPr>
    </w:lvl>
    <w:lvl w:ilvl="2">
      <w:start w:val="1"/>
      <w:numFmt w:val="decimal"/>
      <w:lvlText w:val="%1.%2.%3"/>
      <w:lvlJc w:val="left"/>
      <w:pPr>
        <w:tabs>
          <w:tab w:val="num" w:pos="1174"/>
        </w:tabs>
        <w:ind w:left="2161" w:hanging="680"/>
      </w:pPr>
      <w:rPr>
        <w:rFonts w:hint="default"/>
      </w:rPr>
    </w:lvl>
    <w:lvl w:ilvl="3">
      <w:start w:val="1"/>
      <w:numFmt w:val="decimal"/>
      <w:lvlText w:val="%1.%2.%3.%4."/>
      <w:lvlJc w:val="left"/>
      <w:pPr>
        <w:tabs>
          <w:tab w:val="num" w:pos="2134"/>
        </w:tabs>
        <w:ind w:left="1702" w:hanging="648"/>
      </w:pPr>
      <w:rPr>
        <w:rFonts w:hint="default"/>
      </w:rPr>
    </w:lvl>
    <w:lvl w:ilvl="4">
      <w:start w:val="1"/>
      <w:numFmt w:val="decimal"/>
      <w:lvlText w:val="%1.%2.%3.%4.%5."/>
      <w:lvlJc w:val="left"/>
      <w:pPr>
        <w:tabs>
          <w:tab w:val="num" w:pos="2494"/>
        </w:tabs>
        <w:ind w:left="2206" w:hanging="792"/>
      </w:pPr>
      <w:rPr>
        <w:rFonts w:hint="default"/>
      </w:rPr>
    </w:lvl>
    <w:lvl w:ilvl="5">
      <w:start w:val="1"/>
      <w:numFmt w:val="decimal"/>
      <w:lvlText w:val="%1.%2.%3.%4.%5.%6."/>
      <w:lvlJc w:val="left"/>
      <w:pPr>
        <w:tabs>
          <w:tab w:val="num" w:pos="3214"/>
        </w:tabs>
        <w:ind w:left="2710" w:hanging="936"/>
      </w:pPr>
      <w:rPr>
        <w:rFonts w:hint="default"/>
      </w:rPr>
    </w:lvl>
    <w:lvl w:ilvl="6">
      <w:start w:val="1"/>
      <w:numFmt w:val="decimal"/>
      <w:lvlText w:val="%1.%2.%3.%4.%5.%6.%7."/>
      <w:lvlJc w:val="left"/>
      <w:pPr>
        <w:tabs>
          <w:tab w:val="num" w:pos="3574"/>
        </w:tabs>
        <w:ind w:left="3214" w:hanging="1080"/>
      </w:pPr>
      <w:rPr>
        <w:rFonts w:hint="default"/>
      </w:rPr>
    </w:lvl>
    <w:lvl w:ilvl="7">
      <w:start w:val="1"/>
      <w:numFmt w:val="decimal"/>
      <w:lvlText w:val="%1.%2.%3.%4.%5.%6.%7.%8."/>
      <w:lvlJc w:val="left"/>
      <w:pPr>
        <w:tabs>
          <w:tab w:val="num" w:pos="4294"/>
        </w:tabs>
        <w:ind w:left="3718" w:hanging="1224"/>
      </w:pPr>
      <w:rPr>
        <w:rFonts w:hint="default"/>
      </w:rPr>
    </w:lvl>
    <w:lvl w:ilvl="8">
      <w:start w:val="1"/>
      <w:numFmt w:val="decimal"/>
      <w:lvlText w:val="%1.%2.%3.%4.%5.%6.%7.%8.%9."/>
      <w:lvlJc w:val="left"/>
      <w:pPr>
        <w:tabs>
          <w:tab w:val="num" w:pos="4654"/>
        </w:tabs>
        <w:ind w:left="4294" w:hanging="1440"/>
      </w:pPr>
      <w:rPr>
        <w:rFonts w:hint="default"/>
      </w:rPr>
    </w:lvl>
  </w:abstractNum>
  <w:abstractNum w:abstractNumId="12">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3"/>
  </w:num>
  <w:num w:numId="3">
    <w:abstractNumId w:val="12"/>
  </w:num>
  <w:num w:numId="4">
    <w:abstractNumId w:val="8"/>
  </w:num>
  <w:num w:numId="5">
    <w:abstractNumId w:val="8"/>
  </w:num>
  <w:num w:numId="6">
    <w:abstractNumId w:val="9"/>
  </w:num>
  <w:num w:numId="7">
    <w:abstractNumId w:val="6"/>
  </w:num>
  <w:num w:numId="8">
    <w:abstractNumId w:val="2"/>
  </w:num>
  <w:num w:numId="9">
    <w:abstractNumId w:val="0"/>
  </w:num>
  <w:num w:numId="10">
    <w:abstractNumId w:val="1"/>
  </w:num>
  <w:num w:numId="11">
    <w:abstractNumId w:val="5"/>
  </w:num>
  <w:num w:numId="12">
    <w:abstractNumId w:val="8"/>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bullet"/>
        <w:pStyle w:val="BodyTextlevel2"/>
        <w:lvlText w:val=""/>
        <w:lvlJc w:val="left"/>
        <w:pPr>
          <w:tabs>
            <w:tab w:val="num" w:pos="493"/>
          </w:tabs>
          <w:ind w:left="987" w:hanging="493"/>
        </w:pPr>
        <w:rPr>
          <w:rFonts w:ascii="Symbol" w:hAnsi="Symbol"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13">
    <w:abstractNumId w:val="11"/>
  </w:num>
  <w:num w:numId="14">
    <w:abstractNumId w:val="10"/>
  </w:num>
  <w:num w:numId="15">
    <w:abstractNumId w:val="8"/>
  </w:num>
  <w:num w:numId="16">
    <w:abstractNumId w:val="8"/>
  </w:num>
  <w:num w:numId="17">
    <w:abstractNumId w:val="8"/>
  </w:num>
  <w:num w:numId="18">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NZ" w:vendorID="8" w:dllVersion="513" w:checkStyle="1"/>
  <w:activeWritingStyle w:appName="MSWord" w:lang="en-GB" w:vendorID="8" w:dllVersion="513" w:checkStyle="1"/>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1F"/>
    <w:rsid w:val="0000206B"/>
    <w:rsid w:val="00005729"/>
    <w:rsid w:val="0001360E"/>
    <w:rsid w:val="00013937"/>
    <w:rsid w:val="00036757"/>
    <w:rsid w:val="00040CCF"/>
    <w:rsid w:val="000559EF"/>
    <w:rsid w:val="000578C2"/>
    <w:rsid w:val="000816B2"/>
    <w:rsid w:val="000A5F57"/>
    <w:rsid w:val="000C27CE"/>
    <w:rsid w:val="000C2819"/>
    <w:rsid w:val="000C71F3"/>
    <w:rsid w:val="000C7617"/>
    <w:rsid w:val="000D15F7"/>
    <w:rsid w:val="000E01F5"/>
    <w:rsid w:val="000E2768"/>
    <w:rsid w:val="000F3269"/>
    <w:rsid w:val="00101F4F"/>
    <w:rsid w:val="0010300C"/>
    <w:rsid w:val="001051CC"/>
    <w:rsid w:val="00122763"/>
    <w:rsid w:val="001250FE"/>
    <w:rsid w:val="0012561C"/>
    <w:rsid w:val="00125E3C"/>
    <w:rsid w:val="001264C3"/>
    <w:rsid w:val="001410CD"/>
    <w:rsid w:val="001543D9"/>
    <w:rsid w:val="00157D19"/>
    <w:rsid w:val="001640E4"/>
    <w:rsid w:val="001733FB"/>
    <w:rsid w:val="00183C9B"/>
    <w:rsid w:val="0019255B"/>
    <w:rsid w:val="001B4E9D"/>
    <w:rsid w:val="001C19E6"/>
    <w:rsid w:val="001D4D36"/>
    <w:rsid w:val="001E6D91"/>
    <w:rsid w:val="002032DD"/>
    <w:rsid w:val="00205EA7"/>
    <w:rsid w:val="00207CD6"/>
    <w:rsid w:val="0022198A"/>
    <w:rsid w:val="00240D1B"/>
    <w:rsid w:val="00257C9B"/>
    <w:rsid w:val="00257D2B"/>
    <w:rsid w:val="0026138D"/>
    <w:rsid w:val="00264D23"/>
    <w:rsid w:val="00267DBF"/>
    <w:rsid w:val="00274342"/>
    <w:rsid w:val="00280615"/>
    <w:rsid w:val="00282C7D"/>
    <w:rsid w:val="002847DE"/>
    <w:rsid w:val="00285679"/>
    <w:rsid w:val="0029172E"/>
    <w:rsid w:val="0029449A"/>
    <w:rsid w:val="002A161B"/>
    <w:rsid w:val="002A45C6"/>
    <w:rsid w:val="002B259B"/>
    <w:rsid w:val="002C6173"/>
    <w:rsid w:val="002C7635"/>
    <w:rsid w:val="002D78FD"/>
    <w:rsid w:val="002D7C4D"/>
    <w:rsid w:val="002F617C"/>
    <w:rsid w:val="00302697"/>
    <w:rsid w:val="00310953"/>
    <w:rsid w:val="003122B8"/>
    <w:rsid w:val="003236AA"/>
    <w:rsid w:val="00324EA7"/>
    <w:rsid w:val="003257F4"/>
    <w:rsid w:val="00343D00"/>
    <w:rsid w:val="003460E5"/>
    <w:rsid w:val="00357075"/>
    <w:rsid w:val="00385901"/>
    <w:rsid w:val="003A035D"/>
    <w:rsid w:val="003A26AB"/>
    <w:rsid w:val="003B1F48"/>
    <w:rsid w:val="003B2A5D"/>
    <w:rsid w:val="003D079B"/>
    <w:rsid w:val="003D121F"/>
    <w:rsid w:val="003D12A3"/>
    <w:rsid w:val="003D1536"/>
    <w:rsid w:val="003D2297"/>
    <w:rsid w:val="003F0267"/>
    <w:rsid w:val="003F6621"/>
    <w:rsid w:val="00401E87"/>
    <w:rsid w:val="00413108"/>
    <w:rsid w:val="004305CC"/>
    <w:rsid w:val="00436424"/>
    <w:rsid w:val="00437A44"/>
    <w:rsid w:val="0044381D"/>
    <w:rsid w:val="00443B3B"/>
    <w:rsid w:val="00443D9D"/>
    <w:rsid w:val="00446517"/>
    <w:rsid w:val="00446D5F"/>
    <w:rsid w:val="004514CC"/>
    <w:rsid w:val="00454CE1"/>
    <w:rsid w:val="00467A68"/>
    <w:rsid w:val="004A5B07"/>
    <w:rsid w:val="004A60A9"/>
    <w:rsid w:val="004A75F3"/>
    <w:rsid w:val="004C0B9F"/>
    <w:rsid w:val="004C635D"/>
    <w:rsid w:val="004D049E"/>
    <w:rsid w:val="004D1055"/>
    <w:rsid w:val="005010D2"/>
    <w:rsid w:val="00514FAA"/>
    <w:rsid w:val="00517877"/>
    <w:rsid w:val="005446F5"/>
    <w:rsid w:val="00550CBC"/>
    <w:rsid w:val="00554AF2"/>
    <w:rsid w:val="00580D84"/>
    <w:rsid w:val="00581A73"/>
    <w:rsid w:val="00586B74"/>
    <w:rsid w:val="00594BDC"/>
    <w:rsid w:val="005A07FA"/>
    <w:rsid w:val="005A13B0"/>
    <w:rsid w:val="005A1776"/>
    <w:rsid w:val="005A34FE"/>
    <w:rsid w:val="005B14CC"/>
    <w:rsid w:val="005C52B3"/>
    <w:rsid w:val="0062494C"/>
    <w:rsid w:val="00625AB5"/>
    <w:rsid w:val="00641B08"/>
    <w:rsid w:val="00642EB5"/>
    <w:rsid w:val="006651BA"/>
    <w:rsid w:val="00670D1E"/>
    <w:rsid w:val="006802B4"/>
    <w:rsid w:val="00683268"/>
    <w:rsid w:val="006C441D"/>
    <w:rsid w:val="006D2F77"/>
    <w:rsid w:val="006D4975"/>
    <w:rsid w:val="006D6C37"/>
    <w:rsid w:val="006E595C"/>
    <w:rsid w:val="006F3D86"/>
    <w:rsid w:val="006F70BE"/>
    <w:rsid w:val="007042E2"/>
    <w:rsid w:val="00751DA0"/>
    <w:rsid w:val="00765383"/>
    <w:rsid w:val="007742FF"/>
    <w:rsid w:val="00774C0B"/>
    <w:rsid w:val="0078714C"/>
    <w:rsid w:val="00791B40"/>
    <w:rsid w:val="007A2A2E"/>
    <w:rsid w:val="007B0CAE"/>
    <w:rsid w:val="007B6119"/>
    <w:rsid w:val="007C0D2F"/>
    <w:rsid w:val="007C2AA0"/>
    <w:rsid w:val="007C319C"/>
    <w:rsid w:val="007D0816"/>
    <w:rsid w:val="007D0E71"/>
    <w:rsid w:val="007E769F"/>
    <w:rsid w:val="007F4E8E"/>
    <w:rsid w:val="007F746A"/>
    <w:rsid w:val="00826559"/>
    <w:rsid w:val="00846DDE"/>
    <w:rsid w:val="00856235"/>
    <w:rsid w:val="00880561"/>
    <w:rsid w:val="008827DA"/>
    <w:rsid w:val="00893EE4"/>
    <w:rsid w:val="00893F4A"/>
    <w:rsid w:val="008B5BB0"/>
    <w:rsid w:val="008D3072"/>
    <w:rsid w:val="008F1140"/>
    <w:rsid w:val="008F2AA2"/>
    <w:rsid w:val="008F5C66"/>
    <w:rsid w:val="00901474"/>
    <w:rsid w:val="009055E9"/>
    <w:rsid w:val="00906500"/>
    <w:rsid w:val="0091080C"/>
    <w:rsid w:val="00912CFA"/>
    <w:rsid w:val="009153AE"/>
    <w:rsid w:val="009323BF"/>
    <w:rsid w:val="0094270B"/>
    <w:rsid w:val="00942C08"/>
    <w:rsid w:val="00943E4D"/>
    <w:rsid w:val="009566BD"/>
    <w:rsid w:val="00957A7B"/>
    <w:rsid w:val="00972395"/>
    <w:rsid w:val="00974CCC"/>
    <w:rsid w:val="00976387"/>
    <w:rsid w:val="00976D39"/>
    <w:rsid w:val="00996187"/>
    <w:rsid w:val="009A06F2"/>
    <w:rsid w:val="009B3903"/>
    <w:rsid w:val="009D006A"/>
    <w:rsid w:val="009D0C53"/>
    <w:rsid w:val="009D7496"/>
    <w:rsid w:val="009E3CE3"/>
    <w:rsid w:val="009E3D86"/>
    <w:rsid w:val="009F05A3"/>
    <w:rsid w:val="00A00B05"/>
    <w:rsid w:val="00A01958"/>
    <w:rsid w:val="00A11DF6"/>
    <w:rsid w:val="00A1489C"/>
    <w:rsid w:val="00A150A1"/>
    <w:rsid w:val="00A168CF"/>
    <w:rsid w:val="00A24645"/>
    <w:rsid w:val="00A32350"/>
    <w:rsid w:val="00A32EE0"/>
    <w:rsid w:val="00A51C4B"/>
    <w:rsid w:val="00A74BAF"/>
    <w:rsid w:val="00A87939"/>
    <w:rsid w:val="00A9246A"/>
    <w:rsid w:val="00AA3AE4"/>
    <w:rsid w:val="00AC186D"/>
    <w:rsid w:val="00AC46FB"/>
    <w:rsid w:val="00AD3DC3"/>
    <w:rsid w:val="00AD4E15"/>
    <w:rsid w:val="00AF2AAD"/>
    <w:rsid w:val="00B049BE"/>
    <w:rsid w:val="00B1230D"/>
    <w:rsid w:val="00B3038C"/>
    <w:rsid w:val="00B31E9D"/>
    <w:rsid w:val="00B33D5E"/>
    <w:rsid w:val="00B56BE6"/>
    <w:rsid w:val="00B62031"/>
    <w:rsid w:val="00B63E9A"/>
    <w:rsid w:val="00B666B8"/>
    <w:rsid w:val="00B66E0D"/>
    <w:rsid w:val="00B7068F"/>
    <w:rsid w:val="00B76E88"/>
    <w:rsid w:val="00B8266A"/>
    <w:rsid w:val="00B83BE5"/>
    <w:rsid w:val="00BB4A9E"/>
    <w:rsid w:val="00BB5578"/>
    <w:rsid w:val="00BC0E6D"/>
    <w:rsid w:val="00BC4F4F"/>
    <w:rsid w:val="00BC56C9"/>
    <w:rsid w:val="00BE140E"/>
    <w:rsid w:val="00BF0D83"/>
    <w:rsid w:val="00BF19D4"/>
    <w:rsid w:val="00BF260F"/>
    <w:rsid w:val="00BF5BE7"/>
    <w:rsid w:val="00BF7082"/>
    <w:rsid w:val="00BF7478"/>
    <w:rsid w:val="00C02369"/>
    <w:rsid w:val="00C13857"/>
    <w:rsid w:val="00C1389B"/>
    <w:rsid w:val="00C167ED"/>
    <w:rsid w:val="00C20C14"/>
    <w:rsid w:val="00C519D9"/>
    <w:rsid w:val="00C6503E"/>
    <w:rsid w:val="00CB3599"/>
    <w:rsid w:val="00CC013B"/>
    <w:rsid w:val="00D026D6"/>
    <w:rsid w:val="00D043D2"/>
    <w:rsid w:val="00D105FE"/>
    <w:rsid w:val="00D12C54"/>
    <w:rsid w:val="00D13710"/>
    <w:rsid w:val="00D230FD"/>
    <w:rsid w:val="00D30511"/>
    <w:rsid w:val="00D3672D"/>
    <w:rsid w:val="00D44762"/>
    <w:rsid w:val="00D60A62"/>
    <w:rsid w:val="00D63B42"/>
    <w:rsid w:val="00D757CD"/>
    <w:rsid w:val="00D84AC9"/>
    <w:rsid w:val="00D92BB5"/>
    <w:rsid w:val="00D95151"/>
    <w:rsid w:val="00D95D97"/>
    <w:rsid w:val="00D979A9"/>
    <w:rsid w:val="00DA01EA"/>
    <w:rsid w:val="00DB1B0C"/>
    <w:rsid w:val="00DB2759"/>
    <w:rsid w:val="00DB341E"/>
    <w:rsid w:val="00DB6C46"/>
    <w:rsid w:val="00DC13C4"/>
    <w:rsid w:val="00DD5969"/>
    <w:rsid w:val="00DF22FE"/>
    <w:rsid w:val="00E03707"/>
    <w:rsid w:val="00E07D40"/>
    <w:rsid w:val="00E21D56"/>
    <w:rsid w:val="00E22273"/>
    <w:rsid w:val="00E27B01"/>
    <w:rsid w:val="00E32CBA"/>
    <w:rsid w:val="00E66D21"/>
    <w:rsid w:val="00E761F7"/>
    <w:rsid w:val="00E812C3"/>
    <w:rsid w:val="00E8585B"/>
    <w:rsid w:val="00E87DA8"/>
    <w:rsid w:val="00EA2502"/>
    <w:rsid w:val="00EA58C0"/>
    <w:rsid w:val="00EB4BD7"/>
    <w:rsid w:val="00ED6A94"/>
    <w:rsid w:val="00EE12DB"/>
    <w:rsid w:val="00EE78E2"/>
    <w:rsid w:val="00EF0472"/>
    <w:rsid w:val="00EF2B71"/>
    <w:rsid w:val="00F007A6"/>
    <w:rsid w:val="00F02106"/>
    <w:rsid w:val="00F07626"/>
    <w:rsid w:val="00F07F10"/>
    <w:rsid w:val="00F13C36"/>
    <w:rsid w:val="00F15B87"/>
    <w:rsid w:val="00F35F61"/>
    <w:rsid w:val="00F36CB5"/>
    <w:rsid w:val="00F42C59"/>
    <w:rsid w:val="00F67B74"/>
    <w:rsid w:val="00F67F84"/>
    <w:rsid w:val="00F812D4"/>
    <w:rsid w:val="00F8592C"/>
    <w:rsid w:val="00F90F33"/>
    <w:rsid w:val="00F920C4"/>
    <w:rsid w:val="00F93FE3"/>
    <w:rsid w:val="00FA204F"/>
    <w:rsid w:val="00FB1E75"/>
    <w:rsid w:val="00FC397D"/>
    <w:rsid w:val="00FD47D4"/>
    <w:rsid w:val="00FE0452"/>
    <w:rsid w:val="00FE34DC"/>
    <w:rsid w:val="00FF6A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semiHidden="0"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305CC"/>
    <w:pPr>
      <w:jc w:val="both"/>
    </w:pPr>
    <w:rPr>
      <w:rFonts w:ascii="Arial" w:hAnsi="Arial"/>
      <w:sz w:val="22"/>
      <w:lang w:eastAsia="en-US"/>
    </w:rPr>
  </w:style>
  <w:style w:type="paragraph" w:styleId="Heading1">
    <w:name w:val="heading 1"/>
    <w:basedOn w:val="Normal"/>
    <w:next w:val="BodyText"/>
    <w:qFormat/>
    <w:rsid w:val="000E01F5"/>
    <w:pPr>
      <w:keepNext/>
      <w:spacing w:before="360"/>
      <w:jc w:val="left"/>
      <w:outlineLvl w:val="0"/>
    </w:pPr>
    <w:rPr>
      <w:rFonts w:ascii="Arial Mäori" w:hAnsi="Arial Mäori"/>
      <w:b/>
      <w:kern w:val="28"/>
      <w:sz w:val="24"/>
    </w:rPr>
  </w:style>
  <w:style w:type="paragraph" w:styleId="Heading2">
    <w:name w:val="heading 2"/>
    <w:basedOn w:val="Heading1"/>
    <w:next w:val="BodyText"/>
    <w:qFormat/>
    <w:rsid w:val="000E01F5"/>
    <w:pPr>
      <w:outlineLvl w:val="1"/>
    </w:pPr>
    <w:rPr>
      <w:sz w:val="22"/>
      <w:szCs w:val="28"/>
    </w:rPr>
  </w:style>
  <w:style w:type="paragraph" w:styleId="Heading3">
    <w:name w:val="heading 3"/>
    <w:basedOn w:val="Heading2"/>
    <w:next w:val="BodyText"/>
    <w:qFormat/>
    <w:rsid w:val="00D63B42"/>
    <w:pPr>
      <w:outlineLvl w:val="2"/>
    </w:pPr>
    <w:rPr>
      <w:rFonts w:cs="Arial"/>
      <w:b w:val="0"/>
      <w:bCs/>
      <w:i/>
      <w:szCs w:val="24"/>
    </w:rPr>
  </w:style>
  <w:style w:type="paragraph" w:styleId="Heading4">
    <w:name w:val="heading 4"/>
    <w:basedOn w:val="Heading3"/>
    <w:next w:val="ListNumber"/>
    <w:semiHidden/>
    <w:qFormat/>
    <w:rsid w:val="00D63B42"/>
    <w:pPr>
      <w:outlineLvl w:val="3"/>
    </w:pPr>
    <w:rPr>
      <w:bCs w:val="0"/>
      <w:i w:val="0"/>
      <w:szCs w:val="28"/>
    </w:rPr>
  </w:style>
  <w:style w:type="paragraph" w:styleId="Heading5">
    <w:name w:val="heading 5"/>
    <w:basedOn w:val="Normal"/>
    <w:next w:val="Normal"/>
    <w:semiHidden/>
    <w:qFormat/>
    <w:rsid w:val="00D63B42"/>
    <w:pPr>
      <w:spacing w:before="240"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before="240" w:after="60"/>
      <w:outlineLvl w:val="5"/>
    </w:pPr>
    <w:rPr>
      <w:rFonts w:ascii="Arial Mäori" w:hAnsi="Arial Mäori"/>
      <w:b/>
      <w:bCs/>
      <w:szCs w:val="22"/>
    </w:rPr>
  </w:style>
  <w:style w:type="paragraph" w:styleId="Heading7">
    <w:name w:val="heading 7"/>
    <w:basedOn w:val="Normal"/>
    <w:next w:val="Normal"/>
    <w:semiHidden/>
    <w:qFormat/>
    <w:rsid w:val="00D63B42"/>
    <w:pPr>
      <w:spacing w:before="240" w:after="60"/>
      <w:outlineLvl w:val="6"/>
    </w:pPr>
    <w:rPr>
      <w:rFonts w:ascii="Arial Mäori" w:hAnsi="Arial Mäori"/>
      <w:sz w:val="24"/>
      <w:szCs w:val="24"/>
    </w:rPr>
  </w:style>
  <w:style w:type="paragraph" w:styleId="Heading8">
    <w:name w:val="heading 8"/>
    <w:basedOn w:val="Normal"/>
    <w:next w:val="Normal"/>
    <w:semiHidden/>
    <w:qFormat/>
    <w:rsid w:val="00D63B42"/>
    <w:pPr>
      <w:spacing w:before="240" w:after="60"/>
      <w:outlineLvl w:val="7"/>
    </w:pPr>
    <w:rPr>
      <w:rFonts w:ascii="Arial Mäori" w:hAnsi="Arial Mäori"/>
      <w:i/>
      <w:iCs/>
      <w:sz w:val="24"/>
      <w:szCs w:val="24"/>
    </w:rPr>
  </w:style>
  <w:style w:type="paragraph" w:styleId="Heading9">
    <w:name w:val="heading 9"/>
    <w:basedOn w:val="Normal"/>
    <w:next w:val="Normal"/>
    <w:semiHidden/>
    <w:qFormat/>
    <w:rsid w:val="00D63B42"/>
    <w:pPr>
      <w:spacing w:before="240" w:after="60"/>
      <w:outlineLvl w:val="8"/>
    </w:pPr>
    <w:rPr>
      <w:rFonts w:ascii="Arial Mäori" w:hAnsi="Arial Mäor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rsid w:val="00EE78E2"/>
    <w:pPr>
      <w:numPr>
        <w:numId w:val="5"/>
      </w:numPr>
      <w:spacing w:before="240"/>
      <w:jc w:val="left"/>
    </w:pPr>
    <w:rPr>
      <w:rFonts w:ascii="Arial Mäori" w:hAnsi="Arial Mäori"/>
      <w:szCs w:val="22"/>
    </w:rPr>
  </w:style>
  <w:style w:type="paragraph" w:customStyle="1" w:styleId="Subject">
    <w:name w:val="Subject"/>
    <w:basedOn w:val="Normal"/>
    <w:next w:val="Normal"/>
    <w:semiHidden/>
    <w:rsid w:val="00D63B42"/>
    <w:pPr>
      <w:spacing w:before="240"/>
    </w:pPr>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jc w:val="left"/>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spacing w:before="240"/>
      <w:jc w:val="left"/>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jc w:val="left"/>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semiHidden/>
    <w:rsid w:val="00EE78E2"/>
    <w:pPr>
      <w:tabs>
        <w:tab w:val="center" w:pos="4153"/>
        <w:tab w:val="right" w:pos="8306"/>
      </w:tabs>
      <w:jc w:val="left"/>
    </w:pPr>
    <w:rPr>
      <w:sz w:val="18"/>
    </w:rPr>
  </w:style>
  <w:style w:type="paragraph" w:styleId="Header">
    <w:name w:val="header"/>
    <w:basedOn w:val="Normal"/>
    <w:semiHidden/>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jc w:val="left"/>
    </w:pPr>
    <w:rPr>
      <w:rFonts w:ascii="Arial Mäori" w:hAnsi="Arial Mäori"/>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D63B42"/>
    <w:rPr>
      <w:rFonts w:ascii="Arial Mäori" w:hAnsi="Arial Mäori"/>
      <w:sz w:val="20"/>
    </w:rPr>
  </w:style>
  <w:style w:type="character" w:styleId="FootnoteReference">
    <w:name w:val="footnote reference"/>
    <w:basedOn w:val="DefaultParagraphFont"/>
    <w:uiPriority w:val="99"/>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BodyText"/>
    <w:qFormat/>
    <w:rsid w:val="00AA3AE4"/>
    <w:pPr>
      <w:numPr>
        <w:ilvl w:val="1"/>
      </w:numPr>
    </w:pPr>
  </w:style>
  <w:style w:type="paragraph" w:customStyle="1" w:styleId="RecNumbering2">
    <w:name w:val="Rec Numbering 2"/>
    <w:basedOn w:val="RecNumbering"/>
    <w:qFormat/>
    <w:rsid w:val="005A13B0"/>
    <w:pPr>
      <w:numPr>
        <w:ilvl w:val="1"/>
      </w:numPr>
    </w:p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3D121F"/>
    <w:rPr>
      <w:rFonts w:ascii="Arial Mäori" w:hAnsi="Arial Mäori"/>
      <w:lang w:eastAsia="en-US"/>
    </w:rPr>
  </w:style>
  <w:style w:type="character" w:styleId="CommentReference">
    <w:name w:val="annotation reference"/>
    <w:basedOn w:val="DefaultParagraphFont"/>
    <w:semiHidden/>
    <w:unhideWhenUsed/>
    <w:rsid w:val="003D121F"/>
    <w:rPr>
      <w:sz w:val="16"/>
      <w:szCs w:val="16"/>
    </w:rPr>
  </w:style>
  <w:style w:type="paragraph" w:styleId="CommentText">
    <w:name w:val="annotation text"/>
    <w:basedOn w:val="Normal"/>
    <w:link w:val="CommentTextChar"/>
    <w:semiHidden/>
    <w:unhideWhenUsed/>
    <w:rsid w:val="003D121F"/>
    <w:rPr>
      <w:sz w:val="20"/>
    </w:rPr>
  </w:style>
  <w:style w:type="character" w:customStyle="1" w:styleId="CommentTextChar">
    <w:name w:val="Comment Text Char"/>
    <w:basedOn w:val="DefaultParagraphFont"/>
    <w:link w:val="CommentText"/>
    <w:semiHidden/>
    <w:rsid w:val="003D121F"/>
    <w:rPr>
      <w:rFonts w:ascii="Arial" w:hAnsi="Arial"/>
      <w:lang w:eastAsia="en-US"/>
    </w:rPr>
  </w:style>
  <w:style w:type="table" w:customStyle="1" w:styleId="TableGrid1">
    <w:name w:val="Table Grid1"/>
    <w:basedOn w:val="TableNormal"/>
    <w:next w:val="TableGrid"/>
    <w:uiPriority w:val="59"/>
    <w:rsid w:val="003D121F"/>
    <w:rPr>
      <w:rFonts w:ascii="Verdana" w:eastAsia="Calibri" w:hAnsi="Verdan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D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A07FA"/>
    <w:rPr>
      <w:b/>
      <w:bCs/>
    </w:rPr>
  </w:style>
  <w:style w:type="character" w:customStyle="1" w:styleId="CommentSubjectChar">
    <w:name w:val="Comment Subject Char"/>
    <w:basedOn w:val="CommentTextChar"/>
    <w:link w:val="CommentSubject"/>
    <w:semiHidden/>
    <w:rsid w:val="005A07FA"/>
    <w:rPr>
      <w:rFonts w:ascii="Arial" w:hAnsi="Arial"/>
      <w:b/>
      <w:bCs/>
      <w:lang w:eastAsia="en-US"/>
    </w:rPr>
  </w:style>
  <w:style w:type="paragraph" w:styleId="ListParagraph">
    <w:name w:val="List Paragraph"/>
    <w:basedOn w:val="Normal"/>
    <w:uiPriority w:val="34"/>
    <w:qFormat/>
    <w:rsid w:val="007C319C"/>
    <w:pPr>
      <w:ind w:left="720"/>
      <w:contextualSpacing/>
    </w:pPr>
  </w:style>
  <w:style w:type="paragraph" w:styleId="Revision">
    <w:name w:val="Revision"/>
    <w:hidden/>
    <w:uiPriority w:val="99"/>
    <w:semiHidden/>
    <w:rsid w:val="003460E5"/>
    <w:rPr>
      <w:rFonts w:ascii="Arial" w:hAnsi="Arial"/>
      <w:sz w:val="22"/>
      <w:lang w:eastAsia="en-US"/>
    </w:rPr>
  </w:style>
  <w:style w:type="paragraph" w:customStyle="1" w:styleId="000Body">
    <w:name w:val="000 Body"/>
    <w:qFormat/>
    <w:rsid w:val="000C2819"/>
    <w:pPr>
      <w:spacing w:before="120" w:after="120"/>
    </w:pPr>
    <w:rPr>
      <w:rFonts w:ascii="Arial" w:hAnsi="Arial" w:cs="Arial"/>
      <w:sz w:val="22"/>
      <w:szCs w:val="24"/>
      <w:lang w:eastAsia="en-US"/>
    </w:rPr>
  </w:style>
  <w:style w:type="paragraph" w:customStyle="1" w:styleId="ReportBody">
    <w:name w:val="Report Body"/>
    <w:basedOn w:val="Normal"/>
    <w:link w:val="ReportBodyChar"/>
    <w:qFormat/>
    <w:rsid w:val="006802B4"/>
    <w:pPr>
      <w:spacing w:before="120" w:after="120"/>
      <w:jc w:val="left"/>
    </w:pPr>
    <w:rPr>
      <w:rFonts w:ascii="Verdana" w:hAnsi="Verdana" w:cs="Arial"/>
      <w:color w:val="000000"/>
      <w:kern w:val="22"/>
      <w:sz w:val="20"/>
      <w:lang w:eastAsia="en-NZ"/>
    </w:rPr>
  </w:style>
  <w:style w:type="character" w:customStyle="1" w:styleId="ReportBodyChar">
    <w:name w:val="Report Body Char"/>
    <w:basedOn w:val="DefaultParagraphFont"/>
    <w:link w:val="ReportBody"/>
    <w:rsid w:val="006802B4"/>
    <w:rPr>
      <w:rFonts w:ascii="Verdana" w:hAnsi="Verdana" w:cs="Arial"/>
      <w:color w:val="000000"/>
      <w:kern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semiHidden="0"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305CC"/>
    <w:pPr>
      <w:jc w:val="both"/>
    </w:pPr>
    <w:rPr>
      <w:rFonts w:ascii="Arial" w:hAnsi="Arial"/>
      <w:sz w:val="22"/>
      <w:lang w:eastAsia="en-US"/>
    </w:rPr>
  </w:style>
  <w:style w:type="paragraph" w:styleId="Heading1">
    <w:name w:val="heading 1"/>
    <w:basedOn w:val="Normal"/>
    <w:next w:val="BodyText"/>
    <w:qFormat/>
    <w:rsid w:val="000E01F5"/>
    <w:pPr>
      <w:keepNext/>
      <w:spacing w:before="360"/>
      <w:jc w:val="left"/>
      <w:outlineLvl w:val="0"/>
    </w:pPr>
    <w:rPr>
      <w:rFonts w:ascii="Arial Mäori" w:hAnsi="Arial Mäori"/>
      <w:b/>
      <w:kern w:val="28"/>
      <w:sz w:val="24"/>
    </w:rPr>
  </w:style>
  <w:style w:type="paragraph" w:styleId="Heading2">
    <w:name w:val="heading 2"/>
    <w:basedOn w:val="Heading1"/>
    <w:next w:val="BodyText"/>
    <w:qFormat/>
    <w:rsid w:val="000E01F5"/>
    <w:pPr>
      <w:outlineLvl w:val="1"/>
    </w:pPr>
    <w:rPr>
      <w:sz w:val="22"/>
      <w:szCs w:val="28"/>
    </w:rPr>
  </w:style>
  <w:style w:type="paragraph" w:styleId="Heading3">
    <w:name w:val="heading 3"/>
    <w:basedOn w:val="Heading2"/>
    <w:next w:val="BodyText"/>
    <w:qFormat/>
    <w:rsid w:val="00D63B42"/>
    <w:pPr>
      <w:outlineLvl w:val="2"/>
    </w:pPr>
    <w:rPr>
      <w:rFonts w:cs="Arial"/>
      <w:b w:val="0"/>
      <w:bCs/>
      <w:i/>
      <w:szCs w:val="24"/>
    </w:rPr>
  </w:style>
  <w:style w:type="paragraph" w:styleId="Heading4">
    <w:name w:val="heading 4"/>
    <w:basedOn w:val="Heading3"/>
    <w:next w:val="ListNumber"/>
    <w:semiHidden/>
    <w:qFormat/>
    <w:rsid w:val="00D63B42"/>
    <w:pPr>
      <w:outlineLvl w:val="3"/>
    </w:pPr>
    <w:rPr>
      <w:bCs w:val="0"/>
      <w:i w:val="0"/>
      <w:szCs w:val="28"/>
    </w:rPr>
  </w:style>
  <w:style w:type="paragraph" w:styleId="Heading5">
    <w:name w:val="heading 5"/>
    <w:basedOn w:val="Normal"/>
    <w:next w:val="Normal"/>
    <w:semiHidden/>
    <w:qFormat/>
    <w:rsid w:val="00D63B42"/>
    <w:pPr>
      <w:spacing w:before="240"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before="240" w:after="60"/>
      <w:outlineLvl w:val="5"/>
    </w:pPr>
    <w:rPr>
      <w:rFonts w:ascii="Arial Mäori" w:hAnsi="Arial Mäori"/>
      <w:b/>
      <w:bCs/>
      <w:szCs w:val="22"/>
    </w:rPr>
  </w:style>
  <w:style w:type="paragraph" w:styleId="Heading7">
    <w:name w:val="heading 7"/>
    <w:basedOn w:val="Normal"/>
    <w:next w:val="Normal"/>
    <w:semiHidden/>
    <w:qFormat/>
    <w:rsid w:val="00D63B42"/>
    <w:pPr>
      <w:spacing w:before="240" w:after="60"/>
      <w:outlineLvl w:val="6"/>
    </w:pPr>
    <w:rPr>
      <w:rFonts w:ascii="Arial Mäori" w:hAnsi="Arial Mäori"/>
      <w:sz w:val="24"/>
      <w:szCs w:val="24"/>
    </w:rPr>
  </w:style>
  <w:style w:type="paragraph" w:styleId="Heading8">
    <w:name w:val="heading 8"/>
    <w:basedOn w:val="Normal"/>
    <w:next w:val="Normal"/>
    <w:semiHidden/>
    <w:qFormat/>
    <w:rsid w:val="00D63B42"/>
    <w:pPr>
      <w:spacing w:before="240" w:after="60"/>
      <w:outlineLvl w:val="7"/>
    </w:pPr>
    <w:rPr>
      <w:rFonts w:ascii="Arial Mäori" w:hAnsi="Arial Mäori"/>
      <w:i/>
      <w:iCs/>
      <w:sz w:val="24"/>
      <w:szCs w:val="24"/>
    </w:rPr>
  </w:style>
  <w:style w:type="paragraph" w:styleId="Heading9">
    <w:name w:val="heading 9"/>
    <w:basedOn w:val="Normal"/>
    <w:next w:val="Normal"/>
    <w:semiHidden/>
    <w:qFormat/>
    <w:rsid w:val="00D63B42"/>
    <w:pPr>
      <w:spacing w:before="240" w:after="60"/>
      <w:outlineLvl w:val="8"/>
    </w:pPr>
    <w:rPr>
      <w:rFonts w:ascii="Arial Mäori" w:hAnsi="Arial Mäor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rsid w:val="00EE78E2"/>
    <w:pPr>
      <w:numPr>
        <w:numId w:val="5"/>
      </w:numPr>
      <w:spacing w:before="240"/>
      <w:jc w:val="left"/>
    </w:pPr>
    <w:rPr>
      <w:rFonts w:ascii="Arial Mäori" w:hAnsi="Arial Mäori"/>
      <w:szCs w:val="22"/>
    </w:rPr>
  </w:style>
  <w:style w:type="paragraph" w:customStyle="1" w:styleId="Subject">
    <w:name w:val="Subject"/>
    <w:basedOn w:val="Normal"/>
    <w:next w:val="Normal"/>
    <w:semiHidden/>
    <w:rsid w:val="00D63B42"/>
    <w:pPr>
      <w:spacing w:before="240"/>
    </w:pPr>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jc w:val="left"/>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spacing w:before="240"/>
      <w:jc w:val="left"/>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jc w:val="left"/>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semiHidden/>
    <w:rsid w:val="00EE78E2"/>
    <w:pPr>
      <w:tabs>
        <w:tab w:val="center" w:pos="4153"/>
        <w:tab w:val="right" w:pos="8306"/>
      </w:tabs>
      <w:jc w:val="left"/>
    </w:pPr>
    <w:rPr>
      <w:sz w:val="18"/>
    </w:rPr>
  </w:style>
  <w:style w:type="paragraph" w:styleId="Header">
    <w:name w:val="header"/>
    <w:basedOn w:val="Normal"/>
    <w:semiHidden/>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jc w:val="left"/>
    </w:pPr>
    <w:rPr>
      <w:rFonts w:ascii="Arial Mäori" w:hAnsi="Arial Mäori"/>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D63B42"/>
    <w:rPr>
      <w:rFonts w:ascii="Arial Mäori" w:hAnsi="Arial Mäori"/>
      <w:sz w:val="20"/>
    </w:rPr>
  </w:style>
  <w:style w:type="character" w:styleId="FootnoteReference">
    <w:name w:val="footnote reference"/>
    <w:basedOn w:val="DefaultParagraphFont"/>
    <w:uiPriority w:val="99"/>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BodyText"/>
    <w:qFormat/>
    <w:rsid w:val="00AA3AE4"/>
    <w:pPr>
      <w:numPr>
        <w:ilvl w:val="1"/>
      </w:numPr>
    </w:pPr>
  </w:style>
  <w:style w:type="paragraph" w:customStyle="1" w:styleId="RecNumbering2">
    <w:name w:val="Rec Numbering 2"/>
    <w:basedOn w:val="RecNumbering"/>
    <w:qFormat/>
    <w:rsid w:val="005A13B0"/>
    <w:pPr>
      <w:numPr>
        <w:ilvl w:val="1"/>
      </w:numPr>
    </w:p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3D121F"/>
    <w:rPr>
      <w:rFonts w:ascii="Arial Mäori" w:hAnsi="Arial Mäori"/>
      <w:lang w:eastAsia="en-US"/>
    </w:rPr>
  </w:style>
  <w:style w:type="character" w:styleId="CommentReference">
    <w:name w:val="annotation reference"/>
    <w:basedOn w:val="DefaultParagraphFont"/>
    <w:semiHidden/>
    <w:unhideWhenUsed/>
    <w:rsid w:val="003D121F"/>
    <w:rPr>
      <w:sz w:val="16"/>
      <w:szCs w:val="16"/>
    </w:rPr>
  </w:style>
  <w:style w:type="paragraph" w:styleId="CommentText">
    <w:name w:val="annotation text"/>
    <w:basedOn w:val="Normal"/>
    <w:link w:val="CommentTextChar"/>
    <w:semiHidden/>
    <w:unhideWhenUsed/>
    <w:rsid w:val="003D121F"/>
    <w:rPr>
      <w:sz w:val="20"/>
    </w:rPr>
  </w:style>
  <w:style w:type="character" w:customStyle="1" w:styleId="CommentTextChar">
    <w:name w:val="Comment Text Char"/>
    <w:basedOn w:val="DefaultParagraphFont"/>
    <w:link w:val="CommentText"/>
    <w:semiHidden/>
    <w:rsid w:val="003D121F"/>
    <w:rPr>
      <w:rFonts w:ascii="Arial" w:hAnsi="Arial"/>
      <w:lang w:eastAsia="en-US"/>
    </w:rPr>
  </w:style>
  <w:style w:type="table" w:customStyle="1" w:styleId="TableGrid1">
    <w:name w:val="Table Grid1"/>
    <w:basedOn w:val="TableNormal"/>
    <w:next w:val="TableGrid"/>
    <w:uiPriority w:val="59"/>
    <w:rsid w:val="003D121F"/>
    <w:rPr>
      <w:rFonts w:ascii="Verdana" w:eastAsia="Calibri" w:hAnsi="Verdan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D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A07FA"/>
    <w:rPr>
      <w:b/>
      <w:bCs/>
    </w:rPr>
  </w:style>
  <w:style w:type="character" w:customStyle="1" w:styleId="CommentSubjectChar">
    <w:name w:val="Comment Subject Char"/>
    <w:basedOn w:val="CommentTextChar"/>
    <w:link w:val="CommentSubject"/>
    <w:semiHidden/>
    <w:rsid w:val="005A07FA"/>
    <w:rPr>
      <w:rFonts w:ascii="Arial" w:hAnsi="Arial"/>
      <w:b/>
      <w:bCs/>
      <w:lang w:eastAsia="en-US"/>
    </w:rPr>
  </w:style>
  <w:style w:type="paragraph" w:styleId="ListParagraph">
    <w:name w:val="List Paragraph"/>
    <w:basedOn w:val="Normal"/>
    <w:uiPriority w:val="34"/>
    <w:qFormat/>
    <w:rsid w:val="007C319C"/>
    <w:pPr>
      <w:ind w:left="720"/>
      <w:contextualSpacing/>
    </w:pPr>
  </w:style>
  <w:style w:type="paragraph" w:styleId="Revision">
    <w:name w:val="Revision"/>
    <w:hidden/>
    <w:uiPriority w:val="99"/>
    <w:semiHidden/>
    <w:rsid w:val="003460E5"/>
    <w:rPr>
      <w:rFonts w:ascii="Arial" w:hAnsi="Arial"/>
      <w:sz w:val="22"/>
      <w:lang w:eastAsia="en-US"/>
    </w:rPr>
  </w:style>
  <w:style w:type="paragraph" w:customStyle="1" w:styleId="000Body">
    <w:name w:val="000 Body"/>
    <w:qFormat/>
    <w:rsid w:val="000C2819"/>
    <w:pPr>
      <w:spacing w:before="120" w:after="120"/>
    </w:pPr>
    <w:rPr>
      <w:rFonts w:ascii="Arial" w:hAnsi="Arial" w:cs="Arial"/>
      <w:sz w:val="22"/>
      <w:szCs w:val="24"/>
      <w:lang w:eastAsia="en-US"/>
    </w:rPr>
  </w:style>
  <w:style w:type="paragraph" w:customStyle="1" w:styleId="ReportBody">
    <w:name w:val="Report Body"/>
    <w:basedOn w:val="Normal"/>
    <w:link w:val="ReportBodyChar"/>
    <w:qFormat/>
    <w:rsid w:val="006802B4"/>
    <w:pPr>
      <w:spacing w:before="120" w:after="120"/>
      <w:jc w:val="left"/>
    </w:pPr>
    <w:rPr>
      <w:rFonts w:ascii="Verdana" w:hAnsi="Verdana" w:cs="Arial"/>
      <w:color w:val="000000"/>
      <w:kern w:val="22"/>
      <w:sz w:val="20"/>
      <w:lang w:eastAsia="en-NZ"/>
    </w:rPr>
  </w:style>
  <w:style w:type="character" w:customStyle="1" w:styleId="ReportBodyChar">
    <w:name w:val="Report Body Char"/>
    <w:basedOn w:val="DefaultParagraphFont"/>
    <w:link w:val="ReportBody"/>
    <w:rsid w:val="006802B4"/>
    <w:rPr>
      <w:rFonts w:ascii="Verdana" w:hAnsi="Verdana" w:cs="Arial"/>
      <w:color w:val="000000"/>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6326">
      <w:bodyDiv w:val="1"/>
      <w:marLeft w:val="0"/>
      <w:marRight w:val="0"/>
      <w:marTop w:val="0"/>
      <w:marBottom w:val="0"/>
      <w:divBdr>
        <w:top w:val="none" w:sz="0" w:space="0" w:color="auto"/>
        <w:left w:val="none" w:sz="0" w:space="0" w:color="auto"/>
        <w:bottom w:val="none" w:sz="0" w:space="0" w:color="auto"/>
        <w:right w:val="none" w:sz="0" w:space="0" w:color="auto"/>
      </w:divBdr>
    </w:div>
    <w:div w:id="10251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shared\templates\corporate\off2010_v3-2\Core%20Templates\Policy%20-%20Cabinet%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37C45-A9AB-4601-9CC8-17CEEC35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 Cabinet Paper.dotm</Template>
  <TotalTime>9</TotalTime>
  <Pages>15</Pages>
  <Words>6792</Words>
  <Characters>38720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Policy - Cabinet Paper</vt:lpstr>
    </vt:vector>
  </TitlesOfParts>
  <Company>Ministry of Social Development</Company>
  <LinksUpToDate>false</LinksUpToDate>
  <CharactersWithSpaces>45422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Cabinet Paper</dc:title>
  <dc:creator>Morgan Watkins</dc:creator>
  <dc:description>Developed by Allfields Customised Solutions - Visit us at http://www.allfields.co.nz</dc:description>
  <cp:lastModifiedBy>Margaret McArthur</cp:lastModifiedBy>
  <cp:revision>3</cp:revision>
  <cp:lastPrinted>2018-07-05T21:37:00Z</cp:lastPrinted>
  <dcterms:created xsi:type="dcterms:W3CDTF">2018-07-25T07:42:00Z</dcterms:created>
  <dcterms:modified xsi:type="dcterms:W3CDTF">2018-07-25T07:42:00Z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A10669291</vt:lpwstr>
  </property>
  <property fmtid="{D5CDD505-2E9C-101B-9397-08002B2CF9AE}" pid="4" name="Objective-Title">
    <vt:lpwstr>2018.07.25 SWRL Bill SOP Final Cab paper</vt:lpwstr>
  </property>
  <property fmtid="{D5CDD505-2E9C-101B-9397-08002B2CF9AE}" pid="5" name="Objective-Comment">
    <vt:lpwstr/>
  </property>
  <property fmtid="{D5CDD505-2E9C-101B-9397-08002B2CF9AE}" pid="6" name="Objective-CreationStamp">
    <vt:filetime>2018-07-24T05:48:02Z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2018-07-25T03:50:45Z</vt:filetime>
  </property>
  <property fmtid="{D5CDD505-2E9C-101B-9397-08002B2CF9AE}" pid="11" name="Objective-Owner">
    <vt:lpwstr>Margaret McArthur</vt:lpwstr>
  </property>
  <property fmtid="{D5CDD505-2E9C-101B-9397-08002B2CF9AE}" pid="12" name="Objective-Path">
    <vt:lpwstr>Global Folder:MSD INFORMATION REPOSITORY:Social Services Policy:Children:Policy Issues:Children's Action Plan:Legislation Programme:Policy workstreams:Social Workers - Mandatory Registration:2016/17/18 work on Social Workers Registration - Inquiry, Govt R</vt:lpwstr>
  </property>
  <property fmtid="{D5CDD505-2E9C-101B-9397-08002B2CF9AE}" pid="13" name="Objective-Parent">
    <vt:lpwstr>2018 Reports sent to Minister or DCE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SO/CH/02/13-6797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