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71" w:rsidRPr="000032C2" w:rsidRDefault="00C05771" w:rsidP="00294107">
      <w:pPr>
        <w:rPr>
          <w:color w:val="0070C0"/>
          <w:sz w:val="40"/>
          <w:szCs w:val="40"/>
        </w:rPr>
      </w:pPr>
      <w:bookmarkStart w:id="0" w:name="_Regulatory_Impact_Statement"/>
      <w:bookmarkStart w:id="1" w:name="_Toc244580362"/>
      <w:bookmarkStart w:id="2" w:name="_Toc244587038"/>
      <w:bookmarkStart w:id="3" w:name="_Toc244857272"/>
      <w:bookmarkStart w:id="4" w:name="_Toc244912537"/>
      <w:bookmarkStart w:id="5" w:name="_Toc244916994"/>
      <w:bookmarkStart w:id="6" w:name="_Toc362368102"/>
      <w:bookmarkStart w:id="7" w:name="_Toc362940592"/>
      <w:bookmarkStart w:id="8" w:name="_Toc363047100"/>
      <w:bookmarkStart w:id="9" w:name="_Toc362368103"/>
      <w:bookmarkStart w:id="10" w:name="_Toc362434944"/>
      <w:bookmarkStart w:id="11" w:name="_Toc362589330"/>
      <w:bookmarkStart w:id="12" w:name="_Toc362619030"/>
      <w:bookmarkStart w:id="13" w:name="_Toc362940594"/>
      <w:bookmarkStart w:id="14" w:name="_Toc363047102"/>
      <w:bookmarkStart w:id="15" w:name="_Toc111173195"/>
      <w:bookmarkStart w:id="16" w:name="_Toc112306482"/>
      <w:bookmarkStart w:id="17" w:name="_Toc114287559"/>
      <w:bookmarkStart w:id="18" w:name="_Toc115188196"/>
      <w:bookmarkStart w:id="19" w:name="_Toc118514380"/>
      <w:bookmarkStart w:id="20" w:name="_Toc110071692"/>
      <w:bookmarkStart w:id="21" w:name="_Toc110072564"/>
      <w:bookmarkStart w:id="22" w:name="_Toc138735614"/>
      <w:bookmarkStart w:id="23" w:name="_Toc139335927"/>
      <w:bookmarkStart w:id="24" w:name="_Toc362526401"/>
      <w:bookmarkEnd w:id="0"/>
    </w:p>
    <w:p w:rsidR="00C05771" w:rsidRPr="000032C2" w:rsidRDefault="00C05771" w:rsidP="00294107">
      <w:pPr>
        <w:rPr>
          <w:color w:val="0070C0"/>
          <w:sz w:val="40"/>
          <w:szCs w:val="40"/>
        </w:rPr>
      </w:pPr>
      <w:bookmarkStart w:id="25" w:name="_Toc478732133"/>
      <w:bookmarkStart w:id="26" w:name="_Toc478735879"/>
      <w:r w:rsidRPr="000032C2">
        <w:rPr>
          <w:color w:val="0070C0"/>
          <w:sz w:val="40"/>
          <w:szCs w:val="40"/>
        </w:rPr>
        <w:t>Regulatory Impact Statement</w:t>
      </w:r>
      <w:bookmarkEnd w:id="25"/>
      <w:bookmarkEnd w:id="26"/>
    </w:p>
    <w:p w:rsidR="00C05771" w:rsidRPr="000032C2" w:rsidRDefault="009A5EF7" w:rsidP="00294107">
      <w:pPr>
        <w:rPr>
          <w:color w:val="0070C0"/>
          <w:sz w:val="40"/>
          <w:szCs w:val="40"/>
        </w:rPr>
      </w:pPr>
      <w:bookmarkStart w:id="27" w:name="_Toc478732134"/>
      <w:bookmarkStart w:id="28" w:name="_Toc478735880"/>
      <w:r w:rsidRPr="000032C2">
        <w:rPr>
          <w:color w:val="0070C0"/>
          <w:sz w:val="40"/>
          <w:szCs w:val="40"/>
        </w:rPr>
        <w:t>Legislative changes to increase the professionalism of the social work workforce</w:t>
      </w:r>
      <w:bookmarkEnd w:id="27"/>
      <w:bookmarkEnd w:id="28"/>
    </w:p>
    <w:p w:rsidR="00C05771" w:rsidRPr="000032C2" w:rsidRDefault="00C05771" w:rsidP="00294107">
      <w:pPr>
        <w:rPr>
          <w:color w:val="0070C0"/>
          <w:sz w:val="40"/>
          <w:szCs w:val="40"/>
        </w:rPr>
      </w:pPr>
    </w:p>
    <w:p w:rsidR="00C05771" w:rsidRPr="000032C2" w:rsidRDefault="00C05771" w:rsidP="00294107">
      <w:pPr>
        <w:rPr>
          <w:color w:val="0070C0"/>
          <w:sz w:val="40"/>
          <w:szCs w:val="40"/>
        </w:rPr>
      </w:pPr>
    </w:p>
    <w:p w:rsidR="00C05771" w:rsidRPr="000032C2" w:rsidRDefault="00C05771" w:rsidP="00294107">
      <w:pPr>
        <w:rPr>
          <w:color w:val="0070C0"/>
          <w:sz w:val="40"/>
          <w:szCs w:val="40"/>
        </w:rPr>
      </w:pPr>
    </w:p>
    <w:p w:rsidR="00C05771" w:rsidRPr="000032C2" w:rsidRDefault="00C05771" w:rsidP="00294107">
      <w:pPr>
        <w:rPr>
          <w:color w:val="0070C0"/>
          <w:sz w:val="40"/>
          <w:szCs w:val="40"/>
        </w:rPr>
      </w:pPr>
    </w:p>
    <w:p w:rsidR="00C05771" w:rsidRPr="000032C2" w:rsidRDefault="00C05771" w:rsidP="00294107">
      <w:pPr>
        <w:rPr>
          <w:color w:val="0070C0"/>
          <w:sz w:val="40"/>
          <w:szCs w:val="40"/>
        </w:rPr>
      </w:pPr>
    </w:p>
    <w:p w:rsidR="00B902D9" w:rsidRPr="000032C2" w:rsidRDefault="00C05771" w:rsidP="00294107">
      <w:pPr>
        <w:rPr>
          <w:color w:val="0070C0"/>
          <w:sz w:val="40"/>
          <w:szCs w:val="40"/>
        </w:rPr>
      </w:pPr>
      <w:bookmarkStart w:id="29" w:name="_Toc460945208"/>
      <w:bookmarkStart w:id="30" w:name="_Toc478732135"/>
      <w:bookmarkStart w:id="31" w:name="_Toc478735881"/>
      <w:r w:rsidRPr="000032C2">
        <w:rPr>
          <w:color w:val="0070C0"/>
          <w:sz w:val="40"/>
          <w:szCs w:val="40"/>
        </w:rPr>
        <w:t>Ministry of Social Development</w:t>
      </w:r>
      <w:bookmarkStart w:id="32" w:name="_Toc460945209"/>
      <w:bookmarkEnd w:id="29"/>
      <w:bookmarkEnd w:id="30"/>
      <w:bookmarkEnd w:id="31"/>
    </w:p>
    <w:p w:rsidR="00C05771" w:rsidRDefault="00DF4203" w:rsidP="00294107">
      <w:pPr>
        <w:rPr>
          <w:color w:val="0070C0"/>
          <w:sz w:val="40"/>
          <w:szCs w:val="40"/>
        </w:rPr>
      </w:pPr>
      <w:r w:rsidRPr="00C82B1A">
        <w:rPr>
          <w:color w:val="0070C0"/>
          <w:sz w:val="40"/>
          <w:szCs w:val="40"/>
        </w:rPr>
        <w:t>1</w:t>
      </w:r>
      <w:r w:rsidR="00CB2909" w:rsidRPr="00C82B1A">
        <w:rPr>
          <w:color w:val="0070C0"/>
          <w:sz w:val="40"/>
          <w:szCs w:val="40"/>
        </w:rPr>
        <w:t xml:space="preserve"> </w:t>
      </w:r>
      <w:r w:rsidRPr="00C82B1A">
        <w:rPr>
          <w:color w:val="0070C0"/>
          <w:sz w:val="40"/>
          <w:szCs w:val="40"/>
        </w:rPr>
        <w:t>May</w:t>
      </w:r>
      <w:r w:rsidR="00CE3BBB" w:rsidRPr="000032C2">
        <w:rPr>
          <w:color w:val="0070C0"/>
          <w:sz w:val="40"/>
          <w:szCs w:val="40"/>
        </w:rPr>
        <w:t xml:space="preserve"> </w:t>
      </w:r>
      <w:r w:rsidR="00C05771" w:rsidRPr="000032C2">
        <w:rPr>
          <w:color w:val="0070C0"/>
          <w:sz w:val="40"/>
          <w:szCs w:val="40"/>
        </w:rPr>
        <w:t>201</w:t>
      </w:r>
      <w:bookmarkEnd w:id="32"/>
      <w:r w:rsidR="00856C62" w:rsidRPr="000032C2">
        <w:rPr>
          <w:color w:val="0070C0"/>
          <w:sz w:val="40"/>
          <w:szCs w:val="40"/>
        </w:rPr>
        <w:t>7</w:t>
      </w:r>
    </w:p>
    <w:p w:rsidR="001731A9" w:rsidRDefault="001731A9" w:rsidP="00294107">
      <w:pPr>
        <w:rPr>
          <w:i/>
          <w:color w:val="0070C0"/>
          <w:sz w:val="40"/>
          <w:szCs w:val="40"/>
        </w:rPr>
      </w:pPr>
    </w:p>
    <w:p w:rsidR="001731A9" w:rsidRDefault="001E19C0" w:rsidP="00294107">
      <w:pPr>
        <w:rPr>
          <w:i/>
          <w:color w:val="0070C0"/>
          <w:sz w:val="40"/>
          <w:szCs w:val="40"/>
        </w:rPr>
      </w:pPr>
      <w:r>
        <w:rPr>
          <w:i/>
          <w:color w:val="0070C0"/>
          <w:sz w:val="40"/>
          <w:szCs w:val="40"/>
        </w:rPr>
        <w:t>Including supplementary</w:t>
      </w:r>
      <w:r w:rsidR="009B2A03" w:rsidRPr="009B2A03">
        <w:rPr>
          <w:i/>
          <w:color w:val="0070C0"/>
          <w:sz w:val="40"/>
          <w:szCs w:val="40"/>
        </w:rPr>
        <w:t xml:space="preserve"> material </w:t>
      </w:r>
      <w:r>
        <w:rPr>
          <w:i/>
          <w:color w:val="0070C0"/>
          <w:sz w:val="40"/>
          <w:szCs w:val="40"/>
        </w:rPr>
        <w:t>on</w:t>
      </w:r>
      <w:r w:rsidR="009B2A03" w:rsidRPr="009B2A03">
        <w:rPr>
          <w:i/>
          <w:color w:val="0070C0"/>
          <w:sz w:val="40"/>
          <w:szCs w:val="40"/>
        </w:rPr>
        <w:t xml:space="preserve"> </w:t>
      </w:r>
      <w:r w:rsidR="001731A9">
        <w:rPr>
          <w:i/>
          <w:color w:val="0070C0"/>
          <w:sz w:val="40"/>
          <w:szCs w:val="40"/>
        </w:rPr>
        <w:t xml:space="preserve">changes proposed for a </w:t>
      </w:r>
      <w:r w:rsidR="009B2A03" w:rsidRPr="009B2A03">
        <w:rPr>
          <w:i/>
          <w:color w:val="0070C0"/>
          <w:sz w:val="40"/>
          <w:szCs w:val="40"/>
        </w:rPr>
        <w:t>S</w:t>
      </w:r>
      <w:r w:rsidR="001731A9">
        <w:rPr>
          <w:i/>
          <w:color w:val="0070C0"/>
          <w:sz w:val="40"/>
          <w:szCs w:val="40"/>
        </w:rPr>
        <w:t xml:space="preserve">upplementary </w:t>
      </w:r>
      <w:r w:rsidR="009B2A03" w:rsidRPr="009B2A03">
        <w:rPr>
          <w:i/>
          <w:color w:val="0070C0"/>
          <w:sz w:val="40"/>
          <w:szCs w:val="40"/>
        </w:rPr>
        <w:t>O</w:t>
      </w:r>
      <w:r w:rsidR="001731A9">
        <w:rPr>
          <w:i/>
          <w:color w:val="0070C0"/>
          <w:sz w:val="40"/>
          <w:szCs w:val="40"/>
        </w:rPr>
        <w:t xml:space="preserve">rder </w:t>
      </w:r>
      <w:r w:rsidR="009B2A03" w:rsidRPr="009B2A03">
        <w:rPr>
          <w:i/>
          <w:color w:val="0070C0"/>
          <w:sz w:val="40"/>
          <w:szCs w:val="40"/>
        </w:rPr>
        <w:t>P</w:t>
      </w:r>
      <w:r w:rsidR="001731A9">
        <w:rPr>
          <w:i/>
          <w:color w:val="0070C0"/>
          <w:sz w:val="40"/>
          <w:szCs w:val="40"/>
        </w:rPr>
        <w:t>aper</w:t>
      </w:r>
      <w:r w:rsidR="009B2A03" w:rsidRPr="009B2A03">
        <w:rPr>
          <w:i/>
          <w:color w:val="0070C0"/>
          <w:sz w:val="40"/>
          <w:szCs w:val="40"/>
        </w:rPr>
        <w:t xml:space="preserve"> </w:t>
      </w:r>
    </w:p>
    <w:p w:rsidR="009B2A03" w:rsidRPr="009B2A03" w:rsidRDefault="001E19C0" w:rsidP="00294107">
      <w:pPr>
        <w:rPr>
          <w:i/>
          <w:color w:val="0070C0"/>
          <w:sz w:val="40"/>
          <w:szCs w:val="40"/>
        </w:rPr>
      </w:pPr>
      <w:r>
        <w:rPr>
          <w:i/>
          <w:color w:val="0070C0"/>
          <w:sz w:val="40"/>
          <w:szCs w:val="40"/>
        </w:rPr>
        <w:t>26</w:t>
      </w:r>
      <w:r w:rsidR="00835EA4">
        <w:rPr>
          <w:i/>
          <w:color w:val="0070C0"/>
          <w:sz w:val="40"/>
          <w:szCs w:val="40"/>
        </w:rPr>
        <w:t xml:space="preserve"> </w:t>
      </w:r>
      <w:r w:rsidR="009B2A03" w:rsidRPr="009B2A03">
        <w:rPr>
          <w:i/>
          <w:color w:val="0070C0"/>
          <w:sz w:val="40"/>
          <w:szCs w:val="40"/>
        </w:rPr>
        <w:t>Ju</w:t>
      </w:r>
      <w:r w:rsidR="00835EA4">
        <w:rPr>
          <w:i/>
          <w:color w:val="0070C0"/>
          <w:sz w:val="40"/>
          <w:szCs w:val="40"/>
        </w:rPr>
        <w:t>ly</w:t>
      </w:r>
      <w:r w:rsidR="009B2A03" w:rsidRPr="009B2A03">
        <w:rPr>
          <w:i/>
          <w:color w:val="0070C0"/>
          <w:sz w:val="40"/>
          <w:szCs w:val="40"/>
        </w:rPr>
        <w:t xml:space="preserve"> 2018</w:t>
      </w:r>
    </w:p>
    <w:p w:rsidR="002A3937" w:rsidRDefault="002A3937" w:rsidP="00177E1D">
      <w:pPr>
        <w:spacing w:after="0" w:line="240" w:lineRule="auto"/>
        <w:rPr>
          <w:rFonts w:ascii="Arial" w:eastAsia="Times New Roman" w:hAnsi="Arial" w:cs="Times New Roman"/>
          <w:color w:val="1F497D" w:themeColor="text2"/>
          <w:sz w:val="44"/>
          <w:szCs w:val="44"/>
          <w:lang w:val="en-GB" w:eastAsia="en-GB"/>
        </w:rPr>
      </w:pPr>
    </w:p>
    <w:p w:rsidR="002A3937" w:rsidRDefault="002A3937" w:rsidP="00177E1D">
      <w:pPr>
        <w:spacing w:after="0" w:line="240" w:lineRule="auto"/>
        <w:rPr>
          <w:rFonts w:ascii="Arial" w:eastAsia="Times New Roman" w:hAnsi="Arial" w:cs="Times New Roman"/>
          <w:color w:val="1F497D" w:themeColor="text2"/>
          <w:sz w:val="44"/>
          <w:szCs w:val="44"/>
          <w:lang w:val="en-GB" w:eastAsia="en-GB"/>
        </w:rPr>
      </w:pPr>
    </w:p>
    <w:p w:rsidR="002A3937" w:rsidRDefault="002A3937" w:rsidP="00177E1D">
      <w:pPr>
        <w:spacing w:after="0" w:line="240" w:lineRule="auto"/>
        <w:rPr>
          <w:rFonts w:ascii="Arial" w:eastAsia="Times New Roman" w:hAnsi="Arial" w:cs="Times New Roman"/>
          <w:color w:val="1F497D" w:themeColor="text2"/>
          <w:sz w:val="44"/>
          <w:szCs w:val="44"/>
          <w:lang w:val="en-GB" w:eastAsia="en-GB"/>
        </w:rPr>
      </w:pPr>
    </w:p>
    <w:p w:rsidR="002A3937" w:rsidRDefault="002A3937" w:rsidP="00177E1D">
      <w:pPr>
        <w:spacing w:after="0" w:line="240" w:lineRule="auto"/>
        <w:rPr>
          <w:rFonts w:ascii="Arial" w:eastAsia="Times New Roman" w:hAnsi="Arial" w:cs="Times New Roman"/>
          <w:color w:val="1F497D" w:themeColor="text2"/>
          <w:sz w:val="44"/>
          <w:szCs w:val="44"/>
          <w:lang w:val="en-GB" w:eastAsia="en-GB"/>
        </w:rPr>
      </w:pPr>
    </w:p>
    <w:p w:rsidR="002A3937" w:rsidRDefault="002A3937" w:rsidP="00177E1D">
      <w:pPr>
        <w:spacing w:after="0" w:line="240" w:lineRule="auto"/>
        <w:rPr>
          <w:rFonts w:ascii="Arial" w:eastAsia="Times New Roman" w:hAnsi="Arial" w:cs="Times New Roman"/>
          <w:color w:val="1F497D" w:themeColor="text2"/>
          <w:sz w:val="44"/>
          <w:szCs w:val="44"/>
          <w:lang w:val="en-GB" w:eastAsia="en-GB"/>
        </w:rPr>
      </w:pPr>
    </w:p>
    <w:p w:rsidR="002A3937" w:rsidRDefault="002A3937" w:rsidP="00177E1D">
      <w:pPr>
        <w:spacing w:after="0" w:line="240" w:lineRule="auto"/>
        <w:rPr>
          <w:rFonts w:ascii="Arial" w:eastAsia="Times New Roman" w:hAnsi="Arial" w:cs="Times New Roman"/>
          <w:color w:val="1F497D" w:themeColor="text2"/>
          <w:sz w:val="44"/>
          <w:szCs w:val="44"/>
          <w:lang w:val="en-GB" w:eastAsia="en-GB"/>
        </w:rPr>
      </w:pPr>
    </w:p>
    <w:p w:rsidR="002A3937" w:rsidRDefault="002A3937" w:rsidP="00177E1D">
      <w:pPr>
        <w:spacing w:after="0" w:line="240" w:lineRule="auto"/>
        <w:rPr>
          <w:rFonts w:ascii="Arial" w:eastAsia="Times New Roman" w:hAnsi="Arial" w:cs="Times New Roman"/>
          <w:color w:val="1F497D" w:themeColor="text2"/>
          <w:sz w:val="44"/>
          <w:szCs w:val="44"/>
          <w:lang w:val="en-GB" w:eastAsia="en-GB"/>
        </w:rPr>
      </w:pPr>
    </w:p>
    <w:p w:rsidR="00C05771" w:rsidRPr="00C05771" w:rsidRDefault="00C05771" w:rsidP="00177E1D">
      <w:pPr>
        <w:spacing w:after="0" w:line="240" w:lineRule="auto"/>
        <w:rPr>
          <w:rFonts w:ascii="Georgia" w:eastAsiaTheme="majorEastAsia" w:hAnsi="Georgia" w:cs="Times New Roman"/>
          <w:b/>
          <w:bCs/>
          <w:color w:val="1F497D" w:themeColor="text2"/>
          <w:sz w:val="44"/>
          <w:szCs w:val="44"/>
          <w:lang w:val="en-GB" w:eastAsia="en-GB"/>
        </w:rPr>
      </w:pPr>
      <w:r w:rsidRPr="00C05771">
        <w:rPr>
          <w:rFonts w:ascii="Arial" w:eastAsia="Times New Roman" w:hAnsi="Arial" w:cs="Times New Roman"/>
          <w:color w:val="1F497D" w:themeColor="text2"/>
          <w:sz w:val="44"/>
          <w:szCs w:val="44"/>
          <w:lang w:val="en-GB" w:eastAsia="en-GB"/>
        </w:rPr>
        <w:br w:type="page"/>
      </w:r>
    </w:p>
    <w:p w:rsidR="00331783" w:rsidRPr="00031C35" w:rsidRDefault="00031C35" w:rsidP="00031C35">
      <w:pPr>
        <w:pStyle w:val="BodyText"/>
      </w:pPr>
      <w:bookmarkStart w:id="33" w:name="_Toc362434943"/>
      <w:bookmarkStart w:id="34" w:name="_Toc362589329"/>
      <w:bookmarkStart w:id="35" w:name="_Toc362619029"/>
      <w:bookmarkStart w:id="36" w:name="_Toc362940593"/>
      <w:bookmarkStart w:id="37" w:name="_Toc363047101"/>
      <w:bookmarkEnd w:id="1"/>
      <w:bookmarkEnd w:id="2"/>
      <w:bookmarkEnd w:id="3"/>
      <w:bookmarkEnd w:id="4"/>
      <w:bookmarkEnd w:id="5"/>
      <w:bookmarkEnd w:id="6"/>
      <w:bookmarkEnd w:id="7"/>
      <w:bookmarkEnd w:id="8"/>
      <w:r w:rsidRPr="00031C35">
        <w:lastRenderedPageBreak/>
        <w:t>Explanation about supplementary material</w:t>
      </w:r>
    </w:p>
    <w:p w:rsidR="00331783" w:rsidRPr="00031C35" w:rsidRDefault="00031C35" w:rsidP="00031C35">
      <w:pPr>
        <w:pStyle w:val="BodyText"/>
      </w:pPr>
      <w:r w:rsidRPr="00031C35">
        <w:t xml:space="preserve">In consultation with the Treasury, the Ministry’s regulatory assessment of the proposed Supplementary Order Paper for the Social Workers Registration Legislation Bill </w:t>
      </w:r>
      <w:r>
        <w:t xml:space="preserve">has been added into the original Regulatory Impact Statement.  It should be noted that while our assessment of </w:t>
      </w:r>
      <w:r w:rsidRPr="00031C35">
        <w:t xml:space="preserve">the substance of the </w:t>
      </w:r>
      <w:r>
        <w:t xml:space="preserve">original </w:t>
      </w:r>
      <w:r w:rsidRPr="00031C35">
        <w:t>analysis remains unchanged, a few</w:t>
      </w:r>
      <w:r>
        <w:t xml:space="preserve"> details are no longer current.  On some issues however, notably the value of legislative provision for scopes of practice, our assessment has changed and this new analysis is shown in italics in the relevant sections of the document.</w:t>
      </w:r>
    </w:p>
    <w:p w:rsidR="00331783" w:rsidRPr="00031C35" w:rsidRDefault="00331783" w:rsidP="00031C35">
      <w:pPr>
        <w:pStyle w:val="BodyText"/>
      </w:pPr>
    </w:p>
    <w:p w:rsidR="00331783" w:rsidRDefault="00331783" w:rsidP="00331783">
      <w:pPr>
        <w:autoSpaceDE w:val="0"/>
        <w:autoSpaceDN w:val="0"/>
        <w:ind w:left="720"/>
        <w:rPr>
          <w:rFonts w:ascii="ArialMT" w:hAnsi="ArialMT"/>
          <w:lang w:eastAsia="en-NZ"/>
        </w:rPr>
      </w:pPr>
    </w:p>
    <w:p w:rsidR="00331783" w:rsidRDefault="00331783" w:rsidP="00331783">
      <w:pPr>
        <w:autoSpaceDE w:val="0"/>
        <w:autoSpaceDN w:val="0"/>
        <w:ind w:left="720"/>
        <w:rPr>
          <w:rFonts w:ascii="ArialMT" w:hAnsi="ArialMT"/>
          <w:lang w:eastAsia="en-NZ"/>
        </w:rPr>
      </w:pPr>
    </w:p>
    <w:p w:rsidR="002A3937" w:rsidRPr="002A3937" w:rsidRDefault="002A3937" w:rsidP="002A3937">
      <w:pPr>
        <w:spacing w:after="0" w:line="240" w:lineRule="auto"/>
        <w:rPr>
          <w:rFonts w:ascii="ArialMT" w:hAnsi="ArialMT"/>
          <w:sz w:val="24"/>
          <w:szCs w:val="24"/>
          <w:lang w:eastAsia="en-NZ"/>
        </w:rPr>
      </w:pPr>
      <w:r w:rsidRPr="002A3937">
        <w:rPr>
          <w:rFonts w:ascii="ArialMT" w:hAnsi="ArialMT"/>
          <w:sz w:val="24"/>
          <w:szCs w:val="24"/>
          <w:lang w:eastAsia="en-NZ"/>
        </w:rPr>
        <w:t xml:space="preserve">Quality Assessment Statement </w:t>
      </w:r>
    </w:p>
    <w:p w:rsidR="002A3937" w:rsidRPr="002A3937" w:rsidRDefault="002A3937" w:rsidP="002A3937">
      <w:pPr>
        <w:spacing w:after="0" w:line="240" w:lineRule="auto"/>
        <w:rPr>
          <w:rFonts w:ascii="ArialMT" w:hAnsi="ArialMT"/>
          <w:sz w:val="24"/>
          <w:szCs w:val="24"/>
          <w:lang w:eastAsia="en-NZ"/>
        </w:rPr>
      </w:pPr>
    </w:p>
    <w:p w:rsidR="002A3937" w:rsidRPr="002A3937" w:rsidRDefault="002A3937" w:rsidP="002A3937">
      <w:pPr>
        <w:spacing w:after="0" w:line="240" w:lineRule="auto"/>
        <w:rPr>
          <w:rFonts w:ascii="ArialMT" w:hAnsi="ArialMT"/>
          <w:sz w:val="24"/>
          <w:szCs w:val="24"/>
          <w:lang w:eastAsia="en-NZ"/>
        </w:rPr>
      </w:pPr>
      <w:r w:rsidRPr="002A3937">
        <w:rPr>
          <w:rFonts w:ascii="ArialMT" w:hAnsi="ArialMT"/>
          <w:sz w:val="24"/>
          <w:szCs w:val="24"/>
          <w:lang w:eastAsia="en-NZ"/>
        </w:rPr>
        <w:t xml:space="preserve">The Regulatory Impact Analysis Team at the Treasury has reviewed the Regulatory Impact Statement “Legislative changes to increase the professionalism of the social workforce” produced by the Ministry for Social Development and dated 1 May 2017, as revised in July 2018 in support of additional proposals </w:t>
      </w:r>
      <w:r w:rsidR="00024283">
        <w:rPr>
          <w:rFonts w:ascii="ArialMT" w:hAnsi="ArialMT"/>
          <w:sz w:val="24"/>
          <w:szCs w:val="24"/>
          <w:lang w:eastAsia="en-NZ"/>
        </w:rPr>
        <w:t xml:space="preserve">to be </w:t>
      </w:r>
      <w:r w:rsidRPr="002A3937">
        <w:rPr>
          <w:rFonts w:ascii="ArialMT" w:hAnsi="ArialMT"/>
          <w:sz w:val="24"/>
          <w:szCs w:val="24"/>
          <w:lang w:eastAsia="en-NZ"/>
        </w:rPr>
        <w:t xml:space="preserve">included in </w:t>
      </w:r>
      <w:r w:rsidR="00024283">
        <w:rPr>
          <w:rFonts w:ascii="ArialMT" w:hAnsi="ArialMT"/>
          <w:sz w:val="24"/>
          <w:szCs w:val="24"/>
          <w:lang w:eastAsia="en-NZ"/>
        </w:rPr>
        <w:t xml:space="preserve">a </w:t>
      </w:r>
      <w:r w:rsidRPr="002A3937">
        <w:rPr>
          <w:rFonts w:ascii="ArialMT" w:hAnsi="ArialMT"/>
          <w:sz w:val="24"/>
          <w:szCs w:val="24"/>
          <w:lang w:eastAsia="en-NZ"/>
        </w:rPr>
        <w:t>Supplementary Order Paper (</w:t>
      </w:r>
      <w:r w:rsidR="003E6B30">
        <w:rPr>
          <w:rFonts w:ascii="ArialMT" w:hAnsi="ArialMT"/>
          <w:sz w:val="24"/>
          <w:szCs w:val="24"/>
          <w:lang w:eastAsia="en-NZ"/>
        </w:rPr>
        <w:t>PCO 19895-1/1.4</w:t>
      </w:r>
      <w:bookmarkStart w:id="38" w:name="_GoBack"/>
      <w:bookmarkEnd w:id="38"/>
      <w:r w:rsidRPr="002A3937">
        <w:rPr>
          <w:rFonts w:ascii="ArialMT" w:hAnsi="ArialMT"/>
          <w:sz w:val="24"/>
          <w:szCs w:val="24"/>
          <w:lang w:eastAsia="en-NZ"/>
        </w:rPr>
        <w:t xml:space="preserve">). The review team considers that the RIS </w:t>
      </w:r>
      <w:r w:rsidRPr="002A3937">
        <w:rPr>
          <w:rFonts w:ascii="ArialMT" w:hAnsi="ArialMT"/>
          <w:b/>
          <w:sz w:val="24"/>
          <w:szCs w:val="24"/>
          <w:lang w:eastAsia="en-NZ"/>
        </w:rPr>
        <w:t>partially meets</w:t>
      </w:r>
      <w:r w:rsidRPr="002A3937">
        <w:rPr>
          <w:rFonts w:ascii="ArialMT" w:hAnsi="ArialMT"/>
          <w:sz w:val="24"/>
          <w:szCs w:val="24"/>
          <w:lang w:eastAsia="en-NZ"/>
        </w:rPr>
        <w:t xml:space="preserve"> the QA criteria.</w:t>
      </w:r>
    </w:p>
    <w:p w:rsidR="002A3937" w:rsidRPr="002A3937" w:rsidRDefault="002A3937" w:rsidP="002A3937">
      <w:pPr>
        <w:spacing w:after="0" w:line="240" w:lineRule="auto"/>
        <w:rPr>
          <w:rFonts w:ascii="ArialMT" w:hAnsi="ArialMT"/>
          <w:sz w:val="24"/>
          <w:szCs w:val="24"/>
          <w:lang w:eastAsia="en-NZ"/>
        </w:rPr>
      </w:pPr>
    </w:p>
    <w:p w:rsidR="002A3937" w:rsidRPr="002A3937" w:rsidRDefault="002A3937" w:rsidP="002A3937">
      <w:pPr>
        <w:spacing w:after="0" w:line="240" w:lineRule="auto"/>
        <w:rPr>
          <w:rFonts w:ascii="ArialMT" w:hAnsi="ArialMT"/>
          <w:sz w:val="24"/>
          <w:szCs w:val="24"/>
          <w:lang w:eastAsia="en-NZ"/>
        </w:rPr>
      </w:pPr>
      <w:r w:rsidRPr="002A3937">
        <w:rPr>
          <w:rFonts w:ascii="ArialMT" w:hAnsi="ArialMT"/>
          <w:sz w:val="24"/>
          <w:szCs w:val="24"/>
          <w:lang w:eastAsia="en-NZ"/>
        </w:rPr>
        <w:t>The RIS clearly establishes the conceptual nature of the problem, while acknowledging the limitations of the empirical evidence. It demonstrates a careful and systematic consideration of possible alternative approaches and sets out the reasoning for its conclusions. However, consultation does not appear specifically to have included the smaller non-Governmental organisations who appear to be the main employers of nonregistered social workers, and so it is difficult to be confident as to the likely impacts on them, and their employees, of the proposed approach.</w:t>
      </w:r>
    </w:p>
    <w:p w:rsidR="002A3937" w:rsidRPr="002A3937" w:rsidRDefault="002A3937" w:rsidP="002A3937">
      <w:pPr>
        <w:spacing w:after="0" w:line="240" w:lineRule="auto"/>
        <w:rPr>
          <w:rFonts w:ascii="ArialMT" w:hAnsi="ArialMT"/>
          <w:sz w:val="24"/>
          <w:szCs w:val="24"/>
          <w:lang w:eastAsia="en-NZ"/>
        </w:rPr>
      </w:pPr>
    </w:p>
    <w:p w:rsidR="002A3937" w:rsidRPr="002A3937" w:rsidRDefault="002A3937" w:rsidP="002A3937">
      <w:pPr>
        <w:spacing w:after="0" w:line="240" w:lineRule="auto"/>
        <w:rPr>
          <w:rFonts w:ascii="ArialMT" w:hAnsi="ArialMT"/>
          <w:sz w:val="24"/>
          <w:szCs w:val="24"/>
          <w:lang w:eastAsia="en-NZ"/>
        </w:rPr>
      </w:pPr>
      <w:r w:rsidRPr="002A3937">
        <w:rPr>
          <w:rFonts w:ascii="ArialMT" w:hAnsi="ArialMT"/>
          <w:sz w:val="24"/>
          <w:szCs w:val="24"/>
          <w:lang w:eastAsia="en-NZ"/>
        </w:rPr>
        <w:t>It will be important, if the proposed approach with SOP revisions is adopted, to seek to address the apparent continuing misperceptions among some stakeholders as to what the proposed new amendments can be expected to achieve; and also to monitor the impacts in practice and to consider ways of obtaining better information about the less formal, quasi-social work sector. This should help to enable a well-informed approach to the proposed development of scopes of specialist practice by the Board and any future proposals for the reservation of certain tasks.</w:t>
      </w:r>
    </w:p>
    <w:p w:rsidR="002A3937" w:rsidRPr="002A3937" w:rsidRDefault="002A3937" w:rsidP="002A3937">
      <w:pPr>
        <w:spacing w:after="0" w:line="240" w:lineRule="auto"/>
        <w:rPr>
          <w:rFonts w:ascii="ArialMT" w:hAnsi="ArialMT"/>
          <w:sz w:val="24"/>
          <w:szCs w:val="24"/>
          <w:lang w:eastAsia="en-NZ"/>
        </w:rPr>
      </w:pPr>
    </w:p>
    <w:p w:rsidR="002A3937" w:rsidRPr="002A3937" w:rsidRDefault="002A3937" w:rsidP="002A3937">
      <w:pPr>
        <w:spacing w:after="0" w:line="240" w:lineRule="auto"/>
        <w:rPr>
          <w:rFonts w:ascii="ArialMT" w:hAnsi="ArialMT"/>
          <w:sz w:val="24"/>
          <w:szCs w:val="24"/>
          <w:lang w:eastAsia="en-NZ"/>
        </w:rPr>
      </w:pPr>
      <w:r w:rsidRPr="002A3937">
        <w:rPr>
          <w:rFonts w:ascii="ArialMT" w:hAnsi="ArialMT"/>
          <w:sz w:val="24"/>
          <w:szCs w:val="24"/>
          <w:lang w:eastAsia="en-NZ"/>
        </w:rPr>
        <w:t>Regulatory Impact Analysis Team</w:t>
      </w:r>
    </w:p>
    <w:p w:rsidR="002A3937" w:rsidRPr="002A3937" w:rsidRDefault="002A3937" w:rsidP="002A3937">
      <w:pPr>
        <w:spacing w:after="0" w:line="240" w:lineRule="auto"/>
        <w:rPr>
          <w:rFonts w:ascii="ArialMT" w:hAnsi="ArialMT"/>
          <w:sz w:val="24"/>
          <w:szCs w:val="24"/>
          <w:lang w:eastAsia="en-NZ"/>
        </w:rPr>
      </w:pPr>
      <w:r w:rsidRPr="002A3937">
        <w:rPr>
          <w:rFonts w:ascii="ArialMT" w:hAnsi="ArialMT"/>
          <w:sz w:val="24"/>
          <w:szCs w:val="24"/>
          <w:lang w:eastAsia="en-NZ"/>
        </w:rPr>
        <w:t>The Treasury</w:t>
      </w:r>
    </w:p>
    <w:p w:rsidR="00331783" w:rsidRDefault="002A3937" w:rsidP="002A3937">
      <w:pPr>
        <w:spacing w:after="0" w:line="240" w:lineRule="auto"/>
        <w:rPr>
          <w:rFonts w:eastAsia="Times New Roman" w:cs="Times New Roman"/>
          <w:b/>
          <w:color w:val="1F497D" w:themeColor="text2"/>
          <w:sz w:val="28"/>
          <w:szCs w:val="28"/>
          <w:lang w:val="en-GB" w:eastAsia="en-GB"/>
        </w:rPr>
      </w:pPr>
      <w:r w:rsidRPr="002A3937">
        <w:rPr>
          <w:rFonts w:ascii="ArialMT" w:hAnsi="ArialMT"/>
          <w:sz w:val="24"/>
          <w:szCs w:val="24"/>
          <w:lang w:eastAsia="en-NZ"/>
        </w:rPr>
        <w:t>July 2018</w:t>
      </w:r>
      <w:r w:rsidR="00331783">
        <w:rPr>
          <w:rFonts w:eastAsia="Times New Roman" w:cs="Times New Roman"/>
          <w:b/>
          <w:color w:val="1F497D" w:themeColor="text2"/>
          <w:sz w:val="28"/>
          <w:szCs w:val="28"/>
          <w:lang w:val="en-GB" w:eastAsia="en-GB"/>
        </w:rPr>
        <w:br w:type="page"/>
      </w:r>
    </w:p>
    <w:p w:rsidR="00C05771" w:rsidRPr="00663DA5" w:rsidRDefault="00C05771" w:rsidP="00CF2F69">
      <w:pPr>
        <w:spacing w:after="240" w:line="240" w:lineRule="auto"/>
        <w:outlineLvl w:val="1"/>
        <w:rPr>
          <w:rFonts w:eastAsia="Times New Roman" w:cs="Times New Roman"/>
          <w:b/>
          <w:color w:val="1F497D" w:themeColor="text2"/>
          <w:sz w:val="28"/>
          <w:szCs w:val="28"/>
          <w:lang w:val="en-GB" w:eastAsia="en-GB"/>
        </w:rPr>
      </w:pPr>
      <w:bookmarkStart w:id="39" w:name="_Toc520457881"/>
      <w:r w:rsidRPr="00C05771">
        <w:rPr>
          <w:rFonts w:eastAsia="Times New Roman" w:cs="Times New Roman"/>
          <w:b/>
          <w:color w:val="1F497D" w:themeColor="text2"/>
          <w:sz w:val="28"/>
          <w:szCs w:val="28"/>
          <w:lang w:val="en-GB" w:eastAsia="en-GB"/>
        </w:rPr>
        <w:lastRenderedPageBreak/>
        <w:t>Agency Disclosure Statement</w:t>
      </w:r>
      <w:bookmarkEnd w:id="33"/>
      <w:bookmarkEnd w:id="34"/>
      <w:bookmarkEnd w:id="35"/>
      <w:bookmarkEnd w:id="36"/>
      <w:bookmarkEnd w:id="37"/>
      <w:bookmarkEnd w:id="39"/>
      <w:r w:rsidRPr="00C05771">
        <w:rPr>
          <w:rFonts w:eastAsia="Times New Roman" w:cs="Times New Roman"/>
          <w:b/>
          <w:color w:val="1F497D" w:themeColor="text2"/>
          <w:sz w:val="28"/>
          <w:szCs w:val="28"/>
          <w:lang w:val="en-GB" w:eastAsia="en-GB"/>
        </w:rPr>
        <w:t xml:space="preserve"> </w:t>
      </w:r>
    </w:p>
    <w:p w:rsidR="006B345A" w:rsidRDefault="00F87BA3" w:rsidP="00177E1D">
      <w:pPr>
        <w:spacing w:before="120"/>
        <w:ind w:right="170"/>
        <w:rPr>
          <w:highlight w:val="yellow"/>
        </w:rPr>
      </w:pPr>
      <w:r w:rsidRPr="00C05771">
        <w:t>This Regulatory Impact Statement (RIS) has been prepared by the Min</w:t>
      </w:r>
      <w:r>
        <w:t xml:space="preserve">istry of Social Development. It </w:t>
      </w:r>
      <w:r w:rsidRPr="00C05771">
        <w:t>provides an analysis of options to achieve a leg</w:t>
      </w:r>
      <w:r>
        <w:t>islative framework via amendments to the Social Workers Registration Act 2003 (SWR Act</w:t>
      </w:r>
      <w:r w:rsidR="006B345A">
        <w:t>) that will increase</w:t>
      </w:r>
      <w:r>
        <w:t xml:space="preserve"> the professionalism of the social work workforce. </w:t>
      </w:r>
    </w:p>
    <w:p w:rsidR="006B345A" w:rsidRPr="006B345A" w:rsidRDefault="006B345A" w:rsidP="006B345A">
      <w:pPr>
        <w:pStyle w:val="BodyText"/>
      </w:pPr>
      <w:r>
        <w:t xml:space="preserve">The Social Services Committee </w:t>
      </w:r>
      <w:r w:rsidR="00044B7B">
        <w:t xml:space="preserve">(the Select Committee) </w:t>
      </w:r>
      <w:r>
        <w:t xml:space="preserve">inquired into the operation of the </w:t>
      </w:r>
      <w:r w:rsidR="00DF4203">
        <w:t>SWR</w:t>
      </w:r>
      <w:r>
        <w:t xml:space="preserve"> Act at the request of Minister Tolley, reporting back to the House </w:t>
      </w:r>
      <w:r w:rsidR="00DF4203">
        <w:t xml:space="preserve">of Representatives </w:t>
      </w:r>
      <w:r>
        <w:t xml:space="preserve">on 2 December 2016. The Government Response, presented to the House on 21 March 2017, acknowledged the overall intent of the </w:t>
      </w:r>
      <w:r w:rsidR="00044B7B">
        <w:t xml:space="preserve">Select </w:t>
      </w:r>
      <w:r>
        <w:t>Committee’s recommendations and the case made by the Committee for some form of increased regulation of social workers. The proposals analysed in this RIS are those referred to in that Response and are the result of further work undertaken by the Ministry of Social Development in February to April 2017.</w:t>
      </w:r>
    </w:p>
    <w:p w:rsidR="00F87BA3" w:rsidRPr="009A1C49" w:rsidRDefault="00F87BA3" w:rsidP="00177E1D">
      <w:pPr>
        <w:spacing w:before="120"/>
        <w:ind w:right="170"/>
        <w:rPr>
          <w:rFonts w:cstheme="minorHAnsi"/>
          <w:szCs w:val="20"/>
        </w:rPr>
      </w:pPr>
      <w:r w:rsidRPr="006B345A">
        <w:rPr>
          <w:rFonts w:cstheme="minorHAnsi"/>
          <w:szCs w:val="20"/>
        </w:rPr>
        <w:t xml:space="preserve">The proposals are expected to be considered by the Cabinet Social Policy Committee (SOC) in May 2017. The proposals in this RIS </w:t>
      </w:r>
      <w:r w:rsidRPr="009A1C49">
        <w:rPr>
          <w:rFonts w:cstheme="minorHAnsi"/>
          <w:szCs w:val="20"/>
        </w:rPr>
        <w:t>address</w:t>
      </w:r>
      <w:r w:rsidR="009A5AF8" w:rsidRPr="009A1C49">
        <w:rPr>
          <w:rFonts w:cstheme="minorHAnsi"/>
          <w:szCs w:val="20"/>
        </w:rPr>
        <w:t xml:space="preserve"> the options of increased regulation of social work and social workers, and make recommendations to</w:t>
      </w:r>
      <w:r w:rsidRPr="009A1C49">
        <w:rPr>
          <w:rFonts w:cstheme="minorHAnsi"/>
          <w:szCs w:val="20"/>
        </w:rPr>
        <w:t xml:space="preserve">: </w:t>
      </w:r>
    </w:p>
    <w:p w:rsidR="009A5AF8" w:rsidRPr="009A1C49" w:rsidRDefault="00DF4203" w:rsidP="005B5FC6">
      <w:pPr>
        <w:numPr>
          <w:ilvl w:val="0"/>
          <w:numId w:val="18"/>
        </w:numPr>
        <w:tabs>
          <w:tab w:val="num" w:pos="1418"/>
        </w:tabs>
        <w:spacing w:before="120" w:after="240" w:line="240" w:lineRule="auto"/>
        <w:rPr>
          <w:rFonts w:eastAsia="Times New Roman"/>
          <w:szCs w:val="20"/>
          <w:lang w:val="en-GB" w:eastAsia="ja-JP"/>
        </w:rPr>
      </w:pPr>
      <w:r>
        <w:rPr>
          <w:rFonts w:eastAsia="Times New Roman"/>
          <w:szCs w:val="20"/>
          <w:lang w:val="en-GB" w:eastAsia="ja-JP"/>
        </w:rPr>
        <w:t>expand</w:t>
      </w:r>
      <w:r w:rsidR="00241751" w:rsidRPr="009A1C49">
        <w:rPr>
          <w:rFonts w:eastAsia="Times New Roman"/>
          <w:szCs w:val="20"/>
          <w:lang w:val="en-GB" w:eastAsia="ja-JP"/>
        </w:rPr>
        <w:t xml:space="preserve"> the coverage of the </w:t>
      </w:r>
      <w:r w:rsidR="009A5AF8" w:rsidRPr="009A1C49">
        <w:rPr>
          <w:rFonts w:eastAsia="Times New Roman"/>
          <w:szCs w:val="20"/>
          <w:lang w:val="en-GB" w:eastAsia="ja-JP"/>
        </w:rPr>
        <w:t>current</w:t>
      </w:r>
      <w:r w:rsidR="00241751" w:rsidRPr="009A1C49">
        <w:rPr>
          <w:rFonts w:eastAsia="Times New Roman"/>
          <w:szCs w:val="20"/>
          <w:lang w:val="en-GB" w:eastAsia="ja-JP"/>
        </w:rPr>
        <w:t xml:space="preserve"> </w:t>
      </w:r>
      <w:r w:rsidR="003B0745" w:rsidRPr="009A1C49">
        <w:rPr>
          <w:rFonts w:eastAsia="Times New Roman"/>
          <w:szCs w:val="20"/>
          <w:lang w:val="en-GB" w:eastAsia="ja-JP"/>
        </w:rPr>
        <w:t xml:space="preserve">voluntary </w:t>
      </w:r>
      <w:r w:rsidR="00241751" w:rsidRPr="009A1C49">
        <w:rPr>
          <w:rFonts w:eastAsia="Times New Roman"/>
          <w:szCs w:val="20"/>
          <w:lang w:val="en-GB" w:eastAsia="ja-JP"/>
        </w:rPr>
        <w:t xml:space="preserve">certification </w:t>
      </w:r>
      <w:r w:rsidR="009A1C49">
        <w:rPr>
          <w:rFonts w:eastAsia="Times New Roman"/>
          <w:szCs w:val="20"/>
          <w:lang w:val="en-GB" w:eastAsia="ja-JP"/>
        </w:rPr>
        <w:t xml:space="preserve">approach by </w:t>
      </w:r>
      <w:r w:rsidR="009A5AF8" w:rsidRPr="009A1C49">
        <w:rPr>
          <w:rFonts w:eastAsia="Times New Roman"/>
          <w:szCs w:val="20"/>
          <w:lang w:val="en-GB" w:eastAsia="ja-JP"/>
        </w:rPr>
        <w:t>m</w:t>
      </w:r>
      <w:r w:rsidR="009A1C49">
        <w:rPr>
          <w:rFonts w:eastAsia="Times New Roman"/>
          <w:szCs w:val="20"/>
          <w:lang w:val="en-GB" w:eastAsia="ja-JP"/>
        </w:rPr>
        <w:t>oving</w:t>
      </w:r>
      <w:r w:rsidR="009A5AF8" w:rsidRPr="009A1C49">
        <w:rPr>
          <w:rFonts w:eastAsia="Times New Roman"/>
          <w:szCs w:val="20"/>
          <w:lang w:val="en-GB" w:eastAsia="ja-JP"/>
        </w:rPr>
        <w:t xml:space="preserve"> to </w:t>
      </w:r>
      <w:r w:rsidR="009A1C49">
        <w:rPr>
          <w:rFonts w:eastAsia="Times New Roman"/>
          <w:szCs w:val="20"/>
          <w:lang w:val="en-GB" w:eastAsia="ja-JP"/>
        </w:rPr>
        <w:t xml:space="preserve">a </w:t>
      </w:r>
      <w:r w:rsidR="009A5AF8" w:rsidRPr="009A1C49">
        <w:rPr>
          <w:rFonts w:eastAsia="Times New Roman"/>
          <w:szCs w:val="20"/>
          <w:lang w:val="en-GB" w:eastAsia="ja-JP"/>
        </w:rPr>
        <w:t xml:space="preserve">mandatory certification and broader title protection </w:t>
      </w:r>
      <w:r w:rsidR="009A1C49">
        <w:rPr>
          <w:rFonts w:eastAsia="Times New Roman"/>
          <w:szCs w:val="20"/>
          <w:lang w:val="en-GB" w:eastAsia="ja-JP"/>
        </w:rPr>
        <w:t xml:space="preserve">regime </w:t>
      </w:r>
      <w:r w:rsidR="009A5AF8" w:rsidRPr="009A1C49">
        <w:rPr>
          <w:rFonts w:eastAsia="Times New Roman"/>
          <w:szCs w:val="20"/>
          <w:lang w:val="en-GB" w:eastAsia="ja-JP"/>
        </w:rPr>
        <w:t>so that only those who are registered are able to call themselves “social workers”</w:t>
      </w:r>
    </w:p>
    <w:p w:rsidR="00F87BA3" w:rsidRPr="00800F6E" w:rsidRDefault="00DF4203" w:rsidP="005B5FC6">
      <w:pPr>
        <w:numPr>
          <w:ilvl w:val="0"/>
          <w:numId w:val="18"/>
        </w:numPr>
        <w:tabs>
          <w:tab w:val="num" w:pos="1418"/>
        </w:tabs>
        <w:spacing w:before="120" w:after="240" w:line="240" w:lineRule="auto"/>
        <w:rPr>
          <w:rFonts w:eastAsia="Times New Roman"/>
          <w:szCs w:val="20"/>
          <w:lang w:val="en-GB" w:eastAsia="ja-JP"/>
        </w:rPr>
      </w:pPr>
      <w:r>
        <w:rPr>
          <w:rFonts w:eastAsia="Times New Roman"/>
          <w:szCs w:val="20"/>
          <w:lang w:val="en-GB" w:eastAsia="ja-JP"/>
        </w:rPr>
        <w:t>support</w:t>
      </w:r>
      <w:r w:rsidR="00241751" w:rsidRPr="00800F6E">
        <w:rPr>
          <w:rFonts w:eastAsia="Times New Roman"/>
          <w:szCs w:val="20"/>
          <w:lang w:val="en-GB" w:eastAsia="ja-JP"/>
        </w:rPr>
        <w:t xml:space="preserve"> the efficient operation of the regulatory regime through various changes aimed at improving regulatory coherence and efficiency; and</w:t>
      </w:r>
    </w:p>
    <w:p w:rsidR="00241751" w:rsidRPr="00241751" w:rsidRDefault="00DF4203" w:rsidP="005B5FC6">
      <w:pPr>
        <w:numPr>
          <w:ilvl w:val="0"/>
          <w:numId w:val="18"/>
        </w:numPr>
        <w:tabs>
          <w:tab w:val="num" w:pos="1418"/>
        </w:tabs>
        <w:spacing w:after="240" w:line="240" w:lineRule="auto"/>
        <w:rPr>
          <w:rFonts w:eastAsia="Times New Roman"/>
          <w:szCs w:val="20"/>
          <w:lang w:val="en-GB" w:eastAsia="ja-JP"/>
        </w:rPr>
      </w:pPr>
      <w:r>
        <w:rPr>
          <w:rFonts w:eastAsia="Times New Roman"/>
          <w:szCs w:val="20"/>
          <w:lang w:val="en-GB" w:eastAsia="ja-JP"/>
        </w:rPr>
        <w:t>support</w:t>
      </w:r>
      <w:r w:rsidR="00241751">
        <w:rPr>
          <w:rFonts w:eastAsia="Times New Roman"/>
          <w:szCs w:val="20"/>
          <w:lang w:val="en-GB" w:eastAsia="ja-JP"/>
        </w:rPr>
        <w:t xml:space="preserve"> wider moves towards improving the professionalism and quality of social work services in New Zealand</w:t>
      </w:r>
      <w:r w:rsidR="00241751" w:rsidRPr="00AD1C1A">
        <w:rPr>
          <w:rFonts w:eastAsia="Times New Roman"/>
          <w:szCs w:val="20"/>
          <w:lang w:val="en-GB" w:eastAsia="ja-JP"/>
        </w:rPr>
        <w:t>.</w:t>
      </w:r>
    </w:p>
    <w:p w:rsidR="00F87BA3" w:rsidRDefault="00F87BA3" w:rsidP="00177E1D">
      <w:pPr>
        <w:spacing w:before="120"/>
        <w:ind w:right="170"/>
        <w:rPr>
          <w:rFonts w:cstheme="minorHAnsi"/>
        </w:rPr>
      </w:pPr>
      <w:r>
        <w:t>T</w:t>
      </w:r>
      <w:r w:rsidRPr="002A5D5B">
        <w:t>he</w:t>
      </w:r>
      <w:r>
        <w:t>r</w:t>
      </w:r>
      <w:r w:rsidRPr="002A5D5B">
        <w:t xml:space="preserve">e </w:t>
      </w:r>
      <w:r>
        <w:t xml:space="preserve">are various legislative changes of a </w:t>
      </w:r>
      <w:r w:rsidRPr="00434FCF">
        <w:t>technical</w:t>
      </w:r>
      <w:r>
        <w:t>, short</w:t>
      </w:r>
      <w:r w:rsidRPr="00434FCF">
        <w:t xml:space="preserve"> </w:t>
      </w:r>
      <w:r>
        <w:t>and</w:t>
      </w:r>
      <w:r w:rsidRPr="00434FCF">
        <w:t xml:space="preserve"> </w:t>
      </w:r>
      <w:r>
        <w:t xml:space="preserve">non-controversial </w:t>
      </w:r>
      <w:r w:rsidRPr="00434FCF">
        <w:t xml:space="preserve">nature </w:t>
      </w:r>
      <w:r w:rsidRPr="002A5D5B">
        <w:t xml:space="preserve">which </w:t>
      </w:r>
      <w:r>
        <w:t>will be referred to in the paper</w:t>
      </w:r>
      <w:r w:rsidRPr="002A5D5B">
        <w:t xml:space="preserve"> to be considered by SOC </w:t>
      </w:r>
      <w:r>
        <w:t>which</w:t>
      </w:r>
      <w:r w:rsidRPr="002A5D5B">
        <w:t xml:space="preserve"> have not undergone regulatory impact </w:t>
      </w:r>
      <w:r w:rsidR="00F51DD6" w:rsidRPr="002A5D5B">
        <w:t>analysis</w:t>
      </w:r>
      <w:r w:rsidR="00F51DD6">
        <w:rPr>
          <w:rFonts w:cstheme="minorHAnsi"/>
        </w:rPr>
        <w:t>.</w:t>
      </w:r>
    </w:p>
    <w:p w:rsidR="00F87BA3" w:rsidRDefault="00F87BA3" w:rsidP="00177E1D">
      <w:pPr>
        <w:spacing w:before="120"/>
        <w:ind w:right="170"/>
        <w:rPr>
          <w:rFonts w:cstheme="minorHAnsi"/>
        </w:rPr>
      </w:pPr>
      <w:r w:rsidRPr="00C05771">
        <w:rPr>
          <w:rFonts w:cstheme="minorHAnsi"/>
        </w:rPr>
        <w:t xml:space="preserve">The key constraint </w:t>
      </w:r>
      <w:r w:rsidR="00F51DD6">
        <w:rPr>
          <w:rFonts w:cstheme="minorHAnsi"/>
        </w:rPr>
        <w:t>on</w:t>
      </w:r>
      <w:r w:rsidRPr="00C05771">
        <w:rPr>
          <w:rFonts w:cstheme="minorHAnsi"/>
        </w:rPr>
        <w:t xml:space="preserve"> the analysis presented in this pa</w:t>
      </w:r>
      <w:r>
        <w:rPr>
          <w:rFonts w:cstheme="minorHAnsi"/>
        </w:rPr>
        <w:t xml:space="preserve">per </w:t>
      </w:r>
      <w:r w:rsidR="00F51DD6">
        <w:rPr>
          <w:rFonts w:cstheme="minorHAnsi"/>
        </w:rPr>
        <w:t>is a</w:t>
      </w:r>
      <w:r>
        <w:rPr>
          <w:rFonts w:cstheme="minorHAnsi"/>
        </w:rPr>
        <w:t xml:space="preserve"> lack of comprehensive information about the numbers and roles of social worke</w:t>
      </w:r>
      <w:r w:rsidR="00F51DD6">
        <w:rPr>
          <w:rFonts w:cstheme="minorHAnsi"/>
        </w:rPr>
        <w:t xml:space="preserve">rs practising in the </w:t>
      </w:r>
      <w:r w:rsidR="00D97D37">
        <w:rPr>
          <w:rFonts w:cstheme="minorHAnsi"/>
        </w:rPr>
        <w:t>non-government</w:t>
      </w:r>
      <w:r w:rsidR="0064484F">
        <w:rPr>
          <w:rFonts w:cstheme="minorHAnsi"/>
        </w:rPr>
        <w:t>al</w:t>
      </w:r>
      <w:r w:rsidR="00D97D37">
        <w:rPr>
          <w:rFonts w:cstheme="minorHAnsi"/>
        </w:rPr>
        <w:t xml:space="preserve"> organisation (</w:t>
      </w:r>
      <w:r w:rsidR="00F51DD6">
        <w:rPr>
          <w:rFonts w:cstheme="minorHAnsi"/>
        </w:rPr>
        <w:t>NGO</w:t>
      </w:r>
      <w:r w:rsidR="00D97D37">
        <w:rPr>
          <w:rFonts w:cstheme="minorHAnsi"/>
        </w:rPr>
        <w:t>)</w:t>
      </w:r>
      <w:r w:rsidR="00F51DD6">
        <w:rPr>
          <w:rFonts w:cstheme="minorHAnsi"/>
        </w:rPr>
        <w:t xml:space="preserve"> sector.</w:t>
      </w:r>
    </w:p>
    <w:tbl>
      <w:tblPr>
        <w:tblW w:w="0" w:type="auto"/>
        <w:tblInd w:w="108" w:type="dxa"/>
        <w:tblLook w:val="01E0" w:firstRow="1" w:lastRow="1" w:firstColumn="1" w:lastColumn="1" w:noHBand="0" w:noVBand="0"/>
      </w:tblPr>
      <w:tblGrid>
        <w:gridCol w:w="5245"/>
        <w:gridCol w:w="992"/>
        <w:gridCol w:w="2694"/>
      </w:tblGrid>
      <w:tr w:rsidR="00F87BA3" w:rsidRPr="00C05771" w:rsidTr="00F87BA3">
        <w:tc>
          <w:tcPr>
            <w:tcW w:w="5245" w:type="dxa"/>
            <w:tcBorders>
              <w:bottom w:val="single" w:sz="8" w:space="0" w:color="auto"/>
            </w:tcBorders>
            <w:shd w:val="clear" w:color="auto" w:fill="auto"/>
          </w:tcPr>
          <w:p w:rsidR="00F87BA3" w:rsidRPr="00C05771" w:rsidRDefault="00F87BA3" w:rsidP="00177E1D">
            <w:pPr>
              <w:spacing w:after="180"/>
              <w:ind w:right="170"/>
              <w:rPr>
                <w:kern w:val="28"/>
                <w:lang w:eastAsia="en-AU"/>
              </w:rPr>
            </w:pPr>
          </w:p>
        </w:tc>
        <w:tc>
          <w:tcPr>
            <w:tcW w:w="992" w:type="dxa"/>
            <w:shd w:val="clear" w:color="auto" w:fill="auto"/>
          </w:tcPr>
          <w:p w:rsidR="00F87BA3" w:rsidRPr="00C05771" w:rsidRDefault="00F87BA3" w:rsidP="00177E1D">
            <w:pPr>
              <w:spacing w:after="180"/>
              <w:ind w:left="567" w:right="170"/>
              <w:rPr>
                <w:kern w:val="28"/>
                <w:lang w:eastAsia="en-AU"/>
              </w:rPr>
            </w:pPr>
          </w:p>
        </w:tc>
        <w:tc>
          <w:tcPr>
            <w:tcW w:w="2694" w:type="dxa"/>
            <w:tcBorders>
              <w:bottom w:val="single" w:sz="8" w:space="0" w:color="auto"/>
            </w:tcBorders>
            <w:shd w:val="clear" w:color="auto" w:fill="auto"/>
          </w:tcPr>
          <w:p w:rsidR="00F87BA3" w:rsidRPr="00C05771" w:rsidRDefault="00D368FE" w:rsidP="00177E1D">
            <w:pPr>
              <w:spacing w:after="180"/>
              <w:ind w:right="170"/>
              <w:rPr>
                <w:kern w:val="28"/>
                <w:lang w:eastAsia="en-AU"/>
              </w:rPr>
            </w:pPr>
            <w:r>
              <w:rPr>
                <w:kern w:val="28"/>
                <w:lang w:eastAsia="en-AU"/>
              </w:rPr>
              <w:t>1 May 2017</w:t>
            </w:r>
          </w:p>
        </w:tc>
      </w:tr>
      <w:tr w:rsidR="00F87BA3" w:rsidRPr="00C05771" w:rsidTr="00F87BA3">
        <w:tc>
          <w:tcPr>
            <w:tcW w:w="5245" w:type="dxa"/>
            <w:tcBorders>
              <w:top w:val="single" w:sz="8" w:space="0" w:color="auto"/>
            </w:tcBorders>
            <w:shd w:val="clear" w:color="auto" w:fill="auto"/>
          </w:tcPr>
          <w:p w:rsidR="00F87BA3" w:rsidRPr="00C05771" w:rsidRDefault="00F87BA3" w:rsidP="00CF2F69">
            <w:pPr>
              <w:spacing w:after="0" w:line="276" w:lineRule="auto"/>
              <w:ind w:right="170"/>
              <w:rPr>
                <w:kern w:val="28"/>
                <w:lang w:eastAsia="en-AU"/>
              </w:rPr>
            </w:pPr>
            <w:r>
              <w:rPr>
                <w:kern w:val="28"/>
                <w:lang w:eastAsia="en-AU"/>
              </w:rPr>
              <w:t>Simon MacPherson</w:t>
            </w:r>
          </w:p>
          <w:p w:rsidR="00F87BA3" w:rsidRPr="00C05771" w:rsidRDefault="00F87BA3" w:rsidP="00177E1D">
            <w:pPr>
              <w:spacing w:after="0" w:line="276" w:lineRule="auto"/>
              <w:ind w:right="170"/>
              <w:rPr>
                <w:kern w:val="28"/>
                <w:lang w:eastAsia="en-AU"/>
              </w:rPr>
            </w:pPr>
            <w:r w:rsidRPr="00C05771">
              <w:rPr>
                <w:kern w:val="28"/>
                <w:lang w:eastAsia="en-AU"/>
              </w:rPr>
              <w:t>Deputy Chief Executive, Social Policy</w:t>
            </w:r>
          </w:p>
          <w:p w:rsidR="00F87BA3" w:rsidRPr="00C05771" w:rsidRDefault="00F87BA3" w:rsidP="00177E1D">
            <w:pPr>
              <w:spacing w:after="0" w:line="276" w:lineRule="auto"/>
              <w:ind w:right="170"/>
              <w:rPr>
                <w:kern w:val="28"/>
                <w:lang w:eastAsia="en-AU"/>
              </w:rPr>
            </w:pPr>
            <w:r w:rsidRPr="00C05771">
              <w:rPr>
                <w:kern w:val="28"/>
                <w:lang w:eastAsia="en-AU"/>
              </w:rPr>
              <w:t>Ministry of Social Development</w:t>
            </w:r>
          </w:p>
          <w:p w:rsidR="00F87BA3" w:rsidRPr="00C05771" w:rsidRDefault="00F87BA3" w:rsidP="00177E1D">
            <w:pPr>
              <w:spacing w:after="0" w:line="276" w:lineRule="auto"/>
              <w:ind w:left="567" w:right="170"/>
              <w:rPr>
                <w:kern w:val="28"/>
                <w:lang w:eastAsia="en-AU"/>
              </w:rPr>
            </w:pPr>
          </w:p>
        </w:tc>
        <w:tc>
          <w:tcPr>
            <w:tcW w:w="992" w:type="dxa"/>
            <w:shd w:val="clear" w:color="auto" w:fill="auto"/>
          </w:tcPr>
          <w:p w:rsidR="00F87BA3" w:rsidRPr="00C05771" w:rsidRDefault="00F87BA3" w:rsidP="00177E1D">
            <w:pPr>
              <w:spacing w:after="0" w:line="276" w:lineRule="auto"/>
              <w:ind w:left="567" w:right="170"/>
              <w:rPr>
                <w:kern w:val="28"/>
                <w:lang w:eastAsia="en-AU"/>
              </w:rPr>
            </w:pPr>
          </w:p>
        </w:tc>
        <w:tc>
          <w:tcPr>
            <w:tcW w:w="2694" w:type="dxa"/>
            <w:tcBorders>
              <w:top w:val="single" w:sz="8" w:space="0" w:color="auto"/>
            </w:tcBorders>
            <w:shd w:val="clear" w:color="auto" w:fill="auto"/>
          </w:tcPr>
          <w:p w:rsidR="00F87BA3" w:rsidRPr="00C05771" w:rsidRDefault="00F87BA3" w:rsidP="00177E1D">
            <w:pPr>
              <w:spacing w:after="0" w:line="276" w:lineRule="auto"/>
              <w:ind w:right="170"/>
              <w:rPr>
                <w:kern w:val="28"/>
                <w:lang w:eastAsia="en-AU"/>
              </w:rPr>
            </w:pPr>
            <w:r w:rsidRPr="00C05771">
              <w:rPr>
                <w:kern w:val="28"/>
                <w:lang w:eastAsia="en-AU"/>
              </w:rPr>
              <w:t>Date</w:t>
            </w:r>
          </w:p>
        </w:tc>
      </w:tr>
    </w:tbl>
    <w:p w:rsidR="00F87BA3" w:rsidRPr="009E1E17" w:rsidRDefault="00F87BA3" w:rsidP="009E1E17">
      <w:pPr>
        <w:spacing w:before="120"/>
        <w:ind w:right="170"/>
        <w:rPr>
          <w:rFonts w:cstheme="minorHAnsi"/>
        </w:rPr>
      </w:pPr>
    </w:p>
    <w:p w:rsidR="00FE1E77" w:rsidRDefault="00FE1E77">
      <w:pPr>
        <w:spacing w:after="0" w:line="240" w:lineRule="auto"/>
        <w:rPr>
          <w:rFonts w:eastAsia="Times New Roman" w:cs="Times New Roman"/>
          <w:b/>
          <w:i/>
          <w:color w:val="1F497D" w:themeColor="text2"/>
          <w:sz w:val="28"/>
          <w:szCs w:val="28"/>
          <w:lang w:val="en-GB" w:eastAsia="en-GB"/>
        </w:rPr>
      </w:pPr>
      <w:r>
        <w:rPr>
          <w:rFonts w:eastAsia="Times New Roman" w:cs="Times New Roman"/>
          <w:b/>
          <w:i/>
          <w:color w:val="1F497D" w:themeColor="text2"/>
          <w:sz w:val="28"/>
          <w:szCs w:val="28"/>
          <w:lang w:val="en-GB" w:eastAsia="en-GB"/>
        </w:rPr>
        <w:br w:type="page"/>
      </w:r>
    </w:p>
    <w:p w:rsidR="00F87BA3" w:rsidRPr="00FE1E77" w:rsidRDefault="009B2A03" w:rsidP="009E1E17">
      <w:pPr>
        <w:spacing w:after="240" w:line="240" w:lineRule="auto"/>
        <w:outlineLvl w:val="1"/>
        <w:rPr>
          <w:rFonts w:eastAsia="Times New Roman" w:cs="Times New Roman"/>
          <w:b/>
          <w:i/>
          <w:color w:val="1F497D" w:themeColor="text2"/>
          <w:sz w:val="28"/>
          <w:szCs w:val="28"/>
          <w:lang w:val="en-GB" w:eastAsia="en-GB"/>
        </w:rPr>
      </w:pPr>
      <w:bookmarkStart w:id="40" w:name="_Toc520457882"/>
      <w:r w:rsidRPr="00FE1E77">
        <w:rPr>
          <w:rFonts w:eastAsia="Times New Roman" w:cs="Times New Roman"/>
          <w:b/>
          <w:i/>
          <w:color w:val="1F497D" w:themeColor="text2"/>
          <w:sz w:val="28"/>
          <w:szCs w:val="28"/>
          <w:lang w:val="en-GB" w:eastAsia="en-GB"/>
        </w:rPr>
        <w:lastRenderedPageBreak/>
        <w:t>Supplementary Disclosure Statement</w:t>
      </w:r>
      <w:r w:rsidR="00AE4448" w:rsidRPr="00FE1E77">
        <w:rPr>
          <w:rFonts w:eastAsia="Times New Roman" w:cs="Times New Roman"/>
          <w:b/>
          <w:i/>
          <w:color w:val="1F497D" w:themeColor="text2"/>
          <w:sz w:val="28"/>
          <w:szCs w:val="28"/>
          <w:lang w:val="en-GB" w:eastAsia="en-GB"/>
        </w:rPr>
        <w:t xml:space="preserve"> for proposed SOP</w:t>
      </w:r>
      <w:bookmarkEnd w:id="40"/>
    </w:p>
    <w:p w:rsidR="009B2A03" w:rsidRPr="009E1E17" w:rsidRDefault="00AE4448" w:rsidP="009E1E17">
      <w:pPr>
        <w:spacing w:before="120"/>
        <w:ind w:right="170"/>
        <w:rPr>
          <w:rFonts w:cstheme="minorHAnsi"/>
          <w:i/>
        </w:rPr>
      </w:pPr>
      <w:r w:rsidRPr="00AE4448">
        <w:rPr>
          <w:rFonts w:cstheme="minorHAnsi"/>
          <w:i/>
        </w:rPr>
        <w:t xml:space="preserve">The Social Workers Registration </w:t>
      </w:r>
      <w:r>
        <w:rPr>
          <w:rFonts w:cstheme="minorHAnsi"/>
          <w:i/>
        </w:rPr>
        <w:t xml:space="preserve">Legislation </w:t>
      </w:r>
      <w:r w:rsidRPr="00AE4448">
        <w:rPr>
          <w:rFonts w:cstheme="minorHAnsi"/>
          <w:i/>
        </w:rPr>
        <w:t>Bill was introduced to the House on 9 August 2017. It had a first reading on 17 August 2017, and was referred to the Social Services and Community Select Committee (the Committee). The Committee presented its Commentary report on 13 April 2018</w:t>
      </w:r>
      <w:r>
        <w:rPr>
          <w:rFonts w:cstheme="minorHAnsi"/>
          <w:i/>
        </w:rPr>
        <w:t>, and recommended various changes to the Bill.  None of those changes were major changes in terms of the policy intent of the initial Bill.</w:t>
      </w:r>
    </w:p>
    <w:p w:rsidR="000D302A" w:rsidRDefault="001C1B15" w:rsidP="00594144">
      <w:pPr>
        <w:tabs>
          <w:tab w:val="num" w:pos="1418"/>
        </w:tabs>
        <w:spacing w:before="120"/>
        <w:rPr>
          <w:rFonts w:cstheme="minorHAnsi"/>
          <w:i/>
        </w:rPr>
      </w:pPr>
      <w:r>
        <w:rPr>
          <w:rFonts w:cstheme="minorHAnsi"/>
          <w:i/>
        </w:rPr>
        <w:t xml:space="preserve">Subsequently the Minister agreed to further work to amend the Bill </w:t>
      </w:r>
      <w:r w:rsidR="00DF742C">
        <w:rPr>
          <w:rFonts w:cstheme="minorHAnsi"/>
          <w:i/>
        </w:rPr>
        <w:t xml:space="preserve">(via a Supplementary Order Paper) </w:t>
      </w:r>
      <w:r>
        <w:rPr>
          <w:rFonts w:cstheme="minorHAnsi"/>
          <w:i/>
        </w:rPr>
        <w:t>in the light of submissions</w:t>
      </w:r>
      <w:r w:rsidR="00FB2226">
        <w:rPr>
          <w:rFonts w:cstheme="minorHAnsi"/>
          <w:i/>
        </w:rPr>
        <w:t xml:space="preserve"> which had not been addressed in the Committee report</w:t>
      </w:r>
      <w:r>
        <w:rPr>
          <w:rFonts w:cstheme="minorHAnsi"/>
          <w:i/>
        </w:rPr>
        <w:t xml:space="preserve">, including several changes which constitute policy changes and therefore require Cabinet approval.  Because these changes do not represent major changes in terms of </w:t>
      </w:r>
      <w:r w:rsidR="000D302A">
        <w:rPr>
          <w:rFonts w:cstheme="minorHAnsi"/>
          <w:i/>
        </w:rPr>
        <w:t xml:space="preserve">the original objectives or </w:t>
      </w:r>
      <w:r>
        <w:rPr>
          <w:rFonts w:cstheme="minorHAnsi"/>
          <w:i/>
        </w:rPr>
        <w:t xml:space="preserve">their expected regulatory impact the Ministry of Social Development has proceeded by </w:t>
      </w:r>
      <w:r w:rsidRPr="001C1B15">
        <w:rPr>
          <w:rFonts w:cstheme="minorHAnsi"/>
          <w:i/>
        </w:rPr>
        <w:t>updating the existing RIS</w:t>
      </w:r>
      <w:r>
        <w:rPr>
          <w:rFonts w:cstheme="minorHAnsi"/>
          <w:i/>
        </w:rPr>
        <w:t xml:space="preserve"> rather than undertaking a new one. </w:t>
      </w:r>
      <w:r w:rsidRPr="001C1B15">
        <w:rPr>
          <w:rFonts w:cstheme="minorHAnsi"/>
          <w:i/>
        </w:rPr>
        <w:t xml:space="preserve"> </w:t>
      </w:r>
      <w:r w:rsidR="000D302A">
        <w:rPr>
          <w:rFonts w:cstheme="minorHAnsi"/>
          <w:i/>
        </w:rPr>
        <w:t xml:space="preserve">The new material is incorporated in italics, and ensures that </w:t>
      </w:r>
      <w:r w:rsidRPr="001C1B15">
        <w:rPr>
          <w:rFonts w:cstheme="minorHAnsi"/>
          <w:i/>
        </w:rPr>
        <w:t xml:space="preserve">analysis of all the issues </w:t>
      </w:r>
      <w:r w:rsidR="000D302A">
        <w:rPr>
          <w:rFonts w:cstheme="minorHAnsi"/>
          <w:i/>
        </w:rPr>
        <w:t xml:space="preserve">is </w:t>
      </w:r>
      <w:r w:rsidRPr="001C1B15">
        <w:rPr>
          <w:rFonts w:cstheme="minorHAnsi"/>
          <w:i/>
        </w:rPr>
        <w:t>in one place</w:t>
      </w:r>
      <w:r>
        <w:rPr>
          <w:rFonts w:cstheme="minorHAnsi"/>
          <w:i/>
        </w:rPr>
        <w:t>.</w:t>
      </w:r>
      <w:r w:rsidR="000D302A">
        <w:rPr>
          <w:rFonts w:cstheme="minorHAnsi"/>
          <w:i/>
        </w:rPr>
        <w:t xml:space="preserve">  </w:t>
      </w:r>
    </w:p>
    <w:p w:rsidR="001C1B15" w:rsidRPr="00594144" w:rsidRDefault="000D302A" w:rsidP="00594144">
      <w:pPr>
        <w:tabs>
          <w:tab w:val="num" w:pos="1418"/>
        </w:tabs>
        <w:spacing w:before="120"/>
        <w:rPr>
          <w:rFonts w:eastAsia="Times New Roman"/>
          <w:i/>
          <w:szCs w:val="20"/>
          <w:lang w:val="en-GB" w:eastAsia="ja-JP"/>
        </w:rPr>
      </w:pPr>
      <w:r>
        <w:rPr>
          <w:rFonts w:cstheme="minorHAnsi"/>
          <w:i/>
        </w:rPr>
        <w:t xml:space="preserve">The </w:t>
      </w:r>
      <w:r w:rsidR="00DF742C" w:rsidRPr="00594144">
        <w:rPr>
          <w:rFonts w:cstheme="minorHAnsi"/>
          <w:i/>
        </w:rPr>
        <w:t>additional an</w:t>
      </w:r>
      <w:r w:rsidR="00226D04" w:rsidRPr="00594144">
        <w:rPr>
          <w:rFonts w:cstheme="minorHAnsi"/>
          <w:i/>
        </w:rPr>
        <w:t>alysis added to this RIS covers</w:t>
      </w:r>
      <w:r w:rsidR="001C1B15" w:rsidRPr="00594144">
        <w:rPr>
          <w:rFonts w:cstheme="minorHAnsi"/>
          <w:i/>
        </w:rPr>
        <w:t>:</w:t>
      </w:r>
    </w:p>
    <w:p w:rsidR="009B2A03" w:rsidRPr="00594144" w:rsidRDefault="00325FFF" w:rsidP="00594144">
      <w:pPr>
        <w:numPr>
          <w:ilvl w:val="0"/>
          <w:numId w:val="18"/>
        </w:numPr>
        <w:tabs>
          <w:tab w:val="num" w:pos="1418"/>
        </w:tabs>
        <w:spacing w:before="120" w:after="240" w:line="240" w:lineRule="auto"/>
        <w:rPr>
          <w:rFonts w:eastAsia="Times New Roman"/>
          <w:i/>
          <w:szCs w:val="20"/>
          <w:lang w:val="en-GB" w:eastAsia="ja-JP"/>
        </w:rPr>
      </w:pPr>
      <w:r w:rsidRPr="00594144">
        <w:rPr>
          <w:rFonts w:eastAsia="Times New Roman"/>
          <w:i/>
          <w:szCs w:val="20"/>
          <w:lang w:val="en-GB" w:eastAsia="ja-JP"/>
        </w:rPr>
        <w:t>Changes to the Bill to provide for social workers to practise within scopes of practice determined by the Social Workers Registration Board, and related provisions based on the Health Practitioners Competence Assurance Act 2003</w:t>
      </w:r>
      <w:r w:rsidR="00222BA0">
        <w:rPr>
          <w:rFonts w:eastAsia="Times New Roman"/>
          <w:i/>
          <w:szCs w:val="20"/>
          <w:lang w:val="en-GB" w:eastAsia="ja-JP"/>
        </w:rPr>
        <w:t xml:space="preserve"> (</w:t>
      </w:r>
      <w:r w:rsidR="00563500">
        <w:rPr>
          <w:rFonts w:eastAsia="Times New Roman"/>
          <w:i/>
          <w:szCs w:val="20"/>
          <w:lang w:val="en-GB" w:eastAsia="ja-JP"/>
        </w:rPr>
        <w:t xml:space="preserve">pages </w:t>
      </w:r>
      <w:r w:rsidR="00031C35">
        <w:rPr>
          <w:rFonts w:eastAsia="Times New Roman"/>
          <w:i/>
          <w:szCs w:val="20"/>
          <w:lang w:val="en-GB" w:eastAsia="ja-JP"/>
        </w:rPr>
        <w:t>31</w:t>
      </w:r>
      <w:r w:rsidR="00563500">
        <w:rPr>
          <w:rFonts w:eastAsia="Times New Roman"/>
          <w:i/>
          <w:szCs w:val="20"/>
          <w:lang w:val="en-GB" w:eastAsia="ja-JP"/>
        </w:rPr>
        <w:t xml:space="preserve"> </w:t>
      </w:r>
      <w:r w:rsidR="00031C35">
        <w:rPr>
          <w:rFonts w:eastAsia="Times New Roman"/>
          <w:i/>
          <w:szCs w:val="20"/>
          <w:lang w:val="en-GB" w:eastAsia="ja-JP"/>
        </w:rPr>
        <w:t>– 36</w:t>
      </w:r>
      <w:r w:rsidR="00563500">
        <w:rPr>
          <w:rFonts w:eastAsia="Times New Roman"/>
          <w:i/>
          <w:szCs w:val="20"/>
          <w:lang w:val="en-GB" w:eastAsia="ja-JP"/>
        </w:rPr>
        <w:t>)</w:t>
      </w:r>
    </w:p>
    <w:p w:rsidR="0068745E" w:rsidRDefault="0068745E" w:rsidP="0068745E">
      <w:pPr>
        <w:numPr>
          <w:ilvl w:val="0"/>
          <w:numId w:val="18"/>
        </w:numPr>
        <w:tabs>
          <w:tab w:val="num" w:pos="1418"/>
        </w:tabs>
        <w:spacing w:before="120" w:after="240" w:line="240" w:lineRule="auto"/>
        <w:rPr>
          <w:rFonts w:eastAsia="Times New Roman"/>
          <w:i/>
          <w:szCs w:val="20"/>
          <w:lang w:val="en-GB" w:eastAsia="ja-JP"/>
        </w:rPr>
      </w:pPr>
      <w:r w:rsidRPr="00835EA4">
        <w:rPr>
          <w:rFonts w:eastAsia="Times New Roman"/>
          <w:i/>
          <w:szCs w:val="20"/>
          <w:lang w:val="en-GB" w:eastAsia="ja-JP"/>
        </w:rPr>
        <w:t>a new power authorising the department responsible for administering the Act to require people to supply information to enable enforcement of the offences relating to title protection</w:t>
      </w:r>
      <w:r w:rsidR="002A3937">
        <w:rPr>
          <w:rFonts w:eastAsia="Times New Roman"/>
          <w:i/>
          <w:szCs w:val="20"/>
          <w:lang w:val="en-GB" w:eastAsia="ja-JP"/>
        </w:rPr>
        <w:t xml:space="preserve"> (page 47</w:t>
      </w:r>
      <w:r>
        <w:rPr>
          <w:rFonts w:eastAsia="Times New Roman"/>
          <w:i/>
          <w:szCs w:val="20"/>
          <w:lang w:val="en-GB" w:eastAsia="ja-JP"/>
        </w:rPr>
        <w:t>)</w:t>
      </w:r>
    </w:p>
    <w:p w:rsidR="00393CAF" w:rsidRDefault="00393CAF" w:rsidP="00594144">
      <w:pPr>
        <w:numPr>
          <w:ilvl w:val="0"/>
          <w:numId w:val="18"/>
        </w:numPr>
        <w:tabs>
          <w:tab w:val="num" w:pos="1418"/>
        </w:tabs>
        <w:spacing w:before="120" w:after="240" w:line="240" w:lineRule="auto"/>
        <w:rPr>
          <w:rFonts w:eastAsia="Times New Roman"/>
          <w:i/>
          <w:szCs w:val="20"/>
          <w:lang w:val="en-GB" w:eastAsia="ja-JP"/>
        </w:rPr>
      </w:pPr>
      <w:r w:rsidRPr="00594144">
        <w:rPr>
          <w:rFonts w:eastAsia="Times New Roman"/>
          <w:i/>
          <w:szCs w:val="20"/>
          <w:lang w:val="en-GB" w:eastAsia="ja-JP"/>
        </w:rPr>
        <w:t xml:space="preserve">the inclusion of a new offence provision to enforce obligations </w:t>
      </w:r>
      <w:r w:rsidR="00563500">
        <w:rPr>
          <w:rFonts w:eastAsia="Times New Roman"/>
          <w:i/>
          <w:szCs w:val="20"/>
          <w:lang w:val="en-GB" w:eastAsia="ja-JP"/>
        </w:rPr>
        <w:t>of</w:t>
      </w:r>
      <w:r w:rsidRPr="00594144">
        <w:rPr>
          <w:rFonts w:eastAsia="Times New Roman"/>
          <w:i/>
          <w:szCs w:val="20"/>
          <w:lang w:val="en-GB" w:eastAsia="ja-JP"/>
        </w:rPr>
        <w:t xml:space="preserve"> confidentiality of information</w:t>
      </w:r>
      <w:r w:rsidR="00563500">
        <w:rPr>
          <w:rFonts w:eastAsia="Times New Roman"/>
          <w:i/>
          <w:szCs w:val="20"/>
          <w:lang w:val="en-GB" w:eastAsia="ja-JP"/>
        </w:rPr>
        <w:t xml:space="preserve"> during the process of assessing an individual social workers competency (</w:t>
      </w:r>
      <w:r w:rsidR="00031C35">
        <w:rPr>
          <w:rFonts w:eastAsia="Times New Roman"/>
          <w:i/>
          <w:szCs w:val="20"/>
          <w:lang w:val="en-GB" w:eastAsia="ja-JP"/>
        </w:rPr>
        <w:t>page 4</w:t>
      </w:r>
      <w:r w:rsidR="0068745E">
        <w:rPr>
          <w:rFonts w:eastAsia="Times New Roman"/>
          <w:i/>
          <w:szCs w:val="20"/>
          <w:lang w:val="en-GB" w:eastAsia="ja-JP"/>
        </w:rPr>
        <w:t>7</w:t>
      </w:r>
      <w:r w:rsidR="00563500">
        <w:rPr>
          <w:rFonts w:eastAsia="Times New Roman"/>
          <w:i/>
          <w:szCs w:val="20"/>
          <w:lang w:val="en-GB" w:eastAsia="ja-JP"/>
        </w:rPr>
        <w:t>)</w:t>
      </w:r>
    </w:p>
    <w:p w:rsidR="00563500" w:rsidRDefault="00563500" w:rsidP="00835EA4">
      <w:pPr>
        <w:numPr>
          <w:ilvl w:val="0"/>
          <w:numId w:val="18"/>
        </w:numPr>
        <w:tabs>
          <w:tab w:val="num" w:pos="1418"/>
        </w:tabs>
        <w:spacing w:before="120" w:after="240" w:line="240" w:lineRule="auto"/>
        <w:rPr>
          <w:rFonts w:eastAsia="Times New Roman"/>
          <w:i/>
          <w:szCs w:val="20"/>
          <w:lang w:val="en-GB" w:eastAsia="ja-JP"/>
        </w:rPr>
      </w:pPr>
      <w:r>
        <w:rPr>
          <w:rFonts w:eastAsia="Times New Roman"/>
          <w:i/>
          <w:szCs w:val="20"/>
          <w:lang w:val="en-GB" w:eastAsia="en-GB"/>
        </w:rPr>
        <w:t xml:space="preserve">Financial Implications of the proposed SOP </w:t>
      </w:r>
      <w:r w:rsidR="0068745E">
        <w:rPr>
          <w:rFonts w:eastAsia="Times New Roman"/>
          <w:i/>
          <w:szCs w:val="20"/>
          <w:lang w:val="en-GB" w:eastAsia="en-GB"/>
        </w:rPr>
        <w:t xml:space="preserve">and review of original estimates </w:t>
      </w:r>
      <w:r>
        <w:rPr>
          <w:rFonts w:eastAsia="Times New Roman"/>
          <w:i/>
          <w:szCs w:val="20"/>
          <w:lang w:val="en-GB" w:eastAsia="en-GB"/>
        </w:rPr>
        <w:t xml:space="preserve">(page </w:t>
      </w:r>
      <w:r w:rsidR="002A3937">
        <w:rPr>
          <w:rFonts w:eastAsia="Times New Roman"/>
          <w:i/>
          <w:szCs w:val="20"/>
          <w:lang w:val="en-GB" w:eastAsia="en-GB"/>
        </w:rPr>
        <w:t>50</w:t>
      </w:r>
      <w:r>
        <w:rPr>
          <w:rFonts w:eastAsia="Times New Roman"/>
          <w:i/>
          <w:szCs w:val="20"/>
          <w:lang w:val="en-GB" w:eastAsia="en-GB"/>
        </w:rPr>
        <w:t>)</w:t>
      </w:r>
    </w:p>
    <w:p w:rsidR="00563500" w:rsidRDefault="00563500" w:rsidP="00835EA4">
      <w:pPr>
        <w:numPr>
          <w:ilvl w:val="0"/>
          <w:numId w:val="18"/>
        </w:numPr>
        <w:tabs>
          <w:tab w:val="num" w:pos="1418"/>
        </w:tabs>
        <w:spacing w:before="120" w:after="240" w:line="240" w:lineRule="auto"/>
        <w:rPr>
          <w:rFonts w:eastAsia="Times New Roman"/>
          <w:i/>
          <w:szCs w:val="20"/>
          <w:lang w:val="en-GB" w:eastAsia="ja-JP"/>
        </w:rPr>
      </w:pPr>
      <w:r>
        <w:rPr>
          <w:rFonts w:eastAsia="Times New Roman"/>
          <w:i/>
          <w:szCs w:val="20"/>
          <w:lang w:val="en-GB" w:eastAsia="en-GB"/>
        </w:rPr>
        <w:t xml:space="preserve">Consultation on the proposed SOP (page </w:t>
      </w:r>
      <w:r w:rsidR="0068745E">
        <w:rPr>
          <w:rFonts w:eastAsia="Times New Roman"/>
          <w:i/>
          <w:szCs w:val="20"/>
          <w:lang w:val="en-GB" w:eastAsia="en-GB"/>
        </w:rPr>
        <w:t>5</w:t>
      </w:r>
      <w:r w:rsidR="002A3937">
        <w:rPr>
          <w:rFonts w:eastAsia="Times New Roman"/>
          <w:i/>
          <w:szCs w:val="20"/>
          <w:lang w:val="en-GB" w:eastAsia="en-GB"/>
        </w:rPr>
        <w:t>1</w:t>
      </w:r>
      <w:r>
        <w:rPr>
          <w:rFonts w:eastAsia="Times New Roman"/>
          <w:i/>
          <w:szCs w:val="20"/>
          <w:lang w:val="en-GB" w:eastAsia="en-GB"/>
        </w:rPr>
        <w:t>)</w:t>
      </w:r>
    </w:p>
    <w:p w:rsidR="00563500" w:rsidRDefault="00563500" w:rsidP="00835EA4">
      <w:pPr>
        <w:numPr>
          <w:ilvl w:val="0"/>
          <w:numId w:val="18"/>
        </w:numPr>
        <w:tabs>
          <w:tab w:val="num" w:pos="1418"/>
        </w:tabs>
        <w:spacing w:before="120" w:after="240" w:line="240" w:lineRule="auto"/>
        <w:rPr>
          <w:rFonts w:eastAsia="Times New Roman"/>
          <w:i/>
          <w:szCs w:val="20"/>
          <w:lang w:val="en-GB" w:eastAsia="ja-JP"/>
        </w:rPr>
      </w:pPr>
      <w:r>
        <w:rPr>
          <w:rFonts w:eastAsia="Times New Roman" w:cs="Times New Roman"/>
          <w:i/>
          <w:szCs w:val="20"/>
          <w:lang w:val="en-GB" w:eastAsia="en-GB"/>
        </w:rPr>
        <w:t>Update</w:t>
      </w:r>
      <w:r w:rsidRPr="00563500">
        <w:rPr>
          <w:rFonts w:eastAsia="Times New Roman" w:cs="Times New Roman"/>
          <w:i/>
          <w:szCs w:val="20"/>
          <w:lang w:val="en-GB" w:eastAsia="en-GB"/>
        </w:rPr>
        <w:t xml:space="preserve"> on implementation</w:t>
      </w:r>
      <w:r>
        <w:rPr>
          <w:rFonts w:eastAsia="Times New Roman" w:cs="Times New Roman"/>
          <w:i/>
          <w:szCs w:val="20"/>
          <w:lang w:val="en-GB" w:eastAsia="en-GB"/>
        </w:rPr>
        <w:t xml:space="preserve"> issues (page </w:t>
      </w:r>
      <w:r w:rsidR="002A3937">
        <w:rPr>
          <w:rFonts w:eastAsia="Times New Roman" w:cs="Times New Roman"/>
          <w:i/>
          <w:szCs w:val="20"/>
          <w:lang w:val="en-GB" w:eastAsia="en-GB"/>
        </w:rPr>
        <w:t>53</w:t>
      </w:r>
      <w:r>
        <w:rPr>
          <w:rFonts w:eastAsia="Times New Roman" w:cs="Times New Roman"/>
          <w:i/>
          <w:szCs w:val="20"/>
          <w:lang w:val="en-GB" w:eastAsia="en-GB"/>
        </w:rPr>
        <w:t>)</w:t>
      </w:r>
    </w:p>
    <w:p w:rsidR="000674CE" w:rsidRDefault="00325FFF" w:rsidP="00594144">
      <w:pPr>
        <w:tabs>
          <w:tab w:val="num" w:pos="1418"/>
        </w:tabs>
        <w:spacing w:before="120"/>
      </w:pPr>
      <w:r w:rsidRPr="009E1E17">
        <w:rPr>
          <w:rFonts w:cstheme="minorHAnsi"/>
          <w:i/>
        </w:rPr>
        <w:t xml:space="preserve">There are also </w:t>
      </w:r>
      <w:r w:rsidR="009B2A03" w:rsidRPr="009E1E17">
        <w:rPr>
          <w:rFonts w:cstheme="minorHAnsi"/>
          <w:i/>
        </w:rPr>
        <w:t xml:space="preserve">a </w:t>
      </w:r>
      <w:r w:rsidRPr="009E1E17">
        <w:rPr>
          <w:rFonts w:cstheme="minorHAnsi"/>
          <w:i/>
        </w:rPr>
        <w:t>number</w:t>
      </w:r>
      <w:r w:rsidR="009B2A03" w:rsidRPr="009E1E17">
        <w:rPr>
          <w:rFonts w:cstheme="minorHAnsi"/>
          <w:i/>
        </w:rPr>
        <w:t xml:space="preserve"> of more minor technical changes</w:t>
      </w:r>
      <w:r w:rsidRPr="009E1E17">
        <w:rPr>
          <w:rFonts w:cstheme="minorHAnsi"/>
          <w:i/>
        </w:rPr>
        <w:t xml:space="preserve"> and improvements proposed to be made via an SOP for which Cabinet approval is not required (they are within the </w:t>
      </w:r>
      <w:r w:rsidR="00454F07" w:rsidRPr="009E1E17">
        <w:rPr>
          <w:rFonts w:cstheme="minorHAnsi"/>
          <w:i/>
        </w:rPr>
        <w:t>Minister’s own</w:t>
      </w:r>
      <w:r w:rsidRPr="009E1E17">
        <w:rPr>
          <w:rFonts w:cstheme="minorHAnsi"/>
          <w:i/>
        </w:rPr>
        <w:t xml:space="preserve"> authority to </w:t>
      </w:r>
      <w:r w:rsidR="00454F07" w:rsidRPr="009E1E17">
        <w:rPr>
          <w:rFonts w:cstheme="minorHAnsi"/>
          <w:i/>
        </w:rPr>
        <w:t>approve)</w:t>
      </w:r>
      <w:r w:rsidR="00454F07">
        <w:rPr>
          <w:rFonts w:cstheme="minorHAnsi"/>
          <w:i/>
        </w:rPr>
        <w:t xml:space="preserve"> and which are not covered by this amended RIS.</w:t>
      </w:r>
    </w:p>
    <w:p w:rsidR="00F87BA3" w:rsidRDefault="00F87BA3" w:rsidP="00177E1D">
      <w:pPr>
        <w:pStyle w:val="TOC2"/>
        <w:tabs>
          <w:tab w:val="right" w:leader="dot" w:pos="9061"/>
        </w:tabs>
        <w:rPr>
          <w:rFonts w:ascii="Arial" w:eastAsia="Times New Roman" w:hAnsi="Arial" w:cs="Times New Roman"/>
          <w:i/>
          <w:sz w:val="22"/>
          <w:szCs w:val="20"/>
          <w:lang w:val="en-GB" w:eastAsia="en-GB"/>
        </w:rPr>
      </w:pPr>
    </w:p>
    <w:p w:rsidR="00D368FE" w:rsidRPr="00D368FE" w:rsidRDefault="00D368FE" w:rsidP="00D368FE">
      <w:pPr>
        <w:rPr>
          <w:lang w:val="en-GB" w:eastAsia="en-GB"/>
        </w:rPr>
      </w:pPr>
    </w:p>
    <w:tbl>
      <w:tblPr>
        <w:tblW w:w="0" w:type="auto"/>
        <w:tblInd w:w="108" w:type="dxa"/>
        <w:tblLook w:val="01E0" w:firstRow="1" w:lastRow="1" w:firstColumn="1" w:lastColumn="1" w:noHBand="0" w:noVBand="0"/>
      </w:tblPr>
      <w:tblGrid>
        <w:gridCol w:w="5245"/>
        <w:gridCol w:w="992"/>
        <w:gridCol w:w="2694"/>
      </w:tblGrid>
      <w:tr w:rsidR="00D368FE" w:rsidRPr="00C05771" w:rsidTr="00FE1E77">
        <w:tc>
          <w:tcPr>
            <w:tcW w:w="5245" w:type="dxa"/>
            <w:tcBorders>
              <w:bottom w:val="single" w:sz="8" w:space="0" w:color="auto"/>
            </w:tcBorders>
            <w:shd w:val="clear" w:color="auto" w:fill="auto"/>
          </w:tcPr>
          <w:p w:rsidR="00D368FE" w:rsidRPr="00C05771" w:rsidRDefault="00D368FE" w:rsidP="00FE1E77">
            <w:pPr>
              <w:spacing w:after="180"/>
              <w:ind w:right="170"/>
              <w:rPr>
                <w:kern w:val="28"/>
                <w:lang w:eastAsia="en-AU"/>
              </w:rPr>
            </w:pPr>
          </w:p>
        </w:tc>
        <w:tc>
          <w:tcPr>
            <w:tcW w:w="992" w:type="dxa"/>
            <w:shd w:val="clear" w:color="auto" w:fill="auto"/>
          </w:tcPr>
          <w:p w:rsidR="00D368FE" w:rsidRPr="00C05771" w:rsidRDefault="00D368FE" w:rsidP="00FE1E77">
            <w:pPr>
              <w:spacing w:after="180"/>
              <w:ind w:left="567" w:right="170"/>
              <w:rPr>
                <w:kern w:val="28"/>
                <w:lang w:eastAsia="en-AU"/>
              </w:rPr>
            </w:pPr>
          </w:p>
        </w:tc>
        <w:tc>
          <w:tcPr>
            <w:tcW w:w="2694" w:type="dxa"/>
            <w:tcBorders>
              <w:bottom w:val="single" w:sz="8" w:space="0" w:color="auto"/>
            </w:tcBorders>
            <w:shd w:val="clear" w:color="auto" w:fill="auto"/>
          </w:tcPr>
          <w:p w:rsidR="00D368FE" w:rsidRPr="00C05771" w:rsidRDefault="001E19C0" w:rsidP="00FE1E77">
            <w:pPr>
              <w:spacing w:after="180"/>
              <w:ind w:right="170"/>
              <w:rPr>
                <w:kern w:val="28"/>
                <w:lang w:eastAsia="en-AU"/>
              </w:rPr>
            </w:pPr>
            <w:r>
              <w:rPr>
                <w:kern w:val="28"/>
                <w:lang w:eastAsia="en-AU"/>
              </w:rPr>
              <w:t>26</w:t>
            </w:r>
            <w:r w:rsidR="00D368FE">
              <w:rPr>
                <w:kern w:val="28"/>
                <w:lang w:eastAsia="en-AU"/>
              </w:rPr>
              <w:t xml:space="preserve"> July 2018</w:t>
            </w:r>
          </w:p>
        </w:tc>
      </w:tr>
      <w:tr w:rsidR="00D368FE" w:rsidRPr="00C05771" w:rsidTr="00FE1E77">
        <w:tc>
          <w:tcPr>
            <w:tcW w:w="5245" w:type="dxa"/>
            <w:tcBorders>
              <w:top w:val="single" w:sz="8" w:space="0" w:color="auto"/>
            </w:tcBorders>
            <w:shd w:val="clear" w:color="auto" w:fill="auto"/>
          </w:tcPr>
          <w:p w:rsidR="00D368FE" w:rsidRPr="00C05771" w:rsidRDefault="00D368FE" w:rsidP="00FE1E77">
            <w:pPr>
              <w:spacing w:after="0" w:line="276" w:lineRule="auto"/>
              <w:ind w:right="170"/>
              <w:rPr>
                <w:kern w:val="28"/>
                <w:lang w:eastAsia="en-AU"/>
              </w:rPr>
            </w:pPr>
            <w:r>
              <w:rPr>
                <w:kern w:val="28"/>
                <w:lang w:eastAsia="en-AU"/>
              </w:rPr>
              <w:t>Simon MacPherson</w:t>
            </w:r>
          </w:p>
          <w:p w:rsidR="00D368FE" w:rsidRPr="00C05771" w:rsidRDefault="00D368FE" w:rsidP="00FE1E77">
            <w:pPr>
              <w:spacing w:after="0" w:line="276" w:lineRule="auto"/>
              <w:ind w:right="170"/>
              <w:rPr>
                <w:kern w:val="28"/>
                <w:lang w:eastAsia="en-AU"/>
              </w:rPr>
            </w:pPr>
            <w:r w:rsidRPr="00C05771">
              <w:rPr>
                <w:kern w:val="28"/>
                <w:lang w:eastAsia="en-AU"/>
              </w:rPr>
              <w:t xml:space="preserve">Deputy Chief Executive, </w:t>
            </w:r>
            <w:r w:rsidR="00024283">
              <w:rPr>
                <w:kern w:val="28"/>
                <w:lang w:eastAsia="en-AU"/>
              </w:rPr>
              <w:t>Policy</w:t>
            </w:r>
          </w:p>
          <w:p w:rsidR="00D368FE" w:rsidRPr="00C05771" w:rsidRDefault="00D368FE" w:rsidP="00FE1E77">
            <w:pPr>
              <w:spacing w:after="0" w:line="276" w:lineRule="auto"/>
              <w:ind w:right="170"/>
              <w:rPr>
                <w:kern w:val="28"/>
                <w:lang w:eastAsia="en-AU"/>
              </w:rPr>
            </w:pPr>
            <w:r w:rsidRPr="00C05771">
              <w:rPr>
                <w:kern w:val="28"/>
                <w:lang w:eastAsia="en-AU"/>
              </w:rPr>
              <w:t>Ministry of Social Development</w:t>
            </w:r>
          </w:p>
          <w:p w:rsidR="00D368FE" w:rsidRPr="00C05771" w:rsidRDefault="00D368FE" w:rsidP="00FE1E77">
            <w:pPr>
              <w:spacing w:after="0" w:line="276" w:lineRule="auto"/>
              <w:ind w:left="567" w:right="170"/>
              <w:rPr>
                <w:kern w:val="28"/>
                <w:lang w:eastAsia="en-AU"/>
              </w:rPr>
            </w:pPr>
          </w:p>
        </w:tc>
        <w:tc>
          <w:tcPr>
            <w:tcW w:w="992" w:type="dxa"/>
            <w:shd w:val="clear" w:color="auto" w:fill="auto"/>
          </w:tcPr>
          <w:p w:rsidR="00D368FE" w:rsidRPr="00C05771" w:rsidRDefault="00D368FE" w:rsidP="00FE1E77">
            <w:pPr>
              <w:spacing w:after="0" w:line="276" w:lineRule="auto"/>
              <w:ind w:left="567" w:right="170"/>
              <w:rPr>
                <w:kern w:val="28"/>
                <w:lang w:eastAsia="en-AU"/>
              </w:rPr>
            </w:pPr>
          </w:p>
        </w:tc>
        <w:tc>
          <w:tcPr>
            <w:tcW w:w="2694" w:type="dxa"/>
            <w:tcBorders>
              <w:top w:val="single" w:sz="8" w:space="0" w:color="auto"/>
            </w:tcBorders>
            <w:shd w:val="clear" w:color="auto" w:fill="auto"/>
          </w:tcPr>
          <w:p w:rsidR="00D368FE" w:rsidRPr="00C05771" w:rsidRDefault="00D368FE" w:rsidP="00FE1E77">
            <w:pPr>
              <w:spacing w:after="0" w:line="276" w:lineRule="auto"/>
              <w:ind w:right="170"/>
              <w:rPr>
                <w:kern w:val="28"/>
                <w:lang w:eastAsia="en-AU"/>
              </w:rPr>
            </w:pPr>
            <w:r w:rsidRPr="00C05771">
              <w:rPr>
                <w:kern w:val="28"/>
                <w:lang w:eastAsia="en-AU"/>
              </w:rPr>
              <w:t>Date</w:t>
            </w:r>
          </w:p>
        </w:tc>
      </w:tr>
    </w:tbl>
    <w:p w:rsidR="009B2A03" w:rsidRDefault="009B2A03">
      <w:pPr>
        <w:spacing w:after="0" w:line="240" w:lineRule="auto"/>
        <w:rPr>
          <w:rFonts w:eastAsia="Times New Roman" w:cs="Times New Roman"/>
          <w:b/>
          <w:color w:val="0070C0"/>
          <w:sz w:val="28"/>
          <w:szCs w:val="28"/>
          <w:lang w:val="en-GB" w:eastAsia="en-GB"/>
        </w:rPr>
      </w:pPr>
      <w:r>
        <w:rPr>
          <w:rFonts w:eastAsia="Times New Roman" w:cs="Times New Roman"/>
          <w:b/>
          <w:color w:val="0070C0"/>
          <w:sz w:val="28"/>
          <w:szCs w:val="28"/>
          <w:lang w:val="en-GB" w:eastAsia="en-GB"/>
        </w:rPr>
        <w:br w:type="page"/>
      </w:r>
    </w:p>
    <w:p w:rsidR="009B2A03" w:rsidRDefault="009B2A03" w:rsidP="00177E1D">
      <w:pPr>
        <w:spacing w:after="0" w:line="240" w:lineRule="auto"/>
        <w:rPr>
          <w:rFonts w:eastAsia="Times New Roman" w:cs="Times New Roman"/>
          <w:b/>
          <w:color w:val="0070C0"/>
          <w:sz w:val="28"/>
          <w:szCs w:val="28"/>
          <w:lang w:val="en-GB" w:eastAsia="en-GB"/>
        </w:rPr>
      </w:pPr>
    </w:p>
    <w:p w:rsidR="009B2A03" w:rsidRDefault="009B2A03" w:rsidP="00177E1D">
      <w:pPr>
        <w:spacing w:after="0" w:line="240" w:lineRule="auto"/>
        <w:rPr>
          <w:rFonts w:eastAsia="Times New Roman" w:cs="Times New Roman"/>
          <w:b/>
          <w:color w:val="0070C0"/>
          <w:sz w:val="28"/>
          <w:szCs w:val="28"/>
          <w:lang w:val="en-GB" w:eastAsia="en-GB"/>
        </w:rPr>
      </w:pPr>
    </w:p>
    <w:p w:rsidR="009B2A03" w:rsidRDefault="009B2A03" w:rsidP="00177E1D">
      <w:pPr>
        <w:spacing w:after="0" w:line="240" w:lineRule="auto"/>
        <w:rPr>
          <w:rFonts w:eastAsia="Times New Roman" w:cs="Times New Roman"/>
          <w:b/>
          <w:color w:val="0070C0"/>
          <w:sz w:val="28"/>
          <w:szCs w:val="28"/>
          <w:lang w:val="en-GB" w:eastAsia="en-GB"/>
        </w:rPr>
      </w:pPr>
    </w:p>
    <w:p w:rsidR="009B2A03" w:rsidRDefault="009B2A03" w:rsidP="00177E1D">
      <w:pPr>
        <w:spacing w:after="0" w:line="240" w:lineRule="auto"/>
        <w:rPr>
          <w:rFonts w:eastAsia="Times New Roman" w:cs="Times New Roman"/>
          <w:b/>
          <w:color w:val="0070C0"/>
          <w:sz w:val="28"/>
          <w:szCs w:val="28"/>
          <w:lang w:val="en-GB" w:eastAsia="en-GB"/>
        </w:rPr>
      </w:pPr>
    </w:p>
    <w:p w:rsidR="009B2A03" w:rsidRDefault="009B2A03" w:rsidP="00177E1D">
      <w:pPr>
        <w:spacing w:after="0" w:line="240" w:lineRule="auto"/>
        <w:rPr>
          <w:rFonts w:eastAsia="Times New Roman" w:cs="Times New Roman"/>
          <w:b/>
          <w:color w:val="0070C0"/>
          <w:sz w:val="28"/>
          <w:szCs w:val="28"/>
          <w:lang w:val="en-GB" w:eastAsia="en-GB"/>
        </w:rPr>
      </w:pPr>
    </w:p>
    <w:p w:rsidR="00327F3D" w:rsidRPr="00327F3D" w:rsidRDefault="00327F3D" w:rsidP="00177E1D">
      <w:pPr>
        <w:spacing w:after="0" w:line="240" w:lineRule="auto"/>
        <w:rPr>
          <w:rFonts w:eastAsia="Times New Roman" w:cs="Times New Roman"/>
          <w:b/>
          <w:color w:val="0070C0"/>
          <w:sz w:val="28"/>
          <w:szCs w:val="28"/>
          <w:lang w:val="en-GB" w:eastAsia="en-GB"/>
        </w:rPr>
      </w:pPr>
      <w:r w:rsidRPr="00327F3D">
        <w:rPr>
          <w:rFonts w:eastAsia="Times New Roman" w:cs="Times New Roman"/>
          <w:b/>
          <w:color w:val="0070C0"/>
          <w:sz w:val="28"/>
          <w:szCs w:val="28"/>
          <w:lang w:val="en-GB" w:eastAsia="en-GB"/>
        </w:rPr>
        <w:t>Contents</w:t>
      </w:r>
    </w:p>
    <w:p w:rsidR="00327F3D" w:rsidRDefault="00327F3D" w:rsidP="00177E1D">
      <w:pPr>
        <w:spacing w:after="0" w:line="240" w:lineRule="auto"/>
        <w:rPr>
          <w:rFonts w:ascii="Arial" w:eastAsia="Times New Roman" w:hAnsi="Arial" w:cs="Times New Roman"/>
          <w:sz w:val="22"/>
          <w:szCs w:val="20"/>
          <w:lang w:val="en-GB" w:eastAsia="en-GB"/>
        </w:rPr>
      </w:pPr>
    </w:p>
    <w:sdt>
      <w:sdtPr>
        <w:rPr>
          <w:rFonts w:ascii="Arial" w:eastAsia="Times New Roman" w:hAnsi="Arial" w:cs="Times New Roman"/>
          <w:sz w:val="22"/>
          <w:szCs w:val="20"/>
          <w:lang w:val="en-GB" w:eastAsia="en-GB"/>
        </w:rPr>
        <w:id w:val="-1175496307"/>
        <w:docPartObj>
          <w:docPartGallery w:val="Table of Contents"/>
          <w:docPartUnique/>
        </w:docPartObj>
      </w:sdtPr>
      <w:sdtEndPr>
        <w:rPr>
          <w:noProof/>
        </w:rPr>
      </w:sdtEndPr>
      <w:sdtContent>
        <w:p w:rsidR="00F54F39" w:rsidRDefault="00C05771">
          <w:pPr>
            <w:pStyle w:val="TOC2"/>
            <w:tabs>
              <w:tab w:val="right" w:leader="dot" w:pos="9061"/>
            </w:tabs>
            <w:rPr>
              <w:rFonts w:asciiTheme="minorHAnsi" w:eastAsiaTheme="minorEastAsia" w:hAnsiTheme="minorHAnsi" w:cstheme="minorBidi"/>
              <w:noProof/>
              <w:sz w:val="22"/>
              <w:lang w:eastAsia="en-NZ"/>
            </w:rPr>
          </w:pPr>
          <w:r w:rsidRPr="00C05771">
            <w:rPr>
              <w:rFonts w:ascii="Arial" w:eastAsia="Times New Roman" w:hAnsi="Arial" w:cs="Times New Roman"/>
              <w:sz w:val="22"/>
              <w:szCs w:val="20"/>
              <w:lang w:val="en-GB" w:eastAsia="en-GB"/>
            </w:rPr>
            <w:fldChar w:fldCharType="begin"/>
          </w:r>
          <w:r w:rsidRPr="00C05771">
            <w:rPr>
              <w:rFonts w:ascii="Arial" w:eastAsia="Times New Roman" w:hAnsi="Arial" w:cs="Times New Roman"/>
              <w:sz w:val="22"/>
              <w:szCs w:val="20"/>
              <w:lang w:val="en-GB" w:eastAsia="en-GB"/>
            </w:rPr>
            <w:instrText xml:space="preserve"> TOC \o "1-3" \h \z \u </w:instrText>
          </w:r>
          <w:r w:rsidRPr="00C05771">
            <w:rPr>
              <w:rFonts w:ascii="Arial" w:eastAsia="Times New Roman" w:hAnsi="Arial" w:cs="Times New Roman"/>
              <w:sz w:val="22"/>
              <w:szCs w:val="20"/>
              <w:lang w:val="en-GB" w:eastAsia="en-GB"/>
            </w:rPr>
            <w:fldChar w:fldCharType="separate"/>
          </w:r>
          <w:hyperlink w:anchor="_Toc520457881" w:history="1">
            <w:r w:rsidR="00F54F39" w:rsidRPr="000807F2">
              <w:rPr>
                <w:rStyle w:val="Hyperlink"/>
                <w:rFonts w:eastAsia="Times New Roman" w:cs="Times New Roman"/>
                <w:b/>
                <w:noProof/>
                <w:lang w:val="en-GB" w:eastAsia="en-GB"/>
              </w:rPr>
              <w:t>Agency Disclosure Statement</w:t>
            </w:r>
            <w:r w:rsidR="00F54F39">
              <w:rPr>
                <w:noProof/>
                <w:webHidden/>
              </w:rPr>
              <w:tab/>
            </w:r>
            <w:r w:rsidR="00F54F39">
              <w:rPr>
                <w:noProof/>
                <w:webHidden/>
              </w:rPr>
              <w:fldChar w:fldCharType="begin"/>
            </w:r>
            <w:r w:rsidR="00F54F39">
              <w:rPr>
                <w:noProof/>
                <w:webHidden/>
              </w:rPr>
              <w:instrText xml:space="preserve"> PAGEREF _Toc520457881 \h </w:instrText>
            </w:r>
            <w:r w:rsidR="00F54F39">
              <w:rPr>
                <w:noProof/>
                <w:webHidden/>
              </w:rPr>
            </w:r>
            <w:r w:rsidR="00F54F39">
              <w:rPr>
                <w:noProof/>
                <w:webHidden/>
              </w:rPr>
              <w:fldChar w:fldCharType="separate"/>
            </w:r>
            <w:r w:rsidR="00A879ED">
              <w:rPr>
                <w:noProof/>
                <w:webHidden/>
              </w:rPr>
              <w:t>4</w:t>
            </w:r>
            <w:r w:rsidR="00F54F39">
              <w:rPr>
                <w:noProof/>
                <w:webHidden/>
              </w:rPr>
              <w:fldChar w:fldCharType="end"/>
            </w:r>
          </w:hyperlink>
        </w:p>
        <w:p w:rsidR="00F54F39" w:rsidRDefault="003E6B30">
          <w:pPr>
            <w:pStyle w:val="TOC2"/>
            <w:tabs>
              <w:tab w:val="right" w:leader="dot" w:pos="9061"/>
            </w:tabs>
            <w:rPr>
              <w:rFonts w:asciiTheme="minorHAnsi" w:eastAsiaTheme="minorEastAsia" w:hAnsiTheme="minorHAnsi" w:cstheme="minorBidi"/>
              <w:noProof/>
              <w:sz w:val="22"/>
              <w:lang w:eastAsia="en-NZ"/>
            </w:rPr>
          </w:pPr>
          <w:hyperlink w:anchor="_Toc520457882" w:history="1">
            <w:r w:rsidR="00F54F39" w:rsidRPr="000807F2">
              <w:rPr>
                <w:rStyle w:val="Hyperlink"/>
                <w:rFonts w:eastAsia="Times New Roman" w:cs="Times New Roman"/>
                <w:b/>
                <w:i/>
                <w:noProof/>
                <w:lang w:val="en-GB" w:eastAsia="en-GB"/>
              </w:rPr>
              <w:t>Supplementary Disclosure Statement for proposed SOP</w:t>
            </w:r>
            <w:r w:rsidR="00F54F39">
              <w:rPr>
                <w:noProof/>
                <w:webHidden/>
              </w:rPr>
              <w:tab/>
            </w:r>
            <w:r w:rsidR="00F54F39">
              <w:rPr>
                <w:noProof/>
                <w:webHidden/>
              </w:rPr>
              <w:fldChar w:fldCharType="begin"/>
            </w:r>
            <w:r w:rsidR="00F54F39">
              <w:rPr>
                <w:noProof/>
                <w:webHidden/>
              </w:rPr>
              <w:instrText xml:space="preserve"> PAGEREF _Toc520457882 \h </w:instrText>
            </w:r>
            <w:r w:rsidR="00F54F39">
              <w:rPr>
                <w:noProof/>
                <w:webHidden/>
              </w:rPr>
            </w:r>
            <w:r w:rsidR="00F54F39">
              <w:rPr>
                <w:noProof/>
                <w:webHidden/>
              </w:rPr>
              <w:fldChar w:fldCharType="separate"/>
            </w:r>
            <w:r w:rsidR="00A879ED">
              <w:rPr>
                <w:noProof/>
                <w:webHidden/>
              </w:rPr>
              <w:t>5</w:t>
            </w:r>
            <w:r w:rsidR="00F54F39">
              <w:rPr>
                <w:noProof/>
                <w:webHidden/>
              </w:rPr>
              <w:fldChar w:fldCharType="end"/>
            </w:r>
          </w:hyperlink>
        </w:p>
        <w:p w:rsidR="00F54F39" w:rsidRDefault="003E6B30">
          <w:pPr>
            <w:pStyle w:val="TOC2"/>
            <w:tabs>
              <w:tab w:val="right" w:leader="dot" w:pos="9061"/>
            </w:tabs>
            <w:rPr>
              <w:rFonts w:asciiTheme="minorHAnsi" w:eastAsiaTheme="minorEastAsia" w:hAnsiTheme="minorHAnsi" w:cstheme="minorBidi"/>
              <w:noProof/>
              <w:sz w:val="22"/>
              <w:lang w:eastAsia="en-NZ"/>
            </w:rPr>
          </w:pPr>
          <w:hyperlink w:anchor="_Toc520457883" w:history="1">
            <w:r w:rsidR="00F54F39" w:rsidRPr="000807F2">
              <w:rPr>
                <w:rStyle w:val="Hyperlink"/>
                <w:rFonts w:eastAsia="Times New Roman" w:cs="Times New Roman"/>
                <w:b/>
                <w:noProof/>
                <w:lang w:val="en-GB" w:eastAsia="en-GB"/>
              </w:rPr>
              <w:t>Executive summary</w:t>
            </w:r>
            <w:r w:rsidR="00F54F39">
              <w:rPr>
                <w:noProof/>
                <w:webHidden/>
              </w:rPr>
              <w:tab/>
            </w:r>
            <w:r w:rsidR="00F54F39">
              <w:rPr>
                <w:noProof/>
                <w:webHidden/>
              </w:rPr>
              <w:fldChar w:fldCharType="begin"/>
            </w:r>
            <w:r w:rsidR="00F54F39">
              <w:rPr>
                <w:noProof/>
                <w:webHidden/>
              </w:rPr>
              <w:instrText xml:space="preserve"> PAGEREF _Toc520457883 \h </w:instrText>
            </w:r>
            <w:r w:rsidR="00F54F39">
              <w:rPr>
                <w:noProof/>
                <w:webHidden/>
              </w:rPr>
            </w:r>
            <w:r w:rsidR="00F54F39">
              <w:rPr>
                <w:noProof/>
                <w:webHidden/>
              </w:rPr>
              <w:fldChar w:fldCharType="separate"/>
            </w:r>
            <w:r w:rsidR="00A879ED">
              <w:rPr>
                <w:noProof/>
                <w:webHidden/>
              </w:rPr>
              <w:t>7</w:t>
            </w:r>
            <w:r w:rsidR="00F54F39">
              <w:rPr>
                <w:noProof/>
                <w:webHidden/>
              </w:rPr>
              <w:fldChar w:fldCharType="end"/>
            </w:r>
          </w:hyperlink>
        </w:p>
        <w:p w:rsidR="00F54F39" w:rsidRDefault="003E6B30">
          <w:pPr>
            <w:pStyle w:val="TOC2"/>
            <w:tabs>
              <w:tab w:val="right" w:leader="dot" w:pos="9061"/>
            </w:tabs>
            <w:rPr>
              <w:rFonts w:asciiTheme="minorHAnsi" w:eastAsiaTheme="minorEastAsia" w:hAnsiTheme="minorHAnsi" w:cstheme="minorBidi"/>
              <w:noProof/>
              <w:sz w:val="22"/>
              <w:lang w:eastAsia="en-NZ"/>
            </w:rPr>
          </w:pPr>
          <w:hyperlink w:anchor="_Toc520457884" w:history="1">
            <w:r w:rsidR="00F54F39" w:rsidRPr="000807F2">
              <w:rPr>
                <w:rStyle w:val="Hyperlink"/>
                <w:rFonts w:eastAsia="Times New Roman" w:cs="Times New Roman"/>
                <w:b/>
                <w:i/>
                <w:noProof/>
                <w:lang w:val="en-GB" w:eastAsia="en-GB"/>
              </w:rPr>
              <w:t>Executive summary of assessment of SOP proposals</w:t>
            </w:r>
            <w:r w:rsidR="00F54F39">
              <w:rPr>
                <w:noProof/>
                <w:webHidden/>
              </w:rPr>
              <w:tab/>
            </w:r>
            <w:r w:rsidR="00F54F39">
              <w:rPr>
                <w:noProof/>
                <w:webHidden/>
              </w:rPr>
              <w:fldChar w:fldCharType="begin"/>
            </w:r>
            <w:r w:rsidR="00F54F39">
              <w:rPr>
                <w:noProof/>
                <w:webHidden/>
              </w:rPr>
              <w:instrText xml:space="preserve"> PAGEREF _Toc520457884 \h </w:instrText>
            </w:r>
            <w:r w:rsidR="00F54F39">
              <w:rPr>
                <w:noProof/>
                <w:webHidden/>
              </w:rPr>
            </w:r>
            <w:r w:rsidR="00F54F39">
              <w:rPr>
                <w:noProof/>
                <w:webHidden/>
              </w:rPr>
              <w:fldChar w:fldCharType="separate"/>
            </w:r>
            <w:r w:rsidR="00A879ED">
              <w:rPr>
                <w:noProof/>
                <w:webHidden/>
              </w:rPr>
              <w:t>8</w:t>
            </w:r>
            <w:r w:rsidR="00F54F39">
              <w:rPr>
                <w:noProof/>
                <w:webHidden/>
              </w:rPr>
              <w:fldChar w:fldCharType="end"/>
            </w:r>
          </w:hyperlink>
        </w:p>
        <w:p w:rsidR="00F54F39" w:rsidRDefault="003E6B30">
          <w:pPr>
            <w:pStyle w:val="TOC2"/>
            <w:tabs>
              <w:tab w:val="right" w:leader="dot" w:pos="9061"/>
            </w:tabs>
            <w:rPr>
              <w:rFonts w:asciiTheme="minorHAnsi" w:eastAsiaTheme="minorEastAsia" w:hAnsiTheme="minorHAnsi" w:cstheme="minorBidi"/>
              <w:noProof/>
              <w:sz w:val="22"/>
              <w:lang w:eastAsia="en-NZ"/>
            </w:rPr>
          </w:pPr>
          <w:hyperlink w:anchor="_Toc520457885" w:history="1">
            <w:r w:rsidR="00F54F39" w:rsidRPr="000807F2">
              <w:rPr>
                <w:rStyle w:val="Hyperlink"/>
                <w:rFonts w:eastAsia="Times New Roman" w:cs="Times New Roman"/>
                <w:b/>
                <w:noProof/>
                <w:lang w:val="en-GB" w:eastAsia="en-GB"/>
              </w:rPr>
              <w:t>Objectives and Criteria</w:t>
            </w:r>
            <w:r w:rsidR="00F54F39">
              <w:rPr>
                <w:noProof/>
                <w:webHidden/>
              </w:rPr>
              <w:tab/>
            </w:r>
            <w:r w:rsidR="00F54F39">
              <w:rPr>
                <w:noProof/>
                <w:webHidden/>
              </w:rPr>
              <w:fldChar w:fldCharType="begin"/>
            </w:r>
            <w:r w:rsidR="00F54F39">
              <w:rPr>
                <w:noProof/>
                <w:webHidden/>
              </w:rPr>
              <w:instrText xml:space="preserve"> PAGEREF _Toc520457885 \h </w:instrText>
            </w:r>
            <w:r w:rsidR="00F54F39">
              <w:rPr>
                <w:noProof/>
                <w:webHidden/>
              </w:rPr>
            </w:r>
            <w:r w:rsidR="00F54F39">
              <w:rPr>
                <w:noProof/>
                <w:webHidden/>
              </w:rPr>
              <w:fldChar w:fldCharType="separate"/>
            </w:r>
            <w:r w:rsidR="00A879ED">
              <w:rPr>
                <w:noProof/>
                <w:webHidden/>
              </w:rPr>
              <w:t>16</w:t>
            </w:r>
            <w:r w:rsidR="00F54F39">
              <w:rPr>
                <w:noProof/>
                <w:webHidden/>
              </w:rPr>
              <w:fldChar w:fldCharType="end"/>
            </w:r>
          </w:hyperlink>
        </w:p>
        <w:p w:rsidR="00F54F39" w:rsidRDefault="003E6B30">
          <w:pPr>
            <w:pStyle w:val="TOC2"/>
            <w:tabs>
              <w:tab w:val="right" w:leader="dot" w:pos="9061"/>
            </w:tabs>
            <w:rPr>
              <w:rFonts w:asciiTheme="minorHAnsi" w:eastAsiaTheme="minorEastAsia" w:hAnsiTheme="minorHAnsi" w:cstheme="minorBidi"/>
              <w:noProof/>
              <w:sz w:val="22"/>
              <w:lang w:eastAsia="en-NZ"/>
            </w:rPr>
          </w:pPr>
          <w:hyperlink w:anchor="_Toc520457886" w:history="1">
            <w:r w:rsidR="00F54F39" w:rsidRPr="000807F2">
              <w:rPr>
                <w:rStyle w:val="Hyperlink"/>
                <w:rFonts w:eastAsia="Times New Roman" w:cs="Times New Roman"/>
                <w:b/>
                <w:noProof/>
                <w:lang w:val="en-GB" w:eastAsia="en-GB"/>
              </w:rPr>
              <w:t>Specific proposals and options</w:t>
            </w:r>
            <w:r w:rsidR="00F54F39">
              <w:rPr>
                <w:noProof/>
                <w:webHidden/>
              </w:rPr>
              <w:tab/>
            </w:r>
            <w:r w:rsidR="00F54F39">
              <w:rPr>
                <w:noProof/>
                <w:webHidden/>
              </w:rPr>
              <w:fldChar w:fldCharType="begin"/>
            </w:r>
            <w:r w:rsidR="00F54F39">
              <w:rPr>
                <w:noProof/>
                <w:webHidden/>
              </w:rPr>
              <w:instrText xml:space="preserve"> PAGEREF _Toc520457886 \h </w:instrText>
            </w:r>
            <w:r w:rsidR="00F54F39">
              <w:rPr>
                <w:noProof/>
                <w:webHidden/>
              </w:rPr>
            </w:r>
            <w:r w:rsidR="00F54F39">
              <w:rPr>
                <w:noProof/>
                <w:webHidden/>
              </w:rPr>
              <w:fldChar w:fldCharType="separate"/>
            </w:r>
            <w:r w:rsidR="00A879ED">
              <w:rPr>
                <w:noProof/>
                <w:webHidden/>
              </w:rPr>
              <w:t>18</w:t>
            </w:r>
            <w:r w:rsidR="00F54F39">
              <w:rPr>
                <w:noProof/>
                <w:webHidden/>
              </w:rPr>
              <w:fldChar w:fldCharType="end"/>
            </w:r>
          </w:hyperlink>
        </w:p>
        <w:p w:rsidR="00F54F39" w:rsidRDefault="003E6B30">
          <w:pPr>
            <w:pStyle w:val="TOC3"/>
            <w:tabs>
              <w:tab w:val="right" w:leader="dot" w:pos="9061"/>
            </w:tabs>
            <w:rPr>
              <w:rFonts w:asciiTheme="minorHAnsi" w:eastAsiaTheme="minorEastAsia" w:hAnsiTheme="minorHAnsi" w:cstheme="minorBidi"/>
              <w:noProof/>
              <w:sz w:val="22"/>
              <w:lang w:eastAsia="en-NZ"/>
            </w:rPr>
          </w:pPr>
          <w:hyperlink w:anchor="_Toc520457887" w:history="1">
            <w:r w:rsidR="00F54F39" w:rsidRPr="000807F2">
              <w:rPr>
                <w:rStyle w:val="Hyperlink"/>
                <w:rFonts w:eastAsia="Times New Roman" w:cs="Times New Roman"/>
                <w:b/>
                <w:noProof/>
                <w:lang w:val="en-GB" w:eastAsia="en-GB"/>
              </w:rPr>
              <w:t>Part One: Registration of social workers</w:t>
            </w:r>
            <w:r w:rsidR="00F54F39">
              <w:rPr>
                <w:noProof/>
                <w:webHidden/>
              </w:rPr>
              <w:tab/>
            </w:r>
            <w:r w:rsidR="00F54F39">
              <w:rPr>
                <w:noProof/>
                <w:webHidden/>
              </w:rPr>
              <w:fldChar w:fldCharType="begin"/>
            </w:r>
            <w:r w:rsidR="00F54F39">
              <w:rPr>
                <w:noProof/>
                <w:webHidden/>
              </w:rPr>
              <w:instrText xml:space="preserve"> PAGEREF _Toc520457887 \h </w:instrText>
            </w:r>
            <w:r w:rsidR="00F54F39">
              <w:rPr>
                <w:noProof/>
                <w:webHidden/>
              </w:rPr>
            </w:r>
            <w:r w:rsidR="00F54F39">
              <w:rPr>
                <w:noProof/>
                <w:webHidden/>
              </w:rPr>
              <w:fldChar w:fldCharType="separate"/>
            </w:r>
            <w:r w:rsidR="00A879ED">
              <w:rPr>
                <w:noProof/>
                <w:webHidden/>
              </w:rPr>
              <w:t>18</w:t>
            </w:r>
            <w:r w:rsidR="00F54F39">
              <w:rPr>
                <w:noProof/>
                <w:webHidden/>
              </w:rPr>
              <w:fldChar w:fldCharType="end"/>
            </w:r>
          </w:hyperlink>
        </w:p>
        <w:p w:rsidR="00F54F39" w:rsidRDefault="003E6B30">
          <w:pPr>
            <w:pStyle w:val="TOC3"/>
            <w:tabs>
              <w:tab w:val="right" w:leader="dot" w:pos="9061"/>
            </w:tabs>
            <w:rPr>
              <w:rFonts w:asciiTheme="minorHAnsi" w:eastAsiaTheme="minorEastAsia" w:hAnsiTheme="minorHAnsi" w:cstheme="minorBidi"/>
              <w:noProof/>
              <w:sz w:val="22"/>
              <w:lang w:eastAsia="en-NZ"/>
            </w:rPr>
          </w:pPr>
          <w:hyperlink w:anchor="_Toc520457888" w:history="1">
            <w:r w:rsidR="00F54F39" w:rsidRPr="000807F2">
              <w:rPr>
                <w:rStyle w:val="Hyperlink"/>
                <w:rFonts w:eastAsia="Times New Roman" w:cs="Times New Roman"/>
                <w:b/>
                <w:noProof/>
                <w:lang w:val="en-GB" w:eastAsia="en-GB"/>
              </w:rPr>
              <w:t>Options for the registration system</w:t>
            </w:r>
            <w:r w:rsidR="00F54F39">
              <w:rPr>
                <w:noProof/>
                <w:webHidden/>
              </w:rPr>
              <w:tab/>
            </w:r>
            <w:r w:rsidR="00F54F39">
              <w:rPr>
                <w:noProof/>
                <w:webHidden/>
              </w:rPr>
              <w:fldChar w:fldCharType="begin"/>
            </w:r>
            <w:r w:rsidR="00F54F39">
              <w:rPr>
                <w:noProof/>
                <w:webHidden/>
              </w:rPr>
              <w:instrText xml:space="preserve"> PAGEREF _Toc520457888 \h </w:instrText>
            </w:r>
            <w:r w:rsidR="00F54F39">
              <w:rPr>
                <w:noProof/>
                <w:webHidden/>
              </w:rPr>
            </w:r>
            <w:r w:rsidR="00F54F39">
              <w:rPr>
                <w:noProof/>
                <w:webHidden/>
              </w:rPr>
              <w:fldChar w:fldCharType="separate"/>
            </w:r>
            <w:r w:rsidR="00A879ED">
              <w:rPr>
                <w:noProof/>
                <w:webHidden/>
              </w:rPr>
              <w:t>24</w:t>
            </w:r>
            <w:r w:rsidR="00F54F39">
              <w:rPr>
                <w:noProof/>
                <w:webHidden/>
              </w:rPr>
              <w:fldChar w:fldCharType="end"/>
            </w:r>
          </w:hyperlink>
        </w:p>
        <w:p w:rsidR="00F54F39" w:rsidRDefault="003E6B30">
          <w:pPr>
            <w:pStyle w:val="TOC3"/>
            <w:tabs>
              <w:tab w:val="right" w:leader="dot" w:pos="9061"/>
            </w:tabs>
            <w:rPr>
              <w:rFonts w:asciiTheme="minorHAnsi" w:eastAsiaTheme="minorEastAsia" w:hAnsiTheme="minorHAnsi" w:cstheme="minorBidi"/>
              <w:noProof/>
              <w:sz w:val="22"/>
              <w:lang w:eastAsia="en-NZ"/>
            </w:rPr>
          </w:pPr>
          <w:hyperlink w:anchor="_Toc520457889" w:history="1">
            <w:r w:rsidR="00F54F39" w:rsidRPr="000807F2">
              <w:rPr>
                <w:rStyle w:val="Hyperlink"/>
                <w:rFonts w:eastAsia="Times New Roman" w:cs="Times New Roman"/>
                <w:b/>
                <w:i/>
                <w:noProof/>
                <w:lang w:val="en-GB" w:eastAsia="en-GB"/>
              </w:rPr>
              <w:t>Legislative provision for Scopes of Practice</w:t>
            </w:r>
            <w:r w:rsidR="00F54F39">
              <w:rPr>
                <w:noProof/>
                <w:webHidden/>
              </w:rPr>
              <w:tab/>
            </w:r>
            <w:r w:rsidR="00F54F39">
              <w:rPr>
                <w:noProof/>
                <w:webHidden/>
              </w:rPr>
              <w:fldChar w:fldCharType="begin"/>
            </w:r>
            <w:r w:rsidR="00F54F39">
              <w:rPr>
                <w:noProof/>
                <w:webHidden/>
              </w:rPr>
              <w:instrText xml:space="preserve"> PAGEREF _Toc520457889 \h </w:instrText>
            </w:r>
            <w:r w:rsidR="00F54F39">
              <w:rPr>
                <w:noProof/>
                <w:webHidden/>
              </w:rPr>
            </w:r>
            <w:r w:rsidR="00F54F39">
              <w:rPr>
                <w:noProof/>
                <w:webHidden/>
              </w:rPr>
              <w:fldChar w:fldCharType="separate"/>
            </w:r>
            <w:r w:rsidR="00A879ED">
              <w:rPr>
                <w:noProof/>
                <w:webHidden/>
              </w:rPr>
              <w:t>32</w:t>
            </w:r>
            <w:r w:rsidR="00F54F39">
              <w:rPr>
                <w:noProof/>
                <w:webHidden/>
              </w:rPr>
              <w:fldChar w:fldCharType="end"/>
            </w:r>
          </w:hyperlink>
        </w:p>
        <w:p w:rsidR="00F54F39" w:rsidRDefault="003E6B30">
          <w:pPr>
            <w:pStyle w:val="TOC3"/>
            <w:tabs>
              <w:tab w:val="right" w:leader="dot" w:pos="9061"/>
            </w:tabs>
            <w:rPr>
              <w:rFonts w:asciiTheme="minorHAnsi" w:eastAsiaTheme="minorEastAsia" w:hAnsiTheme="minorHAnsi" w:cstheme="minorBidi"/>
              <w:noProof/>
              <w:sz w:val="22"/>
              <w:lang w:eastAsia="en-NZ"/>
            </w:rPr>
          </w:pPr>
          <w:hyperlink w:anchor="_Toc520457890" w:history="1">
            <w:r w:rsidR="00F54F39" w:rsidRPr="000807F2">
              <w:rPr>
                <w:rStyle w:val="Hyperlink"/>
                <w:rFonts w:eastAsia="Times New Roman" w:cs="Times New Roman"/>
                <w:b/>
                <w:noProof/>
                <w:lang w:val="en-GB" w:eastAsia="en-GB"/>
              </w:rPr>
              <w:t>Part Two: Amendments to the Social Workers Registration Act to increase effectiveness and transparency</w:t>
            </w:r>
            <w:r w:rsidR="00F54F39">
              <w:rPr>
                <w:noProof/>
                <w:webHidden/>
              </w:rPr>
              <w:tab/>
            </w:r>
            <w:r w:rsidR="00F54F39">
              <w:rPr>
                <w:noProof/>
                <w:webHidden/>
              </w:rPr>
              <w:fldChar w:fldCharType="begin"/>
            </w:r>
            <w:r w:rsidR="00F54F39">
              <w:rPr>
                <w:noProof/>
                <w:webHidden/>
              </w:rPr>
              <w:instrText xml:space="preserve"> PAGEREF _Toc520457890 \h </w:instrText>
            </w:r>
            <w:r w:rsidR="00F54F39">
              <w:rPr>
                <w:noProof/>
                <w:webHidden/>
              </w:rPr>
            </w:r>
            <w:r w:rsidR="00F54F39">
              <w:rPr>
                <w:noProof/>
                <w:webHidden/>
              </w:rPr>
              <w:fldChar w:fldCharType="separate"/>
            </w:r>
            <w:r w:rsidR="00A879ED">
              <w:rPr>
                <w:noProof/>
                <w:webHidden/>
              </w:rPr>
              <w:t>37</w:t>
            </w:r>
            <w:r w:rsidR="00F54F39">
              <w:rPr>
                <w:noProof/>
                <w:webHidden/>
              </w:rPr>
              <w:fldChar w:fldCharType="end"/>
            </w:r>
          </w:hyperlink>
        </w:p>
        <w:p w:rsidR="00F54F39" w:rsidRDefault="003E6B30">
          <w:pPr>
            <w:pStyle w:val="TOC3"/>
            <w:tabs>
              <w:tab w:val="right" w:leader="dot" w:pos="9061"/>
            </w:tabs>
            <w:rPr>
              <w:rFonts w:asciiTheme="minorHAnsi" w:eastAsiaTheme="minorEastAsia" w:hAnsiTheme="minorHAnsi" w:cstheme="minorBidi"/>
              <w:noProof/>
              <w:sz w:val="22"/>
              <w:lang w:eastAsia="en-NZ"/>
            </w:rPr>
          </w:pPr>
          <w:hyperlink w:anchor="_Toc520457891" w:history="1">
            <w:r w:rsidR="00F54F39" w:rsidRPr="000807F2">
              <w:rPr>
                <w:rStyle w:val="Hyperlink"/>
                <w:rFonts w:eastAsia="Times New Roman" w:cs="Times New Roman"/>
                <w:b/>
                <w:noProof/>
                <w:lang w:val="en-GB" w:eastAsia="en-GB"/>
              </w:rPr>
              <w:t>Regulation of the Board</w:t>
            </w:r>
            <w:r w:rsidR="00F54F39">
              <w:rPr>
                <w:noProof/>
                <w:webHidden/>
              </w:rPr>
              <w:tab/>
            </w:r>
            <w:r w:rsidR="00F54F39">
              <w:rPr>
                <w:noProof/>
                <w:webHidden/>
              </w:rPr>
              <w:fldChar w:fldCharType="begin"/>
            </w:r>
            <w:r w:rsidR="00F54F39">
              <w:rPr>
                <w:noProof/>
                <w:webHidden/>
              </w:rPr>
              <w:instrText xml:space="preserve"> PAGEREF _Toc520457891 \h </w:instrText>
            </w:r>
            <w:r w:rsidR="00F54F39">
              <w:rPr>
                <w:noProof/>
                <w:webHidden/>
              </w:rPr>
            </w:r>
            <w:r w:rsidR="00F54F39">
              <w:rPr>
                <w:noProof/>
                <w:webHidden/>
              </w:rPr>
              <w:fldChar w:fldCharType="separate"/>
            </w:r>
            <w:r w:rsidR="00A879ED">
              <w:rPr>
                <w:noProof/>
                <w:webHidden/>
              </w:rPr>
              <w:t>37</w:t>
            </w:r>
            <w:r w:rsidR="00F54F39">
              <w:rPr>
                <w:noProof/>
                <w:webHidden/>
              </w:rPr>
              <w:fldChar w:fldCharType="end"/>
            </w:r>
          </w:hyperlink>
        </w:p>
        <w:p w:rsidR="00F54F39" w:rsidRDefault="003E6B30">
          <w:pPr>
            <w:pStyle w:val="TOC3"/>
            <w:tabs>
              <w:tab w:val="right" w:leader="dot" w:pos="9061"/>
            </w:tabs>
            <w:rPr>
              <w:rFonts w:asciiTheme="minorHAnsi" w:eastAsiaTheme="minorEastAsia" w:hAnsiTheme="minorHAnsi" w:cstheme="minorBidi"/>
              <w:noProof/>
              <w:sz w:val="22"/>
              <w:lang w:eastAsia="en-NZ"/>
            </w:rPr>
          </w:pPr>
          <w:hyperlink w:anchor="_Toc520457892" w:history="1">
            <w:r w:rsidR="00F54F39" w:rsidRPr="000807F2">
              <w:rPr>
                <w:rStyle w:val="Hyperlink"/>
                <w:rFonts w:eastAsia="Times New Roman" w:cs="Times New Roman"/>
                <w:b/>
                <w:noProof/>
                <w:lang w:val="en-GB" w:eastAsia="en-GB"/>
              </w:rPr>
              <w:t>Experience based pathway to registration (Section13)</w:t>
            </w:r>
            <w:r w:rsidR="00F54F39">
              <w:rPr>
                <w:noProof/>
                <w:webHidden/>
              </w:rPr>
              <w:tab/>
            </w:r>
            <w:r w:rsidR="00F54F39">
              <w:rPr>
                <w:noProof/>
                <w:webHidden/>
              </w:rPr>
              <w:fldChar w:fldCharType="begin"/>
            </w:r>
            <w:r w:rsidR="00F54F39">
              <w:rPr>
                <w:noProof/>
                <w:webHidden/>
              </w:rPr>
              <w:instrText xml:space="preserve"> PAGEREF _Toc520457892 \h </w:instrText>
            </w:r>
            <w:r w:rsidR="00F54F39">
              <w:rPr>
                <w:noProof/>
                <w:webHidden/>
              </w:rPr>
            </w:r>
            <w:r w:rsidR="00F54F39">
              <w:rPr>
                <w:noProof/>
                <w:webHidden/>
              </w:rPr>
              <w:fldChar w:fldCharType="separate"/>
            </w:r>
            <w:r w:rsidR="00A879ED">
              <w:rPr>
                <w:noProof/>
                <w:webHidden/>
              </w:rPr>
              <w:t>38</w:t>
            </w:r>
            <w:r w:rsidR="00F54F39">
              <w:rPr>
                <w:noProof/>
                <w:webHidden/>
              </w:rPr>
              <w:fldChar w:fldCharType="end"/>
            </w:r>
          </w:hyperlink>
        </w:p>
        <w:p w:rsidR="00F54F39" w:rsidRDefault="003E6B30">
          <w:pPr>
            <w:pStyle w:val="TOC3"/>
            <w:tabs>
              <w:tab w:val="right" w:leader="dot" w:pos="9061"/>
            </w:tabs>
            <w:rPr>
              <w:rFonts w:asciiTheme="minorHAnsi" w:eastAsiaTheme="minorEastAsia" w:hAnsiTheme="minorHAnsi" w:cstheme="minorBidi"/>
              <w:noProof/>
              <w:sz w:val="22"/>
              <w:lang w:eastAsia="en-NZ"/>
            </w:rPr>
          </w:pPr>
          <w:hyperlink w:anchor="_Toc520457893" w:history="1">
            <w:r w:rsidR="00F54F39" w:rsidRPr="000807F2">
              <w:rPr>
                <w:rStyle w:val="Hyperlink"/>
                <w:rFonts w:eastAsia="Times New Roman" w:cs="Times New Roman"/>
                <w:b/>
                <w:noProof/>
                <w:lang w:val="en-GB" w:eastAsia="en-GB"/>
              </w:rPr>
              <w:t>Competence requirements</w:t>
            </w:r>
            <w:r w:rsidR="00F54F39">
              <w:rPr>
                <w:noProof/>
                <w:webHidden/>
              </w:rPr>
              <w:tab/>
            </w:r>
            <w:r w:rsidR="00F54F39">
              <w:rPr>
                <w:noProof/>
                <w:webHidden/>
              </w:rPr>
              <w:fldChar w:fldCharType="begin"/>
            </w:r>
            <w:r w:rsidR="00F54F39">
              <w:rPr>
                <w:noProof/>
                <w:webHidden/>
              </w:rPr>
              <w:instrText xml:space="preserve"> PAGEREF _Toc520457893 \h </w:instrText>
            </w:r>
            <w:r w:rsidR="00F54F39">
              <w:rPr>
                <w:noProof/>
                <w:webHidden/>
              </w:rPr>
            </w:r>
            <w:r w:rsidR="00F54F39">
              <w:rPr>
                <w:noProof/>
                <w:webHidden/>
              </w:rPr>
              <w:fldChar w:fldCharType="separate"/>
            </w:r>
            <w:r w:rsidR="00A879ED">
              <w:rPr>
                <w:noProof/>
                <w:webHidden/>
              </w:rPr>
              <w:t>39</w:t>
            </w:r>
            <w:r w:rsidR="00F54F39">
              <w:rPr>
                <w:noProof/>
                <w:webHidden/>
              </w:rPr>
              <w:fldChar w:fldCharType="end"/>
            </w:r>
          </w:hyperlink>
        </w:p>
        <w:p w:rsidR="00F54F39" w:rsidRDefault="003E6B30">
          <w:pPr>
            <w:pStyle w:val="TOC3"/>
            <w:tabs>
              <w:tab w:val="right" w:leader="dot" w:pos="9061"/>
            </w:tabs>
            <w:rPr>
              <w:rFonts w:asciiTheme="minorHAnsi" w:eastAsiaTheme="minorEastAsia" w:hAnsiTheme="minorHAnsi" w:cstheme="minorBidi"/>
              <w:noProof/>
              <w:sz w:val="22"/>
              <w:lang w:eastAsia="en-NZ"/>
            </w:rPr>
          </w:pPr>
          <w:hyperlink w:anchor="_Toc520457894" w:history="1">
            <w:r w:rsidR="00F54F39" w:rsidRPr="000807F2">
              <w:rPr>
                <w:rStyle w:val="Hyperlink"/>
                <w:rFonts w:eastAsia="Times New Roman" w:cs="Times New Roman"/>
                <w:b/>
                <w:noProof/>
                <w:lang w:val="en-GB" w:eastAsia="en-GB"/>
              </w:rPr>
              <w:t>Fit and proper person to practise</w:t>
            </w:r>
            <w:r w:rsidR="00F54F39">
              <w:rPr>
                <w:noProof/>
                <w:webHidden/>
              </w:rPr>
              <w:tab/>
            </w:r>
            <w:r w:rsidR="00F54F39">
              <w:rPr>
                <w:noProof/>
                <w:webHidden/>
              </w:rPr>
              <w:fldChar w:fldCharType="begin"/>
            </w:r>
            <w:r w:rsidR="00F54F39">
              <w:rPr>
                <w:noProof/>
                <w:webHidden/>
              </w:rPr>
              <w:instrText xml:space="preserve"> PAGEREF _Toc520457894 \h </w:instrText>
            </w:r>
            <w:r w:rsidR="00F54F39">
              <w:rPr>
                <w:noProof/>
                <w:webHidden/>
              </w:rPr>
            </w:r>
            <w:r w:rsidR="00F54F39">
              <w:rPr>
                <w:noProof/>
                <w:webHidden/>
              </w:rPr>
              <w:fldChar w:fldCharType="separate"/>
            </w:r>
            <w:r w:rsidR="00A879ED">
              <w:rPr>
                <w:noProof/>
                <w:webHidden/>
              </w:rPr>
              <w:t>41</w:t>
            </w:r>
            <w:r w:rsidR="00F54F39">
              <w:rPr>
                <w:noProof/>
                <w:webHidden/>
              </w:rPr>
              <w:fldChar w:fldCharType="end"/>
            </w:r>
          </w:hyperlink>
        </w:p>
        <w:p w:rsidR="00F54F39" w:rsidRDefault="003E6B30">
          <w:pPr>
            <w:pStyle w:val="TOC3"/>
            <w:tabs>
              <w:tab w:val="right" w:leader="dot" w:pos="9061"/>
            </w:tabs>
            <w:rPr>
              <w:rFonts w:asciiTheme="minorHAnsi" w:eastAsiaTheme="minorEastAsia" w:hAnsiTheme="minorHAnsi" w:cstheme="minorBidi"/>
              <w:noProof/>
              <w:sz w:val="22"/>
              <w:lang w:eastAsia="en-NZ"/>
            </w:rPr>
          </w:pPr>
          <w:hyperlink w:anchor="_Toc520457895" w:history="1">
            <w:r w:rsidR="00F54F39" w:rsidRPr="000807F2">
              <w:rPr>
                <w:rStyle w:val="Hyperlink"/>
                <w:rFonts w:eastAsia="Times New Roman" w:cs="Times New Roman"/>
                <w:b/>
                <w:noProof/>
                <w:lang w:val="en-GB" w:eastAsia="en-GB"/>
              </w:rPr>
              <w:t>Complaints and disciplinary processes</w:t>
            </w:r>
            <w:r w:rsidR="00F54F39">
              <w:rPr>
                <w:noProof/>
                <w:webHidden/>
              </w:rPr>
              <w:tab/>
            </w:r>
            <w:r w:rsidR="00F54F39">
              <w:rPr>
                <w:noProof/>
                <w:webHidden/>
              </w:rPr>
              <w:fldChar w:fldCharType="begin"/>
            </w:r>
            <w:r w:rsidR="00F54F39">
              <w:rPr>
                <w:noProof/>
                <w:webHidden/>
              </w:rPr>
              <w:instrText xml:space="preserve"> PAGEREF _Toc520457895 \h </w:instrText>
            </w:r>
            <w:r w:rsidR="00F54F39">
              <w:rPr>
                <w:noProof/>
                <w:webHidden/>
              </w:rPr>
            </w:r>
            <w:r w:rsidR="00F54F39">
              <w:rPr>
                <w:noProof/>
                <w:webHidden/>
              </w:rPr>
              <w:fldChar w:fldCharType="separate"/>
            </w:r>
            <w:r w:rsidR="00A879ED">
              <w:rPr>
                <w:noProof/>
                <w:webHidden/>
              </w:rPr>
              <w:t>43</w:t>
            </w:r>
            <w:r w:rsidR="00F54F39">
              <w:rPr>
                <w:noProof/>
                <w:webHidden/>
              </w:rPr>
              <w:fldChar w:fldCharType="end"/>
            </w:r>
          </w:hyperlink>
        </w:p>
        <w:p w:rsidR="00F54F39" w:rsidRDefault="003E6B30">
          <w:pPr>
            <w:pStyle w:val="TOC3"/>
            <w:tabs>
              <w:tab w:val="right" w:leader="dot" w:pos="9061"/>
            </w:tabs>
            <w:rPr>
              <w:rFonts w:asciiTheme="minorHAnsi" w:eastAsiaTheme="minorEastAsia" w:hAnsiTheme="minorHAnsi" w:cstheme="minorBidi"/>
              <w:noProof/>
              <w:sz w:val="22"/>
              <w:lang w:eastAsia="en-NZ"/>
            </w:rPr>
          </w:pPr>
          <w:hyperlink w:anchor="_Toc520457896" w:history="1">
            <w:r w:rsidR="00F54F39" w:rsidRPr="000807F2">
              <w:rPr>
                <w:rStyle w:val="Hyperlink"/>
                <w:rFonts w:eastAsia="Times New Roman" w:cs="Times New Roman"/>
                <w:b/>
                <w:i/>
                <w:noProof/>
                <w:lang w:val="en-GB" w:eastAsia="en-GB"/>
              </w:rPr>
              <w:t>Additional powers to support investigations and enforce confidentiality</w:t>
            </w:r>
            <w:r w:rsidR="00F54F39">
              <w:rPr>
                <w:noProof/>
                <w:webHidden/>
              </w:rPr>
              <w:tab/>
            </w:r>
            <w:r w:rsidR="00F54F39">
              <w:rPr>
                <w:noProof/>
                <w:webHidden/>
              </w:rPr>
              <w:fldChar w:fldCharType="begin"/>
            </w:r>
            <w:r w:rsidR="00F54F39">
              <w:rPr>
                <w:noProof/>
                <w:webHidden/>
              </w:rPr>
              <w:instrText xml:space="preserve"> PAGEREF _Toc520457896 \h </w:instrText>
            </w:r>
            <w:r w:rsidR="00F54F39">
              <w:rPr>
                <w:noProof/>
                <w:webHidden/>
              </w:rPr>
            </w:r>
            <w:r w:rsidR="00F54F39">
              <w:rPr>
                <w:noProof/>
                <w:webHidden/>
              </w:rPr>
              <w:fldChar w:fldCharType="separate"/>
            </w:r>
            <w:r w:rsidR="00A879ED">
              <w:rPr>
                <w:noProof/>
                <w:webHidden/>
              </w:rPr>
              <w:t>47</w:t>
            </w:r>
            <w:r w:rsidR="00F54F39">
              <w:rPr>
                <w:noProof/>
                <w:webHidden/>
              </w:rPr>
              <w:fldChar w:fldCharType="end"/>
            </w:r>
          </w:hyperlink>
        </w:p>
        <w:p w:rsidR="00F54F39" w:rsidRDefault="003E6B30">
          <w:pPr>
            <w:pStyle w:val="TOC2"/>
            <w:tabs>
              <w:tab w:val="right" w:leader="dot" w:pos="9061"/>
            </w:tabs>
            <w:rPr>
              <w:rFonts w:asciiTheme="minorHAnsi" w:eastAsiaTheme="minorEastAsia" w:hAnsiTheme="minorHAnsi" w:cstheme="minorBidi"/>
              <w:noProof/>
              <w:sz w:val="22"/>
              <w:lang w:eastAsia="en-NZ"/>
            </w:rPr>
          </w:pPr>
          <w:hyperlink w:anchor="_Toc520457897" w:history="1">
            <w:r w:rsidR="00F54F39" w:rsidRPr="000807F2">
              <w:rPr>
                <w:rStyle w:val="Hyperlink"/>
                <w:rFonts w:eastAsia="Times New Roman" w:cs="Times New Roman"/>
                <w:b/>
                <w:noProof/>
                <w:lang w:val="en-GB" w:eastAsia="en-GB"/>
              </w:rPr>
              <w:t>Financial and operational implications of preferred options</w:t>
            </w:r>
            <w:r w:rsidR="00F54F39">
              <w:rPr>
                <w:noProof/>
                <w:webHidden/>
              </w:rPr>
              <w:tab/>
            </w:r>
            <w:r w:rsidR="00F54F39">
              <w:rPr>
                <w:noProof/>
                <w:webHidden/>
              </w:rPr>
              <w:fldChar w:fldCharType="begin"/>
            </w:r>
            <w:r w:rsidR="00F54F39">
              <w:rPr>
                <w:noProof/>
                <w:webHidden/>
              </w:rPr>
              <w:instrText xml:space="preserve"> PAGEREF _Toc520457897 \h </w:instrText>
            </w:r>
            <w:r w:rsidR="00F54F39">
              <w:rPr>
                <w:noProof/>
                <w:webHidden/>
              </w:rPr>
            </w:r>
            <w:r w:rsidR="00F54F39">
              <w:rPr>
                <w:noProof/>
                <w:webHidden/>
              </w:rPr>
              <w:fldChar w:fldCharType="separate"/>
            </w:r>
            <w:r w:rsidR="00A879ED">
              <w:rPr>
                <w:noProof/>
                <w:webHidden/>
              </w:rPr>
              <w:t>48</w:t>
            </w:r>
            <w:r w:rsidR="00F54F39">
              <w:rPr>
                <w:noProof/>
                <w:webHidden/>
              </w:rPr>
              <w:fldChar w:fldCharType="end"/>
            </w:r>
          </w:hyperlink>
        </w:p>
        <w:p w:rsidR="00F54F39" w:rsidRDefault="003E6B30">
          <w:pPr>
            <w:pStyle w:val="TOC2"/>
            <w:tabs>
              <w:tab w:val="right" w:leader="dot" w:pos="9061"/>
            </w:tabs>
            <w:rPr>
              <w:rFonts w:asciiTheme="minorHAnsi" w:eastAsiaTheme="minorEastAsia" w:hAnsiTheme="minorHAnsi" w:cstheme="minorBidi"/>
              <w:noProof/>
              <w:sz w:val="22"/>
              <w:lang w:eastAsia="en-NZ"/>
            </w:rPr>
          </w:pPr>
          <w:hyperlink w:anchor="_Toc520457898" w:history="1">
            <w:r w:rsidR="00F54F39" w:rsidRPr="000807F2">
              <w:rPr>
                <w:rStyle w:val="Hyperlink"/>
                <w:rFonts w:eastAsia="Times New Roman" w:cs="Times New Roman"/>
                <w:b/>
                <w:i/>
                <w:noProof/>
                <w:lang w:val="en-GB" w:eastAsia="en-GB"/>
              </w:rPr>
              <w:t>Financial Implications of the proposed SOP</w:t>
            </w:r>
            <w:r w:rsidR="00F54F39">
              <w:rPr>
                <w:noProof/>
                <w:webHidden/>
              </w:rPr>
              <w:tab/>
            </w:r>
            <w:r w:rsidR="00F54F39">
              <w:rPr>
                <w:noProof/>
                <w:webHidden/>
              </w:rPr>
              <w:fldChar w:fldCharType="begin"/>
            </w:r>
            <w:r w:rsidR="00F54F39">
              <w:rPr>
                <w:noProof/>
                <w:webHidden/>
              </w:rPr>
              <w:instrText xml:space="preserve"> PAGEREF _Toc520457898 \h </w:instrText>
            </w:r>
            <w:r w:rsidR="00F54F39">
              <w:rPr>
                <w:noProof/>
                <w:webHidden/>
              </w:rPr>
            </w:r>
            <w:r w:rsidR="00F54F39">
              <w:rPr>
                <w:noProof/>
                <w:webHidden/>
              </w:rPr>
              <w:fldChar w:fldCharType="separate"/>
            </w:r>
            <w:r w:rsidR="00A879ED">
              <w:rPr>
                <w:noProof/>
                <w:webHidden/>
              </w:rPr>
              <w:t>50</w:t>
            </w:r>
            <w:r w:rsidR="00F54F39">
              <w:rPr>
                <w:noProof/>
                <w:webHidden/>
              </w:rPr>
              <w:fldChar w:fldCharType="end"/>
            </w:r>
          </w:hyperlink>
        </w:p>
        <w:p w:rsidR="00F54F39" w:rsidRDefault="003E6B30">
          <w:pPr>
            <w:pStyle w:val="TOC2"/>
            <w:tabs>
              <w:tab w:val="right" w:leader="dot" w:pos="9061"/>
            </w:tabs>
            <w:rPr>
              <w:rFonts w:asciiTheme="minorHAnsi" w:eastAsiaTheme="minorEastAsia" w:hAnsiTheme="minorHAnsi" w:cstheme="minorBidi"/>
              <w:noProof/>
              <w:sz w:val="22"/>
              <w:lang w:eastAsia="en-NZ"/>
            </w:rPr>
          </w:pPr>
          <w:hyperlink w:anchor="_Toc520457899" w:history="1">
            <w:r w:rsidR="00F54F39" w:rsidRPr="000807F2">
              <w:rPr>
                <w:rStyle w:val="Hyperlink"/>
                <w:rFonts w:eastAsia="Times New Roman" w:cs="Times New Roman"/>
                <w:b/>
                <w:noProof/>
                <w:lang w:val="en-GB" w:eastAsia="en-GB"/>
              </w:rPr>
              <w:t>Conclusions and recommendations</w:t>
            </w:r>
            <w:r w:rsidR="00F54F39">
              <w:rPr>
                <w:noProof/>
                <w:webHidden/>
              </w:rPr>
              <w:tab/>
            </w:r>
            <w:r w:rsidR="00F54F39">
              <w:rPr>
                <w:noProof/>
                <w:webHidden/>
              </w:rPr>
              <w:fldChar w:fldCharType="begin"/>
            </w:r>
            <w:r w:rsidR="00F54F39">
              <w:rPr>
                <w:noProof/>
                <w:webHidden/>
              </w:rPr>
              <w:instrText xml:space="preserve"> PAGEREF _Toc520457899 \h </w:instrText>
            </w:r>
            <w:r w:rsidR="00F54F39">
              <w:rPr>
                <w:noProof/>
                <w:webHidden/>
              </w:rPr>
            </w:r>
            <w:r w:rsidR="00F54F39">
              <w:rPr>
                <w:noProof/>
                <w:webHidden/>
              </w:rPr>
              <w:fldChar w:fldCharType="separate"/>
            </w:r>
            <w:r w:rsidR="00A879ED">
              <w:rPr>
                <w:noProof/>
                <w:webHidden/>
              </w:rPr>
              <w:t>52</w:t>
            </w:r>
            <w:r w:rsidR="00F54F39">
              <w:rPr>
                <w:noProof/>
                <w:webHidden/>
              </w:rPr>
              <w:fldChar w:fldCharType="end"/>
            </w:r>
          </w:hyperlink>
        </w:p>
        <w:p w:rsidR="00F54F39" w:rsidRDefault="003E6B30">
          <w:pPr>
            <w:pStyle w:val="TOC2"/>
            <w:tabs>
              <w:tab w:val="right" w:leader="dot" w:pos="9061"/>
            </w:tabs>
            <w:rPr>
              <w:rFonts w:asciiTheme="minorHAnsi" w:eastAsiaTheme="minorEastAsia" w:hAnsiTheme="minorHAnsi" w:cstheme="minorBidi"/>
              <w:noProof/>
              <w:sz w:val="22"/>
              <w:lang w:eastAsia="en-NZ"/>
            </w:rPr>
          </w:pPr>
          <w:hyperlink w:anchor="_Toc520457900" w:history="1">
            <w:r w:rsidR="00F54F39" w:rsidRPr="000807F2">
              <w:rPr>
                <w:rStyle w:val="Hyperlink"/>
                <w:rFonts w:eastAsia="Times New Roman" w:cs="Times New Roman"/>
                <w:b/>
                <w:noProof/>
                <w:lang w:val="en-GB" w:eastAsia="en-GB"/>
              </w:rPr>
              <w:t>Implementation plan</w:t>
            </w:r>
            <w:r w:rsidR="00F54F39">
              <w:rPr>
                <w:noProof/>
                <w:webHidden/>
              </w:rPr>
              <w:tab/>
            </w:r>
            <w:r w:rsidR="00F54F39">
              <w:rPr>
                <w:noProof/>
                <w:webHidden/>
              </w:rPr>
              <w:fldChar w:fldCharType="begin"/>
            </w:r>
            <w:r w:rsidR="00F54F39">
              <w:rPr>
                <w:noProof/>
                <w:webHidden/>
              </w:rPr>
              <w:instrText xml:space="preserve"> PAGEREF _Toc520457900 \h </w:instrText>
            </w:r>
            <w:r w:rsidR="00F54F39">
              <w:rPr>
                <w:noProof/>
                <w:webHidden/>
              </w:rPr>
            </w:r>
            <w:r w:rsidR="00F54F39">
              <w:rPr>
                <w:noProof/>
                <w:webHidden/>
              </w:rPr>
              <w:fldChar w:fldCharType="separate"/>
            </w:r>
            <w:r w:rsidR="00A879ED">
              <w:rPr>
                <w:noProof/>
                <w:webHidden/>
              </w:rPr>
              <w:t>52</w:t>
            </w:r>
            <w:r w:rsidR="00F54F39">
              <w:rPr>
                <w:noProof/>
                <w:webHidden/>
              </w:rPr>
              <w:fldChar w:fldCharType="end"/>
            </w:r>
          </w:hyperlink>
        </w:p>
        <w:p w:rsidR="00F54F39" w:rsidRDefault="003E6B30">
          <w:pPr>
            <w:pStyle w:val="TOC2"/>
            <w:tabs>
              <w:tab w:val="right" w:leader="dot" w:pos="9061"/>
            </w:tabs>
            <w:rPr>
              <w:rFonts w:asciiTheme="minorHAnsi" w:eastAsiaTheme="minorEastAsia" w:hAnsiTheme="minorHAnsi" w:cstheme="minorBidi"/>
              <w:noProof/>
              <w:sz w:val="22"/>
              <w:lang w:eastAsia="en-NZ"/>
            </w:rPr>
          </w:pPr>
          <w:hyperlink w:anchor="_Toc520457901" w:history="1">
            <w:r w:rsidR="00F54F39" w:rsidRPr="000807F2">
              <w:rPr>
                <w:rStyle w:val="Hyperlink"/>
                <w:rFonts w:eastAsia="Times New Roman" w:cs="Times New Roman"/>
                <w:b/>
                <w:i/>
                <w:noProof/>
                <w:lang w:val="en-GB" w:eastAsia="en-GB"/>
              </w:rPr>
              <w:t>Update on implementation issues</w:t>
            </w:r>
            <w:r w:rsidR="00F54F39">
              <w:rPr>
                <w:noProof/>
                <w:webHidden/>
              </w:rPr>
              <w:tab/>
            </w:r>
            <w:r w:rsidR="00F54F39">
              <w:rPr>
                <w:noProof/>
                <w:webHidden/>
              </w:rPr>
              <w:fldChar w:fldCharType="begin"/>
            </w:r>
            <w:r w:rsidR="00F54F39">
              <w:rPr>
                <w:noProof/>
                <w:webHidden/>
              </w:rPr>
              <w:instrText xml:space="preserve"> PAGEREF _Toc520457901 \h </w:instrText>
            </w:r>
            <w:r w:rsidR="00F54F39">
              <w:rPr>
                <w:noProof/>
                <w:webHidden/>
              </w:rPr>
            </w:r>
            <w:r w:rsidR="00F54F39">
              <w:rPr>
                <w:noProof/>
                <w:webHidden/>
              </w:rPr>
              <w:fldChar w:fldCharType="separate"/>
            </w:r>
            <w:r w:rsidR="00A879ED">
              <w:rPr>
                <w:noProof/>
                <w:webHidden/>
              </w:rPr>
              <w:t>53</w:t>
            </w:r>
            <w:r w:rsidR="00F54F39">
              <w:rPr>
                <w:noProof/>
                <w:webHidden/>
              </w:rPr>
              <w:fldChar w:fldCharType="end"/>
            </w:r>
          </w:hyperlink>
        </w:p>
        <w:p w:rsidR="00F54F39" w:rsidRDefault="003E6B30">
          <w:pPr>
            <w:pStyle w:val="TOC2"/>
            <w:tabs>
              <w:tab w:val="right" w:leader="dot" w:pos="9061"/>
            </w:tabs>
            <w:rPr>
              <w:rFonts w:asciiTheme="minorHAnsi" w:eastAsiaTheme="minorEastAsia" w:hAnsiTheme="minorHAnsi" w:cstheme="minorBidi"/>
              <w:noProof/>
              <w:sz w:val="22"/>
              <w:lang w:eastAsia="en-NZ"/>
            </w:rPr>
          </w:pPr>
          <w:hyperlink w:anchor="_Toc520457902" w:history="1">
            <w:r w:rsidR="00F54F39" w:rsidRPr="000807F2">
              <w:rPr>
                <w:rStyle w:val="Hyperlink"/>
                <w:rFonts w:eastAsia="Times New Roman" w:cs="Times New Roman"/>
                <w:b/>
                <w:noProof/>
                <w:lang w:val="en-GB" w:eastAsia="en-GB"/>
              </w:rPr>
              <w:t>Monitoring, evaluation and review</w:t>
            </w:r>
            <w:r w:rsidR="00F54F39">
              <w:rPr>
                <w:noProof/>
                <w:webHidden/>
              </w:rPr>
              <w:tab/>
            </w:r>
            <w:r w:rsidR="00F54F39">
              <w:rPr>
                <w:noProof/>
                <w:webHidden/>
              </w:rPr>
              <w:fldChar w:fldCharType="begin"/>
            </w:r>
            <w:r w:rsidR="00F54F39">
              <w:rPr>
                <w:noProof/>
                <w:webHidden/>
              </w:rPr>
              <w:instrText xml:space="preserve"> PAGEREF _Toc520457902 \h </w:instrText>
            </w:r>
            <w:r w:rsidR="00F54F39">
              <w:rPr>
                <w:noProof/>
                <w:webHidden/>
              </w:rPr>
            </w:r>
            <w:r w:rsidR="00F54F39">
              <w:rPr>
                <w:noProof/>
                <w:webHidden/>
              </w:rPr>
              <w:fldChar w:fldCharType="separate"/>
            </w:r>
            <w:r w:rsidR="00A879ED">
              <w:rPr>
                <w:noProof/>
                <w:webHidden/>
              </w:rPr>
              <w:t>53</w:t>
            </w:r>
            <w:r w:rsidR="00F54F39">
              <w:rPr>
                <w:noProof/>
                <w:webHidden/>
              </w:rPr>
              <w:fldChar w:fldCharType="end"/>
            </w:r>
          </w:hyperlink>
        </w:p>
        <w:p w:rsidR="00C05771" w:rsidRPr="00C05771" w:rsidRDefault="00C05771" w:rsidP="00177E1D">
          <w:pPr>
            <w:spacing w:after="240" w:line="280" w:lineRule="atLeast"/>
            <w:rPr>
              <w:rFonts w:ascii="Arial" w:eastAsia="Times New Roman" w:hAnsi="Arial" w:cs="Times New Roman"/>
              <w:sz w:val="22"/>
              <w:szCs w:val="20"/>
              <w:lang w:val="en-GB" w:eastAsia="en-GB"/>
            </w:rPr>
          </w:pPr>
          <w:r w:rsidRPr="00C05771">
            <w:rPr>
              <w:rFonts w:ascii="Arial" w:eastAsia="Times New Roman" w:hAnsi="Arial" w:cs="Times New Roman"/>
              <w:b/>
              <w:bCs/>
              <w:noProof/>
              <w:sz w:val="22"/>
              <w:szCs w:val="20"/>
              <w:lang w:val="en-GB" w:eastAsia="en-GB"/>
            </w:rPr>
            <w:fldChar w:fldCharType="end"/>
          </w:r>
        </w:p>
      </w:sdtContent>
    </w:sdt>
    <w:p w:rsidR="00C05771" w:rsidRPr="00C05771" w:rsidRDefault="00C05771" w:rsidP="00177E1D">
      <w:pPr>
        <w:spacing w:after="240" w:line="240" w:lineRule="auto"/>
        <w:outlineLvl w:val="1"/>
        <w:rPr>
          <w:rFonts w:eastAsia="Times New Roman" w:cs="Times New Roman"/>
          <w:b/>
          <w:color w:val="335087"/>
          <w:spacing w:val="20"/>
          <w:w w:val="90"/>
          <w:sz w:val="24"/>
          <w:szCs w:val="24"/>
          <w:lang w:val="en-GB" w:eastAsia="en-GB"/>
        </w:rPr>
      </w:pPr>
      <w:r w:rsidRPr="00C05771">
        <w:rPr>
          <w:rFonts w:ascii="Arial" w:eastAsia="Times New Roman" w:hAnsi="Arial" w:cs="Times New Roman"/>
          <w:sz w:val="22"/>
          <w:szCs w:val="20"/>
          <w:lang w:val="en-GB" w:eastAsia="en-GB"/>
        </w:rPr>
        <w:br w:type="page"/>
      </w:r>
      <w:bookmarkStart w:id="41" w:name="_Toc520457883"/>
      <w:bookmarkEnd w:id="9"/>
      <w:bookmarkEnd w:id="10"/>
      <w:bookmarkEnd w:id="11"/>
      <w:bookmarkEnd w:id="12"/>
      <w:bookmarkEnd w:id="13"/>
      <w:bookmarkEnd w:id="14"/>
      <w:r w:rsidRPr="00327F3D">
        <w:rPr>
          <w:rFonts w:eastAsia="Times New Roman" w:cs="Times New Roman"/>
          <w:b/>
          <w:color w:val="0070C0"/>
          <w:sz w:val="28"/>
          <w:szCs w:val="28"/>
          <w:lang w:val="en-GB" w:eastAsia="en-GB"/>
        </w:rPr>
        <w:lastRenderedPageBreak/>
        <w:t>Executive summary</w:t>
      </w:r>
      <w:bookmarkEnd w:id="41"/>
    </w:p>
    <w:p w:rsidR="00C05771" w:rsidRPr="00222ED8" w:rsidRDefault="00222ED8"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The </w:t>
      </w:r>
      <w:r w:rsidR="00051B77">
        <w:rPr>
          <w:rFonts w:eastAsia="Times New Roman" w:cs="Times New Roman"/>
          <w:szCs w:val="20"/>
          <w:lang w:val="en-GB" w:eastAsia="en-GB"/>
        </w:rPr>
        <w:t>SWR</w:t>
      </w:r>
      <w:r w:rsidR="00C05771" w:rsidRPr="00222ED8">
        <w:rPr>
          <w:rFonts w:eastAsia="Times New Roman" w:cs="Times New Roman"/>
          <w:szCs w:val="20"/>
          <w:lang w:val="en-GB" w:eastAsia="en-GB"/>
        </w:rPr>
        <w:t xml:space="preserve"> Act establishes the legislative framework for </w:t>
      </w:r>
      <w:r w:rsidR="003C785E">
        <w:rPr>
          <w:rFonts w:eastAsia="Times New Roman" w:cs="Times New Roman"/>
          <w:szCs w:val="20"/>
          <w:lang w:val="en-GB" w:eastAsia="en-GB"/>
        </w:rPr>
        <w:t xml:space="preserve">the current voluntary registration system for social workers. </w:t>
      </w:r>
      <w:r w:rsidR="005E4FFF">
        <w:rPr>
          <w:rFonts w:eastAsia="Times New Roman" w:cs="Times New Roman"/>
          <w:szCs w:val="20"/>
          <w:lang w:val="en-GB" w:eastAsia="en-GB"/>
        </w:rPr>
        <w:t xml:space="preserve"> </w:t>
      </w:r>
      <w:r w:rsidR="003C785E">
        <w:rPr>
          <w:rFonts w:eastAsia="Times New Roman" w:cs="Times New Roman"/>
          <w:szCs w:val="20"/>
          <w:lang w:val="en-GB" w:eastAsia="en-GB"/>
        </w:rPr>
        <w:t xml:space="preserve">Under this system, </w:t>
      </w:r>
      <w:r w:rsidR="005E4FFF">
        <w:rPr>
          <w:rFonts w:eastAsia="Times New Roman" w:cs="Times New Roman"/>
          <w:szCs w:val="20"/>
          <w:lang w:val="en-GB" w:eastAsia="en-GB"/>
        </w:rPr>
        <w:t xml:space="preserve">individual </w:t>
      </w:r>
      <w:r w:rsidR="003C785E">
        <w:rPr>
          <w:rFonts w:eastAsia="Times New Roman" w:cs="Times New Roman"/>
          <w:szCs w:val="20"/>
          <w:lang w:val="en-GB" w:eastAsia="en-GB"/>
        </w:rPr>
        <w:t>social workers can choose whether they become registered or not.</w:t>
      </w:r>
      <w:r w:rsidR="005E4FFF">
        <w:rPr>
          <w:rFonts w:eastAsia="Times New Roman" w:cs="Times New Roman"/>
          <w:szCs w:val="20"/>
          <w:lang w:val="en-GB" w:eastAsia="en-GB"/>
        </w:rPr>
        <w:t xml:space="preserve">  </w:t>
      </w:r>
      <w:r w:rsidR="005E4FFF">
        <w:rPr>
          <w:lang w:eastAsia="en-NZ"/>
        </w:rPr>
        <w:t xml:space="preserve">Anyone can call themselves a “social worker” at present, whether they have qualifications or not.  If they are not registered they can use the title “social worker”, but not the title “registered social worker”. </w:t>
      </w:r>
    </w:p>
    <w:p w:rsidR="006D44F9" w:rsidRDefault="0083036D" w:rsidP="006D44F9">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In 2016, the </w:t>
      </w:r>
      <w:r w:rsidR="00101F12">
        <w:rPr>
          <w:rFonts w:eastAsia="Times New Roman" w:cs="Times New Roman"/>
          <w:szCs w:val="20"/>
          <w:lang w:val="en-GB" w:eastAsia="en-GB"/>
        </w:rPr>
        <w:t xml:space="preserve">Select </w:t>
      </w:r>
      <w:r w:rsidR="00A513F9">
        <w:rPr>
          <w:rFonts w:eastAsia="Times New Roman" w:cs="Times New Roman"/>
          <w:szCs w:val="20"/>
          <w:lang w:val="en-GB" w:eastAsia="en-GB"/>
        </w:rPr>
        <w:t xml:space="preserve">Committee undertook an inquiry into the operation of the </w:t>
      </w:r>
      <w:r w:rsidR="00A914A1">
        <w:rPr>
          <w:rFonts w:eastAsia="Times New Roman" w:cs="Times New Roman"/>
          <w:szCs w:val="20"/>
          <w:lang w:val="en-GB" w:eastAsia="en-GB"/>
        </w:rPr>
        <w:t xml:space="preserve">SWR </w:t>
      </w:r>
      <w:r w:rsidR="00A513F9">
        <w:rPr>
          <w:rFonts w:eastAsia="Times New Roman" w:cs="Times New Roman"/>
          <w:szCs w:val="20"/>
          <w:lang w:val="en-GB" w:eastAsia="en-GB"/>
        </w:rPr>
        <w:t>Act in order to identify how the standard of the social work workforce could be lifted so that vulnerable clients are protected from poor practice.</w:t>
      </w:r>
      <w:r w:rsidR="00CF603E" w:rsidRPr="00CF603E">
        <w:t xml:space="preserve"> </w:t>
      </w:r>
      <w:r w:rsidR="00CF603E">
        <w:t xml:space="preserve">The </w:t>
      </w:r>
      <w:r w:rsidR="00101F12">
        <w:t xml:space="preserve">Select </w:t>
      </w:r>
      <w:r w:rsidR="00CF603E">
        <w:t xml:space="preserve">Committee released its Inquiry Report on 2 December 2016. </w:t>
      </w:r>
      <w:r w:rsidR="001B2480">
        <w:t xml:space="preserve"> </w:t>
      </w:r>
      <w:r w:rsidR="00CF603E">
        <w:t xml:space="preserve">The </w:t>
      </w:r>
      <w:r w:rsidR="00101F12">
        <w:t xml:space="preserve">Select </w:t>
      </w:r>
      <w:r w:rsidR="00CF603E">
        <w:t xml:space="preserve">Committee concluded that legislative reform is needed </w:t>
      </w:r>
      <w:r w:rsidR="00CF603E" w:rsidRPr="006B1A36">
        <w:t>to: strengthen the regulatory framework for the sector</w:t>
      </w:r>
      <w:r w:rsidR="00EC5708" w:rsidRPr="006B1A36">
        <w:t>;</w:t>
      </w:r>
      <w:r w:rsidR="00CF603E" w:rsidRPr="006B1A36">
        <w:t xml:space="preserve"> to increase the professionalism and competence of social workers</w:t>
      </w:r>
      <w:r w:rsidR="00EC5708" w:rsidRPr="006B1A36">
        <w:t>;</w:t>
      </w:r>
      <w:r w:rsidR="00CF603E" w:rsidRPr="006B1A36">
        <w:t xml:space="preserve"> and provide greater protection </w:t>
      </w:r>
      <w:r w:rsidR="00CF603E" w:rsidRPr="006D44F9">
        <w:t>for the public.</w:t>
      </w:r>
    </w:p>
    <w:p w:rsidR="00EC5708" w:rsidRPr="006D44F9" w:rsidRDefault="00AD1C1A" w:rsidP="006D44F9">
      <w:pPr>
        <w:numPr>
          <w:ilvl w:val="0"/>
          <w:numId w:val="8"/>
        </w:numPr>
        <w:spacing w:after="240" w:line="240" w:lineRule="auto"/>
        <w:ind w:left="567" w:hanging="567"/>
        <w:rPr>
          <w:rFonts w:eastAsia="Times New Roman" w:cs="Times New Roman"/>
          <w:szCs w:val="20"/>
          <w:lang w:val="en-GB" w:eastAsia="en-GB"/>
        </w:rPr>
      </w:pPr>
      <w:r w:rsidRPr="006D44F9">
        <w:rPr>
          <w:rFonts w:eastAsia="Times New Roman"/>
          <w:szCs w:val="20"/>
          <w:lang w:val="en-GB" w:eastAsia="en-GB"/>
        </w:rPr>
        <w:t>T</w:t>
      </w:r>
      <w:r w:rsidR="006B1A36" w:rsidRPr="006D44F9">
        <w:rPr>
          <w:rFonts w:eastAsia="Times New Roman"/>
          <w:szCs w:val="20"/>
          <w:lang w:val="en-GB" w:eastAsia="en-GB"/>
        </w:rPr>
        <w:t>he immediate problem is that approximately two thousand</w:t>
      </w:r>
      <w:r w:rsidR="006D44F9" w:rsidRPr="006D44F9">
        <w:rPr>
          <w:rFonts w:eastAsia="Times New Roman"/>
          <w:szCs w:val="20"/>
          <w:lang w:val="en-GB" w:eastAsia="en-GB"/>
        </w:rPr>
        <w:t xml:space="preserve"> non-registered social workers (estimated to be around a quarter of the profession)</w:t>
      </w:r>
      <w:r w:rsidR="006B1A36" w:rsidRPr="006D44F9">
        <w:rPr>
          <w:rFonts w:eastAsia="Times New Roman"/>
          <w:szCs w:val="20"/>
          <w:lang w:val="en-GB" w:eastAsia="en-GB"/>
        </w:rPr>
        <w:t xml:space="preserve"> practise outside the regulatory regime designed to protect clients and the public, and ensure competent, effective and accountable social work services.  This means that the quality of social work services in New Zealand is not as good as it should be, and that the regulatory regime is not as effective as it could be in ensuring quality and addressing risks and failures.  There are a range of reasons why a significant number of social workers are choosing not to register, including unwillingness to be accountable or undertake training, financial and time costs, and concerns about some features of the current regime.</w:t>
      </w:r>
    </w:p>
    <w:p w:rsidR="00CF603E" w:rsidRPr="00A25228" w:rsidRDefault="00CF603E" w:rsidP="00177E1D">
      <w:pPr>
        <w:numPr>
          <w:ilvl w:val="0"/>
          <w:numId w:val="8"/>
        </w:numPr>
        <w:spacing w:after="240" w:line="240" w:lineRule="auto"/>
        <w:ind w:left="567" w:hanging="567"/>
        <w:rPr>
          <w:rFonts w:eastAsia="Times New Roman" w:cs="Times New Roman"/>
          <w:szCs w:val="20"/>
          <w:lang w:val="en-GB" w:eastAsia="en-GB"/>
        </w:rPr>
      </w:pPr>
      <w:r>
        <w:t xml:space="preserve">The Government Response to the </w:t>
      </w:r>
      <w:r w:rsidR="00101F12">
        <w:t xml:space="preserve">Select </w:t>
      </w:r>
      <w:r>
        <w:t xml:space="preserve">Committee’s Report was presented to the House on 21 March 2017. </w:t>
      </w:r>
      <w:r w:rsidR="001B2480">
        <w:t xml:space="preserve"> </w:t>
      </w:r>
      <w:r>
        <w:t xml:space="preserve">That Response acknowledged the overall intent of the </w:t>
      </w:r>
      <w:r w:rsidR="00101F12">
        <w:t xml:space="preserve">Select </w:t>
      </w:r>
      <w:r>
        <w:t xml:space="preserve">Committee’s recommendations, and the case made by the </w:t>
      </w:r>
      <w:r w:rsidR="00101F12">
        <w:t xml:space="preserve">Select </w:t>
      </w:r>
      <w:r>
        <w:t xml:space="preserve">Committee for some form of increased regulation of social workers and noted that further policy work was </w:t>
      </w:r>
      <w:r w:rsidRPr="00A25228">
        <w:t>required.</w:t>
      </w:r>
      <w:r w:rsidRPr="00A25228">
        <w:rPr>
          <w:rFonts w:eastAsia="Times New Roman" w:cs="Times New Roman"/>
          <w:szCs w:val="20"/>
          <w:lang w:val="en-GB" w:eastAsia="en-GB"/>
        </w:rPr>
        <w:t xml:space="preserve"> </w:t>
      </w:r>
    </w:p>
    <w:p w:rsidR="00361702" w:rsidRPr="00A25228" w:rsidRDefault="00361702" w:rsidP="00177E1D">
      <w:pPr>
        <w:numPr>
          <w:ilvl w:val="0"/>
          <w:numId w:val="8"/>
        </w:numPr>
        <w:spacing w:after="240" w:line="240" w:lineRule="auto"/>
        <w:ind w:left="567" w:hanging="567"/>
        <w:rPr>
          <w:rFonts w:eastAsia="Times New Roman" w:cs="Times New Roman"/>
          <w:szCs w:val="20"/>
          <w:lang w:val="en-GB" w:eastAsia="en-GB"/>
        </w:rPr>
      </w:pPr>
      <w:r w:rsidRPr="00A25228">
        <w:rPr>
          <w:rFonts w:eastAsia="Times New Roman" w:cs="Times New Roman"/>
          <w:szCs w:val="20"/>
          <w:lang w:val="en-GB" w:eastAsia="en-GB"/>
        </w:rPr>
        <w:t>To effectively deliver the in</w:t>
      </w:r>
      <w:r w:rsidR="00A914A1">
        <w:rPr>
          <w:rFonts w:eastAsia="Times New Roman" w:cs="Times New Roman"/>
          <w:szCs w:val="20"/>
          <w:lang w:val="en-GB" w:eastAsia="en-GB"/>
        </w:rPr>
        <w:t>ter</w:t>
      </w:r>
      <w:r w:rsidRPr="00A25228">
        <w:rPr>
          <w:rFonts w:eastAsia="Times New Roman" w:cs="Times New Roman"/>
          <w:szCs w:val="20"/>
          <w:lang w:val="en-GB" w:eastAsia="en-GB"/>
        </w:rPr>
        <w:t xml:space="preserve">ventions that form part of the Government’s social </w:t>
      </w:r>
      <w:r w:rsidR="00A25228" w:rsidRPr="00A25228">
        <w:rPr>
          <w:rFonts w:eastAsia="Times New Roman" w:cs="Times New Roman"/>
          <w:szCs w:val="20"/>
          <w:lang w:val="en-GB" w:eastAsia="en-GB"/>
        </w:rPr>
        <w:t>investment approach, a competent</w:t>
      </w:r>
      <w:r w:rsidRPr="00A25228">
        <w:rPr>
          <w:rFonts w:eastAsia="Times New Roman" w:cs="Times New Roman"/>
          <w:szCs w:val="20"/>
          <w:lang w:val="en-GB" w:eastAsia="en-GB"/>
        </w:rPr>
        <w:t xml:space="preserve"> and skilled social work workforce is essential.</w:t>
      </w:r>
      <w:r w:rsidR="001B2480">
        <w:rPr>
          <w:rFonts w:eastAsia="Times New Roman" w:cs="Times New Roman"/>
          <w:szCs w:val="20"/>
          <w:lang w:val="en-GB" w:eastAsia="en-GB"/>
        </w:rPr>
        <w:t xml:space="preserve"> </w:t>
      </w:r>
      <w:r w:rsidRPr="00A25228">
        <w:rPr>
          <w:rFonts w:eastAsia="Times New Roman" w:cs="Times New Roman"/>
          <w:szCs w:val="20"/>
          <w:lang w:val="en-GB" w:eastAsia="en-GB"/>
        </w:rPr>
        <w:t xml:space="preserve"> </w:t>
      </w:r>
      <w:r w:rsidR="00A25228" w:rsidRPr="00A25228">
        <w:rPr>
          <w:rFonts w:eastAsia="Times New Roman" w:cs="Times New Roman"/>
          <w:szCs w:val="20"/>
          <w:lang w:val="en-GB" w:eastAsia="en-GB"/>
        </w:rPr>
        <w:t>Legislative reform is required</w:t>
      </w:r>
      <w:r w:rsidRPr="00A25228">
        <w:rPr>
          <w:rFonts w:eastAsia="Times New Roman" w:cs="Times New Roman"/>
          <w:szCs w:val="20"/>
          <w:lang w:val="en-GB" w:eastAsia="en-GB"/>
        </w:rPr>
        <w:t xml:space="preserve"> to </w:t>
      </w:r>
      <w:r w:rsidR="00A25228" w:rsidRPr="00A25228">
        <w:rPr>
          <w:rFonts w:eastAsia="Times New Roman" w:cs="Times New Roman"/>
          <w:szCs w:val="20"/>
          <w:lang w:val="en-GB" w:eastAsia="en-GB"/>
        </w:rPr>
        <w:t xml:space="preserve">increase and </w:t>
      </w:r>
      <w:r w:rsidRPr="00A25228">
        <w:rPr>
          <w:rFonts w:eastAsia="Times New Roman" w:cs="Times New Roman"/>
          <w:szCs w:val="20"/>
          <w:lang w:val="en-GB" w:eastAsia="en-GB"/>
        </w:rPr>
        <w:t>cement the professionalism of the social work workforce.</w:t>
      </w:r>
    </w:p>
    <w:p w:rsidR="00435B67" w:rsidRPr="00435B67" w:rsidRDefault="00C05771" w:rsidP="00177E1D">
      <w:pPr>
        <w:numPr>
          <w:ilvl w:val="0"/>
          <w:numId w:val="8"/>
        </w:numPr>
        <w:spacing w:after="240" w:line="240" w:lineRule="auto"/>
        <w:ind w:left="567" w:hanging="567"/>
        <w:rPr>
          <w:rFonts w:eastAsia="Times New Roman" w:cs="Times New Roman"/>
          <w:szCs w:val="20"/>
          <w:lang w:val="en-GB" w:eastAsia="en-GB"/>
        </w:rPr>
      </w:pPr>
      <w:r w:rsidRPr="00CF603E">
        <w:rPr>
          <w:rFonts w:eastAsia="Times New Roman" w:cs="Times New Roman"/>
          <w:szCs w:val="20"/>
          <w:lang w:val="en-GB" w:eastAsia="en-GB"/>
        </w:rPr>
        <w:t>Based</w:t>
      </w:r>
      <w:r w:rsidR="001B72D0" w:rsidRPr="00CF603E">
        <w:rPr>
          <w:rFonts w:eastAsia="Times New Roman" w:cs="Times New Roman"/>
          <w:szCs w:val="20"/>
          <w:lang w:val="en-GB" w:eastAsia="en-GB"/>
        </w:rPr>
        <w:t xml:space="preserve"> on the Government Response</w:t>
      </w:r>
      <w:r w:rsidR="00B902D9" w:rsidRPr="00CF603E">
        <w:rPr>
          <w:rFonts w:eastAsia="Times New Roman" w:cs="Times New Roman"/>
          <w:szCs w:val="20"/>
          <w:lang w:val="en-GB" w:eastAsia="en-GB"/>
        </w:rPr>
        <w:t xml:space="preserve"> to the Select Committee Inquiry</w:t>
      </w:r>
      <w:r w:rsidRPr="00CF603E">
        <w:rPr>
          <w:rFonts w:eastAsia="Times New Roman" w:cs="Times New Roman"/>
          <w:szCs w:val="20"/>
          <w:lang w:val="en-GB" w:eastAsia="en-GB"/>
        </w:rPr>
        <w:t>, the reform pr</w:t>
      </w:r>
      <w:r w:rsidR="004C3D24">
        <w:rPr>
          <w:rFonts w:eastAsia="Times New Roman" w:cs="Times New Roman"/>
          <w:szCs w:val="20"/>
          <w:lang w:val="en-GB" w:eastAsia="en-GB"/>
        </w:rPr>
        <w:t xml:space="preserve">oposals considered in this </w:t>
      </w:r>
      <w:r w:rsidR="00D97D37">
        <w:rPr>
          <w:rFonts w:eastAsia="Times New Roman" w:cs="Times New Roman"/>
          <w:szCs w:val="20"/>
          <w:lang w:val="en-GB" w:eastAsia="en-GB"/>
        </w:rPr>
        <w:t>RIS</w:t>
      </w:r>
      <w:r w:rsidRPr="00CF603E">
        <w:rPr>
          <w:rFonts w:eastAsia="Times New Roman" w:cs="Times New Roman"/>
          <w:szCs w:val="20"/>
          <w:lang w:val="en-GB" w:eastAsia="en-GB"/>
        </w:rPr>
        <w:t xml:space="preserve"> address</w:t>
      </w:r>
      <w:r w:rsidRPr="00CF603E">
        <w:rPr>
          <w:rFonts w:eastAsia="Times New Roman"/>
          <w:szCs w:val="20"/>
          <w:lang w:eastAsia="en-GB"/>
        </w:rPr>
        <w:t xml:space="preserve"> the</w:t>
      </w:r>
      <w:r w:rsidR="00435B67">
        <w:rPr>
          <w:rFonts w:eastAsia="Times New Roman"/>
          <w:szCs w:val="20"/>
          <w:lang w:eastAsia="en-GB"/>
        </w:rPr>
        <w:t xml:space="preserve"> following aspects of what is needed to increase the professionalism of the social work workforce:</w:t>
      </w:r>
    </w:p>
    <w:p w:rsidR="000B6B6F" w:rsidRPr="000B6B6F" w:rsidRDefault="00781C75" w:rsidP="005B5FC6">
      <w:pPr>
        <w:numPr>
          <w:ilvl w:val="1"/>
          <w:numId w:val="15"/>
        </w:numPr>
        <w:tabs>
          <w:tab w:val="num" w:pos="351"/>
          <w:tab w:val="num" w:pos="1418"/>
        </w:tabs>
        <w:spacing w:after="240" w:line="240" w:lineRule="auto"/>
        <w:ind w:left="1276" w:hanging="567"/>
        <w:rPr>
          <w:rFonts w:eastAsia="Times New Roman" w:cs="Times New Roman"/>
          <w:szCs w:val="20"/>
          <w:lang w:val="en-GB" w:eastAsia="en-GB"/>
        </w:rPr>
      </w:pPr>
      <w:r>
        <w:rPr>
          <w:rFonts w:eastAsia="Times New Roman"/>
          <w:szCs w:val="20"/>
          <w:lang w:val="en-GB" w:eastAsia="ja-JP"/>
        </w:rPr>
        <w:t xml:space="preserve">Part One: </w:t>
      </w:r>
      <w:r w:rsidR="000B6B6F">
        <w:rPr>
          <w:rFonts w:eastAsia="Times New Roman"/>
          <w:szCs w:val="20"/>
          <w:lang w:val="en-GB" w:eastAsia="ja-JP"/>
        </w:rPr>
        <w:t>t</w:t>
      </w:r>
      <w:r w:rsidR="0039662A" w:rsidRPr="000B6B6F">
        <w:rPr>
          <w:rFonts w:eastAsia="Times New Roman"/>
          <w:szCs w:val="20"/>
          <w:lang w:val="en-GB" w:eastAsia="ja-JP"/>
        </w:rPr>
        <w:t>he</w:t>
      </w:r>
      <w:r w:rsidR="0039662A">
        <w:rPr>
          <w:rFonts w:eastAsia="Times New Roman"/>
          <w:szCs w:val="20"/>
          <w:lang w:eastAsia="en-GB"/>
        </w:rPr>
        <w:t xml:space="preserve"> regulat</w:t>
      </w:r>
      <w:r w:rsidR="000B6B6F">
        <w:rPr>
          <w:rFonts w:eastAsia="Times New Roman"/>
          <w:szCs w:val="20"/>
          <w:lang w:eastAsia="en-GB"/>
        </w:rPr>
        <w:t>ory (registration) system for social w</w:t>
      </w:r>
      <w:r w:rsidR="00574B12">
        <w:rPr>
          <w:rFonts w:eastAsia="Times New Roman"/>
          <w:szCs w:val="20"/>
          <w:lang w:eastAsia="en-GB"/>
        </w:rPr>
        <w:t>orkers and social work students</w:t>
      </w:r>
    </w:p>
    <w:p w:rsidR="000B6B6F" w:rsidRPr="00574B12" w:rsidRDefault="005E4FFF" w:rsidP="005B5FC6">
      <w:pPr>
        <w:numPr>
          <w:ilvl w:val="1"/>
          <w:numId w:val="15"/>
        </w:numPr>
        <w:tabs>
          <w:tab w:val="num" w:pos="351"/>
          <w:tab w:val="num" w:pos="1418"/>
        </w:tabs>
        <w:spacing w:after="240" w:line="240" w:lineRule="auto"/>
        <w:ind w:left="1276" w:hanging="567"/>
        <w:rPr>
          <w:rFonts w:eastAsia="Times New Roman" w:cs="Times New Roman"/>
          <w:szCs w:val="20"/>
          <w:lang w:val="en-GB" w:eastAsia="en-GB"/>
        </w:rPr>
      </w:pPr>
      <w:r w:rsidRPr="00574B12">
        <w:rPr>
          <w:rFonts w:eastAsia="Times New Roman" w:cs="Times New Roman"/>
          <w:szCs w:val="20"/>
          <w:lang w:val="en-GB" w:eastAsia="en-GB"/>
        </w:rPr>
        <w:t>Part T</w:t>
      </w:r>
      <w:r w:rsidR="00781C75" w:rsidRPr="00574B12">
        <w:rPr>
          <w:rFonts w:eastAsia="Times New Roman" w:cs="Times New Roman"/>
          <w:szCs w:val="20"/>
          <w:lang w:val="en-GB" w:eastAsia="en-GB"/>
        </w:rPr>
        <w:t>wo</w:t>
      </w:r>
      <w:r w:rsidRPr="00574B12">
        <w:rPr>
          <w:rFonts w:eastAsia="Times New Roman" w:cs="Times New Roman"/>
          <w:szCs w:val="20"/>
          <w:lang w:val="en-GB" w:eastAsia="en-GB"/>
        </w:rPr>
        <w:t xml:space="preserve">: </w:t>
      </w:r>
      <w:r w:rsidR="00574B12">
        <w:rPr>
          <w:rFonts w:eastAsia="Times New Roman" w:cs="Times New Roman"/>
          <w:szCs w:val="20"/>
          <w:lang w:val="en-GB" w:eastAsia="en-GB"/>
        </w:rPr>
        <w:t xml:space="preserve">other amendments to </w:t>
      </w:r>
      <w:r w:rsidR="00CC7880">
        <w:rPr>
          <w:rFonts w:eastAsia="Times New Roman" w:cs="Times New Roman"/>
          <w:szCs w:val="20"/>
          <w:lang w:val="en-GB" w:eastAsia="en-GB"/>
        </w:rPr>
        <w:t>the SWR Act</w:t>
      </w:r>
      <w:r w:rsidR="00574B12">
        <w:rPr>
          <w:rFonts w:eastAsia="Times New Roman" w:cs="Times New Roman"/>
          <w:szCs w:val="20"/>
          <w:lang w:val="en-GB" w:eastAsia="en-GB"/>
        </w:rPr>
        <w:t xml:space="preserve"> to improve its effectiveness and reduce compliance </w:t>
      </w:r>
      <w:r w:rsidR="00574B12" w:rsidRPr="00AD1C1A">
        <w:rPr>
          <w:rFonts w:eastAsia="Times New Roman" w:cs="Times New Roman"/>
          <w:szCs w:val="20"/>
          <w:lang w:val="en-GB" w:eastAsia="en-GB"/>
        </w:rPr>
        <w:t xml:space="preserve">costs, </w:t>
      </w:r>
      <w:r w:rsidR="00574B12" w:rsidRPr="00AD1C1A">
        <w:rPr>
          <w:rFonts w:eastAsia="Times New Roman"/>
          <w:szCs w:val="20"/>
          <w:lang w:eastAsia="en-GB"/>
        </w:rPr>
        <w:t>including the pathways to registration and the checks and balances on the Board needed in association with a particular registration system</w:t>
      </w:r>
      <w:r w:rsidR="00AD1C1A">
        <w:rPr>
          <w:rFonts w:eastAsia="Times New Roman"/>
          <w:szCs w:val="20"/>
          <w:lang w:eastAsia="en-GB"/>
        </w:rPr>
        <w:t>, including</w:t>
      </w:r>
      <w:r w:rsidR="00574B12" w:rsidRPr="00AD1C1A">
        <w:rPr>
          <w:rFonts w:eastAsia="Times New Roman" w:cs="Times New Roman"/>
          <w:szCs w:val="20"/>
          <w:lang w:val="en-GB" w:eastAsia="en-GB"/>
        </w:rPr>
        <w:t xml:space="preserve"> </w:t>
      </w:r>
      <w:r w:rsidR="000032C2" w:rsidRPr="00AD1C1A">
        <w:rPr>
          <w:rFonts w:eastAsia="Times New Roman" w:cs="Times New Roman"/>
          <w:szCs w:val="20"/>
          <w:lang w:val="en-GB" w:eastAsia="en-GB"/>
        </w:rPr>
        <w:t xml:space="preserve">assessment of </w:t>
      </w:r>
      <w:r w:rsidR="00932DC5" w:rsidRPr="00AD1C1A">
        <w:rPr>
          <w:rFonts w:eastAsia="Times New Roman" w:cs="Times New Roman"/>
          <w:szCs w:val="20"/>
          <w:lang w:val="en-GB" w:eastAsia="en-GB"/>
        </w:rPr>
        <w:t xml:space="preserve">the </w:t>
      </w:r>
      <w:r w:rsidR="000B6B6F" w:rsidRPr="00AD1C1A">
        <w:rPr>
          <w:rFonts w:eastAsia="Times New Roman" w:cs="Times New Roman"/>
          <w:szCs w:val="20"/>
          <w:lang w:val="en-GB" w:eastAsia="en-GB"/>
        </w:rPr>
        <w:t>competence</w:t>
      </w:r>
      <w:r w:rsidR="00932DC5" w:rsidRPr="00AD1C1A">
        <w:rPr>
          <w:rFonts w:eastAsia="Times New Roman" w:cs="Times New Roman"/>
          <w:szCs w:val="20"/>
          <w:lang w:val="en-GB" w:eastAsia="en-GB"/>
        </w:rPr>
        <w:t xml:space="preserve"> of social workers</w:t>
      </w:r>
      <w:r w:rsidR="00574B12" w:rsidRPr="00AD1C1A">
        <w:rPr>
          <w:rFonts w:eastAsia="Times New Roman" w:cs="Times New Roman"/>
          <w:szCs w:val="20"/>
          <w:lang w:val="en-GB" w:eastAsia="en-GB"/>
        </w:rPr>
        <w:t xml:space="preserve">; </w:t>
      </w:r>
      <w:r w:rsidR="000B6B6F" w:rsidRPr="00AD1C1A">
        <w:rPr>
          <w:rFonts w:eastAsia="Times New Roman" w:cs="Times New Roman"/>
          <w:szCs w:val="20"/>
          <w:lang w:val="en-GB" w:eastAsia="en-GB"/>
        </w:rPr>
        <w:t>fitness to practice</w:t>
      </w:r>
      <w:r w:rsidR="00932DC5" w:rsidRPr="00AD1C1A">
        <w:rPr>
          <w:rFonts w:eastAsia="Times New Roman" w:cs="Times New Roman"/>
          <w:szCs w:val="20"/>
          <w:lang w:val="en-GB" w:eastAsia="en-GB"/>
        </w:rPr>
        <w:t xml:space="preserve"> social work</w:t>
      </w:r>
      <w:r w:rsidR="00574B12" w:rsidRPr="00574B12">
        <w:rPr>
          <w:rFonts w:eastAsia="Times New Roman" w:cs="Times New Roman"/>
          <w:szCs w:val="20"/>
          <w:lang w:val="en-GB" w:eastAsia="en-GB"/>
        </w:rPr>
        <w:t xml:space="preserve">; </w:t>
      </w:r>
      <w:r w:rsidR="000B6B6F" w:rsidRPr="00574B12">
        <w:rPr>
          <w:rFonts w:eastAsia="Times New Roman" w:cs="Times New Roman"/>
          <w:szCs w:val="20"/>
          <w:lang w:val="en-GB" w:eastAsia="en-GB"/>
        </w:rPr>
        <w:t>complaints and disciplinary processes</w:t>
      </w:r>
      <w:r w:rsidR="00932DC5" w:rsidRPr="00574B12">
        <w:rPr>
          <w:rFonts w:eastAsia="Times New Roman" w:cs="Times New Roman"/>
          <w:szCs w:val="20"/>
          <w:lang w:val="en-GB" w:eastAsia="en-GB"/>
        </w:rPr>
        <w:t xml:space="preserve"> for social workers.</w:t>
      </w:r>
    </w:p>
    <w:p w:rsidR="005E562D" w:rsidRDefault="005E562D">
      <w:pPr>
        <w:spacing w:after="0" w:line="240" w:lineRule="auto"/>
        <w:rPr>
          <w:rFonts w:eastAsia="Times New Roman" w:cs="Times New Roman"/>
          <w:szCs w:val="20"/>
          <w:lang w:val="en-GB" w:eastAsia="en-GB"/>
        </w:rPr>
      </w:pPr>
      <w:r>
        <w:rPr>
          <w:rFonts w:eastAsia="Times New Roman" w:cs="Times New Roman"/>
          <w:szCs w:val="20"/>
          <w:lang w:val="en-GB" w:eastAsia="en-GB"/>
        </w:rPr>
        <w:br w:type="page"/>
      </w:r>
    </w:p>
    <w:p w:rsidR="00C05771" w:rsidRPr="00C05771" w:rsidRDefault="00C05771" w:rsidP="00177E1D">
      <w:pPr>
        <w:numPr>
          <w:ilvl w:val="0"/>
          <w:numId w:val="8"/>
        </w:numPr>
        <w:spacing w:after="240" w:line="240" w:lineRule="auto"/>
        <w:ind w:left="567" w:hanging="567"/>
        <w:rPr>
          <w:rFonts w:eastAsia="Times New Roman"/>
          <w:szCs w:val="20"/>
          <w:lang w:val="en-GB" w:eastAsia="en-GB"/>
        </w:rPr>
      </w:pPr>
      <w:r w:rsidRPr="00C05771">
        <w:rPr>
          <w:rFonts w:eastAsia="Times New Roman" w:cs="Times New Roman"/>
          <w:szCs w:val="20"/>
          <w:lang w:val="en-GB" w:eastAsia="en-GB"/>
        </w:rPr>
        <w:lastRenderedPageBreak/>
        <w:t xml:space="preserve">It is considered that the </w:t>
      </w:r>
      <w:r w:rsidR="00AD1C1A">
        <w:rPr>
          <w:rFonts w:eastAsia="Times New Roman" w:cs="Times New Roman"/>
          <w:szCs w:val="20"/>
          <w:lang w:val="en-GB" w:eastAsia="en-GB"/>
        </w:rPr>
        <w:t xml:space="preserve">recommended </w:t>
      </w:r>
      <w:r w:rsidRPr="00C05771">
        <w:rPr>
          <w:rFonts w:eastAsia="Times New Roman" w:cs="Times New Roman"/>
          <w:szCs w:val="20"/>
          <w:lang w:val="en-GB" w:eastAsia="en-GB"/>
        </w:rPr>
        <w:t>proposals will provide a strong a</w:t>
      </w:r>
      <w:r w:rsidR="00932DC5">
        <w:rPr>
          <w:rFonts w:eastAsia="Times New Roman" w:cs="Times New Roman"/>
          <w:szCs w:val="20"/>
          <w:lang w:val="en-GB" w:eastAsia="en-GB"/>
        </w:rPr>
        <w:t xml:space="preserve">nd enduring framework for the social </w:t>
      </w:r>
      <w:r w:rsidR="00932DC5" w:rsidRPr="00A25228">
        <w:rPr>
          <w:rFonts w:eastAsia="Times New Roman" w:cs="Times New Roman"/>
          <w:szCs w:val="20"/>
          <w:lang w:val="en-GB" w:eastAsia="en-GB"/>
        </w:rPr>
        <w:t>work profession that</w:t>
      </w:r>
      <w:r w:rsidR="00932DC5">
        <w:rPr>
          <w:rFonts w:eastAsia="Times New Roman" w:cs="Times New Roman"/>
          <w:szCs w:val="20"/>
          <w:lang w:val="en-GB" w:eastAsia="en-GB"/>
        </w:rPr>
        <w:t xml:space="preserve"> will increase public safety by:</w:t>
      </w:r>
    </w:p>
    <w:p w:rsidR="00C05771" w:rsidRPr="00AD1C1A" w:rsidRDefault="00574B12" w:rsidP="005B5FC6">
      <w:pPr>
        <w:numPr>
          <w:ilvl w:val="1"/>
          <w:numId w:val="15"/>
        </w:numPr>
        <w:tabs>
          <w:tab w:val="num" w:pos="351"/>
          <w:tab w:val="num" w:pos="1418"/>
        </w:tabs>
        <w:spacing w:after="240" w:line="240" w:lineRule="auto"/>
        <w:ind w:left="1276" w:hanging="567"/>
        <w:rPr>
          <w:rFonts w:eastAsia="Times New Roman"/>
          <w:szCs w:val="20"/>
          <w:lang w:val="en-GB" w:eastAsia="ja-JP"/>
        </w:rPr>
      </w:pPr>
      <w:r w:rsidRPr="00AD1C1A">
        <w:rPr>
          <w:rFonts w:eastAsia="Times New Roman"/>
          <w:szCs w:val="20"/>
          <w:lang w:val="en-GB" w:eastAsia="ja-JP"/>
        </w:rPr>
        <w:t>extending the coverage of the existing regulatory regime to cover all</w:t>
      </w:r>
      <w:r w:rsidR="00A513F9" w:rsidRPr="00AD1C1A">
        <w:rPr>
          <w:rFonts w:eastAsia="Times New Roman"/>
          <w:szCs w:val="20"/>
          <w:lang w:val="en-GB" w:eastAsia="ja-JP"/>
        </w:rPr>
        <w:t xml:space="preserve"> social work</w:t>
      </w:r>
      <w:r w:rsidRPr="00AD1C1A">
        <w:rPr>
          <w:rFonts w:eastAsia="Times New Roman"/>
          <w:szCs w:val="20"/>
          <w:lang w:val="en-GB" w:eastAsia="ja-JP"/>
        </w:rPr>
        <w:t>ers</w:t>
      </w:r>
    </w:p>
    <w:p w:rsidR="00C05771" w:rsidRPr="00AD1C1A" w:rsidRDefault="00AD1C1A" w:rsidP="005B5FC6">
      <w:pPr>
        <w:numPr>
          <w:ilvl w:val="1"/>
          <w:numId w:val="15"/>
        </w:numPr>
        <w:tabs>
          <w:tab w:val="num" w:pos="351"/>
          <w:tab w:val="num" w:pos="1418"/>
        </w:tabs>
        <w:spacing w:after="240" w:line="240" w:lineRule="auto"/>
        <w:ind w:left="1276" w:hanging="567"/>
        <w:rPr>
          <w:rFonts w:eastAsia="Times New Roman"/>
          <w:szCs w:val="20"/>
          <w:lang w:val="en-GB" w:eastAsia="ja-JP"/>
        </w:rPr>
      </w:pPr>
      <w:r>
        <w:rPr>
          <w:rFonts w:eastAsia="Times New Roman"/>
          <w:szCs w:val="20"/>
          <w:lang w:val="en-GB" w:eastAsia="ja-JP"/>
        </w:rPr>
        <w:t xml:space="preserve">improving the functioning of </w:t>
      </w:r>
      <w:r w:rsidR="00CC7880">
        <w:rPr>
          <w:rFonts w:eastAsia="Times New Roman"/>
          <w:szCs w:val="20"/>
          <w:lang w:val="en-GB" w:eastAsia="ja-JP"/>
        </w:rPr>
        <w:t>the SWR Act</w:t>
      </w:r>
      <w:r>
        <w:rPr>
          <w:rFonts w:eastAsia="Times New Roman"/>
          <w:szCs w:val="20"/>
          <w:lang w:val="en-GB" w:eastAsia="ja-JP"/>
        </w:rPr>
        <w:t>, and</w:t>
      </w:r>
    </w:p>
    <w:p w:rsidR="00C05771" w:rsidRDefault="00AD1C1A" w:rsidP="005B5FC6">
      <w:pPr>
        <w:numPr>
          <w:ilvl w:val="1"/>
          <w:numId w:val="15"/>
        </w:numPr>
        <w:tabs>
          <w:tab w:val="num" w:pos="351"/>
          <w:tab w:val="num" w:pos="1418"/>
        </w:tabs>
        <w:spacing w:after="240" w:line="240" w:lineRule="auto"/>
        <w:ind w:left="1276" w:hanging="567"/>
        <w:rPr>
          <w:rFonts w:eastAsia="Times New Roman"/>
          <w:szCs w:val="20"/>
          <w:lang w:val="en-GB" w:eastAsia="ja-JP"/>
        </w:rPr>
      </w:pPr>
      <w:r>
        <w:rPr>
          <w:rFonts w:eastAsia="Times New Roman"/>
          <w:szCs w:val="20"/>
          <w:lang w:val="en-GB" w:eastAsia="ja-JP"/>
        </w:rPr>
        <w:t>supporting wider moves towards improving th</w:t>
      </w:r>
      <w:r w:rsidR="00E1019B">
        <w:rPr>
          <w:rFonts w:eastAsia="Times New Roman"/>
          <w:szCs w:val="20"/>
          <w:lang w:val="en-GB" w:eastAsia="ja-JP"/>
        </w:rPr>
        <w:t>e</w:t>
      </w:r>
      <w:r>
        <w:rPr>
          <w:rFonts w:eastAsia="Times New Roman"/>
          <w:szCs w:val="20"/>
          <w:lang w:val="en-GB" w:eastAsia="ja-JP"/>
        </w:rPr>
        <w:t xml:space="preserve"> professionalism and quality of social work services in New Zealand</w:t>
      </w:r>
      <w:r w:rsidR="00932DC5" w:rsidRPr="00AD1C1A">
        <w:rPr>
          <w:rFonts w:eastAsia="Times New Roman"/>
          <w:szCs w:val="20"/>
          <w:lang w:val="en-GB" w:eastAsia="ja-JP"/>
        </w:rPr>
        <w:t>.</w:t>
      </w:r>
    </w:p>
    <w:p w:rsidR="002A3937" w:rsidRDefault="002A3937" w:rsidP="00FE1E77">
      <w:pPr>
        <w:spacing w:after="240" w:line="240" w:lineRule="auto"/>
        <w:outlineLvl w:val="1"/>
        <w:rPr>
          <w:rFonts w:eastAsia="Times New Roman" w:cs="Times New Roman"/>
          <w:b/>
          <w:i/>
          <w:color w:val="0070C0"/>
          <w:sz w:val="28"/>
          <w:szCs w:val="28"/>
          <w:lang w:val="en-GB" w:eastAsia="en-GB"/>
        </w:rPr>
      </w:pPr>
    </w:p>
    <w:p w:rsidR="002A3937" w:rsidRDefault="002A3937" w:rsidP="00FE1E77">
      <w:pPr>
        <w:spacing w:after="240" w:line="240" w:lineRule="auto"/>
        <w:outlineLvl w:val="1"/>
        <w:rPr>
          <w:rFonts w:eastAsia="Times New Roman" w:cs="Times New Roman"/>
          <w:b/>
          <w:i/>
          <w:color w:val="0070C0"/>
          <w:sz w:val="28"/>
          <w:szCs w:val="28"/>
          <w:lang w:val="en-GB" w:eastAsia="en-GB"/>
        </w:rPr>
      </w:pPr>
    </w:p>
    <w:p w:rsidR="00FE1E77" w:rsidRPr="00FE1E77" w:rsidRDefault="00FE1E77" w:rsidP="00FE1E77">
      <w:pPr>
        <w:spacing w:after="240" w:line="240" w:lineRule="auto"/>
        <w:outlineLvl w:val="1"/>
        <w:rPr>
          <w:rFonts w:eastAsia="Times New Roman" w:cs="Times New Roman"/>
          <w:b/>
          <w:i/>
          <w:color w:val="0070C0"/>
          <w:sz w:val="28"/>
          <w:szCs w:val="28"/>
          <w:lang w:val="en-GB" w:eastAsia="en-GB"/>
        </w:rPr>
      </w:pPr>
      <w:bookmarkStart w:id="42" w:name="_Toc520457884"/>
      <w:r w:rsidRPr="00FE1E77">
        <w:rPr>
          <w:rFonts w:eastAsia="Times New Roman" w:cs="Times New Roman"/>
          <w:b/>
          <w:i/>
          <w:color w:val="0070C0"/>
          <w:sz w:val="28"/>
          <w:szCs w:val="28"/>
          <w:lang w:val="en-GB" w:eastAsia="en-GB"/>
        </w:rPr>
        <w:t xml:space="preserve">Executive summary </w:t>
      </w:r>
      <w:r w:rsidR="001E19C0">
        <w:rPr>
          <w:rFonts w:eastAsia="Times New Roman" w:cs="Times New Roman"/>
          <w:b/>
          <w:i/>
          <w:color w:val="0070C0"/>
          <w:sz w:val="28"/>
          <w:szCs w:val="28"/>
          <w:lang w:val="en-GB" w:eastAsia="en-GB"/>
        </w:rPr>
        <w:t>of</w:t>
      </w:r>
      <w:r w:rsidRPr="00FE1E77">
        <w:rPr>
          <w:rFonts w:eastAsia="Times New Roman" w:cs="Times New Roman"/>
          <w:b/>
          <w:i/>
          <w:color w:val="0070C0"/>
          <w:sz w:val="28"/>
          <w:szCs w:val="28"/>
          <w:lang w:val="en-GB" w:eastAsia="en-GB"/>
        </w:rPr>
        <w:t xml:space="preserve"> </w:t>
      </w:r>
      <w:r w:rsidR="001E19C0">
        <w:rPr>
          <w:rFonts w:eastAsia="Times New Roman" w:cs="Times New Roman"/>
          <w:b/>
          <w:i/>
          <w:color w:val="0070C0"/>
          <w:sz w:val="28"/>
          <w:szCs w:val="28"/>
          <w:lang w:val="en-GB" w:eastAsia="en-GB"/>
        </w:rPr>
        <w:t>assessment of SOP proposals</w:t>
      </w:r>
      <w:bookmarkEnd w:id="42"/>
    </w:p>
    <w:p w:rsidR="000674CE" w:rsidRPr="009E1E17" w:rsidRDefault="000674CE" w:rsidP="009E1E17">
      <w:pPr>
        <w:numPr>
          <w:ilvl w:val="0"/>
          <w:numId w:val="8"/>
        </w:numPr>
        <w:spacing w:after="240" w:line="240" w:lineRule="auto"/>
        <w:ind w:left="567" w:hanging="567"/>
        <w:rPr>
          <w:rFonts w:eastAsia="Times New Roman"/>
          <w:i/>
          <w:szCs w:val="20"/>
          <w:lang w:val="en-GB" w:eastAsia="ja-JP"/>
        </w:rPr>
      </w:pPr>
      <w:r w:rsidRPr="009E1E17">
        <w:rPr>
          <w:rFonts w:eastAsia="Times New Roman"/>
          <w:i/>
          <w:szCs w:val="20"/>
          <w:lang w:val="en-GB" w:eastAsia="ja-JP"/>
        </w:rPr>
        <w:t xml:space="preserve">Additions were made to the original RIS in </w:t>
      </w:r>
      <w:r w:rsidR="00835EA4">
        <w:rPr>
          <w:rFonts w:eastAsia="Times New Roman"/>
          <w:i/>
          <w:szCs w:val="20"/>
          <w:lang w:val="en-GB" w:eastAsia="ja-JP"/>
        </w:rPr>
        <w:t>5</w:t>
      </w:r>
      <w:r w:rsidRPr="009E1E17">
        <w:rPr>
          <w:rFonts w:eastAsia="Times New Roman"/>
          <w:i/>
          <w:szCs w:val="20"/>
          <w:lang w:val="en-GB" w:eastAsia="ja-JP"/>
        </w:rPr>
        <w:t xml:space="preserve"> Ju</w:t>
      </w:r>
      <w:r w:rsidR="00835EA4">
        <w:rPr>
          <w:rFonts w:eastAsia="Times New Roman"/>
          <w:i/>
          <w:szCs w:val="20"/>
          <w:lang w:val="en-GB" w:eastAsia="ja-JP"/>
        </w:rPr>
        <w:t>ly</w:t>
      </w:r>
      <w:r w:rsidRPr="009E1E17">
        <w:rPr>
          <w:rFonts w:eastAsia="Times New Roman"/>
          <w:i/>
          <w:szCs w:val="20"/>
          <w:lang w:val="en-GB" w:eastAsia="ja-JP"/>
        </w:rPr>
        <w:t xml:space="preserve"> 2018</w:t>
      </w:r>
      <w:r>
        <w:rPr>
          <w:rFonts w:eastAsia="Times New Roman"/>
          <w:i/>
          <w:szCs w:val="20"/>
          <w:lang w:val="en-GB" w:eastAsia="ja-JP"/>
        </w:rPr>
        <w:t xml:space="preserve"> to assess certain policy changes proposed to be made to the original Bill by means of an SOP</w:t>
      </w:r>
      <w:r w:rsidR="00973C18">
        <w:rPr>
          <w:rFonts w:eastAsia="Times New Roman"/>
          <w:i/>
          <w:szCs w:val="20"/>
          <w:lang w:val="en-GB" w:eastAsia="ja-JP"/>
        </w:rPr>
        <w:t>, as well as changes recommended by the Select Committee</w:t>
      </w:r>
      <w:r>
        <w:rPr>
          <w:rFonts w:eastAsia="Times New Roman"/>
          <w:i/>
          <w:szCs w:val="20"/>
          <w:lang w:val="en-GB" w:eastAsia="ja-JP"/>
        </w:rPr>
        <w:t>.</w:t>
      </w:r>
    </w:p>
    <w:p w:rsidR="00973C18" w:rsidRPr="00973C18" w:rsidRDefault="00973C18" w:rsidP="00973C18">
      <w:pPr>
        <w:numPr>
          <w:ilvl w:val="1"/>
          <w:numId w:val="15"/>
        </w:numPr>
        <w:tabs>
          <w:tab w:val="num" w:pos="351"/>
          <w:tab w:val="num" w:pos="1418"/>
        </w:tabs>
        <w:spacing w:after="240" w:line="240" w:lineRule="auto"/>
        <w:ind w:left="1276" w:hanging="567"/>
        <w:rPr>
          <w:rFonts w:eastAsia="Times New Roman"/>
          <w:i/>
          <w:szCs w:val="20"/>
          <w:lang w:val="en-GB" w:eastAsia="ja-JP"/>
        </w:rPr>
      </w:pPr>
      <w:r w:rsidRPr="00973C18">
        <w:rPr>
          <w:rFonts w:eastAsia="Times New Roman"/>
          <w:i/>
          <w:szCs w:val="20"/>
          <w:lang w:val="en-GB" w:eastAsia="ja-JP"/>
        </w:rPr>
        <w:t>Changes to the Bill to provide for social workers to practise within scopes of practice determined by the Social Workers Registration Board, and related provisions based on the Health Practitioners Competence Assurance Act 2003</w:t>
      </w:r>
      <w:r w:rsidR="00C33D04">
        <w:rPr>
          <w:rFonts w:eastAsia="Times New Roman"/>
          <w:i/>
          <w:szCs w:val="20"/>
          <w:lang w:val="en-GB" w:eastAsia="ja-JP"/>
        </w:rPr>
        <w:t xml:space="preserve">  </w:t>
      </w:r>
    </w:p>
    <w:p w:rsidR="00835EA4" w:rsidRPr="00973C18" w:rsidRDefault="00835EA4" w:rsidP="00835EA4">
      <w:pPr>
        <w:numPr>
          <w:ilvl w:val="1"/>
          <w:numId w:val="15"/>
        </w:numPr>
        <w:tabs>
          <w:tab w:val="num" w:pos="351"/>
          <w:tab w:val="num" w:pos="1418"/>
        </w:tabs>
        <w:spacing w:after="240" w:line="240" w:lineRule="auto"/>
        <w:ind w:left="1276" w:hanging="567"/>
        <w:rPr>
          <w:rFonts w:eastAsia="Times New Roman"/>
          <w:i/>
          <w:szCs w:val="20"/>
          <w:lang w:val="en-GB" w:eastAsia="ja-JP"/>
        </w:rPr>
      </w:pPr>
      <w:r w:rsidRPr="00973C18">
        <w:rPr>
          <w:rFonts w:eastAsia="Times New Roman"/>
          <w:i/>
          <w:szCs w:val="20"/>
          <w:lang w:val="en-GB" w:eastAsia="ja-JP"/>
        </w:rPr>
        <w:t>the inclusion of a new offence provision to enforce obligations around ensuring confidentiality of information</w:t>
      </w:r>
      <w:r w:rsidR="00222BA0">
        <w:rPr>
          <w:rFonts w:eastAsia="Times New Roman"/>
          <w:i/>
          <w:szCs w:val="20"/>
          <w:lang w:val="en-GB" w:eastAsia="ja-JP"/>
        </w:rPr>
        <w:t xml:space="preserve"> during the process of competency assessments for individual social workers</w:t>
      </w:r>
      <w:r w:rsidRPr="00973C18">
        <w:rPr>
          <w:rFonts w:eastAsia="Times New Roman"/>
          <w:i/>
          <w:szCs w:val="20"/>
          <w:lang w:val="en-GB" w:eastAsia="ja-JP"/>
        </w:rPr>
        <w:t xml:space="preserve">; </w:t>
      </w:r>
      <w:r w:rsidR="00222BA0">
        <w:rPr>
          <w:rFonts w:eastAsia="Times New Roman"/>
          <w:i/>
          <w:szCs w:val="20"/>
          <w:lang w:val="en-GB" w:eastAsia="ja-JP"/>
        </w:rPr>
        <w:t>including</w:t>
      </w:r>
      <w:r w:rsidRPr="00973C18">
        <w:rPr>
          <w:rFonts w:eastAsia="Times New Roman"/>
          <w:i/>
          <w:szCs w:val="20"/>
          <w:lang w:val="en-GB" w:eastAsia="ja-JP"/>
        </w:rPr>
        <w:t xml:space="preserve"> an offence provision </w:t>
      </w:r>
    </w:p>
    <w:p w:rsidR="00835EA4" w:rsidRPr="0027713B" w:rsidRDefault="00835EA4" w:rsidP="00835EA4">
      <w:pPr>
        <w:numPr>
          <w:ilvl w:val="1"/>
          <w:numId w:val="15"/>
        </w:numPr>
        <w:tabs>
          <w:tab w:val="num" w:pos="351"/>
          <w:tab w:val="num" w:pos="1418"/>
        </w:tabs>
        <w:spacing w:after="240" w:line="240" w:lineRule="auto"/>
        <w:ind w:left="1276" w:hanging="567"/>
        <w:rPr>
          <w:rFonts w:eastAsia="Times New Roman"/>
          <w:i/>
          <w:szCs w:val="20"/>
          <w:lang w:val="en-GB" w:eastAsia="ja-JP"/>
        </w:rPr>
      </w:pPr>
      <w:r w:rsidRPr="004A50D0">
        <w:rPr>
          <w:i/>
        </w:rPr>
        <w:t xml:space="preserve">a new power </w:t>
      </w:r>
      <w:r w:rsidRPr="0027713B">
        <w:rPr>
          <w:i/>
        </w:rPr>
        <w:t>authorising the department responsible for administering the Act to require people to supply information to enable enforcement of the offences relating to title protection</w:t>
      </w:r>
      <w:r w:rsidR="00222BA0">
        <w:rPr>
          <w:i/>
        </w:rPr>
        <w:t>.</w:t>
      </w:r>
    </w:p>
    <w:p w:rsidR="003D1DF6" w:rsidRPr="009E1E17" w:rsidRDefault="000674CE" w:rsidP="009E1E17">
      <w:pPr>
        <w:numPr>
          <w:ilvl w:val="0"/>
          <w:numId w:val="8"/>
        </w:numPr>
        <w:spacing w:after="240" w:line="240" w:lineRule="auto"/>
        <w:ind w:left="567" w:hanging="567"/>
        <w:rPr>
          <w:rFonts w:eastAsia="Times New Roman"/>
          <w:i/>
          <w:szCs w:val="20"/>
          <w:lang w:val="en-GB" w:eastAsia="ja-JP"/>
        </w:rPr>
      </w:pPr>
      <w:r>
        <w:rPr>
          <w:rFonts w:eastAsia="Times New Roman"/>
          <w:i/>
          <w:szCs w:val="20"/>
          <w:lang w:val="en-GB" w:eastAsia="ja-JP"/>
        </w:rPr>
        <w:t xml:space="preserve">All of these proposed changes are assessed as </w:t>
      </w:r>
      <w:r w:rsidR="00636199">
        <w:rPr>
          <w:rFonts w:eastAsia="Times New Roman"/>
          <w:i/>
          <w:szCs w:val="20"/>
          <w:lang w:val="en-GB" w:eastAsia="ja-JP"/>
        </w:rPr>
        <w:t>contributing to</w:t>
      </w:r>
      <w:r>
        <w:rPr>
          <w:rFonts w:eastAsia="Times New Roman"/>
          <w:i/>
          <w:szCs w:val="20"/>
          <w:lang w:val="en-GB" w:eastAsia="ja-JP"/>
        </w:rPr>
        <w:t xml:space="preserve"> the overall objective of improving the quality and effectiveness of the regulation of the social work profession in New Zealand</w:t>
      </w:r>
      <w:r w:rsidR="00C951E9">
        <w:rPr>
          <w:rFonts w:eastAsia="Times New Roman"/>
          <w:i/>
          <w:szCs w:val="20"/>
          <w:lang w:val="en-GB" w:eastAsia="ja-JP"/>
        </w:rPr>
        <w:t xml:space="preserve"> in order to protect the public.</w:t>
      </w:r>
      <w:r w:rsidR="00636199">
        <w:rPr>
          <w:rFonts w:eastAsia="Times New Roman"/>
          <w:i/>
          <w:szCs w:val="20"/>
          <w:lang w:val="en-GB" w:eastAsia="ja-JP"/>
        </w:rPr>
        <w:t xml:space="preserve">  Further, they are not expected to have any material effect on the financial or compliance costs of the regulatory regime.</w:t>
      </w:r>
    </w:p>
    <w:p w:rsidR="00FE1E77" w:rsidRDefault="00FE1E77">
      <w:pPr>
        <w:spacing w:after="0" w:line="240" w:lineRule="auto"/>
        <w:rPr>
          <w:rFonts w:eastAsia="Times New Roman" w:cs="Times New Roman"/>
          <w:b/>
          <w:color w:val="1F497D" w:themeColor="text2"/>
          <w:sz w:val="28"/>
          <w:szCs w:val="28"/>
          <w:lang w:val="en-GB" w:eastAsia="en-GB"/>
        </w:rPr>
      </w:pPr>
      <w:r>
        <w:rPr>
          <w:rFonts w:eastAsia="Times New Roman" w:cs="Times New Roman"/>
          <w:b/>
          <w:color w:val="1F497D" w:themeColor="text2"/>
          <w:sz w:val="28"/>
          <w:szCs w:val="28"/>
          <w:lang w:val="en-GB" w:eastAsia="en-GB"/>
        </w:rPr>
        <w:br w:type="page"/>
      </w:r>
    </w:p>
    <w:p w:rsidR="00F4679C" w:rsidRPr="00553816" w:rsidRDefault="00F4679C" w:rsidP="00EC5708">
      <w:pPr>
        <w:spacing w:after="0" w:line="240" w:lineRule="auto"/>
        <w:rPr>
          <w:rFonts w:eastAsia="Times New Roman" w:cs="Times New Roman"/>
          <w:b/>
          <w:color w:val="1F497D" w:themeColor="text2"/>
          <w:sz w:val="28"/>
          <w:szCs w:val="28"/>
          <w:lang w:val="en-GB" w:eastAsia="en-GB"/>
        </w:rPr>
      </w:pPr>
      <w:r w:rsidRPr="00553816">
        <w:rPr>
          <w:rFonts w:eastAsia="Times New Roman" w:cs="Times New Roman"/>
          <w:b/>
          <w:color w:val="1F497D" w:themeColor="text2"/>
          <w:sz w:val="28"/>
          <w:szCs w:val="28"/>
          <w:lang w:val="en-GB" w:eastAsia="en-GB"/>
        </w:rPr>
        <w:lastRenderedPageBreak/>
        <w:t xml:space="preserve">Status quo and problem definition </w:t>
      </w:r>
    </w:p>
    <w:p w:rsidR="00F4679C" w:rsidRPr="0060403D" w:rsidRDefault="00F4679C" w:rsidP="00177E1D">
      <w:pPr>
        <w:spacing w:after="240" w:line="240" w:lineRule="auto"/>
        <w:rPr>
          <w:rFonts w:cstheme="minorHAnsi"/>
          <w:b/>
          <w:spacing w:val="20"/>
          <w:w w:val="90"/>
          <w:szCs w:val="20"/>
        </w:rPr>
      </w:pPr>
      <w:r>
        <w:rPr>
          <w:rFonts w:cstheme="minorHAnsi"/>
          <w:b/>
          <w:spacing w:val="20"/>
          <w:w w:val="90"/>
          <w:szCs w:val="20"/>
        </w:rPr>
        <w:t>Social Work in New Zealand</w:t>
      </w:r>
    </w:p>
    <w:p w:rsidR="00E67471" w:rsidRDefault="00E67471" w:rsidP="00177E1D">
      <w:pPr>
        <w:numPr>
          <w:ilvl w:val="0"/>
          <w:numId w:val="8"/>
        </w:numPr>
        <w:spacing w:after="240" w:line="240" w:lineRule="auto"/>
        <w:ind w:left="567" w:hanging="567"/>
      </w:pPr>
      <w:r>
        <w:t xml:space="preserve">Social work is a profession that provides support and services to individuals and families who </w:t>
      </w:r>
      <w:r w:rsidR="00866FAE">
        <w:t xml:space="preserve">are </w:t>
      </w:r>
      <w:r>
        <w:t xml:space="preserve">vulnerable for a number of reasons.  </w:t>
      </w:r>
      <w:r w:rsidRPr="00C6087F">
        <w:t xml:space="preserve">Social </w:t>
      </w:r>
      <w:r w:rsidR="00866FAE">
        <w:t>w</w:t>
      </w:r>
      <w:r w:rsidRPr="00C6087F">
        <w:t>orkers routinely work with individuals at risk including women and children escaping family violence, victims of sexual assault, people suffering mental illness</w:t>
      </w:r>
      <w:r w:rsidR="0029459F">
        <w:t xml:space="preserve"> or addictions</w:t>
      </w:r>
      <w:r w:rsidRPr="00C6087F">
        <w:t>, and people with severe disabilities.</w:t>
      </w:r>
      <w:r w:rsidR="00BA55D7" w:rsidRPr="00BA55D7">
        <w:t xml:space="preserve"> </w:t>
      </w:r>
      <w:r w:rsidR="0029459F">
        <w:t xml:space="preserve"> </w:t>
      </w:r>
      <w:r w:rsidR="00BA55D7">
        <w:t xml:space="preserve">They increasingly deal with children and adults who are highly vulnerable, who present with very complex issues, and may be living in dangerous situations.  </w:t>
      </w:r>
    </w:p>
    <w:p w:rsidR="00F4679C" w:rsidRDefault="00E67471" w:rsidP="00177E1D">
      <w:pPr>
        <w:numPr>
          <w:ilvl w:val="0"/>
          <w:numId w:val="8"/>
        </w:numPr>
        <w:spacing w:after="240" w:line="240" w:lineRule="auto"/>
        <w:ind w:left="567" w:hanging="567"/>
      </w:pPr>
      <w:r>
        <w:t>Social workers deliver interventions that impact on all aspects of a client’s life including their physical, psychological, social and economic wellbeing.</w:t>
      </w:r>
      <w:r w:rsidR="0029459F">
        <w:t xml:space="preserve"> </w:t>
      </w:r>
      <w:r>
        <w:t xml:space="preserve"> In many cases, social workers are trusted with sensitive personal information about their clients, and commonly provide services to clients in their homes without another person present. </w:t>
      </w:r>
      <w:r w:rsidR="0029459F">
        <w:t xml:space="preserve"> </w:t>
      </w:r>
      <w:r w:rsidR="00F4679C">
        <w:t xml:space="preserve">Social workers in New Zealand are on the frontline across the child protection, health, education, and justice sectors and work with a wide range of vulnerable children and adults. </w:t>
      </w:r>
      <w:r w:rsidR="001B2480">
        <w:t xml:space="preserve"> </w:t>
      </w:r>
    </w:p>
    <w:p w:rsidR="00F4679C" w:rsidRPr="00836475" w:rsidRDefault="00D55378" w:rsidP="00177E1D">
      <w:pPr>
        <w:numPr>
          <w:ilvl w:val="0"/>
          <w:numId w:val="8"/>
        </w:numPr>
        <w:spacing w:after="240" w:line="240" w:lineRule="auto"/>
        <w:ind w:left="567" w:hanging="567"/>
      </w:pPr>
      <w:r>
        <w:rPr>
          <w:szCs w:val="20"/>
        </w:rPr>
        <w:t>The</w:t>
      </w:r>
      <w:r w:rsidR="00C96773">
        <w:rPr>
          <w:szCs w:val="20"/>
        </w:rPr>
        <w:t>re is a small but significant risk of</w:t>
      </w:r>
      <w:r>
        <w:rPr>
          <w:szCs w:val="20"/>
        </w:rPr>
        <w:t xml:space="preserve"> serious harm to clients</w:t>
      </w:r>
      <w:r w:rsidR="0029459F">
        <w:rPr>
          <w:szCs w:val="20"/>
        </w:rPr>
        <w:t xml:space="preserve"> from incompetent social work</w:t>
      </w:r>
      <w:r>
        <w:rPr>
          <w:szCs w:val="20"/>
        </w:rPr>
        <w:t xml:space="preserve"> </w:t>
      </w:r>
      <w:r w:rsidR="00C96773">
        <w:rPr>
          <w:szCs w:val="20"/>
        </w:rPr>
        <w:t xml:space="preserve">because of </w:t>
      </w:r>
      <w:r>
        <w:rPr>
          <w:szCs w:val="20"/>
        </w:rPr>
        <w:t xml:space="preserve">the nature and circumstances of the client group and the range of interventions delivered by social workers. </w:t>
      </w:r>
      <w:r w:rsidR="00F4679C">
        <w:t xml:space="preserve"> </w:t>
      </w:r>
      <w:r w:rsidR="00C96773">
        <w:t>I</w:t>
      </w:r>
      <w:r w:rsidR="0029459F">
        <w:t xml:space="preserve">ncompetent practice </w:t>
      </w:r>
      <w:r w:rsidR="00C96773">
        <w:t>can</w:t>
      </w:r>
      <w:r w:rsidR="0029459F">
        <w:t xml:space="preserve"> cause </w:t>
      </w:r>
      <w:r w:rsidR="00C96773">
        <w:t xml:space="preserve">immediate </w:t>
      </w:r>
      <w:r w:rsidR="0029459F">
        <w:t xml:space="preserve">harm </w:t>
      </w:r>
      <w:r w:rsidR="00C96773">
        <w:t xml:space="preserve">and </w:t>
      </w:r>
      <w:r w:rsidR="0029459F">
        <w:t xml:space="preserve">the impact may also be long lasting.  </w:t>
      </w:r>
      <w:r>
        <w:rPr>
          <w:szCs w:val="20"/>
        </w:rPr>
        <w:t xml:space="preserve">That is why </w:t>
      </w:r>
      <w:r w:rsidR="00F4679C">
        <w:t>skilled</w:t>
      </w:r>
      <w:r>
        <w:t>,</w:t>
      </w:r>
      <w:r w:rsidR="00F4679C">
        <w:t xml:space="preserve"> well trained professionals </w:t>
      </w:r>
      <w:r w:rsidR="007D11A3">
        <w:t>are required.</w:t>
      </w:r>
      <w:r w:rsidR="00F4679C">
        <w:t xml:space="preserve"> </w:t>
      </w:r>
      <w:r w:rsidR="001B2480">
        <w:t xml:space="preserve"> </w:t>
      </w:r>
      <w:r>
        <w:t xml:space="preserve">A </w:t>
      </w:r>
      <w:r>
        <w:rPr>
          <w:szCs w:val="20"/>
        </w:rPr>
        <w:t>social worker who does not recognise the limits of their expertise can place an individual and community at risk</w:t>
      </w:r>
      <w:r w:rsidR="0029459F">
        <w:rPr>
          <w:szCs w:val="20"/>
        </w:rPr>
        <w:t xml:space="preserve"> </w:t>
      </w:r>
      <w:r w:rsidR="00C96773">
        <w:rPr>
          <w:szCs w:val="20"/>
        </w:rPr>
        <w:t xml:space="preserve">if, </w:t>
      </w:r>
      <w:r w:rsidR="0029459F">
        <w:rPr>
          <w:szCs w:val="20"/>
        </w:rPr>
        <w:t xml:space="preserve">for </w:t>
      </w:r>
      <w:r>
        <w:rPr>
          <w:szCs w:val="20"/>
        </w:rPr>
        <w:t xml:space="preserve">example, </w:t>
      </w:r>
      <w:r w:rsidR="0029459F">
        <w:rPr>
          <w:szCs w:val="20"/>
        </w:rPr>
        <w:t>a client</w:t>
      </w:r>
      <w:r>
        <w:rPr>
          <w:szCs w:val="20"/>
        </w:rPr>
        <w:t xml:space="preserve"> is </w:t>
      </w:r>
      <w:r w:rsidR="0029459F">
        <w:rPr>
          <w:szCs w:val="20"/>
        </w:rPr>
        <w:t>at risk of</w:t>
      </w:r>
      <w:r>
        <w:rPr>
          <w:szCs w:val="20"/>
        </w:rPr>
        <w:t xml:space="preserve"> harm</w:t>
      </w:r>
      <w:r w:rsidR="0029459F">
        <w:rPr>
          <w:szCs w:val="20"/>
        </w:rPr>
        <w:t>ing</w:t>
      </w:r>
      <w:r>
        <w:rPr>
          <w:szCs w:val="20"/>
        </w:rPr>
        <w:t xml:space="preserve"> themselves or others. </w:t>
      </w:r>
      <w:r w:rsidR="0029459F">
        <w:rPr>
          <w:szCs w:val="20"/>
        </w:rPr>
        <w:t xml:space="preserve"> </w:t>
      </w:r>
      <w:r w:rsidR="00F4679C">
        <w:t xml:space="preserve">Even in less extreme situations, preventable harm can arise when individuals or families are not given the expert help that they need </w:t>
      </w:r>
      <w:r w:rsidR="00F4679C" w:rsidRPr="00836475">
        <w:t>and go on to develop more serious problems.</w:t>
      </w:r>
    </w:p>
    <w:p w:rsidR="00F4679C" w:rsidRDefault="00F4679C" w:rsidP="00177E1D">
      <w:pPr>
        <w:numPr>
          <w:ilvl w:val="0"/>
          <w:numId w:val="8"/>
        </w:numPr>
        <w:spacing w:after="240" w:line="240" w:lineRule="auto"/>
        <w:ind w:left="567" w:hanging="567"/>
      </w:pPr>
      <w:r w:rsidRPr="00836475">
        <w:t>The Government has adopted a social investment approach to ensure interventions and services are effective and targeted to</w:t>
      </w:r>
      <w:r w:rsidR="004A5EF7">
        <w:t xml:space="preserve"> the</w:t>
      </w:r>
      <w:r w:rsidRPr="00836475">
        <w:t xml:space="preserve"> right place. </w:t>
      </w:r>
      <w:r w:rsidR="001B2480">
        <w:t xml:space="preserve"> </w:t>
      </w:r>
      <w:r w:rsidRPr="00836475">
        <w:t>This focus requires a highly professional and capable workforce to undertake assessments,</w:t>
      </w:r>
      <w:r>
        <w:t xml:space="preserve"> to provide therapeutic interventions</w:t>
      </w:r>
      <w:r w:rsidRPr="00836475">
        <w:t xml:space="preserve">, and to provide referrals to other services. </w:t>
      </w:r>
    </w:p>
    <w:p w:rsidR="00F4679C" w:rsidRPr="00836475" w:rsidRDefault="00F4679C" w:rsidP="00177E1D">
      <w:pPr>
        <w:numPr>
          <w:ilvl w:val="0"/>
          <w:numId w:val="8"/>
        </w:numPr>
        <w:spacing w:after="240" w:line="240" w:lineRule="auto"/>
        <w:ind w:left="567" w:hanging="567"/>
      </w:pPr>
      <w:r w:rsidRPr="00836475">
        <w:t xml:space="preserve">Social workers (employed directly by government agencies or by </w:t>
      </w:r>
      <w:r w:rsidR="001913C7">
        <w:t xml:space="preserve">NGOs </w:t>
      </w:r>
      <w:r w:rsidRPr="00836475">
        <w:t xml:space="preserve">on government contracts) are frequently the brokers of services for individuals, families and communities with high levels of needs, and </w:t>
      </w:r>
      <w:r w:rsidR="00866FAE">
        <w:t xml:space="preserve">are </w:t>
      </w:r>
      <w:r w:rsidRPr="00836475">
        <w:t xml:space="preserve">uniquely placed to make a significant difference for their clients’ long term outcomes. </w:t>
      </w:r>
      <w:r w:rsidR="001B2480">
        <w:t xml:space="preserve"> </w:t>
      </w:r>
      <w:r w:rsidRPr="00836475">
        <w:t xml:space="preserve">A high quality social work workforce is a vital component in achieving the Government’s goals in the social sector, particularly for vulnerable children, and in the health sector. </w:t>
      </w:r>
    </w:p>
    <w:p w:rsidR="00C05771" w:rsidRDefault="00932DC5" w:rsidP="00177E1D">
      <w:pPr>
        <w:spacing w:before="240"/>
        <w:outlineLvl w:val="3"/>
        <w:rPr>
          <w:rFonts w:cstheme="minorHAnsi"/>
          <w:b/>
          <w:spacing w:val="20"/>
          <w:w w:val="90"/>
          <w:szCs w:val="20"/>
        </w:rPr>
      </w:pPr>
      <w:r>
        <w:rPr>
          <w:rFonts w:cstheme="minorHAnsi"/>
          <w:b/>
          <w:spacing w:val="20"/>
          <w:w w:val="90"/>
          <w:szCs w:val="20"/>
        </w:rPr>
        <w:t>Overview of current regulatory regime for social workers</w:t>
      </w:r>
    </w:p>
    <w:p w:rsidR="00932DC5" w:rsidRPr="00932DC5" w:rsidRDefault="00932DC5" w:rsidP="00177E1D">
      <w:pPr>
        <w:numPr>
          <w:ilvl w:val="0"/>
          <w:numId w:val="8"/>
        </w:numPr>
        <w:spacing w:after="240" w:line="240" w:lineRule="auto"/>
        <w:ind w:left="567" w:hanging="567"/>
        <w:rPr>
          <w:rFonts w:eastAsia="Times New Roman" w:cs="Times New Roman"/>
          <w:szCs w:val="20"/>
          <w:lang w:val="en-GB" w:eastAsia="en-GB"/>
        </w:rPr>
      </w:pPr>
      <w:r w:rsidRPr="00932DC5">
        <w:rPr>
          <w:rFonts w:eastAsia="Times New Roman" w:cs="Times New Roman"/>
          <w:szCs w:val="20"/>
          <w:lang w:val="en-GB" w:eastAsia="en-GB"/>
        </w:rPr>
        <w:t xml:space="preserve">Social workers currently work under a voluntary registration system that </w:t>
      </w:r>
      <w:r>
        <w:rPr>
          <w:rFonts w:eastAsia="Times New Roman" w:cs="Times New Roman"/>
          <w:szCs w:val="20"/>
          <w:lang w:val="en-GB" w:eastAsia="en-GB"/>
        </w:rPr>
        <w:t xml:space="preserve">was introduced in 2003 by the SWR Act. </w:t>
      </w:r>
      <w:r w:rsidR="005C2FCE">
        <w:rPr>
          <w:rFonts w:eastAsia="Times New Roman" w:cs="Times New Roman"/>
          <w:szCs w:val="20"/>
          <w:lang w:val="en-GB" w:eastAsia="en-GB"/>
        </w:rPr>
        <w:t xml:space="preserve"> </w:t>
      </w:r>
      <w:r w:rsidR="00DF4203">
        <w:rPr>
          <w:rFonts w:eastAsia="Times New Roman" w:cs="Times New Roman"/>
          <w:szCs w:val="20"/>
          <w:lang w:val="en-GB" w:eastAsia="en-GB"/>
        </w:rPr>
        <w:t>The system protects the title “</w:t>
      </w:r>
      <w:r>
        <w:rPr>
          <w:rFonts w:eastAsia="Times New Roman" w:cs="Times New Roman"/>
          <w:szCs w:val="20"/>
          <w:lang w:val="en-GB" w:eastAsia="en-GB"/>
        </w:rPr>
        <w:t>registered social worker</w:t>
      </w:r>
      <w:r w:rsidR="00DF4203">
        <w:rPr>
          <w:rFonts w:eastAsia="Times New Roman" w:cs="Times New Roman"/>
          <w:szCs w:val="20"/>
          <w:lang w:val="en-GB" w:eastAsia="en-GB"/>
        </w:rPr>
        <w:t>”</w:t>
      </w:r>
      <w:r w:rsidR="004F498D">
        <w:rPr>
          <w:rFonts w:eastAsia="Times New Roman" w:cs="Times New Roman"/>
          <w:szCs w:val="20"/>
          <w:lang w:val="en-GB" w:eastAsia="en-GB"/>
        </w:rPr>
        <w:t xml:space="preserve"> by making it an offence for people to hold themselves out as a registered social worker when they are not</w:t>
      </w:r>
      <w:r w:rsidR="004F498D">
        <w:rPr>
          <w:rStyle w:val="FootnoteReference"/>
          <w:rFonts w:eastAsia="Times New Roman" w:cs="Times New Roman"/>
          <w:szCs w:val="20"/>
          <w:lang w:val="en-GB" w:eastAsia="en-GB"/>
        </w:rPr>
        <w:footnoteReference w:id="1"/>
      </w:r>
      <w:r>
        <w:rPr>
          <w:rFonts w:eastAsia="Times New Roman" w:cs="Times New Roman"/>
          <w:szCs w:val="20"/>
          <w:lang w:val="en-GB" w:eastAsia="en-GB"/>
        </w:rPr>
        <w:t xml:space="preserve">. </w:t>
      </w:r>
      <w:r w:rsidR="005C2FCE">
        <w:rPr>
          <w:rFonts w:eastAsia="Times New Roman" w:cs="Times New Roman"/>
          <w:szCs w:val="20"/>
          <w:lang w:val="en-GB" w:eastAsia="en-GB"/>
        </w:rPr>
        <w:t xml:space="preserve"> </w:t>
      </w:r>
      <w:r>
        <w:rPr>
          <w:rFonts w:eastAsia="Times New Roman" w:cs="Times New Roman"/>
          <w:szCs w:val="20"/>
          <w:lang w:val="en-GB" w:eastAsia="en-GB"/>
        </w:rPr>
        <w:t xml:space="preserve">Individual social workers can choose whether or not to become registered. If they </w:t>
      </w:r>
      <w:r w:rsidR="00D55378">
        <w:rPr>
          <w:rFonts w:eastAsia="Times New Roman" w:cs="Times New Roman"/>
          <w:szCs w:val="20"/>
          <w:lang w:val="en-GB" w:eastAsia="en-GB"/>
        </w:rPr>
        <w:t>are not</w:t>
      </w:r>
      <w:r>
        <w:rPr>
          <w:rFonts w:eastAsia="Times New Roman" w:cs="Times New Roman"/>
          <w:szCs w:val="20"/>
          <w:lang w:val="en-GB" w:eastAsia="en-GB"/>
        </w:rPr>
        <w:t xml:space="preserve"> registered, they can use the title </w:t>
      </w:r>
      <w:r w:rsidR="00DF4203">
        <w:rPr>
          <w:rFonts w:eastAsia="Times New Roman" w:cs="Times New Roman"/>
          <w:szCs w:val="20"/>
          <w:lang w:val="en-GB" w:eastAsia="en-GB"/>
        </w:rPr>
        <w:t>“</w:t>
      </w:r>
      <w:r>
        <w:rPr>
          <w:rFonts w:eastAsia="Times New Roman" w:cs="Times New Roman"/>
          <w:szCs w:val="20"/>
          <w:lang w:val="en-GB" w:eastAsia="en-GB"/>
        </w:rPr>
        <w:t>social worker</w:t>
      </w:r>
      <w:r w:rsidR="00DF4203">
        <w:rPr>
          <w:rFonts w:eastAsia="Times New Roman" w:cs="Times New Roman"/>
          <w:szCs w:val="20"/>
          <w:lang w:val="en-GB" w:eastAsia="en-GB"/>
        </w:rPr>
        <w:t>”</w:t>
      </w:r>
      <w:r>
        <w:rPr>
          <w:rFonts w:eastAsia="Times New Roman" w:cs="Times New Roman"/>
          <w:szCs w:val="20"/>
          <w:lang w:val="en-GB" w:eastAsia="en-GB"/>
        </w:rPr>
        <w:t xml:space="preserve">, but not </w:t>
      </w:r>
      <w:r w:rsidR="00DF4203">
        <w:rPr>
          <w:rFonts w:eastAsia="Times New Roman" w:cs="Times New Roman"/>
          <w:szCs w:val="20"/>
          <w:lang w:val="en-GB" w:eastAsia="en-GB"/>
        </w:rPr>
        <w:t>“</w:t>
      </w:r>
      <w:r>
        <w:rPr>
          <w:rFonts w:eastAsia="Times New Roman" w:cs="Times New Roman"/>
          <w:szCs w:val="20"/>
          <w:lang w:val="en-GB" w:eastAsia="en-GB"/>
        </w:rPr>
        <w:t>registered social worker</w:t>
      </w:r>
      <w:r w:rsidR="00DF4203">
        <w:rPr>
          <w:rFonts w:eastAsia="Times New Roman" w:cs="Times New Roman"/>
          <w:szCs w:val="20"/>
          <w:lang w:val="en-GB" w:eastAsia="en-GB"/>
        </w:rPr>
        <w:t>”</w:t>
      </w:r>
      <w:r>
        <w:rPr>
          <w:rFonts w:eastAsia="Times New Roman" w:cs="Times New Roman"/>
          <w:szCs w:val="20"/>
          <w:lang w:val="en-GB" w:eastAsia="en-GB"/>
        </w:rPr>
        <w:t xml:space="preserve">. </w:t>
      </w:r>
    </w:p>
    <w:p w:rsidR="004F498D" w:rsidRDefault="004F498D"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Registration </w:t>
      </w:r>
      <w:r w:rsidR="00265D5C">
        <w:rPr>
          <w:rFonts w:eastAsia="Times New Roman" w:cs="Times New Roman"/>
          <w:szCs w:val="20"/>
          <w:lang w:val="en-GB" w:eastAsia="en-GB"/>
        </w:rPr>
        <w:t>is the</w:t>
      </w:r>
      <w:r>
        <w:rPr>
          <w:rFonts w:eastAsia="Times New Roman" w:cs="Times New Roman"/>
          <w:szCs w:val="20"/>
          <w:lang w:val="en-GB" w:eastAsia="en-GB"/>
        </w:rPr>
        <w:t xml:space="preserve"> process by which a social worker is assessed and determined as qualified, competent, experience</w:t>
      </w:r>
      <w:r w:rsidR="00A25228">
        <w:rPr>
          <w:rFonts w:eastAsia="Times New Roman" w:cs="Times New Roman"/>
          <w:szCs w:val="20"/>
          <w:lang w:val="en-GB" w:eastAsia="en-GB"/>
        </w:rPr>
        <w:t>d,</w:t>
      </w:r>
      <w:r>
        <w:rPr>
          <w:rFonts w:eastAsia="Times New Roman" w:cs="Times New Roman"/>
          <w:szCs w:val="20"/>
          <w:lang w:val="en-GB" w:eastAsia="en-GB"/>
        </w:rPr>
        <w:t xml:space="preserve"> and a fit and proper person to practise social work. </w:t>
      </w:r>
      <w:r w:rsidR="005C2FCE">
        <w:rPr>
          <w:rFonts w:eastAsia="Times New Roman" w:cs="Times New Roman"/>
          <w:szCs w:val="20"/>
          <w:lang w:val="en-GB" w:eastAsia="en-GB"/>
        </w:rPr>
        <w:t xml:space="preserve"> </w:t>
      </w:r>
      <w:r>
        <w:rPr>
          <w:rFonts w:eastAsia="Times New Roman" w:cs="Times New Roman"/>
          <w:szCs w:val="20"/>
          <w:lang w:val="en-GB" w:eastAsia="en-GB"/>
        </w:rPr>
        <w:t>Established by the SWR Act</w:t>
      </w:r>
      <w:r w:rsidR="00AF6AB4">
        <w:rPr>
          <w:rStyle w:val="FootnoteReference"/>
          <w:rFonts w:eastAsia="Times New Roman" w:cs="Times New Roman"/>
          <w:szCs w:val="20"/>
          <w:lang w:val="en-GB" w:eastAsia="en-GB"/>
        </w:rPr>
        <w:footnoteReference w:id="2"/>
      </w:r>
      <w:r>
        <w:rPr>
          <w:rFonts w:eastAsia="Times New Roman" w:cs="Times New Roman"/>
          <w:szCs w:val="20"/>
          <w:lang w:val="en-GB" w:eastAsia="en-GB"/>
        </w:rPr>
        <w:t>, the Social Workers Registration Board (the Board) oversees the registration process.</w:t>
      </w:r>
      <w:r w:rsidR="005C2FCE">
        <w:rPr>
          <w:rFonts w:eastAsia="Times New Roman" w:cs="Times New Roman"/>
          <w:szCs w:val="20"/>
          <w:lang w:val="en-GB" w:eastAsia="en-GB"/>
        </w:rPr>
        <w:t xml:space="preserve"> </w:t>
      </w:r>
      <w:r w:rsidR="008114C5">
        <w:rPr>
          <w:rFonts w:eastAsia="Times New Roman" w:cs="Times New Roman"/>
          <w:szCs w:val="20"/>
          <w:lang w:val="en-GB" w:eastAsia="en-GB"/>
        </w:rPr>
        <w:t xml:space="preserve"> Once registered, registered social workers are subject</w:t>
      </w:r>
      <w:r w:rsidR="00D55378">
        <w:rPr>
          <w:rFonts w:eastAsia="Times New Roman" w:cs="Times New Roman"/>
          <w:szCs w:val="20"/>
          <w:lang w:val="en-GB" w:eastAsia="en-GB"/>
        </w:rPr>
        <w:t xml:space="preserve"> a review process to renew their annual practising certificate </w:t>
      </w:r>
      <w:r w:rsidR="00D55378">
        <w:rPr>
          <w:rFonts w:eastAsia="Times New Roman" w:cs="Times New Roman"/>
          <w:szCs w:val="20"/>
          <w:lang w:val="en-GB" w:eastAsia="en-GB"/>
        </w:rPr>
        <w:lastRenderedPageBreak/>
        <w:t>and, if there are concerns about their competency,</w:t>
      </w:r>
      <w:r w:rsidR="007D11A3">
        <w:rPr>
          <w:rFonts w:eastAsia="Times New Roman" w:cs="Times New Roman"/>
          <w:szCs w:val="20"/>
          <w:lang w:val="en-GB" w:eastAsia="en-GB"/>
        </w:rPr>
        <w:t xml:space="preserve"> are subject to </w:t>
      </w:r>
      <w:r w:rsidR="00A25228">
        <w:rPr>
          <w:rFonts w:eastAsia="Times New Roman" w:cs="Times New Roman"/>
          <w:szCs w:val="20"/>
          <w:lang w:val="en-GB" w:eastAsia="en-GB"/>
        </w:rPr>
        <w:t>complaints and disciplinary processes.</w:t>
      </w:r>
    </w:p>
    <w:p w:rsidR="00A30CAF" w:rsidRDefault="004F498D" w:rsidP="00177E1D">
      <w:pPr>
        <w:numPr>
          <w:ilvl w:val="0"/>
          <w:numId w:val="8"/>
        </w:numPr>
        <w:spacing w:after="240" w:line="240" w:lineRule="auto"/>
        <w:ind w:left="567" w:hanging="567"/>
      </w:pPr>
      <w:r>
        <w:rPr>
          <w:rFonts w:eastAsia="Times New Roman" w:cs="Times New Roman"/>
          <w:szCs w:val="20"/>
          <w:lang w:val="en-GB" w:eastAsia="en-GB"/>
        </w:rPr>
        <w:t>The Board is a Crown entity with a responsible Minister (the Minister for Social Development) and a monitoring department (the Ministry of Social Development</w:t>
      </w:r>
      <w:r w:rsidR="00AF6AB4">
        <w:rPr>
          <w:rFonts w:eastAsia="Times New Roman" w:cs="Times New Roman"/>
          <w:szCs w:val="20"/>
          <w:lang w:val="en-GB" w:eastAsia="en-GB"/>
        </w:rPr>
        <w:t>)</w:t>
      </w:r>
      <w:r>
        <w:rPr>
          <w:rFonts w:eastAsia="Times New Roman" w:cs="Times New Roman"/>
          <w:szCs w:val="20"/>
          <w:lang w:val="en-GB" w:eastAsia="en-GB"/>
        </w:rPr>
        <w:t>.</w:t>
      </w:r>
      <w:r w:rsidRPr="004F498D">
        <w:t xml:space="preserve"> </w:t>
      </w:r>
      <w:r w:rsidR="00CB2909">
        <w:t xml:space="preserve"> </w:t>
      </w:r>
      <w:r w:rsidR="002A1508">
        <w:t>The Ministry of</w:t>
      </w:r>
      <w:r w:rsidR="00D97D37">
        <w:t xml:space="preserve"> Social</w:t>
      </w:r>
      <w:r w:rsidR="002A1508">
        <w:t xml:space="preserve"> Development’s (MSD) </w:t>
      </w:r>
      <w:r>
        <w:t>role includes assisting the responsible Minister, administering appropriations and legislation as required, and assisting with planning, monitoring and reporting organisational performance.</w:t>
      </w:r>
      <w:r w:rsidR="00AF6AB4">
        <w:t xml:space="preserve"> </w:t>
      </w:r>
    </w:p>
    <w:p w:rsidR="001105B7" w:rsidRDefault="00A30CAF" w:rsidP="00177E1D">
      <w:pPr>
        <w:numPr>
          <w:ilvl w:val="0"/>
          <w:numId w:val="8"/>
        </w:numPr>
        <w:spacing w:after="240" w:line="240" w:lineRule="auto"/>
        <w:ind w:left="567" w:hanging="567"/>
      </w:pPr>
      <w:r>
        <w:t>The Board comprises 10 members (six registered social workers and four other people)</w:t>
      </w:r>
      <w:r>
        <w:rPr>
          <w:rStyle w:val="FootnoteReference"/>
        </w:rPr>
        <w:footnoteReference w:id="3"/>
      </w:r>
      <w:r>
        <w:t>, members are appointed by the Minister for Social Development</w:t>
      </w:r>
      <w:r w:rsidR="00D97D37">
        <w:t xml:space="preserve"> (the Minister)</w:t>
      </w:r>
      <w:r>
        <w:t xml:space="preserve"> after consultation with organisations and individuals that, in the Minister’s opinion, represent various sectors of the social work profession.</w:t>
      </w:r>
      <w:r>
        <w:rPr>
          <w:rStyle w:val="FootnoteReference"/>
        </w:rPr>
        <w:footnoteReference w:id="4"/>
      </w:r>
    </w:p>
    <w:p w:rsidR="001105B7" w:rsidRDefault="001105B7" w:rsidP="00177E1D">
      <w:pPr>
        <w:numPr>
          <w:ilvl w:val="0"/>
          <w:numId w:val="8"/>
        </w:numPr>
        <w:spacing w:after="240" w:line="240" w:lineRule="auto"/>
        <w:ind w:left="567" w:hanging="567"/>
      </w:pPr>
      <w:r>
        <w:t>In addition to overseeing the registration process, authorising the registration of social workers and maintaining the Social Workers register, other functions of the Board</w:t>
      </w:r>
      <w:r>
        <w:rPr>
          <w:rStyle w:val="FootnoteReference"/>
        </w:rPr>
        <w:footnoteReference w:id="5"/>
      </w:r>
      <w:r>
        <w:t xml:space="preserve"> include</w:t>
      </w:r>
      <w:r w:rsidR="003700B0">
        <w:t xml:space="preserve"> to:</w:t>
      </w:r>
    </w:p>
    <w:p w:rsidR="003700B0" w:rsidRDefault="001105B7" w:rsidP="005B5FC6">
      <w:pPr>
        <w:numPr>
          <w:ilvl w:val="0"/>
          <w:numId w:val="16"/>
        </w:numPr>
        <w:spacing w:line="240" w:lineRule="auto"/>
        <w:ind w:left="924" w:hanging="357"/>
      </w:pPr>
      <w:r>
        <w:t>r</w:t>
      </w:r>
      <w:r w:rsidR="003700B0">
        <w:t>eview</w:t>
      </w:r>
      <w:r>
        <w:t xml:space="preserve"> the competence of social workers</w:t>
      </w:r>
    </w:p>
    <w:p w:rsidR="004F498D" w:rsidRDefault="003700B0" w:rsidP="005B5FC6">
      <w:pPr>
        <w:numPr>
          <w:ilvl w:val="0"/>
          <w:numId w:val="16"/>
        </w:numPr>
        <w:spacing w:line="240" w:lineRule="auto"/>
        <w:ind w:left="924" w:hanging="357"/>
      </w:pPr>
      <w:r>
        <w:t>establish and maintain a code of conduct for social workers</w:t>
      </w:r>
    </w:p>
    <w:p w:rsidR="003700B0" w:rsidRDefault="003700B0" w:rsidP="005B5FC6">
      <w:pPr>
        <w:numPr>
          <w:ilvl w:val="0"/>
          <w:numId w:val="16"/>
        </w:numPr>
        <w:spacing w:line="240" w:lineRule="auto"/>
        <w:ind w:left="924" w:hanging="357"/>
      </w:pPr>
      <w:r>
        <w:t>promote and set standards for social work education and training in New Zealand</w:t>
      </w:r>
    </w:p>
    <w:p w:rsidR="003700B0" w:rsidRDefault="003700B0" w:rsidP="005B5FC6">
      <w:pPr>
        <w:numPr>
          <w:ilvl w:val="0"/>
          <w:numId w:val="16"/>
        </w:numPr>
        <w:spacing w:line="240" w:lineRule="auto"/>
        <w:ind w:left="924" w:hanging="357"/>
      </w:pPr>
      <w:r>
        <w:t xml:space="preserve">promote the benefits of registration </w:t>
      </w:r>
    </w:p>
    <w:p w:rsidR="003700B0" w:rsidRDefault="003700B0" w:rsidP="005B5FC6">
      <w:pPr>
        <w:numPr>
          <w:ilvl w:val="0"/>
          <w:numId w:val="16"/>
        </w:numPr>
        <w:spacing w:line="240" w:lineRule="auto"/>
        <w:ind w:left="924" w:hanging="357"/>
      </w:pPr>
      <w:r>
        <w:t>promote and encourage high standards of practice and professional conduct among registered social workers and the employers of social workers</w:t>
      </w:r>
    </w:p>
    <w:p w:rsidR="00EC79D0" w:rsidRDefault="00EC79D0" w:rsidP="005B5FC6">
      <w:pPr>
        <w:numPr>
          <w:ilvl w:val="0"/>
          <w:numId w:val="16"/>
        </w:numPr>
        <w:spacing w:line="240" w:lineRule="auto"/>
        <w:ind w:left="924" w:hanging="357"/>
      </w:pPr>
      <w:r>
        <w:t xml:space="preserve">issue </w:t>
      </w:r>
      <w:r w:rsidR="00D55378">
        <w:t>A</w:t>
      </w:r>
      <w:r>
        <w:t xml:space="preserve">nnual </w:t>
      </w:r>
      <w:r w:rsidR="00D55378">
        <w:t>P</w:t>
      </w:r>
      <w:r>
        <w:t xml:space="preserve">ractising </w:t>
      </w:r>
      <w:r w:rsidR="00D55378">
        <w:t>C</w:t>
      </w:r>
      <w:r>
        <w:t>ertificates</w:t>
      </w:r>
    </w:p>
    <w:p w:rsidR="003700B0" w:rsidRDefault="003700B0" w:rsidP="005B5FC6">
      <w:pPr>
        <w:numPr>
          <w:ilvl w:val="0"/>
          <w:numId w:val="16"/>
        </w:numPr>
        <w:spacing w:line="240" w:lineRule="auto"/>
        <w:ind w:left="924" w:hanging="357"/>
      </w:pPr>
      <w:r>
        <w:t>advise, and make recommendations to, the Minister regarding the regulation of social work.</w:t>
      </w:r>
    </w:p>
    <w:p w:rsidR="00F4679C" w:rsidRPr="002A5D5B" w:rsidRDefault="00AF6AB4" w:rsidP="00177E1D">
      <w:pPr>
        <w:numPr>
          <w:ilvl w:val="0"/>
          <w:numId w:val="8"/>
        </w:numPr>
        <w:spacing w:before="240" w:after="240" w:line="240" w:lineRule="auto"/>
        <w:ind w:left="567" w:hanging="567"/>
      </w:pPr>
      <w:r>
        <w:rPr>
          <w:rFonts w:eastAsia="Times New Roman" w:cs="Times New Roman"/>
          <w:szCs w:val="20"/>
          <w:lang w:val="en-GB" w:eastAsia="en-GB"/>
        </w:rPr>
        <w:t>The</w:t>
      </w:r>
      <w:r w:rsidR="003700B0">
        <w:rPr>
          <w:rFonts w:eastAsia="Times New Roman" w:cs="Times New Roman"/>
          <w:szCs w:val="20"/>
          <w:lang w:val="en-GB" w:eastAsia="en-GB"/>
        </w:rPr>
        <w:t xml:space="preserve"> </w:t>
      </w:r>
      <w:r>
        <w:rPr>
          <w:rFonts w:eastAsia="Times New Roman" w:cs="Times New Roman"/>
          <w:szCs w:val="20"/>
          <w:lang w:val="en-GB" w:eastAsia="en-GB"/>
        </w:rPr>
        <w:t xml:space="preserve">SWR Act also establishes </w:t>
      </w:r>
      <w:r w:rsidR="00A30CAF">
        <w:rPr>
          <w:rFonts w:eastAsia="Times New Roman" w:cs="Times New Roman"/>
          <w:szCs w:val="20"/>
          <w:lang w:val="en-GB" w:eastAsia="en-GB"/>
        </w:rPr>
        <w:t xml:space="preserve">the Social Workers Complaints and Disciplinary </w:t>
      </w:r>
      <w:r w:rsidR="002F638D">
        <w:rPr>
          <w:rFonts w:eastAsia="Times New Roman" w:cs="Times New Roman"/>
          <w:szCs w:val="20"/>
          <w:lang w:val="en-GB" w:eastAsia="en-GB"/>
        </w:rPr>
        <w:t xml:space="preserve">Tribunal (the </w:t>
      </w:r>
      <w:r w:rsidR="00A30CAF">
        <w:rPr>
          <w:rFonts w:eastAsia="Times New Roman" w:cs="Times New Roman"/>
          <w:szCs w:val="20"/>
          <w:lang w:val="en-GB" w:eastAsia="en-GB"/>
        </w:rPr>
        <w:t>Tribunal</w:t>
      </w:r>
      <w:r w:rsidR="002F638D">
        <w:rPr>
          <w:rFonts w:eastAsia="Times New Roman" w:cs="Times New Roman"/>
          <w:szCs w:val="20"/>
          <w:lang w:val="en-GB" w:eastAsia="en-GB"/>
        </w:rPr>
        <w:t>)</w:t>
      </w:r>
      <w:r w:rsidR="00A30CAF">
        <w:rPr>
          <w:rStyle w:val="FootnoteReference"/>
          <w:rFonts w:eastAsia="Times New Roman" w:cs="Times New Roman"/>
          <w:szCs w:val="20"/>
          <w:lang w:val="en-GB" w:eastAsia="en-GB"/>
        </w:rPr>
        <w:footnoteReference w:id="6"/>
      </w:r>
      <w:r w:rsidR="00C92F88">
        <w:rPr>
          <w:rFonts w:eastAsia="Times New Roman" w:cs="Times New Roman"/>
          <w:szCs w:val="20"/>
          <w:lang w:val="en-GB" w:eastAsia="en-GB"/>
        </w:rPr>
        <w:t>, some</w:t>
      </w:r>
      <w:r w:rsidR="00A30CAF">
        <w:rPr>
          <w:rFonts w:eastAsia="Times New Roman" w:cs="Times New Roman"/>
          <w:szCs w:val="20"/>
          <w:lang w:val="en-GB" w:eastAsia="en-GB"/>
        </w:rPr>
        <w:t xml:space="preserve"> members of which are appointed by the Board</w:t>
      </w:r>
      <w:r w:rsidR="00C92F88">
        <w:rPr>
          <w:rFonts w:eastAsia="Times New Roman" w:cs="Times New Roman"/>
          <w:szCs w:val="20"/>
          <w:lang w:val="en-GB" w:eastAsia="en-GB"/>
        </w:rPr>
        <w:t>. T</w:t>
      </w:r>
      <w:r w:rsidR="00A30CAF">
        <w:rPr>
          <w:rFonts w:eastAsia="Times New Roman" w:cs="Times New Roman"/>
          <w:szCs w:val="20"/>
          <w:lang w:val="en-GB" w:eastAsia="en-GB"/>
        </w:rPr>
        <w:t>he Minister</w:t>
      </w:r>
      <w:r w:rsidR="00CB2909">
        <w:rPr>
          <w:rFonts w:eastAsia="Times New Roman" w:cs="Times New Roman"/>
          <w:szCs w:val="20"/>
          <w:lang w:val="en-GB" w:eastAsia="en-GB"/>
        </w:rPr>
        <w:t xml:space="preserve"> </w:t>
      </w:r>
      <w:r w:rsidR="00C92F88">
        <w:rPr>
          <w:rFonts w:eastAsia="Times New Roman" w:cs="Times New Roman"/>
          <w:szCs w:val="20"/>
          <w:lang w:val="en-GB" w:eastAsia="en-GB"/>
        </w:rPr>
        <w:t xml:space="preserve">is </w:t>
      </w:r>
      <w:r w:rsidR="00A83878">
        <w:rPr>
          <w:rFonts w:eastAsia="Times New Roman" w:cs="Times New Roman"/>
          <w:szCs w:val="20"/>
          <w:lang w:val="en-GB" w:eastAsia="en-GB"/>
        </w:rPr>
        <w:t xml:space="preserve">also </w:t>
      </w:r>
      <w:r w:rsidR="00C92F88">
        <w:rPr>
          <w:rFonts w:eastAsia="Times New Roman" w:cs="Times New Roman"/>
          <w:szCs w:val="20"/>
          <w:lang w:val="en-GB" w:eastAsia="en-GB"/>
        </w:rPr>
        <w:t>required to appoint at least one member</w:t>
      </w:r>
      <w:r w:rsidR="00A30CAF">
        <w:rPr>
          <w:rStyle w:val="FootnoteReference"/>
          <w:rFonts w:eastAsia="Times New Roman" w:cs="Times New Roman"/>
          <w:szCs w:val="20"/>
          <w:lang w:val="en-GB" w:eastAsia="en-GB"/>
        </w:rPr>
        <w:footnoteReference w:id="7"/>
      </w:r>
      <w:r w:rsidR="00A30CAF">
        <w:rPr>
          <w:rFonts w:eastAsia="Times New Roman" w:cs="Times New Roman"/>
          <w:szCs w:val="20"/>
          <w:lang w:val="en-GB" w:eastAsia="en-GB"/>
        </w:rPr>
        <w:t xml:space="preserve">. </w:t>
      </w:r>
      <w:r w:rsidR="00CB2909">
        <w:rPr>
          <w:rFonts w:eastAsia="Times New Roman" w:cs="Times New Roman"/>
          <w:szCs w:val="20"/>
          <w:lang w:val="en-GB" w:eastAsia="en-GB"/>
        </w:rPr>
        <w:t xml:space="preserve"> </w:t>
      </w:r>
      <w:r w:rsidR="00C92F88">
        <w:rPr>
          <w:rFonts w:eastAsia="Times New Roman" w:cs="Times New Roman"/>
          <w:szCs w:val="20"/>
          <w:lang w:val="en-GB" w:eastAsia="en-GB"/>
        </w:rPr>
        <w:t xml:space="preserve">The Tribunal administers the complaints process </w:t>
      </w:r>
      <w:r w:rsidR="00A25228">
        <w:rPr>
          <w:rFonts w:eastAsia="Times New Roman" w:cs="Times New Roman"/>
          <w:szCs w:val="20"/>
          <w:lang w:val="en-GB" w:eastAsia="en-GB"/>
        </w:rPr>
        <w:t xml:space="preserve">and also </w:t>
      </w:r>
      <w:r w:rsidR="00C92F88">
        <w:rPr>
          <w:rFonts w:eastAsia="Times New Roman" w:cs="Times New Roman"/>
          <w:szCs w:val="20"/>
          <w:lang w:val="en-GB" w:eastAsia="en-GB"/>
        </w:rPr>
        <w:t>exercises the disciplinary powers over registered social workers.</w:t>
      </w:r>
      <w:r w:rsidR="00CB2909">
        <w:rPr>
          <w:rFonts w:eastAsia="Times New Roman" w:cs="Times New Roman"/>
          <w:szCs w:val="20"/>
          <w:lang w:val="en-GB" w:eastAsia="en-GB"/>
        </w:rPr>
        <w:t xml:space="preserve"> </w:t>
      </w:r>
      <w:r w:rsidR="00C92F88">
        <w:rPr>
          <w:rFonts w:eastAsia="Times New Roman" w:cs="Times New Roman"/>
          <w:szCs w:val="20"/>
          <w:lang w:val="en-GB" w:eastAsia="en-GB"/>
        </w:rPr>
        <w:t xml:space="preserve"> As part of the complaints process, the chair of the Tribunal </w:t>
      </w:r>
      <w:r w:rsidR="00A83878">
        <w:rPr>
          <w:rFonts w:eastAsia="Times New Roman" w:cs="Times New Roman"/>
          <w:szCs w:val="20"/>
          <w:lang w:val="en-GB" w:eastAsia="en-GB"/>
        </w:rPr>
        <w:t xml:space="preserve">(in consultation with some members of the Board) </w:t>
      </w:r>
      <w:r w:rsidR="009A77E0">
        <w:rPr>
          <w:rFonts w:eastAsia="Times New Roman" w:cs="Times New Roman"/>
          <w:szCs w:val="20"/>
          <w:lang w:val="en-GB" w:eastAsia="en-GB"/>
        </w:rPr>
        <w:t xml:space="preserve">may appoint a </w:t>
      </w:r>
      <w:r w:rsidR="00D9009E">
        <w:rPr>
          <w:rFonts w:eastAsia="Times New Roman" w:cs="Times New Roman"/>
          <w:szCs w:val="20"/>
          <w:lang w:val="en-GB" w:eastAsia="en-GB"/>
        </w:rPr>
        <w:t>c</w:t>
      </w:r>
      <w:r w:rsidR="009A77E0">
        <w:rPr>
          <w:rFonts w:eastAsia="Times New Roman" w:cs="Times New Roman"/>
          <w:szCs w:val="20"/>
          <w:lang w:val="en-GB" w:eastAsia="en-GB"/>
        </w:rPr>
        <w:t xml:space="preserve">omplaints </w:t>
      </w:r>
      <w:r w:rsidR="00D9009E">
        <w:rPr>
          <w:rFonts w:eastAsia="Times New Roman" w:cs="Times New Roman"/>
          <w:szCs w:val="20"/>
          <w:lang w:val="en-GB" w:eastAsia="en-GB"/>
        </w:rPr>
        <w:t>a</w:t>
      </w:r>
      <w:r w:rsidR="009A77E0">
        <w:rPr>
          <w:rFonts w:eastAsia="Times New Roman" w:cs="Times New Roman"/>
          <w:szCs w:val="20"/>
          <w:lang w:val="en-GB" w:eastAsia="en-GB"/>
        </w:rPr>
        <w:t xml:space="preserve">ssessment </w:t>
      </w:r>
      <w:r w:rsidR="00D9009E">
        <w:rPr>
          <w:rFonts w:eastAsia="Times New Roman" w:cs="Times New Roman"/>
          <w:szCs w:val="20"/>
          <w:lang w:val="en-GB" w:eastAsia="en-GB"/>
        </w:rPr>
        <w:t>c</w:t>
      </w:r>
      <w:r w:rsidR="00C92F88">
        <w:rPr>
          <w:rFonts w:eastAsia="Times New Roman" w:cs="Times New Roman"/>
          <w:szCs w:val="20"/>
          <w:lang w:val="en-GB" w:eastAsia="en-GB"/>
        </w:rPr>
        <w:t>ommittee to consider cases</w:t>
      </w:r>
      <w:r w:rsidR="00A83878">
        <w:rPr>
          <w:rStyle w:val="FootnoteReference"/>
          <w:rFonts w:eastAsia="Times New Roman" w:cs="Times New Roman"/>
          <w:szCs w:val="20"/>
          <w:lang w:val="en-GB" w:eastAsia="en-GB"/>
        </w:rPr>
        <w:footnoteReference w:id="8"/>
      </w:r>
      <w:r w:rsidR="00C92F88">
        <w:rPr>
          <w:rFonts w:eastAsia="Times New Roman" w:cs="Times New Roman"/>
          <w:szCs w:val="20"/>
          <w:lang w:val="en-GB" w:eastAsia="en-GB"/>
        </w:rPr>
        <w:t>.</w:t>
      </w:r>
      <w:r w:rsidR="00F4679C" w:rsidRPr="00F4679C">
        <w:rPr>
          <w:rFonts w:eastAsia="Times New Roman"/>
          <w:szCs w:val="20"/>
          <w:lang w:val="en-GB" w:eastAsia="en-GB"/>
        </w:rPr>
        <w:t xml:space="preserve"> </w:t>
      </w:r>
    </w:p>
    <w:p w:rsidR="001E19C0" w:rsidRDefault="001E19C0">
      <w:pPr>
        <w:spacing w:after="0" w:line="240" w:lineRule="auto"/>
        <w:rPr>
          <w:rFonts w:cstheme="minorHAnsi"/>
          <w:b/>
          <w:spacing w:val="20"/>
          <w:w w:val="90"/>
          <w:szCs w:val="20"/>
        </w:rPr>
      </w:pPr>
      <w:r>
        <w:rPr>
          <w:rFonts w:cstheme="minorHAnsi"/>
          <w:b/>
          <w:spacing w:val="20"/>
          <w:w w:val="90"/>
          <w:szCs w:val="20"/>
        </w:rPr>
        <w:br w:type="page"/>
      </w:r>
    </w:p>
    <w:p w:rsidR="00A244D4" w:rsidRDefault="00280E2B" w:rsidP="00177E1D">
      <w:pPr>
        <w:spacing w:before="240"/>
        <w:outlineLvl w:val="3"/>
        <w:rPr>
          <w:rFonts w:cstheme="minorHAnsi"/>
          <w:b/>
          <w:spacing w:val="20"/>
          <w:w w:val="90"/>
          <w:szCs w:val="20"/>
        </w:rPr>
      </w:pPr>
      <w:r w:rsidRPr="00177E1D">
        <w:rPr>
          <w:rFonts w:cstheme="minorHAnsi"/>
          <w:b/>
          <w:spacing w:val="20"/>
          <w:w w:val="90"/>
          <w:szCs w:val="20"/>
        </w:rPr>
        <w:lastRenderedPageBreak/>
        <w:t>Social workers in New Zealand</w:t>
      </w:r>
    </w:p>
    <w:p w:rsidR="001131B4" w:rsidRPr="001131B4" w:rsidRDefault="001131B4" w:rsidP="005B5FC6">
      <w:pPr>
        <w:numPr>
          <w:ilvl w:val="0"/>
          <w:numId w:val="25"/>
        </w:numPr>
        <w:spacing w:after="240" w:line="240" w:lineRule="auto"/>
        <w:ind w:left="567" w:hanging="567"/>
        <w:rPr>
          <w:rFonts w:eastAsia="Times New Roman" w:cs="Times New Roman"/>
          <w:szCs w:val="20"/>
          <w:lang w:val="en-GB" w:eastAsia="en-GB"/>
        </w:rPr>
      </w:pPr>
      <w:r w:rsidRPr="002F201B">
        <w:rPr>
          <w:rFonts w:eastAsia="Times New Roman"/>
          <w:szCs w:val="20"/>
          <w:lang w:val="en-GB" w:eastAsia="en-GB"/>
        </w:rPr>
        <w:t>Based on Census data, the Board estimates a workforce of around 8,000 who should be registered, meaning that approximately 2,000 people who are not currently registered are working in social work roles.</w:t>
      </w:r>
      <w:r w:rsidRPr="00937D41">
        <w:rPr>
          <w:rStyle w:val="FootnoteReference"/>
        </w:rPr>
        <w:footnoteReference w:id="9"/>
      </w:r>
    </w:p>
    <w:p w:rsidR="001131B4" w:rsidRPr="001131B4" w:rsidRDefault="001131B4"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szCs w:val="20"/>
          <w:lang w:val="en-GB" w:eastAsia="en-GB"/>
        </w:rPr>
        <w:t>The Select Committee</w:t>
      </w:r>
      <w:r w:rsidRPr="002F201B">
        <w:rPr>
          <w:rFonts w:eastAsia="Times New Roman"/>
          <w:szCs w:val="20"/>
          <w:lang w:val="en-GB" w:eastAsia="en-GB"/>
        </w:rPr>
        <w:t xml:space="preserve"> note</w:t>
      </w:r>
      <w:r>
        <w:rPr>
          <w:rFonts w:eastAsia="Times New Roman"/>
          <w:szCs w:val="20"/>
          <w:lang w:val="en-GB" w:eastAsia="en-GB"/>
        </w:rPr>
        <w:t>d</w:t>
      </w:r>
      <w:r w:rsidRPr="002F201B">
        <w:rPr>
          <w:rFonts w:eastAsia="Times New Roman"/>
          <w:szCs w:val="20"/>
          <w:lang w:val="en-GB" w:eastAsia="en-GB"/>
        </w:rPr>
        <w:t xml:space="preserve"> that the 2013 Census showed 6,128 people who identified themselves as social workers, but that around 18,000 people identified with a wider definition that covered occupations such as community, family support, and youth workers, and health promotion and disabilities services officers.  It is possible that some of these people may be undertaking social work tasks or ha</w:t>
      </w:r>
      <w:r>
        <w:rPr>
          <w:rFonts w:eastAsia="Times New Roman"/>
          <w:szCs w:val="20"/>
          <w:lang w:val="en-GB" w:eastAsia="en-GB"/>
        </w:rPr>
        <w:t xml:space="preserve">ve social work qualifications.  </w:t>
      </w:r>
    </w:p>
    <w:p w:rsidR="001131B4" w:rsidRPr="00177E1D" w:rsidRDefault="001131B4" w:rsidP="005B5FC6">
      <w:pPr>
        <w:numPr>
          <w:ilvl w:val="0"/>
          <w:numId w:val="25"/>
        </w:numPr>
        <w:spacing w:after="240" w:line="240" w:lineRule="auto"/>
        <w:ind w:left="567" w:hanging="567"/>
        <w:rPr>
          <w:rFonts w:eastAsia="Times New Roman" w:cs="Times New Roman"/>
          <w:szCs w:val="20"/>
          <w:lang w:val="en-GB" w:eastAsia="en-GB"/>
        </w:rPr>
      </w:pPr>
      <w:r w:rsidRPr="00177E1D">
        <w:rPr>
          <w:rFonts w:eastAsia="Times New Roman"/>
          <w:szCs w:val="20"/>
          <w:lang w:val="en-GB" w:eastAsia="en-GB"/>
        </w:rPr>
        <w:t>This means they have not been certified as having the requisite social work qualifications, and are not subject to on-going professional development</w:t>
      </w:r>
      <w:r>
        <w:rPr>
          <w:rFonts w:eastAsia="Times New Roman"/>
          <w:szCs w:val="20"/>
          <w:lang w:val="en-GB" w:eastAsia="en-GB"/>
        </w:rPr>
        <w:t>, supervision</w:t>
      </w:r>
      <w:r w:rsidRPr="00177E1D">
        <w:rPr>
          <w:rFonts w:eastAsia="Times New Roman"/>
          <w:szCs w:val="20"/>
          <w:lang w:val="en-GB" w:eastAsia="en-GB"/>
        </w:rPr>
        <w:t xml:space="preserve"> and disciplinary </w:t>
      </w:r>
      <w:r>
        <w:rPr>
          <w:rFonts w:eastAsia="Times New Roman"/>
          <w:szCs w:val="20"/>
          <w:lang w:val="en-GB" w:eastAsia="en-GB"/>
        </w:rPr>
        <w:t>processes</w:t>
      </w:r>
      <w:r w:rsidRPr="00177E1D">
        <w:rPr>
          <w:rFonts w:eastAsia="Times New Roman"/>
          <w:szCs w:val="20"/>
          <w:lang w:val="en-GB" w:eastAsia="en-GB"/>
        </w:rPr>
        <w:t xml:space="preserve">.  </w:t>
      </w:r>
      <w:r>
        <w:rPr>
          <w:rFonts w:eastAsia="Times New Roman"/>
          <w:szCs w:val="20"/>
          <w:lang w:val="en-GB" w:eastAsia="en-GB"/>
        </w:rPr>
        <w:t>Many</w:t>
      </w:r>
      <w:r w:rsidRPr="00177E1D">
        <w:rPr>
          <w:rFonts w:eastAsia="Times New Roman"/>
          <w:szCs w:val="20"/>
          <w:lang w:val="en-GB" w:eastAsia="en-GB"/>
        </w:rPr>
        <w:t xml:space="preserve"> of these people are likely to be appropriately qualified but choosing not to register for various reasons</w:t>
      </w:r>
      <w:r w:rsidRPr="00177E1D">
        <w:rPr>
          <w:rFonts w:ascii="Arial" w:hAnsi="Arial"/>
          <w:sz w:val="23"/>
          <w:szCs w:val="23"/>
        </w:rPr>
        <w:t xml:space="preserve">. </w:t>
      </w:r>
    </w:p>
    <w:p w:rsidR="00CA7299" w:rsidRPr="00177E1D" w:rsidRDefault="00CA7299" w:rsidP="00CA7299">
      <w:pPr>
        <w:spacing w:after="240" w:line="240" w:lineRule="auto"/>
      </w:pPr>
      <w:r w:rsidRPr="00177E1D">
        <w:rPr>
          <w:b/>
        </w:rPr>
        <w:t xml:space="preserve">Registered Social Workers by Employer to 31 </w:t>
      </w:r>
      <w:r>
        <w:rPr>
          <w:b/>
        </w:rPr>
        <w:t>March 2017</w:t>
      </w:r>
      <w:r w:rsidRPr="00177E1D">
        <w:rPr>
          <w:rStyle w:val="FootnoteReference"/>
        </w:rPr>
        <w:footnoteReference w:id="10"/>
      </w:r>
      <w:r>
        <w:rPr>
          <w:b/>
        </w:rPr>
        <w:t xml:space="preserve"> </w:t>
      </w:r>
    </w:p>
    <w:p w:rsidR="00CA7299" w:rsidRPr="00177E1D" w:rsidRDefault="00CA7299" w:rsidP="00CA7299">
      <w:pPr>
        <w:spacing w:after="240" w:line="240" w:lineRule="auto"/>
      </w:pPr>
      <w:r>
        <w:rPr>
          <w:noProof/>
          <w:lang w:eastAsia="en-NZ"/>
        </w:rPr>
        <w:drawing>
          <wp:inline distT="0" distB="0" distL="0" distR="0" wp14:anchorId="5C36F164" wp14:editId="42D7639E">
            <wp:extent cx="5659395" cy="3978876"/>
            <wp:effectExtent l="0" t="0" r="17780" b="222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562D" w:rsidRDefault="00CA7299" w:rsidP="00CA7299">
      <w:pPr>
        <w:spacing w:after="240" w:line="240" w:lineRule="auto"/>
        <w:ind w:left="567"/>
        <w:rPr>
          <w:sz w:val="16"/>
          <w:szCs w:val="16"/>
        </w:rPr>
      </w:pPr>
      <w:r>
        <w:rPr>
          <w:b/>
          <w:sz w:val="16"/>
          <w:szCs w:val="16"/>
        </w:rPr>
        <w:t>*</w:t>
      </w:r>
      <w:r w:rsidRPr="00177E1D">
        <w:rPr>
          <w:b/>
          <w:sz w:val="16"/>
          <w:szCs w:val="16"/>
        </w:rPr>
        <w:t>Other GOVT</w:t>
      </w:r>
      <w:r w:rsidRPr="00177E1D">
        <w:rPr>
          <w:sz w:val="16"/>
          <w:szCs w:val="16"/>
        </w:rPr>
        <w:t xml:space="preserve"> includes </w:t>
      </w:r>
      <w:r>
        <w:rPr>
          <w:sz w:val="16"/>
          <w:szCs w:val="16"/>
        </w:rPr>
        <w:t xml:space="preserve">various agencies such as </w:t>
      </w:r>
      <w:r w:rsidRPr="00177E1D">
        <w:rPr>
          <w:sz w:val="16"/>
          <w:szCs w:val="16"/>
        </w:rPr>
        <w:t xml:space="preserve">ACC, Department of Corrections, Ministry of </w:t>
      </w:r>
      <w:r>
        <w:rPr>
          <w:sz w:val="16"/>
          <w:szCs w:val="16"/>
        </w:rPr>
        <w:t>Social</w:t>
      </w:r>
      <w:r w:rsidRPr="00177E1D">
        <w:rPr>
          <w:sz w:val="16"/>
          <w:szCs w:val="16"/>
        </w:rPr>
        <w:t xml:space="preserve"> Development, New Zealand Police,</w:t>
      </w:r>
      <w:r>
        <w:rPr>
          <w:sz w:val="16"/>
          <w:szCs w:val="16"/>
        </w:rPr>
        <w:t xml:space="preserve"> and local government.</w:t>
      </w:r>
    </w:p>
    <w:p w:rsidR="00CA7299" w:rsidRPr="00A03A21" w:rsidRDefault="00CA7299" w:rsidP="005B5FC6">
      <w:pPr>
        <w:numPr>
          <w:ilvl w:val="0"/>
          <w:numId w:val="25"/>
        </w:numPr>
        <w:spacing w:after="240" w:line="240" w:lineRule="auto"/>
        <w:ind w:left="567" w:hanging="567"/>
      </w:pPr>
      <w:r w:rsidRPr="00177E1D">
        <w:rPr>
          <w:rFonts w:eastAsia="Times New Roman"/>
          <w:szCs w:val="20"/>
          <w:lang w:val="en-GB" w:eastAsia="en-GB"/>
        </w:rPr>
        <w:t xml:space="preserve">The number of registered social workers now stands at just </w:t>
      </w:r>
      <w:r>
        <w:rPr>
          <w:rFonts w:eastAsia="Times New Roman"/>
          <w:szCs w:val="20"/>
          <w:lang w:val="en-GB" w:eastAsia="en-GB"/>
        </w:rPr>
        <w:t>under</w:t>
      </w:r>
      <w:r w:rsidRPr="00177E1D">
        <w:rPr>
          <w:rFonts w:eastAsia="Times New Roman"/>
          <w:szCs w:val="20"/>
          <w:lang w:val="en-GB" w:eastAsia="en-GB"/>
        </w:rPr>
        <w:t xml:space="preserve"> 6,</w:t>
      </w:r>
      <w:r>
        <w:rPr>
          <w:rFonts w:eastAsia="Times New Roman"/>
          <w:szCs w:val="20"/>
          <w:lang w:val="en-GB" w:eastAsia="en-GB"/>
        </w:rPr>
        <w:t>3</w:t>
      </w:r>
      <w:r w:rsidRPr="00177E1D">
        <w:rPr>
          <w:rFonts w:eastAsia="Times New Roman"/>
          <w:szCs w:val="20"/>
          <w:lang w:val="en-GB" w:eastAsia="en-GB"/>
        </w:rPr>
        <w:t xml:space="preserve">00.  </w:t>
      </w:r>
      <w:r>
        <w:rPr>
          <w:rFonts w:eastAsia="Times New Roman"/>
          <w:szCs w:val="20"/>
          <w:lang w:val="en-GB" w:eastAsia="en-GB"/>
        </w:rPr>
        <w:t xml:space="preserve">The </w:t>
      </w:r>
      <w:r w:rsidRPr="007A6992">
        <w:rPr>
          <w:rFonts w:eastAsia="Times New Roman"/>
          <w:szCs w:val="20"/>
          <w:lang w:val="en-GB" w:eastAsia="en-GB"/>
        </w:rPr>
        <w:t xml:space="preserve">Ministry for Vulnerable Children, Oranga Tamariki </w:t>
      </w:r>
      <w:r>
        <w:rPr>
          <w:rFonts w:eastAsia="Times New Roman"/>
          <w:szCs w:val="20"/>
          <w:lang w:val="en-GB" w:eastAsia="en-GB"/>
        </w:rPr>
        <w:t xml:space="preserve">(MVCOT) and </w:t>
      </w:r>
      <w:r w:rsidRPr="00177E1D">
        <w:rPr>
          <w:rFonts w:eastAsia="Times New Roman"/>
          <w:szCs w:val="20"/>
          <w:lang w:val="en-GB" w:eastAsia="en-GB"/>
        </w:rPr>
        <w:t>the District Health Boards</w:t>
      </w:r>
      <w:r w:rsidR="003B0745">
        <w:rPr>
          <w:rFonts w:eastAsia="Times New Roman"/>
          <w:szCs w:val="20"/>
          <w:lang w:val="en-GB" w:eastAsia="en-GB"/>
        </w:rPr>
        <w:t xml:space="preserve"> (DHBs)</w:t>
      </w:r>
      <w:r w:rsidRPr="00177E1D">
        <w:rPr>
          <w:rFonts w:eastAsia="Times New Roman"/>
          <w:szCs w:val="20"/>
          <w:lang w:val="en-GB" w:eastAsia="en-GB"/>
        </w:rPr>
        <w:t xml:space="preserve"> </w:t>
      </w:r>
      <w:r>
        <w:rPr>
          <w:rFonts w:eastAsia="Times New Roman"/>
          <w:szCs w:val="20"/>
          <w:lang w:val="en-GB" w:eastAsia="en-GB"/>
        </w:rPr>
        <w:t>are</w:t>
      </w:r>
      <w:r w:rsidRPr="00177E1D">
        <w:rPr>
          <w:rFonts w:eastAsia="Times New Roman"/>
          <w:szCs w:val="20"/>
          <w:lang w:val="en-GB" w:eastAsia="en-GB"/>
        </w:rPr>
        <w:t xml:space="preserve"> the </w:t>
      </w:r>
      <w:r>
        <w:rPr>
          <w:rFonts w:eastAsia="Times New Roman"/>
          <w:szCs w:val="20"/>
          <w:lang w:val="en-GB" w:eastAsia="en-GB"/>
        </w:rPr>
        <w:t xml:space="preserve">two </w:t>
      </w:r>
      <w:r w:rsidRPr="00177E1D">
        <w:rPr>
          <w:rFonts w:eastAsia="Times New Roman"/>
          <w:szCs w:val="20"/>
          <w:lang w:val="en-GB" w:eastAsia="en-GB"/>
        </w:rPr>
        <w:t xml:space="preserve">largest </w:t>
      </w:r>
      <w:r>
        <w:rPr>
          <w:rFonts w:eastAsia="Times New Roman"/>
          <w:szCs w:val="20"/>
          <w:lang w:val="en-GB" w:eastAsia="en-GB"/>
        </w:rPr>
        <w:t xml:space="preserve">government </w:t>
      </w:r>
      <w:r w:rsidRPr="00177E1D">
        <w:rPr>
          <w:rFonts w:eastAsia="Times New Roman"/>
          <w:szCs w:val="20"/>
          <w:lang w:val="en-GB" w:eastAsia="en-GB"/>
        </w:rPr>
        <w:t>employer</w:t>
      </w:r>
      <w:r>
        <w:rPr>
          <w:rFonts w:eastAsia="Times New Roman"/>
          <w:szCs w:val="20"/>
          <w:lang w:val="en-GB" w:eastAsia="en-GB"/>
        </w:rPr>
        <w:t xml:space="preserve"> groups</w:t>
      </w:r>
      <w:r w:rsidRPr="00177E1D">
        <w:rPr>
          <w:rFonts w:eastAsia="Times New Roman"/>
          <w:szCs w:val="20"/>
          <w:lang w:val="en-GB" w:eastAsia="en-GB"/>
        </w:rPr>
        <w:t xml:space="preserve">, </w:t>
      </w:r>
      <w:r>
        <w:rPr>
          <w:rFonts w:eastAsia="Times New Roman"/>
          <w:szCs w:val="20"/>
          <w:lang w:val="en-GB" w:eastAsia="en-GB"/>
        </w:rPr>
        <w:t xml:space="preserve">each employing 23% of registered social workers.  The highest proportion (30%) of social workers </w:t>
      </w:r>
      <w:r>
        <w:rPr>
          <w:rFonts w:eastAsia="Times New Roman"/>
          <w:szCs w:val="20"/>
          <w:lang w:val="en-GB" w:eastAsia="en-GB"/>
        </w:rPr>
        <w:lastRenderedPageBreak/>
        <w:t>are</w:t>
      </w:r>
      <w:r w:rsidRPr="00177E1D">
        <w:rPr>
          <w:rFonts w:eastAsia="Times New Roman"/>
          <w:szCs w:val="20"/>
          <w:lang w:val="en-GB" w:eastAsia="en-GB"/>
        </w:rPr>
        <w:t xml:space="preserve"> employed by NGOs, but m</w:t>
      </w:r>
      <w:r>
        <w:rPr>
          <w:rFonts w:eastAsia="Times New Roman"/>
          <w:szCs w:val="20"/>
          <w:lang w:val="en-GB" w:eastAsia="en-GB"/>
        </w:rPr>
        <w:t>ost</w:t>
      </w:r>
      <w:r w:rsidRPr="00177E1D">
        <w:rPr>
          <w:rFonts w:eastAsia="Times New Roman"/>
          <w:szCs w:val="20"/>
          <w:lang w:val="en-GB" w:eastAsia="en-GB"/>
        </w:rPr>
        <w:t xml:space="preserve"> of these </w:t>
      </w:r>
      <w:r w:rsidR="009A1C49">
        <w:rPr>
          <w:rFonts w:eastAsia="Times New Roman"/>
          <w:szCs w:val="20"/>
          <w:lang w:val="en-GB" w:eastAsia="en-GB"/>
        </w:rPr>
        <w:t>are</w:t>
      </w:r>
      <w:r w:rsidRPr="00177E1D">
        <w:rPr>
          <w:rFonts w:eastAsia="Times New Roman"/>
          <w:szCs w:val="20"/>
          <w:lang w:val="en-GB" w:eastAsia="en-GB"/>
        </w:rPr>
        <w:t xml:space="preserve"> employed to provide social work services under government contracts, primarily from </w:t>
      </w:r>
      <w:r w:rsidR="003B0745">
        <w:rPr>
          <w:rFonts w:eastAsia="Times New Roman"/>
          <w:szCs w:val="20"/>
          <w:lang w:val="en-GB" w:eastAsia="en-GB"/>
        </w:rPr>
        <w:t xml:space="preserve">MVCOT, </w:t>
      </w:r>
      <w:r w:rsidRPr="00177E1D">
        <w:rPr>
          <w:rFonts w:eastAsia="Times New Roman"/>
          <w:szCs w:val="20"/>
          <w:lang w:val="en-GB" w:eastAsia="en-GB"/>
        </w:rPr>
        <w:t>MSD</w:t>
      </w:r>
      <w:r w:rsidR="003B0745">
        <w:rPr>
          <w:rFonts w:eastAsia="Times New Roman"/>
          <w:szCs w:val="20"/>
          <w:lang w:val="en-GB" w:eastAsia="en-GB"/>
        </w:rPr>
        <w:t xml:space="preserve"> </w:t>
      </w:r>
      <w:r w:rsidR="003B0745" w:rsidRPr="009A1C49">
        <w:rPr>
          <w:rFonts w:eastAsia="Times New Roman"/>
          <w:szCs w:val="20"/>
          <w:lang w:val="en-GB" w:eastAsia="en-GB"/>
        </w:rPr>
        <w:t>and DHBs</w:t>
      </w:r>
      <w:r>
        <w:rPr>
          <w:rFonts w:eastAsia="Times New Roman"/>
          <w:szCs w:val="20"/>
          <w:lang w:val="en-GB" w:eastAsia="en-GB"/>
        </w:rPr>
        <w:t>.</w:t>
      </w:r>
    </w:p>
    <w:p w:rsidR="00CA7299" w:rsidRPr="00244C2E" w:rsidRDefault="00CA7299" w:rsidP="005B5FC6">
      <w:pPr>
        <w:numPr>
          <w:ilvl w:val="0"/>
          <w:numId w:val="25"/>
        </w:numPr>
        <w:spacing w:after="240" w:line="240" w:lineRule="auto"/>
        <w:ind w:left="567" w:hanging="567"/>
      </w:pPr>
      <w:r w:rsidRPr="00244C2E">
        <w:rPr>
          <w:rFonts w:eastAsia="Times New Roman"/>
          <w:szCs w:val="20"/>
          <w:lang w:val="en-GB" w:eastAsia="en-GB"/>
        </w:rPr>
        <w:t>Government agencies report that 95% of their directly employed social workers are registered.  Government agencies have existing employment practices in place that ensure new social work employees will be registered, or are able to become registered within a reasonable period.  In addition, many government contracts with NGOs for social work services specify that the social workers employed should be registered, or are “</w:t>
      </w:r>
      <w:r w:rsidR="005E562D">
        <w:rPr>
          <w:rFonts w:eastAsia="Times New Roman"/>
          <w:szCs w:val="20"/>
          <w:lang w:val="en-GB" w:eastAsia="en-GB"/>
        </w:rPr>
        <w:t>registrable</w:t>
      </w:r>
      <w:r w:rsidRPr="00244C2E">
        <w:rPr>
          <w:rFonts w:eastAsia="Times New Roman"/>
          <w:szCs w:val="20"/>
          <w:lang w:val="en-GB" w:eastAsia="en-GB"/>
        </w:rPr>
        <w:t>”, meaning that they sufficiently qualified and experienced to enable them to be registered.</w:t>
      </w:r>
    </w:p>
    <w:p w:rsidR="00CA7299" w:rsidRPr="0070056F" w:rsidRDefault="00CA7299" w:rsidP="005B5FC6">
      <w:pPr>
        <w:numPr>
          <w:ilvl w:val="0"/>
          <w:numId w:val="25"/>
        </w:numPr>
        <w:spacing w:after="240" w:line="240" w:lineRule="auto"/>
        <w:ind w:left="567" w:hanging="567"/>
      </w:pPr>
      <w:r>
        <w:rPr>
          <w:rFonts w:eastAsia="Times New Roman"/>
          <w:szCs w:val="20"/>
          <w:lang w:val="en-GB" w:eastAsia="en-GB"/>
        </w:rPr>
        <w:t>It is the “</w:t>
      </w:r>
      <w:r w:rsidR="005E562D">
        <w:rPr>
          <w:rFonts w:eastAsia="Times New Roman"/>
          <w:szCs w:val="20"/>
          <w:lang w:val="en-GB" w:eastAsia="en-GB"/>
        </w:rPr>
        <w:t>registrable</w:t>
      </w:r>
      <w:r>
        <w:rPr>
          <w:rFonts w:eastAsia="Times New Roman"/>
          <w:szCs w:val="20"/>
          <w:lang w:val="en-GB" w:eastAsia="en-GB"/>
        </w:rPr>
        <w:t xml:space="preserve">” aspect that gives rise to the ambiguity that allows unregistered social workers to currently operate.  </w:t>
      </w:r>
      <w:r w:rsidR="0032380E">
        <w:rPr>
          <w:rFonts w:eastAsia="Times New Roman"/>
          <w:szCs w:val="20"/>
          <w:lang w:val="en-GB" w:eastAsia="en-GB"/>
        </w:rPr>
        <w:t>After investigating</w:t>
      </w:r>
      <w:r>
        <w:rPr>
          <w:rFonts w:eastAsia="Times New Roman"/>
          <w:szCs w:val="20"/>
          <w:lang w:val="en-GB" w:eastAsia="en-GB"/>
        </w:rPr>
        <w:t xml:space="preserve"> contracts that </w:t>
      </w:r>
      <w:r w:rsidR="0032380E">
        <w:rPr>
          <w:rFonts w:eastAsia="Times New Roman"/>
          <w:szCs w:val="20"/>
          <w:lang w:val="en-GB" w:eastAsia="en-GB"/>
        </w:rPr>
        <w:t>allow</w:t>
      </w:r>
      <w:r>
        <w:rPr>
          <w:rFonts w:eastAsia="Times New Roman"/>
          <w:szCs w:val="20"/>
          <w:lang w:val="en-GB" w:eastAsia="en-GB"/>
        </w:rPr>
        <w:t xml:space="preserve"> </w:t>
      </w:r>
      <w:r w:rsidR="0032380E">
        <w:rPr>
          <w:rFonts w:eastAsia="Times New Roman"/>
          <w:szCs w:val="20"/>
          <w:lang w:val="en-GB" w:eastAsia="en-GB"/>
        </w:rPr>
        <w:t xml:space="preserve">for </w:t>
      </w:r>
      <w:r>
        <w:rPr>
          <w:rFonts w:eastAsia="Times New Roman"/>
          <w:szCs w:val="20"/>
          <w:lang w:val="en-GB" w:eastAsia="en-GB"/>
        </w:rPr>
        <w:t>“</w:t>
      </w:r>
      <w:r w:rsidR="005E562D">
        <w:rPr>
          <w:rFonts w:eastAsia="Times New Roman"/>
          <w:szCs w:val="20"/>
          <w:lang w:val="en-GB" w:eastAsia="en-GB"/>
        </w:rPr>
        <w:t>registrable</w:t>
      </w:r>
      <w:r>
        <w:rPr>
          <w:rFonts w:eastAsia="Times New Roman"/>
          <w:szCs w:val="20"/>
          <w:lang w:val="en-GB" w:eastAsia="en-GB"/>
        </w:rPr>
        <w:t xml:space="preserve">” </w:t>
      </w:r>
      <w:r w:rsidR="0032380E">
        <w:rPr>
          <w:rFonts w:eastAsia="Times New Roman"/>
          <w:szCs w:val="20"/>
          <w:lang w:val="en-GB" w:eastAsia="en-GB"/>
        </w:rPr>
        <w:t>as well as registered social workers</w:t>
      </w:r>
      <w:r>
        <w:rPr>
          <w:rFonts w:eastAsia="Times New Roman"/>
          <w:szCs w:val="20"/>
          <w:lang w:val="en-GB" w:eastAsia="en-GB"/>
        </w:rPr>
        <w:t xml:space="preserve">, </w:t>
      </w:r>
      <w:r w:rsidR="0032380E">
        <w:rPr>
          <w:rFonts w:eastAsia="Times New Roman"/>
          <w:szCs w:val="20"/>
          <w:lang w:val="en-GB" w:eastAsia="en-GB"/>
        </w:rPr>
        <w:t>we</w:t>
      </w:r>
      <w:r>
        <w:rPr>
          <w:rFonts w:eastAsia="Times New Roman"/>
          <w:szCs w:val="20"/>
          <w:lang w:val="en-GB" w:eastAsia="en-GB"/>
        </w:rPr>
        <w:t xml:space="preserve"> estimate that only 70% of NGO employed social workers are registered.  This shows that government agencies have capacity to further encourage the registration of social workers in NGOs by being more explicit in their contracting, requiring </w:t>
      </w:r>
      <w:r w:rsidR="0032380E">
        <w:rPr>
          <w:rFonts w:eastAsia="Times New Roman"/>
          <w:szCs w:val="20"/>
          <w:lang w:val="en-GB" w:eastAsia="en-GB"/>
        </w:rPr>
        <w:t xml:space="preserve">that </w:t>
      </w:r>
      <w:r>
        <w:rPr>
          <w:rFonts w:eastAsia="Times New Roman"/>
          <w:szCs w:val="20"/>
          <w:lang w:val="en-GB" w:eastAsia="en-GB"/>
        </w:rPr>
        <w:t xml:space="preserve">all social workers providing services are appropriately qualified and registered. </w:t>
      </w:r>
    </w:p>
    <w:p w:rsidR="00CA7299" w:rsidRPr="004664AE" w:rsidRDefault="00CA7299" w:rsidP="005B5FC6">
      <w:pPr>
        <w:numPr>
          <w:ilvl w:val="0"/>
          <w:numId w:val="25"/>
        </w:numPr>
        <w:spacing w:after="240" w:line="240" w:lineRule="auto"/>
        <w:ind w:left="567" w:hanging="567"/>
      </w:pPr>
      <w:r>
        <w:rPr>
          <w:rFonts w:eastAsia="Times New Roman"/>
          <w:szCs w:val="20"/>
          <w:lang w:val="en-GB" w:eastAsia="en-GB"/>
        </w:rPr>
        <w:t xml:space="preserve">This 70% estimate was based on </w:t>
      </w:r>
      <w:r w:rsidRPr="00D1058A">
        <w:rPr>
          <w:rFonts w:eastAsia="Times New Roman"/>
          <w:szCs w:val="20"/>
          <w:lang w:val="en-GB" w:eastAsia="en-GB"/>
        </w:rPr>
        <w:t>information sourced f</w:t>
      </w:r>
      <w:r>
        <w:rPr>
          <w:rFonts w:eastAsia="Times New Roman"/>
          <w:szCs w:val="20"/>
          <w:lang w:val="en-GB" w:eastAsia="en-GB"/>
        </w:rPr>
        <w:t>rom various government agencies</w:t>
      </w:r>
      <w:r w:rsidRPr="00D1058A">
        <w:rPr>
          <w:rFonts w:eastAsia="Times New Roman"/>
          <w:szCs w:val="20"/>
          <w:lang w:val="en-GB" w:eastAsia="en-GB"/>
        </w:rPr>
        <w:t xml:space="preserve"> </w:t>
      </w:r>
      <w:r>
        <w:rPr>
          <w:rFonts w:eastAsia="Times New Roman"/>
          <w:szCs w:val="20"/>
          <w:lang w:val="en-GB" w:eastAsia="en-GB"/>
        </w:rPr>
        <w:t xml:space="preserve">showing that of the 500 NGOs known to be employing registered social workers, </w:t>
      </w:r>
      <w:r w:rsidRPr="00D1058A">
        <w:rPr>
          <w:rFonts w:eastAsia="Times New Roman"/>
          <w:szCs w:val="20"/>
          <w:lang w:val="en-GB" w:eastAsia="en-GB"/>
        </w:rPr>
        <w:t>the 13 largest NGO employers have over 700 registe</w:t>
      </w:r>
      <w:r>
        <w:rPr>
          <w:rFonts w:eastAsia="Times New Roman"/>
          <w:szCs w:val="20"/>
          <w:lang w:val="en-GB" w:eastAsia="en-GB"/>
        </w:rPr>
        <w:t>red social workers between them (over a third of all the NGO employed registered social workers)</w:t>
      </w:r>
      <w:r w:rsidR="0032380E">
        <w:rPr>
          <w:rFonts w:eastAsia="Times New Roman"/>
          <w:szCs w:val="20"/>
          <w:lang w:val="en-GB" w:eastAsia="en-GB"/>
        </w:rPr>
        <w:t>.  Th</w:t>
      </w:r>
      <w:r w:rsidRPr="00D1058A">
        <w:rPr>
          <w:rFonts w:eastAsia="Times New Roman"/>
          <w:szCs w:val="20"/>
          <w:lang w:val="en-GB" w:eastAsia="en-GB"/>
        </w:rPr>
        <w:t xml:space="preserve">ese same organisations have almost 310 unregistered social workers, </w:t>
      </w:r>
      <w:r>
        <w:rPr>
          <w:rFonts w:eastAsia="Times New Roman"/>
          <w:szCs w:val="20"/>
          <w:lang w:val="en-GB" w:eastAsia="en-GB"/>
        </w:rPr>
        <w:t>which equates</w:t>
      </w:r>
      <w:r w:rsidR="00C04C50">
        <w:rPr>
          <w:rFonts w:eastAsia="Times New Roman"/>
          <w:szCs w:val="20"/>
          <w:lang w:val="en-GB" w:eastAsia="en-GB"/>
        </w:rPr>
        <w:t xml:space="preserve"> to 30</w:t>
      </w:r>
      <w:r w:rsidRPr="00D1058A">
        <w:rPr>
          <w:rFonts w:eastAsia="Times New Roman"/>
          <w:szCs w:val="20"/>
          <w:lang w:val="en-GB" w:eastAsia="en-GB"/>
        </w:rPr>
        <w:t>% of their social work staff</w:t>
      </w:r>
      <w:r>
        <w:rPr>
          <w:rFonts w:eastAsia="Times New Roman"/>
          <w:szCs w:val="20"/>
          <w:lang w:val="en-GB" w:eastAsia="en-GB"/>
        </w:rPr>
        <w:t xml:space="preserve"> being unregistered</w:t>
      </w:r>
      <w:r w:rsidRPr="00D1058A">
        <w:rPr>
          <w:rFonts w:eastAsia="Times New Roman"/>
          <w:szCs w:val="20"/>
          <w:lang w:val="en-GB" w:eastAsia="en-GB"/>
        </w:rPr>
        <w:t xml:space="preserve">.  </w:t>
      </w:r>
    </w:p>
    <w:p w:rsidR="00CA7299" w:rsidRDefault="00CA7299" w:rsidP="005B5FC6">
      <w:pPr>
        <w:numPr>
          <w:ilvl w:val="0"/>
          <w:numId w:val="25"/>
        </w:numPr>
        <w:spacing w:after="240" w:line="240" w:lineRule="auto"/>
        <w:ind w:left="567" w:hanging="567"/>
      </w:pPr>
      <w:r>
        <w:rPr>
          <w:rFonts w:eastAsia="Times New Roman"/>
          <w:szCs w:val="20"/>
          <w:lang w:val="en-GB" w:eastAsia="en-GB"/>
        </w:rPr>
        <w:t>Information from smaller NGOs shows even higher levels of unregistered social workers</w:t>
      </w:r>
      <w:r w:rsidR="0032380E">
        <w:rPr>
          <w:rFonts w:eastAsia="Times New Roman"/>
          <w:szCs w:val="20"/>
          <w:lang w:val="en-GB" w:eastAsia="en-GB"/>
        </w:rPr>
        <w:t>, including more</w:t>
      </w:r>
      <w:r w:rsidR="0032380E" w:rsidRPr="0032380E">
        <w:rPr>
          <w:rFonts w:eastAsia="Times New Roman"/>
          <w:szCs w:val="20"/>
          <w:lang w:val="en-GB" w:eastAsia="en-GB"/>
        </w:rPr>
        <w:t xml:space="preserve"> </w:t>
      </w:r>
      <w:r w:rsidR="0032380E" w:rsidRPr="00293B0B">
        <w:rPr>
          <w:rFonts w:eastAsia="Times New Roman"/>
          <w:szCs w:val="20"/>
          <w:lang w:val="en-GB" w:eastAsia="en-GB"/>
        </w:rPr>
        <w:t>without a formal or recognised social work qualification.</w:t>
      </w:r>
      <w:r w:rsidR="0032380E">
        <w:rPr>
          <w:rFonts w:eastAsia="Times New Roman"/>
          <w:szCs w:val="20"/>
          <w:lang w:val="en-GB" w:eastAsia="en-GB"/>
        </w:rPr>
        <w:t xml:space="preserve"> </w:t>
      </w:r>
      <w:r>
        <w:rPr>
          <w:rFonts w:eastAsia="Times New Roman"/>
          <w:szCs w:val="20"/>
          <w:lang w:val="en-GB" w:eastAsia="en-GB"/>
        </w:rPr>
        <w:t xml:space="preserve"> There are 485 NGOs known to employ around 900 registered social wo</w:t>
      </w:r>
      <w:r w:rsidR="0032380E">
        <w:rPr>
          <w:rFonts w:eastAsia="Times New Roman"/>
          <w:szCs w:val="20"/>
          <w:lang w:val="en-GB" w:eastAsia="en-GB"/>
        </w:rPr>
        <w:t>rkers, most of which only have one or two</w:t>
      </w:r>
      <w:r>
        <w:rPr>
          <w:rFonts w:eastAsia="Times New Roman"/>
          <w:szCs w:val="20"/>
          <w:lang w:val="en-GB" w:eastAsia="en-GB"/>
        </w:rPr>
        <w:t xml:space="preserve"> registered social workers on staff.</w:t>
      </w:r>
      <w:r w:rsidR="0032380E">
        <w:rPr>
          <w:rFonts w:eastAsia="Times New Roman"/>
          <w:szCs w:val="20"/>
          <w:lang w:val="en-GB" w:eastAsia="en-GB"/>
        </w:rPr>
        <w:t xml:space="preserve">  For some of these NGOs, that one</w:t>
      </w:r>
      <w:r>
        <w:rPr>
          <w:rFonts w:eastAsia="Times New Roman"/>
          <w:szCs w:val="20"/>
          <w:lang w:val="en-GB" w:eastAsia="en-GB"/>
        </w:rPr>
        <w:t xml:space="preserve"> registered socia</w:t>
      </w:r>
      <w:r w:rsidR="0032380E">
        <w:rPr>
          <w:rFonts w:eastAsia="Times New Roman"/>
          <w:szCs w:val="20"/>
          <w:lang w:val="en-GB" w:eastAsia="en-GB"/>
        </w:rPr>
        <w:t>l worker is overseeing between two and five</w:t>
      </w:r>
      <w:r>
        <w:rPr>
          <w:rFonts w:eastAsia="Times New Roman"/>
          <w:szCs w:val="20"/>
          <w:lang w:val="en-GB" w:eastAsia="en-GB"/>
        </w:rPr>
        <w:t xml:space="preserve"> unregistered staff providing social worker services, and some of those are also unqualified in social work. </w:t>
      </w:r>
      <w:r w:rsidR="0032380E">
        <w:rPr>
          <w:rFonts w:eastAsia="Times New Roman"/>
          <w:szCs w:val="20"/>
          <w:lang w:val="en-GB" w:eastAsia="en-GB"/>
        </w:rPr>
        <w:t xml:space="preserve"> </w:t>
      </w:r>
      <w:r>
        <w:rPr>
          <w:rFonts w:eastAsia="Times New Roman"/>
          <w:szCs w:val="20"/>
          <w:lang w:val="en-GB" w:eastAsia="en-GB"/>
        </w:rPr>
        <w:t xml:space="preserve">Although anecdotal, this </w:t>
      </w:r>
      <w:r w:rsidR="0032380E">
        <w:rPr>
          <w:rFonts w:eastAsia="Times New Roman"/>
          <w:szCs w:val="20"/>
          <w:lang w:val="en-GB" w:eastAsia="en-GB"/>
        </w:rPr>
        <w:t>suggests</w:t>
      </w:r>
      <w:r>
        <w:rPr>
          <w:rFonts w:eastAsia="Times New Roman"/>
          <w:szCs w:val="20"/>
          <w:lang w:val="en-GB" w:eastAsia="en-GB"/>
        </w:rPr>
        <w:t xml:space="preserve"> some NGOs </w:t>
      </w:r>
      <w:r w:rsidR="0032380E">
        <w:rPr>
          <w:rFonts w:eastAsia="Times New Roman"/>
          <w:szCs w:val="20"/>
          <w:lang w:val="en-GB" w:eastAsia="en-GB"/>
        </w:rPr>
        <w:t xml:space="preserve">have </w:t>
      </w:r>
      <w:r>
        <w:rPr>
          <w:rFonts w:eastAsia="Times New Roman"/>
          <w:szCs w:val="20"/>
          <w:lang w:val="en-GB" w:eastAsia="en-GB"/>
        </w:rPr>
        <w:t>more than 50% of their social work staff being unregistered.</w:t>
      </w:r>
    </w:p>
    <w:p w:rsidR="001131B4" w:rsidRPr="001131B4" w:rsidRDefault="001131B4" w:rsidP="005B5FC6">
      <w:pPr>
        <w:numPr>
          <w:ilvl w:val="0"/>
          <w:numId w:val="25"/>
        </w:numPr>
        <w:spacing w:after="240" w:line="240" w:lineRule="auto"/>
        <w:ind w:left="567" w:hanging="567"/>
      </w:pPr>
      <w:r w:rsidRPr="00177E1D">
        <w:rPr>
          <w:rFonts w:eastAsia="Times New Roman"/>
          <w:szCs w:val="20"/>
          <w:lang w:val="en-GB" w:eastAsia="en-GB"/>
        </w:rPr>
        <w:t>On the basis of estimates</w:t>
      </w:r>
      <w:r>
        <w:rPr>
          <w:rFonts w:eastAsia="Times New Roman"/>
          <w:szCs w:val="20"/>
          <w:lang w:val="en-GB" w:eastAsia="en-GB"/>
        </w:rPr>
        <w:t xml:space="preserve"> derived from available information (provided by the Board, </w:t>
      </w:r>
      <w:r w:rsidR="00D97D37" w:rsidRPr="00177E1D">
        <w:t>Aotearoa New Zealand Association of Social Workers (ANZASW)</w:t>
      </w:r>
      <w:r>
        <w:rPr>
          <w:rFonts w:eastAsia="Times New Roman"/>
          <w:szCs w:val="20"/>
          <w:lang w:val="en-GB" w:eastAsia="en-GB"/>
        </w:rPr>
        <w:t>, government agencies and some NGOs)</w:t>
      </w:r>
      <w:r w:rsidRPr="00177E1D">
        <w:rPr>
          <w:rFonts w:eastAsia="Times New Roman"/>
          <w:szCs w:val="20"/>
          <w:lang w:val="en-GB" w:eastAsia="en-GB"/>
        </w:rPr>
        <w:t xml:space="preserve">, officials consider that there are approximately 2,000 people likely to be operating as social workers who are not currently registered.  </w:t>
      </w:r>
    </w:p>
    <w:p w:rsidR="00CA7299" w:rsidRPr="00293B0B" w:rsidRDefault="00413DE7" w:rsidP="005B5FC6">
      <w:pPr>
        <w:numPr>
          <w:ilvl w:val="0"/>
          <w:numId w:val="25"/>
        </w:numPr>
        <w:spacing w:after="240" w:line="240" w:lineRule="auto"/>
        <w:ind w:left="567" w:hanging="567"/>
      </w:pPr>
      <w:r>
        <w:rPr>
          <w:rFonts w:eastAsia="Times New Roman"/>
          <w:szCs w:val="20"/>
          <w:lang w:val="en-GB" w:eastAsia="en-GB"/>
        </w:rPr>
        <w:t>Information from t</w:t>
      </w:r>
      <w:r w:rsidR="00CA7299" w:rsidRPr="00177E1D">
        <w:t xml:space="preserve">he </w:t>
      </w:r>
      <w:r w:rsidR="00D97D37">
        <w:rPr>
          <w:rFonts w:eastAsia="Times New Roman"/>
          <w:szCs w:val="20"/>
          <w:lang w:val="en-GB" w:eastAsia="en-GB"/>
        </w:rPr>
        <w:t>ANZASW</w:t>
      </w:r>
      <w:r w:rsidR="00D97D37" w:rsidRPr="00177E1D" w:rsidDel="00D97D37">
        <w:t xml:space="preserve"> </w:t>
      </w:r>
      <w:r w:rsidR="00CA7299">
        <w:t xml:space="preserve">advises as at 31 March 2017 that </w:t>
      </w:r>
      <w:r w:rsidR="00CA7299" w:rsidRPr="00177E1D">
        <w:t>of</w:t>
      </w:r>
      <w:r w:rsidR="00CA7299">
        <w:t xml:space="preserve"> the 24</w:t>
      </w:r>
      <w:r w:rsidR="00CA7299" w:rsidRPr="00177E1D">
        <w:t xml:space="preserve">% </w:t>
      </w:r>
      <w:r w:rsidR="00CA7299">
        <w:t xml:space="preserve">of </w:t>
      </w:r>
      <w:r w:rsidR="00CA7299" w:rsidRPr="00177E1D">
        <w:t xml:space="preserve">their members </w:t>
      </w:r>
      <w:r w:rsidR="00CA7299">
        <w:t>not registered with the Board:</w:t>
      </w:r>
    </w:p>
    <w:p w:rsidR="00CA7299" w:rsidRPr="00B21BCC" w:rsidRDefault="00CA7299" w:rsidP="005B5FC6">
      <w:pPr>
        <w:numPr>
          <w:ilvl w:val="0"/>
          <w:numId w:val="27"/>
        </w:numPr>
        <w:spacing w:after="240" w:line="240" w:lineRule="auto"/>
        <w:ind w:left="1134" w:hanging="425"/>
        <w:rPr>
          <w:rFonts w:eastAsia="Times New Roman"/>
          <w:szCs w:val="20"/>
          <w:lang w:val="en-GB" w:eastAsia="en-GB"/>
        </w:rPr>
      </w:pPr>
      <w:r>
        <w:t>59%</w:t>
      </w:r>
      <w:r w:rsidRPr="00177E1D">
        <w:t xml:space="preserve"> have </w:t>
      </w:r>
      <w:r w:rsidR="0094357E">
        <w:t>appropriate</w:t>
      </w:r>
      <w:r w:rsidR="00610BF3">
        <w:t xml:space="preserve"> </w:t>
      </w:r>
      <w:r w:rsidRPr="00177E1D">
        <w:t xml:space="preserve">qualifications to be registered </w:t>
      </w:r>
      <w:r>
        <w:t>but are not</w:t>
      </w:r>
      <w:r w:rsidRPr="00177E1D">
        <w:rPr>
          <w:rStyle w:val="FootnoteReference"/>
        </w:rPr>
        <w:footnoteReference w:id="11"/>
      </w:r>
      <w:r w:rsidRPr="00177E1D">
        <w:rPr>
          <w:rStyle w:val="FootnoteReference"/>
        </w:rPr>
        <w:t xml:space="preserve"> </w:t>
      </w:r>
      <w:r w:rsidRPr="00177E1D">
        <w:rPr>
          <w:rFonts w:ascii="Arial" w:hAnsi="Arial"/>
          <w:sz w:val="23"/>
          <w:szCs w:val="23"/>
        </w:rPr>
        <w:t xml:space="preserve"> </w:t>
      </w:r>
    </w:p>
    <w:p w:rsidR="00CA7299" w:rsidRDefault="00CA7299" w:rsidP="005B5FC6">
      <w:pPr>
        <w:numPr>
          <w:ilvl w:val="0"/>
          <w:numId w:val="27"/>
        </w:numPr>
        <w:spacing w:after="240" w:line="240" w:lineRule="auto"/>
        <w:ind w:left="1134" w:hanging="425"/>
        <w:rPr>
          <w:rFonts w:eastAsia="Times New Roman"/>
          <w:szCs w:val="20"/>
          <w:lang w:val="en-GB" w:eastAsia="en-GB"/>
        </w:rPr>
      </w:pPr>
      <w:r>
        <w:t xml:space="preserve">16% have no qualification, but are </w:t>
      </w:r>
      <w:r w:rsidRPr="00413DE7">
        <w:rPr>
          <w:u w:val="single"/>
        </w:rPr>
        <w:t>likely</w:t>
      </w:r>
      <w:r>
        <w:t xml:space="preserve"> to have sufficient experience</w:t>
      </w:r>
      <w:r w:rsidRPr="00177E1D">
        <w:t xml:space="preserve"> </w:t>
      </w:r>
      <w:r>
        <w:t xml:space="preserve">to qualify for registration </w:t>
      </w:r>
      <w:r w:rsidRPr="00177E1D">
        <w:t>via the section 13 route</w:t>
      </w:r>
      <w:r w:rsidRPr="00177E1D">
        <w:rPr>
          <w:rStyle w:val="FootnoteReference"/>
          <w:rFonts w:eastAsia="Times New Roman"/>
          <w:szCs w:val="20"/>
          <w:lang w:val="en-GB" w:eastAsia="en-GB"/>
        </w:rPr>
        <w:footnoteReference w:id="12"/>
      </w:r>
    </w:p>
    <w:p w:rsidR="00CA7299" w:rsidRPr="00293B0B" w:rsidRDefault="00CA7299" w:rsidP="005B5FC6">
      <w:pPr>
        <w:numPr>
          <w:ilvl w:val="0"/>
          <w:numId w:val="27"/>
        </w:numPr>
        <w:spacing w:after="240" w:line="240" w:lineRule="auto"/>
        <w:ind w:left="1134" w:hanging="425"/>
        <w:rPr>
          <w:rFonts w:eastAsia="Times New Roman"/>
          <w:szCs w:val="20"/>
          <w:lang w:val="en-GB" w:eastAsia="en-GB"/>
        </w:rPr>
      </w:pPr>
      <w:r>
        <w:rPr>
          <w:rFonts w:eastAsia="Times New Roman"/>
          <w:szCs w:val="20"/>
          <w:lang w:val="en-GB" w:eastAsia="en-GB"/>
        </w:rPr>
        <w:t xml:space="preserve">6% have no qualification, and are </w:t>
      </w:r>
      <w:r w:rsidRPr="00413DE7">
        <w:rPr>
          <w:rFonts w:eastAsia="Times New Roman"/>
          <w:szCs w:val="20"/>
          <w:u w:val="single"/>
          <w:lang w:val="en-GB" w:eastAsia="en-GB"/>
        </w:rPr>
        <w:t>unlikely</w:t>
      </w:r>
      <w:r>
        <w:rPr>
          <w:rFonts w:eastAsia="Times New Roman"/>
          <w:szCs w:val="20"/>
          <w:lang w:val="en-GB" w:eastAsia="en-GB"/>
        </w:rPr>
        <w:t xml:space="preserve"> to have sufficient experience to qualify for registration via the section 13 route</w:t>
      </w:r>
    </w:p>
    <w:p w:rsidR="001131B4" w:rsidRPr="001131B4" w:rsidRDefault="00CA7299" w:rsidP="005B5FC6">
      <w:pPr>
        <w:numPr>
          <w:ilvl w:val="1"/>
          <w:numId w:val="27"/>
        </w:numPr>
        <w:spacing w:after="240" w:line="240" w:lineRule="auto"/>
        <w:ind w:left="1134" w:hanging="425"/>
        <w:rPr>
          <w:rFonts w:eastAsia="Times New Roman"/>
          <w:szCs w:val="20"/>
          <w:lang w:val="en-GB" w:eastAsia="en-GB"/>
        </w:rPr>
      </w:pPr>
      <w:r>
        <w:lastRenderedPageBreak/>
        <w:t xml:space="preserve">19% </w:t>
      </w:r>
      <w:r w:rsidR="00413DE7">
        <w:t xml:space="preserve">about whom </w:t>
      </w:r>
      <w:r>
        <w:t xml:space="preserve">it is unknown </w:t>
      </w:r>
      <w:r w:rsidR="00413DE7">
        <w:t>whether</w:t>
      </w:r>
      <w:r>
        <w:t xml:space="preserve"> they </w:t>
      </w:r>
      <w:r w:rsidRPr="00177E1D">
        <w:t xml:space="preserve">have the necessary qualifications </w:t>
      </w:r>
      <w:r>
        <w:t xml:space="preserve">or experience </w:t>
      </w:r>
      <w:r w:rsidRPr="00177E1D">
        <w:t xml:space="preserve">for registration.  </w:t>
      </w:r>
    </w:p>
    <w:p w:rsidR="00CA7299" w:rsidRPr="00177E1D" w:rsidRDefault="00413DE7" w:rsidP="005B5FC6">
      <w:pPr>
        <w:numPr>
          <w:ilvl w:val="0"/>
          <w:numId w:val="25"/>
        </w:numPr>
        <w:spacing w:after="240" w:line="240" w:lineRule="auto"/>
        <w:ind w:left="567" w:hanging="567"/>
        <w:rPr>
          <w:rFonts w:eastAsia="Times New Roman"/>
          <w:szCs w:val="20"/>
          <w:lang w:val="en-GB" w:eastAsia="en-GB"/>
        </w:rPr>
      </w:pPr>
      <w:r>
        <w:rPr>
          <w:rFonts w:eastAsia="Times New Roman"/>
          <w:szCs w:val="20"/>
          <w:lang w:val="en-GB" w:eastAsia="en-GB"/>
        </w:rPr>
        <w:t>Assuming the</w:t>
      </w:r>
      <w:r w:rsidR="00CA7299" w:rsidRPr="00177E1D">
        <w:rPr>
          <w:rFonts w:eastAsia="Times New Roman"/>
          <w:szCs w:val="20"/>
          <w:lang w:val="en-GB" w:eastAsia="en-GB"/>
        </w:rPr>
        <w:t xml:space="preserve"> ANZASW </w:t>
      </w:r>
      <w:r w:rsidR="00CA7299">
        <w:rPr>
          <w:rFonts w:eastAsia="Times New Roman"/>
          <w:szCs w:val="20"/>
          <w:lang w:val="en-GB" w:eastAsia="en-GB"/>
        </w:rPr>
        <w:t>proportions</w:t>
      </w:r>
      <w:r>
        <w:rPr>
          <w:rFonts w:eastAsia="Times New Roman"/>
          <w:szCs w:val="20"/>
          <w:lang w:val="en-GB" w:eastAsia="en-GB"/>
        </w:rPr>
        <w:t xml:space="preserve"> are indicative of the total population of practising social workers</w:t>
      </w:r>
      <w:r w:rsidR="00CA7299" w:rsidRPr="00177E1D">
        <w:rPr>
          <w:rFonts w:eastAsia="Times New Roman"/>
          <w:szCs w:val="20"/>
          <w:lang w:val="en-GB" w:eastAsia="en-GB"/>
        </w:rPr>
        <w:t xml:space="preserve">, </w:t>
      </w:r>
      <w:r w:rsidR="00CA7299">
        <w:rPr>
          <w:rFonts w:eastAsia="Times New Roman"/>
          <w:szCs w:val="20"/>
          <w:lang w:val="en-GB" w:eastAsia="en-GB"/>
        </w:rPr>
        <w:t xml:space="preserve">the estimated </w:t>
      </w:r>
      <w:r w:rsidR="00CA7299" w:rsidRPr="00177E1D">
        <w:rPr>
          <w:rFonts w:eastAsia="Times New Roman"/>
          <w:szCs w:val="20"/>
          <w:lang w:val="en-GB" w:eastAsia="en-GB"/>
        </w:rPr>
        <w:t xml:space="preserve">2,000 unregistered </w:t>
      </w:r>
      <w:r w:rsidR="00CA7299">
        <w:rPr>
          <w:rFonts w:eastAsia="Times New Roman"/>
          <w:szCs w:val="20"/>
          <w:lang w:val="en-GB" w:eastAsia="en-GB"/>
        </w:rPr>
        <w:t xml:space="preserve">social worker population </w:t>
      </w:r>
      <w:r w:rsidR="00CA7299" w:rsidRPr="00177E1D">
        <w:rPr>
          <w:rFonts w:eastAsia="Times New Roman"/>
          <w:szCs w:val="20"/>
          <w:lang w:val="en-GB" w:eastAsia="en-GB"/>
        </w:rPr>
        <w:t xml:space="preserve">would </w:t>
      </w:r>
      <w:r w:rsidR="00CA7299">
        <w:rPr>
          <w:rFonts w:eastAsia="Times New Roman"/>
          <w:szCs w:val="20"/>
          <w:lang w:val="en-GB" w:eastAsia="en-GB"/>
        </w:rPr>
        <w:t>consist of</w:t>
      </w:r>
      <w:r w:rsidR="00CA7299" w:rsidRPr="00177E1D">
        <w:rPr>
          <w:rFonts w:eastAsia="Times New Roman"/>
          <w:szCs w:val="20"/>
          <w:lang w:val="en-GB" w:eastAsia="en-GB"/>
        </w:rPr>
        <w:t>:</w:t>
      </w:r>
    </w:p>
    <w:p w:rsidR="00CA7299" w:rsidRPr="00B21BCC" w:rsidRDefault="00CA7299" w:rsidP="005B5FC6">
      <w:pPr>
        <w:numPr>
          <w:ilvl w:val="0"/>
          <w:numId w:val="27"/>
        </w:numPr>
        <w:spacing w:after="240" w:line="240" w:lineRule="auto"/>
        <w:ind w:left="1134" w:hanging="425"/>
        <w:rPr>
          <w:rFonts w:eastAsia="Times New Roman"/>
          <w:szCs w:val="20"/>
          <w:lang w:val="en-GB" w:eastAsia="en-GB"/>
        </w:rPr>
      </w:pPr>
      <w:r>
        <w:t>1176 (59%)</w:t>
      </w:r>
      <w:r w:rsidRPr="00177E1D">
        <w:t xml:space="preserve"> </w:t>
      </w:r>
      <w:r w:rsidR="00413DE7">
        <w:t>with</w:t>
      </w:r>
      <w:r>
        <w:t xml:space="preserve"> </w:t>
      </w:r>
      <w:r w:rsidR="00610BF3">
        <w:t xml:space="preserve">tertiary </w:t>
      </w:r>
      <w:r w:rsidRPr="00177E1D">
        <w:t xml:space="preserve">qualifications </w:t>
      </w:r>
      <w:r w:rsidR="00610BF3">
        <w:t xml:space="preserve">likely to be able to </w:t>
      </w:r>
      <w:r w:rsidRPr="00177E1D">
        <w:t>be registered</w:t>
      </w:r>
      <w:r w:rsidR="00610BF3">
        <w:t xml:space="preserve"> – unfortunately because of lack of detail from the census data we cannot be sure how many have social work qualifications</w:t>
      </w:r>
      <w:r w:rsidRPr="00177E1D">
        <w:t xml:space="preserve"> </w:t>
      </w:r>
    </w:p>
    <w:p w:rsidR="00CA7299" w:rsidRDefault="00CA7299" w:rsidP="005B5FC6">
      <w:pPr>
        <w:numPr>
          <w:ilvl w:val="0"/>
          <w:numId w:val="27"/>
        </w:numPr>
        <w:spacing w:after="240" w:line="240" w:lineRule="auto"/>
        <w:ind w:left="1134" w:hanging="425"/>
        <w:rPr>
          <w:rFonts w:eastAsia="Times New Roman"/>
          <w:szCs w:val="20"/>
          <w:lang w:val="en-GB" w:eastAsia="en-GB"/>
        </w:rPr>
      </w:pPr>
      <w:r>
        <w:t xml:space="preserve">329 (16%) may have no qualification, but </w:t>
      </w:r>
      <w:r w:rsidRPr="00413DE7">
        <w:rPr>
          <w:u w:val="single"/>
        </w:rPr>
        <w:t>likely</w:t>
      </w:r>
      <w:r>
        <w:t xml:space="preserve"> to have sufficient experience</w:t>
      </w:r>
      <w:r w:rsidRPr="00177E1D">
        <w:t xml:space="preserve"> </w:t>
      </w:r>
      <w:r>
        <w:t xml:space="preserve">to qualify for registration </w:t>
      </w:r>
      <w:r w:rsidRPr="00177E1D">
        <w:t>via the section 13 route</w:t>
      </w:r>
    </w:p>
    <w:p w:rsidR="00CA7299" w:rsidRPr="00293B0B" w:rsidRDefault="00CA7299" w:rsidP="005B5FC6">
      <w:pPr>
        <w:numPr>
          <w:ilvl w:val="0"/>
          <w:numId w:val="27"/>
        </w:numPr>
        <w:spacing w:after="240" w:line="240" w:lineRule="auto"/>
        <w:ind w:left="1134" w:hanging="425"/>
        <w:rPr>
          <w:rFonts w:eastAsia="Times New Roman"/>
          <w:szCs w:val="20"/>
          <w:lang w:val="en-GB" w:eastAsia="en-GB"/>
        </w:rPr>
      </w:pPr>
      <w:r>
        <w:rPr>
          <w:rFonts w:eastAsia="Times New Roman"/>
          <w:szCs w:val="20"/>
          <w:lang w:val="en-GB" w:eastAsia="en-GB"/>
        </w:rPr>
        <w:t xml:space="preserve">118 (6%) may have no qualification, and </w:t>
      </w:r>
      <w:r w:rsidRPr="00413DE7">
        <w:rPr>
          <w:rFonts w:eastAsia="Times New Roman"/>
          <w:szCs w:val="20"/>
          <w:u w:val="single"/>
          <w:lang w:val="en-GB" w:eastAsia="en-GB"/>
        </w:rPr>
        <w:t>unlikely</w:t>
      </w:r>
      <w:r>
        <w:rPr>
          <w:rFonts w:eastAsia="Times New Roman"/>
          <w:szCs w:val="20"/>
          <w:lang w:val="en-GB" w:eastAsia="en-GB"/>
        </w:rPr>
        <w:t xml:space="preserve"> to have sufficient experience to qualify for registration via the section 13 route</w:t>
      </w:r>
    </w:p>
    <w:p w:rsidR="00CA7299" w:rsidRPr="004E71FD" w:rsidRDefault="00CA7299" w:rsidP="005B5FC6">
      <w:pPr>
        <w:numPr>
          <w:ilvl w:val="1"/>
          <w:numId w:val="27"/>
        </w:numPr>
        <w:spacing w:after="240" w:line="240" w:lineRule="auto"/>
        <w:ind w:left="1134" w:hanging="425"/>
        <w:rPr>
          <w:rFonts w:eastAsia="Times New Roman"/>
          <w:szCs w:val="20"/>
          <w:lang w:val="en-GB" w:eastAsia="en-GB"/>
        </w:rPr>
      </w:pPr>
      <w:r>
        <w:t xml:space="preserve">376 (19%) </w:t>
      </w:r>
      <w:r w:rsidR="00413DE7">
        <w:t>about whom it is unknown whether</w:t>
      </w:r>
      <w:r>
        <w:t xml:space="preserve"> they </w:t>
      </w:r>
      <w:r w:rsidRPr="00177E1D">
        <w:t xml:space="preserve">have the necessary qualifications </w:t>
      </w:r>
      <w:r>
        <w:t xml:space="preserve">or experience </w:t>
      </w:r>
      <w:r w:rsidRPr="00177E1D">
        <w:t xml:space="preserve">for registration.  </w:t>
      </w:r>
    </w:p>
    <w:p w:rsidR="00C05771" w:rsidRPr="00177E1D" w:rsidRDefault="006206BC" w:rsidP="00177E1D">
      <w:pPr>
        <w:spacing w:after="240" w:line="240" w:lineRule="auto"/>
        <w:rPr>
          <w:rFonts w:cstheme="minorHAnsi"/>
          <w:b/>
          <w:spacing w:val="20"/>
          <w:w w:val="90"/>
          <w:szCs w:val="20"/>
        </w:rPr>
      </w:pPr>
      <w:r w:rsidRPr="00177E1D">
        <w:rPr>
          <w:rFonts w:cstheme="minorHAnsi"/>
          <w:b/>
          <w:spacing w:val="20"/>
          <w:w w:val="90"/>
          <w:szCs w:val="20"/>
        </w:rPr>
        <w:t>Select Committee Inquiry</w:t>
      </w:r>
    </w:p>
    <w:p w:rsidR="00F4679C" w:rsidRPr="00177E1D" w:rsidRDefault="00F4679C" w:rsidP="00177E1D">
      <w:pPr>
        <w:numPr>
          <w:ilvl w:val="0"/>
          <w:numId w:val="8"/>
        </w:numPr>
        <w:spacing w:after="240" w:line="240" w:lineRule="auto"/>
        <w:ind w:left="567" w:hanging="567"/>
        <w:rPr>
          <w:rFonts w:eastAsia="Times New Roman" w:cs="Times New Roman"/>
          <w:szCs w:val="20"/>
          <w:lang w:val="en-GB" w:eastAsia="en-GB"/>
        </w:rPr>
      </w:pPr>
      <w:r w:rsidRPr="00177E1D">
        <w:rPr>
          <w:rFonts w:eastAsia="Times New Roman" w:cs="Times New Roman"/>
          <w:szCs w:val="20"/>
          <w:lang w:val="en-GB" w:eastAsia="en-GB"/>
        </w:rPr>
        <w:t>The Board is required to review the operation of the SWR Act, and its own operations, at least every five years</w:t>
      </w:r>
      <w:r w:rsidRPr="00177E1D">
        <w:rPr>
          <w:rStyle w:val="FootnoteReference"/>
          <w:rFonts w:eastAsia="Times New Roman" w:cs="Times New Roman"/>
          <w:szCs w:val="20"/>
          <w:lang w:val="en-GB" w:eastAsia="en-GB"/>
        </w:rPr>
        <w:footnoteReference w:id="13"/>
      </w:r>
      <w:r w:rsidRPr="00177E1D">
        <w:rPr>
          <w:rFonts w:eastAsia="Times New Roman" w:cs="Times New Roman"/>
          <w:szCs w:val="20"/>
          <w:lang w:val="en-GB" w:eastAsia="en-GB"/>
        </w:rPr>
        <w:t xml:space="preserve">. As part of this review process, the Board must consider whether </w:t>
      </w:r>
      <w:r w:rsidR="00CC7880">
        <w:rPr>
          <w:rFonts w:eastAsia="Times New Roman" w:cs="Times New Roman"/>
          <w:szCs w:val="20"/>
          <w:lang w:val="en-GB" w:eastAsia="en-GB"/>
        </w:rPr>
        <w:t>the SWR Act</w:t>
      </w:r>
      <w:r w:rsidRPr="00177E1D">
        <w:rPr>
          <w:rFonts w:eastAsia="Times New Roman" w:cs="Times New Roman"/>
          <w:szCs w:val="20"/>
          <w:lang w:val="en-GB" w:eastAsia="en-GB"/>
        </w:rPr>
        <w:t>, and the system of voluntary registration it provides for, are achieving the purposes of protecting public safety and enhancing the professionalism of social workers.</w:t>
      </w:r>
      <w:r w:rsidR="00280E2B" w:rsidRPr="00177E1D">
        <w:rPr>
          <w:rFonts w:eastAsia="Times New Roman" w:cs="Times New Roman"/>
          <w:szCs w:val="20"/>
          <w:lang w:val="en-GB" w:eastAsia="en-GB"/>
        </w:rPr>
        <w:t xml:space="preserve"> </w:t>
      </w:r>
      <w:r w:rsidRPr="00177E1D">
        <w:rPr>
          <w:rFonts w:eastAsia="Times New Roman" w:cs="Times New Roman"/>
          <w:szCs w:val="20"/>
          <w:lang w:val="en-GB" w:eastAsia="en-GB"/>
        </w:rPr>
        <w:t xml:space="preserve"> The last review was completed in 2015. </w:t>
      </w:r>
      <w:r w:rsidR="00280E2B" w:rsidRPr="00177E1D">
        <w:rPr>
          <w:rFonts w:eastAsia="Times New Roman" w:cs="Times New Roman"/>
          <w:szCs w:val="20"/>
          <w:lang w:val="en-GB" w:eastAsia="en-GB"/>
        </w:rPr>
        <w:t xml:space="preserve"> </w:t>
      </w:r>
      <w:r w:rsidRPr="00177E1D">
        <w:rPr>
          <w:rFonts w:eastAsia="Times New Roman" w:cs="Times New Roman"/>
          <w:szCs w:val="20"/>
          <w:lang w:val="en-GB" w:eastAsia="en-GB"/>
        </w:rPr>
        <w:t xml:space="preserve">This review (as did the 2012 review) concluded that it </w:t>
      </w:r>
      <w:r w:rsidR="00280E2B" w:rsidRPr="00177E1D">
        <w:rPr>
          <w:rFonts w:eastAsia="Times New Roman" w:cs="Times New Roman"/>
          <w:szCs w:val="20"/>
          <w:lang w:val="en-GB" w:eastAsia="en-GB"/>
        </w:rPr>
        <w:t>was</w:t>
      </w:r>
      <w:r w:rsidRPr="00177E1D">
        <w:rPr>
          <w:rFonts w:eastAsia="Times New Roman" w:cs="Times New Roman"/>
          <w:szCs w:val="20"/>
          <w:lang w:val="en-GB" w:eastAsia="en-GB"/>
        </w:rPr>
        <w:t xml:space="preserve"> time to move to a mandatory system of social work registration to ensure that the public is protected from those individuals who are not competent, qualified, and experienced social workers.</w:t>
      </w:r>
    </w:p>
    <w:p w:rsidR="006206BC" w:rsidRPr="00177E1D" w:rsidRDefault="006206BC" w:rsidP="00177E1D">
      <w:pPr>
        <w:numPr>
          <w:ilvl w:val="0"/>
          <w:numId w:val="8"/>
        </w:numPr>
        <w:spacing w:after="240" w:line="240" w:lineRule="auto"/>
        <w:ind w:left="567" w:hanging="567"/>
        <w:rPr>
          <w:rFonts w:eastAsia="Times New Roman" w:cs="Times New Roman"/>
          <w:szCs w:val="20"/>
          <w:lang w:val="en-GB" w:eastAsia="en-GB"/>
        </w:rPr>
      </w:pPr>
      <w:r w:rsidRPr="00177E1D">
        <w:rPr>
          <w:rFonts w:eastAsia="Times New Roman" w:cs="Times New Roman"/>
          <w:szCs w:val="20"/>
          <w:lang w:val="en-GB" w:eastAsia="en-GB"/>
        </w:rPr>
        <w:t>In 2016 the Minister</w:t>
      </w:r>
      <w:r w:rsidR="00D97D37">
        <w:rPr>
          <w:rFonts w:eastAsia="Times New Roman" w:cs="Times New Roman"/>
          <w:szCs w:val="20"/>
          <w:lang w:val="en-GB" w:eastAsia="en-GB"/>
        </w:rPr>
        <w:t xml:space="preserve"> </w:t>
      </w:r>
      <w:r w:rsidR="00280E2B" w:rsidRPr="00177E1D">
        <w:rPr>
          <w:rFonts w:eastAsia="Times New Roman" w:cs="Times New Roman"/>
          <w:szCs w:val="20"/>
          <w:lang w:val="en-GB" w:eastAsia="en-GB"/>
        </w:rPr>
        <w:t>asked</w:t>
      </w:r>
      <w:r w:rsidRPr="00177E1D">
        <w:rPr>
          <w:rFonts w:eastAsia="Times New Roman" w:cs="Times New Roman"/>
          <w:szCs w:val="20"/>
          <w:lang w:val="en-GB" w:eastAsia="en-GB"/>
        </w:rPr>
        <w:t xml:space="preserve"> the </w:t>
      </w:r>
      <w:r w:rsidR="00D97D37">
        <w:rPr>
          <w:rFonts w:eastAsia="Times New Roman" w:cs="Times New Roman"/>
          <w:szCs w:val="20"/>
          <w:lang w:val="en-GB" w:eastAsia="en-GB"/>
        </w:rPr>
        <w:t>Select</w:t>
      </w:r>
      <w:r w:rsidRPr="00177E1D">
        <w:rPr>
          <w:rFonts w:eastAsia="Times New Roman" w:cs="Times New Roman"/>
          <w:szCs w:val="20"/>
          <w:lang w:val="en-GB" w:eastAsia="en-GB"/>
        </w:rPr>
        <w:t xml:space="preserve"> Committee </w:t>
      </w:r>
      <w:r w:rsidR="00280E2B" w:rsidRPr="00177E1D">
        <w:rPr>
          <w:rFonts w:eastAsia="Times New Roman" w:cs="Times New Roman"/>
          <w:szCs w:val="20"/>
          <w:lang w:val="en-GB" w:eastAsia="en-GB"/>
        </w:rPr>
        <w:t xml:space="preserve">to </w:t>
      </w:r>
      <w:r w:rsidRPr="00177E1D">
        <w:rPr>
          <w:rFonts w:eastAsia="Times New Roman" w:cs="Times New Roman"/>
          <w:szCs w:val="20"/>
          <w:lang w:val="en-GB" w:eastAsia="en-GB"/>
        </w:rPr>
        <w:t>undert</w:t>
      </w:r>
      <w:r w:rsidR="00280E2B" w:rsidRPr="00177E1D">
        <w:rPr>
          <w:rFonts w:eastAsia="Times New Roman" w:cs="Times New Roman"/>
          <w:szCs w:val="20"/>
          <w:lang w:val="en-GB" w:eastAsia="en-GB"/>
        </w:rPr>
        <w:t>ake</w:t>
      </w:r>
      <w:r w:rsidRPr="00177E1D">
        <w:rPr>
          <w:rFonts w:eastAsia="Times New Roman" w:cs="Times New Roman"/>
          <w:szCs w:val="20"/>
          <w:lang w:val="en-GB" w:eastAsia="en-GB"/>
        </w:rPr>
        <w:t xml:space="preserve"> an inquiry into </w:t>
      </w:r>
      <w:r w:rsidR="00280E2B" w:rsidRPr="00177E1D">
        <w:rPr>
          <w:rFonts w:eastAsia="Times New Roman" w:cs="Times New Roman"/>
          <w:szCs w:val="20"/>
          <w:lang w:val="en-GB" w:eastAsia="en-GB"/>
        </w:rPr>
        <w:t xml:space="preserve">the issues that had been raised by the </w:t>
      </w:r>
      <w:r w:rsidR="002628DD" w:rsidRPr="00177E1D">
        <w:rPr>
          <w:rFonts w:eastAsia="Times New Roman" w:cs="Times New Roman"/>
          <w:szCs w:val="20"/>
          <w:lang w:val="en-GB" w:eastAsia="en-GB"/>
        </w:rPr>
        <w:t xml:space="preserve">Board. </w:t>
      </w:r>
      <w:r w:rsidR="00280E2B" w:rsidRPr="00177E1D">
        <w:t xml:space="preserve"> The Board served as advisors to the </w:t>
      </w:r>
      <w:r w:rsidR="00101F12">
        <w:t xml:space="preserve">Select </w:t>
      </w:r>
      <w:r w:rsidR="00280E2B" w:rsidRPr="00177E1D">
        <w:t>Committee.</w:t>
      </w:r>
      <w:r w:rsidR="003E4391">
        <w:t xml:space="preserve">  </w:t>
      </w:r>
    </w:p>
    <w:p w:rsidR="00CF603E" w:rsidRPr="00177E1D" w:rsidRDefault="00CF603E" w:rsidP="00177E1D">
      <w:pPr>
        <w:numPr>
          <w:ilvl w:val="0"/>
          <w:numId w:val="8"/>
        </w:numPr>
        <w:spacing w:after="240" w:line="240" w:lineRule="auto"/>
        <w:ind w:left="567" w:hanging="567"/>
        <w:rPr>
          <w:rFonts w:eastAsia="Times New Roman" w:cs="Times New Roman"/>
          <w:szCs w:val="20"/>
          <w:lang w:val="en-GB" w:eastAsia="en-GB"/>
        </w:rPr>
      </w:pPr>
      <w:r w:rsidRPr="00177E1D">
        <w:rPr>
          <w:rFonts w:eastAsia="Times New Roman" w:cs="Times New Roman"/>
          <w:szCs w:val="20"/>
          <w:lang w:val="en-GB" w:eastAsia="en-GB"/>
        </w:rPr>
        <w:t xml:space="preserve">The </w:t>
      </w:r>
      <w:r w:rsidR="00101F12">
        <w:rPr>
          <w:rFonts w:eastAsia="Times New Roman" w:cs="Times New Roman"/>
          <w:szCs w:val="20"/>
          <w:lang w:val="en-GB" w:eastAsia="en-GB"/>
        </w:rPr>
        <w:t xml:space="preserve">Select </w:t>
      </w:r>
      <w:r w:rsidRPr="00177E1D">
        <w:rPr>
          <w:rFonts w:eastAsia="Times New Roman" w:cs="Times New Roman"/>
          <w:szCs w:val="20"/>
          <w:lang w:val="en-GB" w:eastAsia="en-GB"/>
        </w:rPr>
        <w:t xml:space="preserve">Committee </w:t>
      </w:r>
      <w:r w:rsidR="00351786" w:rsidRPr="00177E1D">
        <w:rPr>
          <w:rFonts w:eastAsia="Times New Roman" w:cs="Times New Roman"/>
          <w:szCs w:val="20"/>
          <w:lang w:val="en-GB" w:eastAsia="en-GB"/>
        </w:rPr>
        <w:t>released its Report on 2 December 2016</w:t>
      </w:r>
      <w:r w:rsidR="00754124" w:rsidRPr="00177E1D">
        <w:rPr>
          <w:rFonts w:eastAsia="Times New Roman" w:cs="Times New Roman"/>
          <w:szCs w:val="20"/>
          <w:lang w:val="en-GB" w:eastAsia="en-GB"/>
        </w:rPr>
        <w:t xml:space="preserve"> </w:t>
      </w:r>
      <w:r w:rsidRPr="00177E1D">
        <w:rPr>
          <w:rFonts w:eastAsia="Times New Roman" w:cs="Times New Roman"/>
          <w:szCs w:val="20"/>
          <w:lang w:val="en-GB" w:eastAsia="en-GB"/>
        </w:rPr>
        <w:t>conclud</w:t>
      </w:r>
      <w:r w:rsidR="00C04C50">
        <w:rPr>
          <w:rFonts w:eastAsia="Times New Roman" w:cs="Times New Roman"/>
          <w:szCs w:val="20"/>
          <w:lang w:val="en-GB" w:eastAsia="en-GB"/>
        </w:rPr>
        <w:t>ing</w:t>
      </w:r>
      <w:r w:rsidRPr="00177E1D">
        <w:rPr>
          <w:rFonts w:eastAsia="Times New Roman" w:cs="Times New Roman"/>
          <w:szCs w:val="20"/>
          <w:lang w:val="en-GB" w:eastAsia="en-GB"/>
        </w:rPr>
        <w:t xml:space="preserve"> that legislative reform is needed to: strengthen the regulatory framework for the sector, to increase the professionalism and competence of social workers, and provide greater protection for the public. </w:t>
      </w:r>
      <w:r w:rsidR="00351786" w:rsidRPr="00177E1D">
        <w:rPr>
          <w:rFonts w:eastAsia="Times New Roman" w:cs="Times New Roman"/>
          <w:szCs w:val="20"/>
          <w:lang w:val="en-GB" w:eastAsia="en-GB"/>
        </w:rPr>
        <w:t xml:space="preserve"> </w:t>
      </w:r>
      <w:r w:rsidRPr="00177E1D">
        <w:rPr>
          <w:rFonts w:eastAsia="Times New Roman" w:cs="Times New Roman"/>
          <w:szCs w:val="20"/>
          <w:lang w:val="en-GB" w:eastAsia="en-GB"/>
        </w:rPr>
        <w:t xml:space="preserve">Overall, the </w:t>
      </w:r>
      <w:r w:rsidR="00101F12">
        <w:rPr>
          <w:rFonts w:eastAsia="Times New Roman" w:cs="Times New Roman"/>
          <w:szCs w:val="20"/>
          <w:lang w:val="en-GB" w:eastAsia="en-GB"/>
        </w:rPr>
        <w:t xml:space="preserve">Select </w:t>
      </w:r>
      <w:r w:rsidRPr="00177E1D">
        <w:rPr>
          <w:rFonts w:eastAsia="Times New Roman" w:cs="Times New Roman"/>
          <w:szCs w:val="20"/>
          <w:lang w:val="en-GB" w:eastAsia="en-GB"/>
        </w:rPr>
        <w:t>Committee found that:</w:t>
      </w:r>
    </w:p>
    <w:p w:rsidR="00CF603E" w:rsidRPr="00177E1D" w:rsidRDefault="00CF603E" w:rsidP="005B5FC6">
      <w:pPr>
        <w:numPr>
          <w:ilvl w:val="0"/>
          <w:numId w:val="16"/>
        </w:numPr>
        <w:spacing w:after="240" w:line="240" w:lineRule="auto"/>
        <w:rPr>
          <w:rFonts w:eastAsia="Times New Roman" w:cs="Times New Roman"/>
          <w:szCs w:val="20"/>
          <w:lang w:val="en-GB" w:eastAsia="en-GB"/>
        </w:rPr>
      </w:pPr>
      <w:r w:rsidRPr="00177E1D">
        <w:rPr>
          <w:rFonts w:eastAsia="Times New Roman" w:cs="Times New Roman"/>
          <w:szCs w:val="20"/>
          <w:lang w:val="en-GB" w:eastAsia="en-GB"/>
        </w:rPr>
        <w:t>registration should be mandatory for social workers and social work students</w:t>
      </w:r>
    </w:p>
    <w:p w:rsidR="00CF603E" w:rsidRPr="00177E1D" w:rsidRDefault="00CF603E" w:rsidP="005B5FC6">
      <w:pPr>
        <w:numPr>
          <w:ilvl w:val="0"/>
          <w:numId w:val="16"/>
        </w:numPr>
        <w:spacing w:after="240" w:line="240" w:lineRule="auto"/>
        <w:rPr>
          <w:rFonts w:eastAsia="Times New Roman" w:cs="Times New Roman"/>
          <w:szCs w:val="20"/>
          <w:lang w:val="en-GB" w:eastAsia="en-GB"/>
        </w:rPr>
      </w:pPr>
      <w:r w:rsidRPr="00177E1D">
        <w:rPr>
          <w:rFonts w:eastAsia="Times New Roman" w:cs="Times New Roman"/>
          <w:szCs w:val="20"/>
          <w:lang w:val="en-GB" w:eastAsia="en-GB"/>
        </w:rPr>
        <w:t>the present requirement for a competence assessment in addition to a qualification, repeated every five years, should be removed</w:t>
      </w:r>
    </w:p>
    <w:p w:rsidR="00CF603E" w:rsidRPr="00177E1D" w:rsidRDefault="00CF603E" w:rsidP="005B5FC6">
      <w:pPr>
        <w:numPr>
          <w:ilvl w:val="0"/>
          <w:numId w:val="16"/>
        </w:numPr>
        <w:spacing w:after="240" w:line="240" w:lineRule="auto"/>
        <w:rPr>
          <w:rFonts w:eastAsia="Times New Roman" w:cs="Times New Roman"/>
          <w:szCs w:val="20"/>
          <w:lang w:val="en-GB" w:eastAsia="en-GB"/>
        </w:rPr>
      </w:pPr>
      <w:r w:rsidRPr="00177E1D">
        <w:rPr>
          <w:rFonts w:eastAsia="Times New Roman" w:cs="Times New Roman"/>
          <w:szCs w:val="20"/>
          <w:lang w:val="en-GB" w:eastAsia="en-GB"/>
        </w:rPr>
        <w:t>social workers with a recognised New Zealand qualification should be presumed to be competent, but the Board may still require assessments as needed</w:t>
      </w:r>
    </w:p>
    <w:p w:rsidR="00CF603E" w:rsidRPr="00CF603E" w:rsidRDefault="00CF603E" w:rsidP="005B5FC6">
      <w:pPr>
        <w:numPr>
          <w:ilvl w:val="0"/>
          <w:numId w:val="16"/>
        </w:numPr>
        <w:spacing w:after="240" w:line="240" w:lineRule="auto"/>
        <w:rPr>
          <w:rFonts w:eastAsia="Times New Roman" w:cs="Times New Roman"/>
          <w:szCs w:val="20"/>
          <w:lang w:val="en-GB" w:eastAsia="en-GB"/>
        </w:rPr>
      </w:pPr>
      <w:r w:rsidRPr="00CF603E">
        <w:rPr>
          <w:rFonts w:eastAsia="Times New Roman" w:cs="Times New Roman"/>
          <w:szCs w:val="20"/>
          <w:lang w:val="en-GB" w:eastAsia="en-GB"/>
        </w:rPr>
        <w:t>strengthening of vetting, on-going fitness to practice, and complaints and disciplinary processes</w:t>
      </w:r>
    </w:p>
    <w:p w:rsidR="00CF603E" w:rsidRPr="00CF603E" w:rsidRDefault="00CF603E" w:rsidP="005B5FC6">
      <w:pPr>
        <w:numPr>
          <w:ilvl w:val="0"/>
          <w:numId w:val="16"/>
        </w:numPr>
        <w:spacing w:after="240" w:line="240" w:lineRule="auto"/>
        <w:rPr>
          <w:rFonts w:eastAsia="Times New Roman" w:cs="Times New Roman"/>
          <w:szCs w:val="20"/>
          <w:lang w:val="en-GB" w:eastAsia="en-GB"/>
        </w:rPr>
      </w:pPr>
      <w:r w:rsidRPr="00CF603E">
        <w:rPr>
          <w:rFonts w:eastAsia="Times New Roman" w:cs="Times New Roman"/>
          <w:szCs w:val="20"/>
          <w:lang w:val="en-GB" w:eastAsia="en-GB"/>
        </w:rPr>
        <w:t>social work registration on the basis of practice experience should be phased out</w:t>
      </w:r>
    </w:p>
    <w:p w:rsidR="006206BC" w:rsidRDefault="006206BC"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Cabinet approved the Government Response to the </w:t>
      </w:r>
      <w:r w:rsidR="00101F12">
        <w:rPr>
          <w:rFonts w:eastAsia="Times New Roman" w:cs="Times New Roman"/>
          <w:szCs w:val="20"/>
          <w:lang w:val="en-GB" w:eastAsia="en-GB"/>
        </w:rPr>
        <w:t xml:space="preserve">Select </w:t>
      </w:r>
      <w:r>
        <w:rPr>
          <w:rFonts w:eastAsia="Times New Roman" w:cs="Times New Roman"/>
          <w:szCs w:val="20"/>
          <w:lang w:val="en-GB" w:eastAsia="en-GB"/>
        </w:rPr>
        <w:t>Committee’s Report on 13 March 2017 (CAB-17-MIN-0090) and t</w:t>
      </w:r>
      <w:r w:rsidR="00CF603E" w:rsidRPr="00CF603E">
        <w:rPr>
          <w:rFonts w:eastAsia="Times New Roman" w:cs="Times New Roman"/>
          <w:szCs w:val="20"/>
          <w:lang w:val="en-GB" w:eastAsia="en-GB"/>
        </w:rPr>
        <w:t>he Government Res</w:t>
      </w:r>
      <w:r>
        <w:rPr>
          <w:rFonts w:eastAsia="Times New Roman" w:cs="Times New Roman"/>
          <w:szCs w:val="20"/>
          <w:lang w:val="en-GB" w:eastAsia="en-GB"/>
        </w:rPr>
        <w:t xml:space="preserve">ponse </w:t>
      </w:r>
      <w:r w:rsidR="00CF603E" w:rsidRPr="00CF603E">
        <w:rPr>
          <w:rFonts w:eastAsia="Times New Roman" w:cs="Times New Roman"/>
          <w:szCs w:val="20"/>
          <w:lang w:val="en-GB" w:eastAsia="en-GB"/>
        </w:rPr>
        <w:t xml:space="preserve">was presented </w:t>
      </w:r>
      <w:r w:rsidR="00CF603E" w:rsidRPr="00CF603E">
        <w:rPr>
          <w:rFonts w:eastAsia="Times New Roman" w:cs="Times New Roman"/>
          <w:szCs w:val="20"/>
          <w:lang w:val="en-GB" w:eastAsia="en-GB"/>
        </w:rPr>
        <w:lastRenderedPageBreak/>
        <w:t xml:space="preserve">to the House on 21 March 2017. </w:t>
      </w:r>
      <w:r w:rsidR="00DD2AA0">
        <w:rPr>
          <w:rFonts w:eastAsia="Times New Roman" w:cs="Times New Roman"/>
          <w:szCs w:val="20"/>
          <w:lang w:val="en-GB" w:eastAsia="en-GB"/>
        </w:rPr>
        <w:t xml:space="preserve"> </w:t>
      </w:r>
      <w:r w:rsidR="00CF603E" w:rsidRPr="00CF603E">
        <w:rPr>
          <w:rFonts w:eastAsia="Times New Roman" w:cs="Times New Roman"/>
          <w:szCs w:val="20"/>
          <w:lang w:val="en-GB" w:eastAsia="en-GB"/>
        </w:rPr>
        <w:t xml:space="preserve">That Response acknowledged the overall intent of the </w:t>
      </w:r>
      <w:r w:rsidR="00101F12">
        <w:rPr>
          <w:rFonts w:eastAsia="Times New Roman" w:cs="Times New Roman"/>
          <w:szCs w:val="20"/>
          <w:lang w:val="en-GB" w:eastAsia="en-GB"/>
        </w:rPr>
        <w:t xml:space="preserve">Select </w:t>
      </w:r>
      <w:r w:rsidR="00CF603E" w:rsidRPr="00CF603E">
        <w:rPr>
          <w:rFonts w:eastAsia="Times New Roman" w:cs="Times New Roman"/>
          <w:szCs w:val="20"/>
          <w:lang w:val="en-GB" w:eastAsia="en-GB"/>
        </w:rPr>
        <w:t xml:space="preserve">Committee’s recommendations, and the case made by the </w:t>
      </w:r>
      <w:r w:rsidR="00101F12">
        <w:rPr>
          <w:rFonts w:eastAsia="Times New Roman" w:cs="Times New Roman"/>
          <w:szCs w:val="20"/>
          <w:lang w:val="en-GB" w:eastAsia="en-GB"/>
        </w:rPr>
        <w:t xml:space="preserve">Select </w:t>
      </w:r>
      <w:r w:rsidR="00CF603E" w:rsidRPr="00CF603E">
        <w:rPr>
          <w:rFonts w:eastAsia="Times New Roman" w:cs="Times New Roman"/>
          <w:szCs w:val="20"/>
          <w:lang w:val="en-GB" w:eastAsia="en-GB"/>
        </w:rPr>
        <w:t xml:space="preserve">Committee for some form of increased regulation of social workers. It also noted that the Government would carry out further work to identify possible policy and legislative changes that could best give effect to the intent of the </w:t>
      </w:r>
      <w:r w:rsidR="00101F12">
        <w:rPr>
          <w:rFonts w:eastAsia="Times New Roman" w:cs="Times New Roman"/>
          <w:szCs w:val="20"/>
          <w:lang w:val="en-GB" w:eastAsia="en-GB"/>
        </w:rPr>
        <w:t xml:space="preserve">Select </w:t>
      </w:r>
      <w:r w:rsidR="00CF603E" w:rsidRPr="00CF603E">
        <w:rPr>
          <w:rFonts w:eastAsia="Times New Roman" w:cs="Times New Roman"/>
          <w:szCs w:val="20"/>
          <w:lang w:val="en-GB" w:eastAsia="en-GB"/>
        </w:rPr>
        <w:t>Committee’s recommendations to increase the professionalism of the social work workforce.</w:t>
      </w:r>
      <w:r>
        <w:rPr>
          <w:rFonts w:eastAsia="Times New Roman" w:cs="Times New Roman"/>
          <w:szCs w:val="20"/>
          <w:lang w:val="en-GB" w:eastAsia="en-GB"/>
        </w:rPr>
        <w:t xml:space="preserve"> </w:t>
      </w:r>
    </w:p>
    <w:p w:rsidR="00CF603E" w:rsidRPr="00CF603E" w:rsidRDefault="006206BC"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When approving the Government Response</w:t>
      </w:r>
      <w:r w:rsidR="0063682F">
        <w:rPr>
          <w:rFonts w:eastAsia="Times New Roman" w:cs="Times New Roman"/>
          <w:szCs w:val="20"/>
          <w:lang w:val="en-GB" w:eastAsia="en-GB"/>
        </w:rPr>
        <w:t>,</w:t>
      </w:r>
      <w:r>
        <w:rPr>
          <w:rFonts w:eastAsia="Times New Roman" w:cs="Times New Roman"/>
          <w:szCs w:val="20"/>
          <w:lang w:val="en-GB" w:eastAsia="en-GB"/>
        </w:rPr>
        <w:t xml:space="preserve"> Cabinet agreed to further work to identify the best options to increase the professionalism of the social work workforce; and invited the Minister to report back to </w:t>
      </w:r>
      <w:r w:rsidR="00D97D37">
        <w:rPr>
          <w:rFonts w:eastAsia="Times New Roman" w:cs="Times New Roman"/>
          <w:szCs w:val="20"/>
          <w:lang w:val="en-GB" w:eastAsia="en-GB"/>
        </w:rPr>
        <w:t>SOC</w:t>
      </w:r>
      <w:r>
        <w:rPr>
          <w:rFonts w:eastAsia="Times New Roman" w:cs="Times New Roman"/>
          <w:szCs w:val="20"/>
          <w:lang w:val="en-GB" w:eastAsia="en-GB"/>
        </w:rPr>
        <w:t xml:space="preserve"> by 3 May 2017 with reform proposals (including any legislative proposals) (CAB-17-MIN-0090).</w:t>
      </w:r>
    </w:p>
    <w:p w:rsidR="00DD2AA0" w:rsidRDefault="00DD2AA0" w:rsidP="00177E1D">
      <w:pPr>
        <w:spacing w:after="240" w:line="240" w:lineRule="auto"/>
        <w:rPr>
          <w:rFonts w:cstheme="minorHAnsi"/>
          <w:b/>
          <w:spacing w:val="20"/>
          <w:w w:val="90"/>
          <w:szCs w:val="20"/>
        </w:rPr>
      </w:pPr>
      <w:r w:rsidRPr="002A5D5B">
        <w:rPr>
          <w:rFonts w:cstheme="minorHAnsi"/>
          <w:b/>
          <w:spacing w:val="20"/>
          <w:w w:val="90"/>
          <w:szCs w:val="20"/>
        </w:rPr>
        <w:t>Problem definition and proposed response</w:t>
      </w:r>
    </w:p>
    <w:p w:rsidR="00DB29FD" w:rsidRDefault="00DB29FD" w:rsidP="00177E1D">
      <w:pPr>
        <w:numPr>
          <w:ilvl w:val="0"/>
          <w:numId w:val="8"/>
        </w:numPr>
        <w:spacing w:after="240" w:line="240" w:lineRule="auto"/>
        <w:ind w:left="567" w:hanging="567"/>
        <w:rPr>
          <w:rFonts w:eastAsia="Times New Roman"/>
          <w:szCs w:val="20"/>
          <w:lang w:val="en-GB" w:eastAsia="en-GB"/>
        </w:rPr>
      </w:pPr>
      <w:r w:rsidRPr="00CD2F3E">
        <w:rPr>
          <w:rFonts w:eastAsia="Times New Roman"/>
          <w:szCs w:val="20"/>
          <w:lang w:val="en-GB" w:eastAsia="en-GB"/>
        </w:rPr>
        <w:t xml:space="preserve">Simply stated, the immediate problem is that </w:t>
      </w:r>
      <w:r w:rsidR="00421BD3" w:rsidRPr="00CD2F3E">
        <w:rPr>
          <w:rFonts w:eastAsia="Times New Roman"/>
          <w:szCs w:val="20"/>
          <w:lang w:val="en-GB" w:eastAsia="en-GB"/>
        </w:rPr>
        <w:t xml:space="preserve">approximately </w:t>
      </w:r>
      <w:r w:rsidR="00754124" w:rsidRPr="00CD2F3E">
        <w:rPr>
          <w:rFonts w:eastAsia="Times New Roman"/>
          <w:szCs w:val="20"/>
          <w:lang w:val="en-GB" w:eastAsia="en-GB"/>
        </w:rPr>
        <w:t xml:space="preserve">two </w:t>
      </w:r>
      <w:r w:rsidRPr="00CD2F3E">
        <w:rPr>
          <w:rFonts w:eastAsia="Times New Roman"/>
          <w:szCs w:val="20"/>
          <w:lang w:val="en-GB" w:eastAsia="en-GB"/>
        </w:rPr>
        <w:t>thousand non-registered social workers (estimated as around a quarter of the whole profession)</w:t>
      </w:r>
      <w:r>
        <w:rPr>
          <w:rFonts w:eastAsia="Times New Roman"/>
          <w:szCs w:val="20"/>
          <w:lang w:val="en-GB" w:eastAsia="en-GB"/>
        </w:rPr>
        <w:t xml:space="preserve"> </w:t>
      </w:r>
      <w:r w:rsidRPr="002A5D5B">
        <w:rPr>
          <w:rFonts w:eastAsia="Times New Roman"/>
          <w:szCs w:val="20"/>
          <w:lang w:val="en-GB" w:eastAsia="en-GB"/>
        </w:rPr>
        <w:t xml:space="preserve">practise outside the regulatory regime designed to protect </w:t>
      </w:r>
      <w:r>
        <w:rPr>
          <w:rFonts w:eastAsia="Times New Roman"/>
          <w:szCs w:val="20"/>
          <w:lang w:val="en-GB" w:eastAsia="en-GB"/>
        </w:rPr>
        <w:t xml:space="preserve">clients and </w:t>
      </w:r>
      <w:r w:rsidRPr="002A5D5B">
        <w:rPr>
          <w:rFonts w:eastAsia="Times New Roman"/>
          <w:szCs w:val="20"/>
          <w:lang w:val="en-GB" w:eastAsia="en-GB"/>
        </w:rPr>
        <w:t>the public</w:t>
      </w:r>
      <w:r w:rsidR="00DE76C2">
        <w:rPr>
          <w:rFonts w:eastAsia="Times New Roman"/>
          <w:szCs w:val="20"/>
          <w:lang w:val="en-GB" w:eastAsia="en-GB"/>
        </w:rPr>
        <w:t>,</w:t>
      </w:r>
      <w:r w:rsidRPr="002A5D5B">
        <w:rPr>
          <w:rFonts w:eastAsia="Times New Roman"/>
          <w:szCs w:val="20"/>
          <w:lang w:val="en-GB" w:eastAsia="en-GB"/>
        </w:rPr>
        <w:t xml:space="preserve"> and ensure competent</w:t>
      </w:r>
      <w:r w:rsidR="008321B5">
        <w:rPr>
          <w:rFonts w:eastAsia="Times New Roman"/>
          <w:szCs w:val="20"/>
          <w:lang w:val="en-GB" w:eastAsia="en-GB"/>
        </w:rPr>
        <w:t xml:space="preserve">, </w:t>
      </w:r>
      <w:r w:rsidRPr="002A5D5B">
        <w:rPr>
          <w:rFonts w:eastAsia="Times New Roman"/>
          <w:szCs w:val="20"/>
          <w:lang w:val="en-GB" w:eastAsia="en-GB"/>
        </w:rPr>
        <w:t>effective</w:t>
      </w:r>
      <w:r w:rsidR="008321B5">
        <w:rPr>
          <w:rFonts w:eastAsia="Times New Roman"/>
          <w:szCs w:val="20"/>
          <w:lang w:val="en-GB" w:eastAsia="en-GB"/>
        </w:rPr>
        <w:t xml:space="preserve"> and accountable</w:t>
      </w:r>
      <w:r w:rsidRPr="002A5D5B">
        <w:rPr>
          <w:rFonts w:eastAsia="Times New Roman"/>
          <w:szCs w:val="20"/>
          <w:lang w:val="en-GB" w:eastAsia="en-GB"/>
        </w:rPr>
        <w:t xml:space="preserve"> social work services.</w:t>
      </w:r>
      <w:r>
        <w:rPr>
          <w:rFonts w:eastAsia="Times New Roman"/>
          <w:szCs w:val="20"/>
          <w:lang w:val="en-GB" w:eastAsia="en-GB"/>
        </w:rPr>
        <w:t xml:space="preserve">  </w:t>
      </w:r>
      <w:r w:rsidR="005C2FCE">
        <w:rPr>
          <w:rFonts w:eastAsia="Times New Roman"/>
          <w:szCs w:val="20"/>
          <w:lang w:val="en-GB" w:eastAsia="en-GB"/>
        </w:rPr>
        <w:t>This means</w:t>
      </w:r>
      <w:r>
        <w:rPr>
          <w:rFonts w:eastAsia="Times New Roman"/>
          <w:szCs w:val="20"/>
          <w:lang w:val="en-GB" w:eastAsia="en-GB"/>
        </w:rPr>
        <w:t xml:space="preserve"> that the quality of social work services in New Zealand is </w:t>
      </w:r>
      <w:r w:rsidR="00DE76C2">
        <w:rPr>
          <w:rFonts w:eastAsia="Times New Roman"/>
          <w:szCs w:val="20"/>
          <w:lang w:val="en-GB" w:eastAsia="en-GB"/>
        </w:rPr>
        <w:t>not</w:t>
      </w:r>
      <w:r>
        <w:rPr>
          <w:rFonts w:eastAsia="Times New Roman"/>
          <w:szCs w:val="20"/>
          <w:lang w:val="en-GB" w:eastAsia="en-GB"/>
        </w:rPr>
        <w:t xml:space="preserve"> as good as it should be, and that the regulatory regime</w:t>
      </w:r>
      <w:r w:rsidR="00643129">
        <w:rPr>
          <w:rFonts w:eastAsia="Times New Roman"/>
          <w:szCs w:val="20"/>
          <w:lang w:val="en-GB" w:eastAsia="en-GB"/>
        </w:rPr>
        <w:t xml:space="preserve"> is not as effective as it could be in </w:t>
      </w:r>
      <w:r w:rsidR="00DE76C2">
        <w:rPr>
          <w:rFonts w:eastAsia="Times New Roman"/>
          <w:szCs w:val="20"/>
          <w:lang w:val="en-GB" w:eastAsia="en-GB"/>
        </w:rPr>
        <w:t>ensuring</w:t>
      </w:r>
      <w:r w:rsidR="00643129">
        <w:rPr>
          <w:rFonts w:eastAsia="Times New Roman"/>
          <w:szCs w:val="20"/>
          <w:lang w:val="en-GB" w:eastAsia="en-GB"/>
        </w:rPr>
        <w:t xml:space="preserve"> quality and addressing risks and failures.</w:t>
      </w:r>
      <w:r w:rsidR="008321B5">
        <w:rPr>
          <w:rFonts w:eastAsia="Times New Roman"/>
          <w:szCs w:val="20"/>
          <w:lang w:val="en-GB" w:eastAsia="en-GB"/>
        </w:rPr>
        <w:t xml:space="preserve">  </w:t>
      </w:r>
    </w:p>
    <w:p w:rsidR="009D740D" w:rsidRDefault="00124118" w:rsidP="00177E1D">
      <w:pPr>
        <w:numPr>
          <w:ilvl w:val="0"/>
          <w:numId w:val="8"/>
        </w:numPr>
        <w:spacing w:after="240" w:line="240" w:lineRule="auto"/>
        <w:ind w:left="567" w:hanging="567"/>
        <w:rPr>
          <w:rFonts w:eastAsia="Times New Roman"/>
          <w:szCs w:val="20"/>
          <w:lang w:val="en-GB" w:eastAsia="en-GB"/>
        </w:rPr>
      </w:pPr>
      <w:r>
        <w:rPr>
          <w:rFonts w:eastAsia="Times New Roman"/>
          <w:szCs w:val="20"/>
          <w:lang w:val="en-GB" w:eastAsia="en-GB"/>
        </w:rPr>
        <w:t>T</w:t>
      </w:r>
      <w:r w:rsidR="009D740D">
        <w:rPr>
          <w:rFonts w:eastAsia="Times New Roman"/>
          <w:szCs w:val="20"/>
          <w:lang w:val="en-GB" w:eastAsia="en-GB"/>
        </w:rPr>
        <w:t>he type</w:t>
      </w:r>
      <w:r>
        <w:rPr>
          <w:rFonts w:eastAsia="Times New Roman"/>
          <w:szCs w:val="20"/>
          <w:lang w:val="en-GB" w:eastAsia="en-GB"/>
        </w:rPr>
        <w:t>s</w:t>
      </w:r>
      <w:r w:rsidR="009D740D">
        <w:rPr>
          <w:rFonts w:eastAsia="Times New Roman"/>
          <w:szCs w:val="20"/>
          <w:lang w:val="en-GB" w:eastAsia="en-GB"/>
        </w:rPr>
        <w:t xml:space="preserve"> of harm that </w:t>
      </w:r>
      <w:r>
        <w:rPr>
          <w:rFonts w:eastAsia="Times New Roman"/>
          <w:szCs w:val="20"/>
          <w:lang w:val="en-GB" w:eastAsia="en-GB"/>
        </w:rPr>
        <w:t xml:space="preserve">can </w:t>
      </w:r>
      <w:r w:rsidR="009D740D">
        <w:rPr>
          <w:rFonts w:eastAsia="Times New Roman"/>
          <w:szCs w:val="20"/>
          <w:lang w:val="en-GB" w:eastAsia="en-GB"/>
        </w:rPr>
        <w:t>be caused by social workers fall into the following categories:</w:t>
      </w:r>
    </w:p>
    <w:p w:rsidR="008E696A" w:rsidRPr="003C5A7E" w:rsidRDefault="00C04C50"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cr</w:t>
      </w:r>
      <w:r w:rsidR="008E696A" w:rsidRPr="003C5A7E">
        <w:rPr>
          <w:rFonts w:eastAsia="Times New Roman" w:cs="Times New Roman"/>
          <w:szCs w:val="20"/>
          <w:lang w:val="en-GB" w:eastAsia="en-GB"/>
        </w:rPr>
        <w:t>iminal</w:t>
      </w:r>
      <w:r w:rsidR="008E696A" w:rsidRPr="00791494">
        <w:rPr>
          <w:rFonts w:eastAsia="Times New Roman" w:cs="Times New Roman"/>
          <w:szCs w:val="20"/>
          <w:lang w:val="en-GB" w:eastAsia="en-GB"/>
        </w:rPr>
        <w:t xml:space="preserve"> (</w:t>
      </w:r>
      <w:r w:rsidR="008E696A">
        <w:rPr>
          <w:rFonts w:eastAsia="Times New Roman" w:cs="Times New Roman"/>
          <w:szCs w:val="20"/>
          <w:lang w:val="en-GB" w:eastAsia="en-GB"/>
        </w:rPr>
        <w:t>dishonesty,</w:t>
      </w:r>
      <w:r w:rsidR="008E696A" w:rsidRPr="00791494">
        <w:rPr>
          <w:rFonts w:eastAsia="Times New Roman" w:cs="Times New Roman"/>
          <w:szCs w:val="20"/>
          <w:lang w:val="en-GB" w:eastAsia="en-GB"/>
        </w:rPr>
        <w:t xml:space="preserve"> theft, </w:t>
      </w:r>
      <w:r w:rsidR="008E696A">
        <w:rPr>
          <w:rFonts w:eastAsia="Times New Roman" w:cs="Times New Roman"/>
          <w:szCs w:val="20"/>
          <w:lang w:val="en-GB" w:eastAsia="en-GB"/>
        </w:rPr>
        <w:t xml:space="preserve">violence, sexual </w:t>
      </w:r>
      <w:r w:rsidR="008E696A" w:rsidRPr="00791494">
        <w:rPr>
          <w:rFonts w:eastAsia="Times New Roman" w:cs="Times New Roman"/>
          <w:szCs w:val="20"/>
          <w:lang w:val="en-GB" w:eastAsia="en-GB"/>
        </w:rPr>
        <w:t>assault)</w:t>
      </w:r>
    </w:p>
    <w:p w:rsidR="008E696A" w:rsidRPr="003C5A7E" w:rsidRDefault="00C04C50"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a</w:t>
      </w:r>
      <w:r w:rsidR="008E696A" w:rsidRPr="003C5A7E">
        <w:rPr>
          <w:rFonts w:eastAsia="Times New Roman" w:cs="Times New Roman"/>
          <w:szCs w:val="20"/>
          <w:lang w:val="en-GB" w:eastAsia="en-GB"/>
        </w:rPr>
        <w:t xml:space="preserve">busive </w:t>
      </w:r>
      <w:r w:rsidR="008E696A">
        <w:rPr>
          <w:rFonts w:eastAsia="Times New Roman" w:cs="Times New Roman"/>
          <w:szCs w:val="20"/>
          <w:lang w:val="en-GB" w:eastAsia="en-GB"/>
        </w:rPr>
        <w:t>(abuse of trust or power</w:t>
      </w:r>
      <w:r w:rsidR="008E696A" w:rsidRPr="00791494">
        <w:rPr>
          <w:rFonts w:eastAsia="Times New Roman" w:cs="Times New Roman"/>
          <w:szCs w:val="20"/>
          <w:lang w:val="en-GB" w:eastAsia="en-GB"/>
        </w:rPr>
        <w:t>)</w:t>
      </w:r>
    </w:p>
    <w:p w:rsidR="008E696A" w:rsidRPr="003C5A7E" w:rsidRDefault="00C04C50"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i</w:t>
      </w:r>
      <w:r w:rsidR="008E696A" w:rsidRPr="003C5A7E">
        <w:rPr>
          <w:rFonts w:eastAsia="Times New Roman" w:cs="Times New Roman"/>
          <w:szCs w:val="20"/>
          <w:lang w:val="en-GB" w:eastAsia="en-GB"/>
        </w:rPr>
        <w:t>nappropriate in nature (including relationship boundary violations)</w:t>
      </w:r>
    </w:p>
    <w:p w:rsidR="005E562D" w:rsidRDefault="00C04C50"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p</w:t>
      </w:r>
      <w:r w:rsidR="008E696A" w:rsidRPr="003C5A7E">
        <w:rPr>
          <w:rFonts w:eastAsia="Times New Roman" w:cs="Times New Roman"/>
          <w:szCs w:val="20"/>
          <w:lang w:val="en-GB" w:eastAsia="en-GB"/>
        </w:rPr>
        <w:t xml:space="preserve">oor professional judgement or poor practice (including failure to properly investigate reports of risk to vulnerable people, </w:t>
      </w:r>
      <w:r w:rsidR="008E696A">
        <w:rPr>
          <w:rFonts w:eastAsia="Times New Roman" w:cs="Times New Roman"/>
          <w:szCs w:val="20"/>
          <w:lang w:val="en-GB" w:eastAsia="en-GB"/>
        </w:rPr>
        <w:t xml:space="preserve">inadequate or incorrect assessments, </w:t>
      </w:r>
      <w:r w:rsidR="008E696A" w:rsidRPr="003C5A7E">
        <w:rPr>
          <w:rFonts w:eastAsia="Times New Roman" w:cs="Times New Roman"/>
          <w:szCs w:val="20"/>
          <w:lang w:val="en-GB" w:eastAsia="en-GB"/>
        </w:rPr>
        <w:t>and breaches of confidentiality)</w:t>
      </w:r>
      <w:r w:rsidR="00652262">
        <w:rPr>
          <w:rFonts w:eastAsia="Times New Roman" w:cs="Times New Roman"/>
          <w:szCs w:val="20"/>
          <w:lang w:val="en-GB" w:eastAsia="en-GB"/>
        </w:rPr>
        <w:t>.</w:t>
      </w:r>
      <w:r w:rsidR="008E696A">
        <w:rPr>
          <w:rStyle w:val="FootnoteReference"/>
          <w:rFonts w:eastAsia="Times New Roman" w:cs="Times New Roman"/>
          <w:szCs w:val="20"/>
          <w:lang w:val="en-GB" w:eastAsia="en-GB"/>
        </w:rPr>
        <w:footnoteReference w:id="14"/>
      </w:r>
    </w:p>
    <w:p w:rsidR="009D740D" w:rsidRDefault="009D740D" w:rsidP="00177E1D">
      <w:pPr>
        <w:numPr>
          <w:ilvl w:val="0"/>
          <w:numId w:val="8"/>
        </w:numPr>
        <w:spacing w:after="240" w:line="240" w:lineRule="auto"/>
        <w:ind w:left="567" w:hanging="567"/>
        <w:rPr>
          <w:rFonts w:eastAsia="Times New Roman"/>
          <w:szCs w:val="20"/>
          <w:lang w:val="en-GB" w:eastAsia="en-GB"/>
        </w:rPr>
      </w:pPr>
      <w:r w:rsidRPr="00C6087F">
        <w:rPr>
          <w:rFonts w:eastAsia="Times New Roman"/>
          <w:szCs w:val="20"/>
          <w:lang w:val="en-GB" w:eastAsia="en-GB"/>
        </w:rPr>
        <w:t>Risks to the publi</w:t>
      </w:r>
      <w:r>
        <w:rPr>
          <w:rFonts w:eastAsia="Times New Roman"/>
          <w:szCs w:val="20"/>
          <w:lang w:val="en-GB" w:eastAsia="en-GB"/>
        </w:rPr>
        <w:t>c may also be exacerbated when s</w:t>
      </w:r>
      <w:r w:rsidRPr="00C6087F">
        <w:rPr>
          <w:rFonts w:eastAsia="Times New Roman"/>
          <w:szCs w:val="20"/>
          <w:lang w:val="en-GB" w:eastAsia="en-GB"/>
        </w:rPr>
        <w:t xml:space="preserve">ocial </w:t>
      </w:r>
      <w:r>
        <w:rPr>
          <w:rFonts w:eastAsia="Times New Roman"/>
          <w:szCs w:val="20"/>
          <w:lang w:val="en-GB" w:eastAsia="en-GB"/>
        </w:rPr>
        <w:t>w</w:t>
      </w:r>
      <w:r w:rsidRPr="00C6087F">
        <w:rPr>
          <w:rFonts w:eastAsia="Times New Roman"/>
          <w:szCs w:val="20"/>
          <w:lang w:val="en-GB" w:eastAsia="en-GB"/>
        </w:rPr>
        <w:t xml:space="preserve">orkers: </w:t>
      </w:r>
    </w:p>
    <w:p w:rsidR="009D740D" w:rsidRPr="00B27068" w:rsidRDefault="009D740D" w:rsidP="005B5FC6">
      <w:pPr>
        <w:numPr>
          <w:ilvl w:val="1"/>
          <w:numId w:val="17"/>
        </w:numPr>
        <w:spacing w:before="120" w:line="240" w:lineRule="auto"/>
        <w:ind w:left="1134" w:hanging="425"/>
        <w:rPr>
          <w:rFonts w:eastAsia="Times New Roman" w:cs="Times New Roman"/>
          <w:szCs w:val="20"/>
          <w:lang w:val="en-GB" w:eastAsia="en-GB"/>
        </w:rPr>
      </w:pPr>
      <w:r w:rsidRPr="00B27068">
        <w:rPr>
          <w:rFonts w:eastAsia="Times New Roman" w:cs="Times New Roman"/>
          <w:szCs w:val="20"/>
          <w:lang w:val="en-GB" w:eastAsia="en-GB"/>
        </w:rPr>
        <w:t>are unqualified or incompetent</w:t>
      </w:r>
    </w:p>
    <w:p w:rsidR="009D740D" w:rsidRPr="00B27068" w:rsidRDefault="009D740D" w:rsidP="005B5FC6">
      <w:pPr>
        <w:numPr>
          <w:ilvl w:val="1"/>
          <w:numId w:val="17"/>
        </w:numPr>
        <w:spacing w:before="120" w:line="240" w:lineRule="auto"/>
        <w:ind w:left="1134" w:hanging="425"/>
        <w:rPr>
          <w:rFonts w:eastAsia="Times New Roman" w:cs="Times New Roman"/>
          <w:szCs w:val="20"/>
          <w:lang w:val="en-GB" w:eastAsia="en-GB"/>
        </w:rPr>
      </w:pPr>
      <w:r w:rsidRPr="00B27068">
        <w:rPr>
          <w:rFonts w:eastAsia="Times New Roman" w:cs="Times New Roman"/>
          <w:szCs w:val="20"/>
          <w:lang w:val="en-GB" w:eastAsia="en-GB"/>
        </w:rPr>
        <w:t>have a physical or mental health condition which affects their ability to practice</w:t>
      </w:r>
    </w:p>
    <w:p w:rsidR="009D740D" w:rsidRPr="00B27068" w:rsidRDefault="009D740D" w:rsidP="005B5FC6">
      <w:pPr>
        <w:numPr>
          <w:ilvl w:val="1"/>
          <w:numId w:val="17"/>
        </w:numPr>
        <w:spacing w:before="120" w:line="240" w:lineRule="auto"/>
        <w:ind w:left="1134" w:hanging="425"/>
        <w:rPr>
          <w:rFonts w:eastAsia="Times New Roman" w:cs="Times New Roman"/>
          <w:szCs w:val="20"/>
          <w:lang w:val="en-GB" w:eastAsia="en-GB"/>
        </w:rPr>
      </w:pPr>
      <w:r w:rsidRPr="00B27068">
        <w:rPr>
          <w:rFonts w:eastAsia="Times New Roman" w:cs="Times New Roman"/>
          <w:szCs w:val="20"/>
          <w:lang w:val="en-GB" w:eastAsia="en-GB"/>
        </w:rPr>
        <w:t xml:space="preserve">have a criminal history, falsified identity or false qualification </w:t>
      </w:r>
    </w:p>
    <w:p w:rsidR="009D740D" w:rsidRPr="00B27068" w:rsidRDefault="009D740D" w:rsidP="005B5FC6">
      <w:pPr>
        <w:numPr>
          <w:ilvl w:val="1"/>
          <w:numId w:val="17"/>
        </w:numPr>
        <w:spacing w:before="120" w:line="240" w:lineRule="auto"/>
        <w:ind w:left="1134" w:hanging="425"/>
        <w:rPr>
          <w:rFonts w:eastAsia="Times New Roman" w:cs="Times New Roman"/>
          <w:szCs w:val="20"/>
          <w:lang w:val="en-GB" w:eastAsia="en-GB"/>
        </w:rPr>
      </w:pPr>
      <w:r w:rsidRPr="00B27068">
        <w:rPr>
          <w:rFonts w:eastAsia="Times New Roman" w:cs="Times New Roman"/>
          <w:szCs w:val="20"/>
          <w:lang w:val="en-GB" w:eastAsia="en-GB"/>
        </w:rPr>
        <w:t>place their own interests above those of their clients.</w:t>
      </w:r>
    </w:p>
    <w:p w:rsidR="00DA7B66" w:rsidRDefault="009D1EAF" w:rsidP="00F0036D">
      <w:pPr>
        <w:numPr>
          <w:ilvl w:val="0"/>
          <w:numId w:val="8"/>
        </w:numPr>
        <w:spacing w:after="240" w:line="240" w:lineRule="auto"/>
        <w:ind w:left="567" w:hanging="567"/>
        <w:rPr>
          <w:rFonts w:eastAsia="Times New Roman"/>
          <w:szCs w:val="20"/>
          <w:lang w:val="en-GB" w:eastAsia="en-GB"/>
        </w:rPr>
      </w:pPr>
      <w:r>
        <w:rPr>
          <w:rFonts w:eastAsia="Times New Roman"/>
          <w:szCs w:val="20"/>
          <w:lang w:val="en-GB" w:eastAsia="en-GB"/>
        </w:rPr>
        <w:t xml:space="preserve">While there is information about </w:t>
      </w:r>
      <w:r w:rsidR="00C04C50">
        <w:rPr>
          <w:rFonts w:eastAsia="Times New Roman"/>
          <w:szCs w:val="20"/>
          <w:lang w:val="en-GB" w:eastAsia="en-GB"/>
        </w:rPr>
        <w:t xml:space="preserve">the </w:t>
      </w:r>
      <w:r>
        <w:rPr>
          <w:rFonts w:eastAsia="Times New Roman"/>
          <w:szCs w:val="20"/>
          <w:lang w:val="en-GB" w:eastAsia="en-GB"/>
        </w:rPr>
        <w:t>nature of complaints raised about registered social workers available from the Board’s records, there is a lack of centralised information available about complaints raised about non-registered social workers, and any resultant disciplinary or employment outcomes</w:t>
      </w:r>
      <w:r w:rsidR="007907B1">
        <w:rPr>
          <w:rFonts w:eastAsia="Times New Roman"/>
          <w:szCs w:val="20"/>
          <w:lang w:val="en-GB" w:eastAsia="en-GB"/>
        </w:rPr>
        <w:t xml:space="preserve">.  </w:t>
      </w:r>
      <w:r w:rsidR="00DA7B66" w:rsidRPr="00CB2909">
        <w:rPr>
          <w:rFonts w:eastAsia="Times New Roman"/>
          <w:szCs w:val="20"/>
          <w:lang w:val="en-GB" w:eastAsia="en-GB"/>
        </w:rPr>
        <w:t xml:space="preserve">There are a number of examples where the actions of social workers have been investigated and found to </w:t>
      </w:r>
      <w:r w:rsidR="00C849D4">
        <w:rPr>
          <w:rFonts w:eastAsia="Times New Roman"/>
          <w:szCs w:val="20"/>
          <w:lang w:val="en-GB" w:eastAsia="en-GB"/>
        </w:rPr>
        <w:t xml:space="preserve">have </w:t>
      </w:r>
      <w:r w:rsidR="00DA7B66" w:rsidRPr="00CB2909">
        <w:rPr>
          <w:rFonts w:eastAsia="Times New Roman"/>
          <w:szCs w:val="20"/>
          <w:lang w:val="en-GB" w:eastAsia="en-GB"/>
        </w:rPr>
        <w:t>cause</w:t>
      </w:r>
      <w:r w:rsidR="00C849D4">
        <w:rPr>
          <w:rFonts w:eastAsia="Times New Roman"/>
          <w:szCs w:val="20"/>
          <w:lang w:val="en-GB" w:eastAsia="en-GB"/>
        </w:rPr>
        <w:t>d</w:t>
      </w:r>
      <w:r w:rsidR="00DA7B66" w:rsidRPr="00CB2909">
        <w:rPr>
          <w:rFonts w:eastAsia="Times New Roman"/>
          <w:szCs w:val="20"/>
          <w:lang w:val="en-GB" w:eastAsia="en-GB"/>
        </w:rPr>
        <w:t xml:space="preserve"> harm to clients. </w:t>
      </w:r>
      <w:r w:rsidR="00DA7B66">
        <w:rPr>
          <w:rFonts w:eastAsia="Times New Roman"/>
          <w:szCs w:val="20"/>
          <w:lang w:val="en-GB" w:eastAsia="en-GB"/>
        </w:rPr>
        <w:t xml:space="preserve"> </w:t>
      </w:r>
      <w:r w:rsidR="00DA7B66" w:rsidRPr="00F0036D">
        <w:rPr>
          <w:rFonts w:eastAsia="Times New Roman"/>
          <w:szCs w:val="20"/>
          <w:lang w:val="en-GB" w:eastAsia="en-GB"/>
        </w:rPr>
        <w:t>Examples include</w:t>
      </w:r>
      <w:r w:rsidR="00DA7B66">
        <w:rPr>
          <w:rFonts w:eastAsia="Times New Roman"/>
          <w:szCs w:val="20"/>
          <w:lang w:val="en-GB" w:eastAsia="en-GB"/>
        </w:rPr>
        <w:t>:</w:t>
      </w:r>
    </w:p>
    <w:p w:rsidR="00DA7B66" w:rsidRDefault="00C04C50"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i</w:t>
      </w:r>
      <w:r w:rsidR="00DA7B66">
        <w:rPr>
          <w:rFonts w:eastAsia="Times New Roman" w:cs="Times New Roman"/>
          <w:szCs w:val="20"/>
          <w:lang w:val="en-GB" w:eastAsia="en-GB"/>
        </w:rPr>
        <w:t>nadequate assessments and poor judgement leading to</w:t>
      </w:r>
      <w:r w:rsidR="00DA7B66" w:rsidRPr="00CB2909">
        <w:rPr>
          <w:rFonts w:eastAsia="Times New Roman" w:cs="Times New Roman"/>
          <w:szCs w:val="20"/>
          <w:lang w:val="en-GB" w:eastAsia="en-GB"/>
        </w:rPr>
        <w:t xml:space="preserve"> </w:t>
      </w:r>
      <w:r w:rsidR="00DA7B66" w:rsidRPr="00F0036D">
        <w:rPr>
          <w:rFonts w:eastAsia="Times New Roman" w:cs="Times New Roman"/>
          <w:szCs w:val="20"/>
          <w:lang w:val="en-GB" w:eastAsia="en-GB"/>
        </w:rPr>
        <w:t xml:space="preserve">physical or emotional harm </w:t>
      </w:r>
      <w:r w:rsidR="00DA7B66">
        <w:rPr>
          <w:rFonts w:eastAsia="Times New Roman" w:cs="Times New Roman"/>
          <w:szCs w:val="20"/>
          <w:lang w:val="en-GB" w:eastAsia="en-GB"/>
        </w:rPr>
        <w:t>– leaving children in dangerous living situations</w:t>
      </w:r>
      <w:r w:rsidR="00C849D4">
        <w:rPr>
          <w:rFonts w:eastAsia="Times New Roman" w:cs="Times New Roman"/>
          <w:szCs w:val="20"/>
          <w:lang w:val="en-GB" w:eastAsia="en-GB"/>
        </w:rPr>
        <w:t>, or</w:t>
      </w:r>
      <w:r w:rsidR="00DA7B66">
        <w:rPr>
          <w:rFonts w:eastAsia="Times New Roman" w:cs="Times New Roman"/>
          <w:szCs w:val="20"/>
          <w:lang w:val="en-GB" w:eastAsia="en-GB"/>
        </w:rPr>
        <w:t xml:space="preserve"> not detecting risks of self-harm or suicide</w:t>
      </w:r>
    </w:p>
    <w:p w:rsidR="00DA7B66" w:rsidRDefault="00DA7B66" w:rsidP="005B5FC6">
      <w:pPr>
        <w:numPr>
          <w:ilvl w:val="1"/>
          <w:numId w:val="17"/>
        </w:numPr>
        <w:spacing w:before="120" w:line="240" w:lineRule="auto"/>
        <w:ind w:left="1134" w:hanging="425"/>
        <w:rPr>
          <w:rFonts w:eastAsia="Times New Roman" w:cs="Times New Roman"/>
          <w:szCs w:val="20"/>
          <w:lang w:val="en-GB" w:eastAsia="en-GB"/>
        </w:rPr>
      </w:pPr>
      <w:r w:rsidRPr="00F0036D">
        <w:rPr>
          <w:rFonts w:eastAsia="Times New Roman" w:cs="Times New Roman"/>
          <w:szCs w:val="20"/>
          <w:lang w:val="en-GB" w:eastAsia="en-GB"/>
        </w:rPr>
        <w:t>forming</w:t>
      </w:r>
      <w:r w:rsidRPr="00CB2909">
        <w:rPr>
          <w:rFonts w:eastAsia="Times New Roman" w:cs="Times New Roman"/>
          <w:szCs w:val="20"/>
          <w:lang w:val="en-GB" w:eastAsia="en-GB"/>
        </w:rPr>
        <w:t xml:space="preserve"> inappropriate relationships</w:t>
      </w:r>
      <w:r>
        <w:rPr>
          <w:rFonts w:eastAsia="Times New Roman" w:cs="Times New Roman"/>
          <w:szCs w:val="20"/>
          <w:lang w:val="en-GB" w:eastAsia="en-GB"/>
        </w:rPr>
        <w:t xml:space="preserve"> with clients</w:t>
      </w:r>
      <w:r w:rsidRPr="00CB2909">
        <w:rPr>
          <w:rFonts w:eastAsia="Times New Roman" w:cs="Times New Roman"/>
          <w:szCs w:val="20"/>
          <w:lang w:val="en-GB" w:eastAsia="en-GB"/>
        </w:rPr>
        <w:t xml:space="preserve"> </w:t>
      </w:r>
    </w:p>
    <w:p w:rsidR="00DA7B66" w:rsidRDefault="00DA7B66" w:rsidP="005B5FC6">
      <w:pPr>
        <w:numPr>
          <w:ilvl w:val="1"/>
          <w:numId w:val="17"/>
        </w:numPr>
        <w:spacing w:before="120" w:line="240" w:lineRule="auto"/>
        <w:ind w:left="1134" w:hanging="425"/>
        <w:rPr>
          <w:rFonts w:eastAsia="Times New Roman" w:cs="Times New Roman"/>
          <w:szCs w:val="20"/>
          <w:lang w:val="en-GB" w:eastAsia="en-GB"/>
        </w:rPr>
      </w:pPr>
      <w:r w:rsidRPr="00CB2909">
        <w:rPr>
          <w:rFonts w:eastAsia="Times New Roman" w:cs="Times New Roman"/>
          <w:szCs w:val="20"/>
          <w:lang w:val="en-GB" w:eastAsia="en-GB"/>
        </w:rPr>
        <w:lastRenderedPageBreak/>
        <w:t>financial harm from either dishonesty or taking advantage of a vulnerable client</w:t>
      </w:r>
    </w:p>
    <w:p w:rsidR="00DA7B66" w:rsidRDefault="00DA7B66" w:rsidP="005B5FC6">
      <w:pPr>
        <w:numPr>
          <w:ilvl w:val="1"/>
          <w:numId w:val="17"/>
        </w:numPr>
        <w:spacing w:before="120" w:line="240" w:lineRule="auto"/>
        <w:ind w:left="1134" w:hanging="425"/>
        <w:rPr>
          <w:rFonts w:eastAsia="Times New Roman" w:cs="Times New Roman"/>
          <w:szCs w:val="20"/>
          <w:lang w:val="en-GB" w:eastAsia="en-GB"/>
        </w:rPr>
      </w:pPr>
      <w:r w:rsidRPr="00CB2909">
        <w:rPr>
          <w:rFonts w:eastAsia="Times New Roman" w:cs="Times New Roman"/>
          <w:szCs w:val="20"/>
          <w:lang w:val="en-GB" w:eastAsia="en-GB"/>
        </w:rPr>
        <w:t xml:space="preserve">failure to liaise with client’s family members and </w:t>
      </w:r>
      <w:r w:rsidR="00C849D4">
        <w:rPr>
          <w:rFonts w:eastAsia="Times New Roman" w:cs="Times New Roman"/>
          <w:szCs w:val="20"/>
          <w:lang w:val="en-GB" w:eastAsia="en-GB"/>
        </w:rPr>
        <w:t xml:space="preserve">collaborate with other case workers leading to a </w:t>
      </w:r>
      <w:r w:rsidR="00665116">
        <w:rPr>
          <w:rFonts w:eastAsia="Times New Roman" w:cs="Times New Roman"/>
          <w:szCs w:val="20"/>
          <w:lang w:val="en-GB" w:eastAsia="en-GB"/>
        </w:rPr>
        <w:t xml:space="preserve">serious </w:t>
      </w:r>
      <w:r w:rsidR="00C849D4">
        <w:rPr>
          <w:rFonts w:eastAsia="Times New Roman" w:cs="Times New Roman"/>
          <w:szCs w:val="20"/>
          <w:lang w:val="en-GB" w:eastAsia="en-GB"/>
        </w:rPr>
        <w:t>lack of proper care.</w:t>
      </w:r>
      <w:r w:rsidRPr="00CB2909">
        <w:rPr>
          <w:rFonts w:eastAsia="Times New Roman" w:cs="Times New Roman"/>
          <w:szCs w:val="20"/>
          <w:lang w:val="en-GB" w:eastAsia="en-GB"/>
        </w:rPr>
        <w:t xml:space="preserve"> </w:t>
      </w:r>
    </w:p>
    <w:p w:rsidR="009D1EAF" w:rsidRPr="00F0036D" w:rsidRDefault="00DA7B66" w:rsidP="00F0036D">
      <w:pPr>
        <w:numPr>
          <w:ilvl w:val="0"/>
          <w:numId w:val="8"/>
        </w:numPr>
        <w:spacing w:after="240" w:line="240" w:lineRule="auto"/>
        <w:ind w:left="567" w:hanging="567"/>
        <w:rPr>
          <w:rFonts w:eastAsia="Times New Roman"/>
          <w:szCs w:val="20"/>
          <w:lang w:val="en-GB" w:eastAsia="en-GB"/>
        </w:rPr>
      </w:pPr>
      <w:r w:rsidRPr="00CB2909">
        <w:rPr>
          <w:rFonts w:eastAsia="Times New Roman"/>
          <w:szCs w:val="20"/>
          <w:lang w:val="en-GB" w:eastAsia="en-GB"/>
        </w:rPr>
        <w:t>The findings of these cases routinely outline the lack of adequate training, poor decision making, or failure to follow established protocols – and essentially amount to the social worker failing to adequately or appropriately discharge their duties towards, or on behalf of the client.</w:t>
      </w:r>
      <w:r w:rsidR="00C849D4">
        <w:rPr>
          <w:rFonts w:eastAsia="Times New Roman"/>
          <w:szCs w:val="20"/>
          <w:lang w:val="en-GB" w:eastAsia="en-GB"/>
        </w:rPr>
        <w:t xml:space="preserve">  Registration cannot guarantee to prevent such failures but it will reduce the likelihood by </w:t>
      </w:r>
      <w:r w:rsidR="00665116">
        <w:rPr>
          <w:rFonts w:eastAsia="Times New Roman"/>
          <w:szCs w:val="20"/>
          <w:lang w:val="en-GB" w:eastAsia="en-GB"/>
        </w:rPr>
        <w:t>requiring</w:t>
      </w:r>
      <w:r w:rsidR="00C849D4">
        <w:rPr>
          <w:rFonts w:eastAsia="Times New Roman"/>
          <w:szCs w:val="20"/>
          <w:lang w:val="en-GB" w:eastAsia="en-GB"/>
        </w:rPr>
        <w:t xml:space="preserve"> proper qualifications and on-going training, and providing a mechanism whereby individuals whose practise is inadequate can be called to account, hopefully before irreversible harm has occurred. </w:t>
      </w:r>
    </w:p>
    <w:p w:rsidR="009D1EAF" w:rsidRDefault="00421BD3" w:rsidP="00421BD3">
      <w:pPr>
        <w:numPr>
          <w:ilvl w:val="0"/>
          <w:numId w:val="8"/>
        </w:numPr>
        <w:spacing w:after="240" w:line="240" w:lineRule="auto"/>
        <w:ind w:left="567" w:hanging="567"/>
        <w:rPr>
          <w:rFonts w:eastAsia="Times New Roman"/>
          <w:szCs w:val="20"/>
          <w:lang w:val="en-GB" w:eastAsia="en-GB"/>
        </w:rPr>
      </w:pPr>
      <w:r>
        <w:rPr>
          <w:rFonts w:eastAsia="Times New Roman"/>
          <w:szCs w:val="20"/>
          <w:lang w:val="en-GB" w:eastAsia="en-GB"/>
        </w:rPr>
        <w:t xml:space="preserve">Under the current voluntary regime, non-registered social workers are practising in an environment where serious misconduct and incompetence cannot be adequately addressed, and those social workers who cause serious harm can potentially continue to practice without appropriate penalty or sanction. </w:t>
      </w:r>
      <w:r w:rsidR="00124118">
        <w:rPr>
          <w:rFonts w:eastAsia="Times New Roman"/>
          <w:szCs w:val="20"/>
          <w:lang w:val="en-GB" w:eastAsia="en-GB"/>
        </w:rPr>
        <w:t xml:space="preserve"> </w:t>
      </w:r>
      <w:r w:rsidR="009D1EAF">
        <w:rPr>
          <w:rFonts w:eastAsia="Times New Roman"/>
          <w:szCs w:val="20"/>
          <w:lang w:val="en-GB" w:eastAsia="en-GB"/>
        </w:rPr>
        <w:t>The full disciplinary power of deregistration is ineffective in a voluntary system as those who have had their registration cancelled because of professional misconduct can still practise social work.  Unregistered social worker</w:t>
      </w:r>
      <w:r w:rsidR="007907B1">
        <w:rPr>
          <w:rFonts w:eastAsia="Times New Roman"/>
          <w:szCs w:val="20"/>
          <w:lang w:val="en-GB" w:eastAsia="en-GB"/>
        </w:rPr>
        <w:t>s</w:t>
      </w:r>
      <w:r w:rsidR="009D1EAF">
        <w:rPr>
          <w:rFonts w:eastAsia="Times New Roman"/>
          <w:szCs w:val="20"/>
          <w:lang w:val="en-GB" w:eastAsia="en-GB"/>
        </w:rPr>
        <w:t xml:space="preserve"> with serious complaints lodged against them can continue to practice if they change employment and do not disclose that complaints have been raised.</w:t>
      </w:r>
    </w:p>
    <w:p w:rsidR="00421BD3" w:rsidRDefault="00665116" w:rsidP="00421BD3">
      <w:pPr>
        <w:numPr>
          <w:ilvl w:val="0"/>
          <w:numId w:val="8"/>
        </w:numPr>
        <w:spacing w:after="240" w:line="240" w:lineRule="auto"/>
        <w:ind w:left="567" w:hanging="567"/>
        <w:rPr>
          <w:rFonts w:eastAsia="Times New Roman"/>
          <w:szCs w:val="20"/>
          <w:lang w:val="en-GB" w:eastAsia="en-GB"/>
        </w:rPr>
      </w:pPr>
      <w:r>
        <w:rPr>
          <w:rFonts w:eastAsia="Times New Roman"/>
          <w:szCs w:val="20"/>
          <w:lang w:val="en-GB" w:eastAsia="en-GB"/>
        </w:rPr>
        <w:t>Outside of the registration system, t</w:t>
      </w:r>
      <w:r w:rsidR="00421BD3">
        <w:rPr>
          <w:rFonts w:eastAsia="Times New Roman"/>
          <w:szCs w:val="20"/>
          <w:lang w:val="en-GB" w:eastAsia="en-GB"/>
        </w:rPr>
        <w:t xml:space="preserve">he responsibility </w:t>
      </w:r>
      <w:r w:rsidR="00E60D69">
        <w:rPr>
          <w:rFonts w:eastAsia="Times New Roman"/>
          <w:szCs w:val="20"/>
          <w:lang w:val="en-GB" w:eastAsia="en-GB"/>
        </w:rPr>
        <w:t xml:space="preserve">for </w:t>
      </w:r>
      <w:r w:rsidR="009D1EAF">
        <w:rPr>
          <w:rFonts w:eastAsia="Times New Roman"/>
          <w:szCs w:val="20"/>
          <w:lang w:val="en-GB" w:eastAsia="en-GB"/>
        </w:rPr>
        <w:t xml:space="preserve">detecting harmful practise or addressing misconduct </w:t>
      </w:r>
      <w:r w:rsidR="00421BD3">
        <w:rPr>
          <w:rFonts w:eastAsia="Times New Roman"/>
          <w:szCs w:val="20"/>
          <w:lang w:val="en-GB" w:eastAsia="en-GB"/>
        </w:rPr>
        <w:t>falls to the employer</w:t>
      </w:r>
      <w:r w:rsidR="007907B1">
        <w:rPr>
          <w:rFonts w:eastAsia="Times New Roman"/>
          <w:szCs w:val="20"/>
          <w:lang w:val="en-GB" w:eastAsia="en-GB"/>
        </w:rPr>
        <w:t xml:space="preserve">.  In particular, smaller NGOs would benefit from an external mechanism.  </w:t>
      </w:r>
      <w:r w:rsidR="00421BD3">
        <w:rPr>
          <w:rFonts w:eastAsia="Times New Roman"/>
          <w:szCs w:val="20"/>
          <w:lang w:val="en-GB" w:eastAsia="en-GB"/>
        </w:rPr>
        <w:t xml:space="preserve">Requiring all social workers to be registered provides a mechanism for </w:t>
      </w:r>
      <w:r w:rsidR="00CB2909">
        <w:rPr>
          <w:rFonts w:eastAsia="Times New Roman"/>
          <w:szCs w:val="20"/>
          <w:lang w:val="en-GB" w:eastAsia="en-GB"/>
        </w:rPr>
        <w:t>any</w:t>
      </w:r>
      <w:r w:rsidR="007907B1">
        <w:rPr>
          <w:rFonts w:eastAsia="Times New Roman"/>
          <w:szCs w:val="20"/>
          <w:lang w:val="en-GB" w:eastAsia="en-GB"/>
        </w:rPr>
        <w:t xml:space="preserve"> </w:t>
      </w:r>
      <w:r w:rsidR="00421BD3">
        <w:rPr>
          <w:rFonts w:eastAsia="Times New Roman"/>
          <w:szCs w:val="20"/>
          <w:lang w:val="en-GB" w:eastAsia="en-GB"/>
        </w:rPr>
        <w:t>employer to check the status of any potential new employee</w:t>
      </w:r>
      <w:r w:rsidR="00E60D69">
        <w:rPr>
          <w:rFonts w:eastAsia="Times New Roman"/>
          <w:szCs w:val="20"/>
          <w:lang w:val="en-GB" w:eastAsia="en-GB"/>
        </w:rPr>
        <w:t xml:space="preserve"> and to address serious misconduct</w:t>
      </w:r>
      <w:r w:rsidR="00124118">
        <w:rPr>
          <w:rFonts w:eastAsia="Times New Roman"/>
          <w:szCs w:val="20"/>
          <w:lang w:val="en-GB" w:eastAsia="en-GB"/>
        </w:rPr>
        <w:t>, as well as supporting continuing professional development</w:t>
      </w:r>
      <w:r w:rsidR="00421BD3">
        <w:rPr>
          <w:rFonts w:eastAsia="Times New Roman"/>
          <w:szCs w:val="20"/>
          <w:lang w:val="en-GB" w:eastAsia="en-GB"/>
        </w:rPr>
        <w:t>.</w:t>
      </w:r>
      <w:r w:rsidR="00E60D69">
        <w:rPr>
          <w:rFonts w:eastAsia="Times New Roman"/>
          <w:szCs w:val="20"/>
          <w:lang w:val="en-GB" w:eastAsia="en-GB"/>
        </w:rPr>
        <w:t xml:space="preserve"> </w:t>
      </w:r>
      <w:r w:rsidR="00124118">
        <w:rPr>
          <w:rFonts w:eastAsia="Times New Roman"/>
          <w:szCs w:val="20"/>
          <w:lang w:val="en-GB" w:eastAsia="en-GB"/>
        </w:rPr>
        <w:t xml:space="preserve"> </w:t>
      </w:r>
    </w:p>
    <w:p w:rsidR="00F156F1" w:rsidRPr="005F195E" w:rsidRDefault="00F156F1" w:rsidP="00177E1D">
      <w:pPr>
        <w:numPr>
          <w:ilvl w:val="0"/>
          <w:numId w:val="8"/>
        </w:numPr>
        <w:spacing w:after="240" w:line="240" w:lineRule="auto"/>
        <w:ind w:left="567" w:hanging="567"/>
        <w:rPr>
          <w:rFonts w:eastAsia="Times New Roman"/>
          <w:szCs w:val="20"/>
          <w:lang w:val="en-GB" w:eastAsia="en-GB"/>
        </w:rPr>
      </w:pPr>
      <w:r>
        <w:rPr>
          <w:rFonts w:eastAsia="Times New Roman"/>
          <w:szCs w:val="20"/>
          <w:lang w:val="en-GB" w:eastAsia="en-GB"/>
        </w:rPr>
        <w:t>L</w:t>
      </w:r>
      <w:r w:rsidR="000D016C" w:rsidRPr="00C05771">
        <w:rPr>
          <w:rFonts w:eastAsia="Times New Roman"/>
          <w:szCs w:val="20"/>
          <w:lang w:val="en-GB" w:eastAsia="en-GB"/>
        </w:rPr>
        <w:t>egislative reform offers an opport</w:t>
      </w:r>
      <w:r w:rsidR="000D016C">
        <w:rPr>
          <w:rFonts w:eastAsia="Times New Roman"/>
          <w:szCs w:val="20"/>
          <w:lang w:val="en-GB" w:eastAsia="en-GB"/>
        </w:rPr>
        <w:t>unity to clearly articulate the</w:t>
      </w:r>
      <w:r w:rsidR="000D016C" w:rsidRPr="00C05771">
        <w:rPr>
          <w:rFonts w:eastAsia="Times New Roman"/>
          <w:szCs w:val="20"/>
          <w:lang w:val="en-GB" w:eastAsia="en-GB"/>
        </w:rPr>
        <w:t xml:space="preserve"> change </w:t>
      </w:r>
      <w:r w:rsidR="000D016C">
        <w:rPr>
          <w:rFonts w:eastAsia="Times New Roman"/>
          <w:szCs w:val="20"/>
          <w:lang w:val="en-GB" w:eastAsia="en-GB"/>
        </w:rPr>
        <w:t xml:space="preserve">needed to </w:t>
      </w:r>
      <w:r w:rsidR="003A44AE">
        <w:rPr>
          <w:rFonts w:eastAsia="Times New Roman"/>
          <w:szCs w:val="20"/>
          <w:lang w:val="en-GB" w:eastAsia="en-GB"/>
        </w:rPr>
        <w:t xml:space="preserve">increase the professionalism of the workforce and </w:t>
      </w:r>
      <w:r w:rsidR="000D016C">
        <w:rPr>
          <w:rFonts w:eastAsia="Times New Roman"/>
          <w:szCs w:val="20"/>
          <w:lang w:val="en-GB" w:eastAsia="en-GB"/>
        </w:rPr>
        <w:t>ensure an appropriate level of competence, and protect</w:t>
      </w:r>
      <w:r w:rsidR="00643129">
        <w:rPr>
          <w:rFonts w:eastAsia="Times New Roman"/>
          <w:szCs w:val="20"/>
          <w:lang w:val="en-GB" w:eastAsia="en-GB"/>
        </w:rPr>
        <w:t>ions for</w:t>
      </w:r>
      <w:r w:rsidR="000D016C">
        <w:rPr>
          <w:rFonts w:eastAsia="Times New Roman"/>
          <w:szCs w:val="20"/>
          <w:lang w:val="en-GB" w:eastAsia="en-GB"/>
        </w:rPr>
        <w:t xml:space="preserve"> vulnerable clients from inappropriate and potentially harmful social work practice.</w:t>
      </w:r>
      <w:r w:rsidR="00457DBB">
        <w:rPr>
          <w:rFonts w:eastAsia="Times New Roman"/>
          <w:szCs w:val="20"/>
          <w:lang w:val="en-GB" w:eastAsia="en-GB"/>
        </w:rPr>
        <w:t xml:space="preserve"> </w:t>
      </w:r>
      <w:r w:rsidR="001049B5">
        <w:rPr>
          <w:rFonts w:eastAsia="Times New Roman"/>
          <w:szCs w:val="20"/>
          <w:lang w:val="en-GB" w:eastAsia="en-GB"/>
        </w:rPr>
        <w:t xml:space="preserve"> </w:t>
      </w:r>
      <w:r w:rsidR="00457DBB">
        <w:rPr>
          <w:rFonts w:eastAsia="Times New Roman"/>
          <w:szCs w:val="20"/>
          <w:lang w:val="en-GB" w:eastAsia="en-GB"/>
        </w:rPr>
        <w:t>The effectiveness of Board processes and powers over registered social workers is</w:t>
      </w:r>
      <w:r w:rsidR="00421BD3">
        <w:rPr>
          <w:rFonts w:eastAsia="Times New Roman"/>
          <w:szCs w:val="20"/>
          <w:lang w:val="en-GB" w:eastAsia="en-GB"/>
        </w:rPr>
        <w:t xml:space="preserve"> also</w:t>
      </w:r>
      <w:r w:rsidR="00457DBB">
        <w:rPr>
          <w:rFonts w:eastAsia="Times New Roman"/>
          <w:szCs w:val="20"/>
          <w:lang w:val="en-GB" w:eastAsia="en-GB"/>
        </w:rPr>
        <w:t xml:space="preserve"> undermined by </w:t>
      </w:r>
      <w:r w:rsidR="00643129">
        <w:rPr>
          <w:rFonts w:eastAsia="Times New Roman"/>
          <w:szCs w:val="20"/>
          <w:lang w:val="en-GB" w:eastAsia="en-GB"/>
        </w:rPr>
        <w:t>the current</w:t>
      </w:r>
      <w:r w:rsidR="00457DBB">
        <w:rPr>
          <w:rFonts w:eastAsia="Times New Roman"/>
          <w:szCs w:val="20"/>
          <w:lang w:val="en-GB" w:eastAsia="en-GB"/>
        </w:rPr>
        <w:t xml:space="preserve"> voluntary system</w:t>
      </w:r>
      <w:r w:rsidR="00643129">
        <w:rPr>
          <w:rFonts w:eastAsia="Times New Roman"/>
          <w:szCs w:val="20"/>
          <w:lang w:val="en-GB" w:eastAsia="en-GB"/>
        </w:rPr>
        <w:t xml:space="preserve">, </w:t>
      </w:r>
      <w:r w:rsidR="00DE76C2">
        <w:rPr>
          <w:rFonts w:eastAsia="Times New Roman"/>
          <w:szCs w:val="20"/>
          <w:lang w:val="en-GB" w:eastAsia="en-GB"/>
        </w:rPr>
        <w:t>and therefore a move to a mandatory regime is recommended.  T</w:t>
      </w:r>
      <w:r w:rsidR="00643129">
        <w:rPr>
          <w:rFonts w:eastAsia="Times New Roman"/>
          <w:szCs w:val="20"/>
          <w:lang w:val="en-GB" w:eastAsia="en-GB"/>
        </w:rPr>
        <w:t>here are also a number of ways in which the current legislation could be reformed to improve its efficiency and effectiveness</w:t>
      </w:r>
      <w:r w:rsidR="00457DBB">
        <w:rPr>
          <w:rFonts w:eastAsia="Times New Roman"/>
          <w:szCs w:val="20"/>
          <w:lang w:val="en-GB" w:eastAsia="en-GB"/>
        </w:rPr>
        <w:t>.</w:t>
      </w:r>
    </w:p>
    <w:p w:rsidR="00481F3D" w:rsidRPr="00976D81" w:rsidRDefault="00481F3D" w:rsidP="00177E1D">
      <w:pPr>
        <w:numPr>
          <w:ilvl w:val="0"/>
          <w:numId w:val="8"/>
        </w:numPr>
        <w:spacing w:after="240" w:line="240" w:lineRule="auto"/>
        <w:ind w:left="567" w:hanging="567"/>
        <w:rPr>
          <w:rFonts w:eastAsia="Times New Roman"/>
          <w:kern w:val="28"/>
          <w:szCs w:val="20"/>
          <w:lang w:val="en-US"/>
        </w:rPr>
      </w:pPr>
      <w:r w:rsidRPr="00976D81">
        <w:rPr>
          <w:rFonts w:eastAsia="Times New Roman" w:cs="Times New Roman"/>
          <w:szCs w:val="20"/>
          <w:lang w:val="en-GB" w:eastAsia="en-GB"/>
        </w:rPr>
        <w:t xml:space="preserve">Regulatory and non-regulatory options have been considered to address the problem.  </w:t>
      </w:r>
      <w:r w:rsidRPr="00976D81">
        <w:rPr>
          <w:rFonts w:eastAsia="Times New Roman"/>
          <w:color w:val="000000"/>
          <w:kern w:val="22"/>
          <w:szCs w:val="20"/>
          <w:lang w:eastAsia="en-NZ"/>
        </w:rPr>
        <w:t>There are many</w:t>
      </w:r>
      <w:r w:rsidRPr="00976D81">
        <w:rPr>
          <w:rFonts w:eastAsia="Times New Roman" w:cs="Times New Roman"/>
          <w:szCs w:val="20"/>
          <w:lang w:val="en-GB" w:eastAsia="en-GB"/>
        </w:rPr>
        <w:t xml:space="preserve"> non-regulatory initiatives underway to address the fundamental need for an improvement in the quality of social work</w:t>
      </w:r>
      <w:r w:rsidR="009C6D2E">
        <w:rPr>
          <w:rFonts w:eastAsia="Times New Roman" w:cs="Times New Roman"/>
          <w:szCs w:val="20"/>
          <w:lang w:val="en-GB" w:eastAsia="en-GB"/>
        </w:rPr>
        <w:t xml:space="preserve"> but have not taken us far enough.</w:t>
      </w:r>
      <w:r w:rsidRPr="00976D81">
        <w:rPr>
          <w:rFonts w:eastAsia="Times New Roman"/>
          <w:kern w:val="28"/>
          <w:szCs w:val="20"/>
          <w:lang w:val="en-US"/>
        </w:rPr>
        <w:t xml:space="preserve"> </w:t>
      </w:r>
      <w:r w:rsidR="00124118">
        <w:rPr>
          <w:rFonts w:eastAsia="Times New Roman"/>
          <w:kern w:val="28"/>
          <w:szCs w:val="20"/>
          <w:lang w:val="en-US"/>
        </w:rPr>
        <w:t xml:space="preserve"> </w:t>
      </w:r>
      <w:r w:rsidRPr="00976D81">
        <w:rPr>
          <w:rFonts w:eastAsia="Times New Roman"/>
          <w:kern w:val="28"/>
          <w:szCs w:val="20"/>
          <w:lang w:val="en-US"/>
        </w:rPr>
        <w:t xml:space="preserve">A more effective regulatory regime will complement and strengthen other initiatives such as the new operating model to improve outcomes for vulnerable children and young people being led by the </w:t>
      </w:r>
      <w:r w:rsidR="001913C7" w:rsidRPr="007A6992">
        <w:rPr>
          <w:rFonts w:eastAsia="Times New Roman"/>
          <w:szCs w:val="20"/>
          <w:lang w:val="en-GB" w:eastAsia="en-GB"/>
        </w:rPr>
        <w:t>Ministry for Vulne</w:t>
      </w:r>
      <w:r w:rsidR="001913C7">
        <w:rPr>
          <w:rFonts w:eastAsia="Times New Roman"/>
          <w:szCs w:val="20"/>
          <w:lang w:val="en-GB" w:eastAsia="en-GB"/>
        </w:rPr>
        <w:t>rable Children, Oranga Tamariki</w:t>
      </w:r>
      <w:r w:rsidR="00100192">
        <w:rPr>
          <w:rFonts w:eastAsia="Times New Roman"/>
          <w:kern w:val="28"/>
          <w:szCs w:val="20"/>
          <w:lang w:val="en-US"/>
        </w:rPr>
        <w:t>.</w:t>
      </w:r>
    </w:p>
    <w:p w:rsidR="002A3937" w:rsidRDefault="002A3937">
      <w:pPr>
        <w:spacing w:after="0" w:line="240" w:lineRule="auto"/>
        <w:rPr>
          <w:rFonts w:eastAsia="Times New Roman" w:cs="Times New Roman"/>
          <w:szCs w:val="20"/>
          <w:lang w:val="en-GB" w:eastAsia="en-GB"/>
        </w:rPr>
      </w:pPr>
      <w:r>
        <w:rPr>
          <w:rFonts w:eastAsia="Times New Roman" w:cs="Times New Roman"/>
          <w:szCs w:val="20"/>
          <w:lang w:val="en-GB" w:eastAsia="en-GB"/>
        </w:rPr>
        <w:br w:type="page"/>
      </w:r>
    </w:p>
    <w:p w:rsidR="000D016C" w:rsidRPr="00435B67" w:rsidRDefault="000D016C"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lastRenderedPageBreak/>
        <w:t>T</w:t>
      </w:r>
      <w:r w:rsidRPr="00CF603E">
        <w:rPr>
          <w:rFonts w:eastAsia="Times New Roman" w:cs="Times New Roman"/>
          <w:szCs w:val="20"/>
          <w:lang w:val="en-GB" w:eastAsia="en-GB"/>
        </w:rPr>
        <w:t>he reform pr</w:t>
      </w:r>
      <w:r>
        <w:rPr>
          <w:rFonts w:eastAsia="Times New Roman" w:cs="Times New Roman"/>
          <w:szCs w:val="20"/>
          <w:lang w:val="en-GB" w:eastAsia="en-GB"/>
        </w:rPr>
        <w:t xml:space="preserve">oposals considered in </w:t>
      </w:r>
      <w:r w:rsidR="00937D41">
        <w:rPr>
          <w:rFonts w:eastAsia="Times New Roman" w:cs="Times New Roman"/>
          <w:szCs w:val="20"/>
          <w:lang w:val="en-GB" w:eastAsia="en-GB"/>
        </w:rPr>
        <w:t>this RIS</w:t>
      </w:r>
      <w:r w:rsidRPr="00CF603E">
        <w:rPr>
          <w:rFonts w:eastAsia="Times New Roman" w:cs="Times New Roman"/>
          <w:szCs w:val="20"/>
          <w:lang w:val="en-GB" w:eastAsia="en-GB"/>
        </w:rPr>
        <w:t xml:space="preserve"> address</w:t>
      </w:r>
      <w:r w:rsidR="003A44AE">
        <w:rPr>
          <w:rFonts w:eastAsia="Times New Roman"/>
          <w:szCs w:val="20"/>
          <w:lang w:eastAsia="en-GB"/>
        </w:rPr>
        <w:t xml:space="preserve"> various </w:t>
      </w:r>
      <w:r>
        <w:rPr>
          <w:rFonts w:eastAsia="Times New Roman"/>
          <w:szCs w:val="20"/>
          <w:lang w:eastAsia="en-GB"/>
        </w:rPr>
        <w:t>aspects of what is needed to increase the professionali</w:t>
      </w:r>
      <w:r w:rsidR="003A44AE">
        <w:rPr>
          <w:rFonts w:eastAsia="Times New Roman"/>
          <w:szCs w:val="20"/>
          <w:lang w:eastAsia="en-GB"/>
        </w:rPr>
        <w:t xml:space="preserve">sm of the social work workforce. </w:t>
      </w:r>
      <w:r w:rsidR="00643129">
        <w:rPr>
          <w:rFonts w:eastAsia="Times New Roman"/>
          <w:szCs w:val="20"/>
          <w:lang w:eastAsia="en-GB"/>
        </w:rPr>
        <w:t xml:space="preserve"> </w:t>
      </w:r>
      <w:r w:rsidR="00481F3D">
        <w:rPr>
          <w:rFonts w:eastAsia="Times New Roman"/>
          <w:szCs w:val="20"/>
          <w:lang w:eastAsia="en-GB"/>
        </w:rPr>
        <w:t xml:space="preserve">Detailed analysis of the possible options and </w:t>
      </w:r>
      <w:r w:rsidR="003A44AE">
        <w:rPr>
          <w:rFonts w:eastAsia="Times New Roman"/>
          <w:szCs w:val="20"/>
          <w:lang w:eastAsia="en-GB"/>
        </w:rPr>
        <w:t>propos</w:t>
      </w:r>
      <w:r w:rsidR="00481F3D">
        <w:rPr>
          <w:rFonts w:eastAsia="Times New Roman"/>
          <w:szCs w:val="20"/>
          <w:lang w:eastAsia="en-GB"/>
        </w:rPr>
        <w:t>ed changes</w:t>
      </w:r>
      <w:r w:rsidR="003A44AE">
        <w:rPr>
          <w:rFonts w:eastAsia="Times New Roman"/>
          <w:szCs w:val="20"/>
          <w:lang w:eastAsia="en-GB"/>
        </w:rPr>
        <w:t xml:space="preserve"> have been grouped together under the following headings:</w:t>
      </w:r>
    </w:p>
    <w:p w:rsidR="00C05771" w:rsidRDefault="00652262"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 xml:space="preserve">Part One: </w:t>
      </w:r>
      <w:r w:rsidR="006378E8">
        <w:rPr>
          <w:rFonts w:eastAsia="Times New Roman" w:cs="Times New Roman"/>
          <w:szCs w:val="20"/>
          <w:lang w:val="en-GB" w:eastAsia="en-GB"/>
        </w:rPr>
        <w:t>registration of social workers</w:t>
      </w:r>
    </w:p>
    <w:p w:rsidR="00652262" w:rsidRDefault="00652262"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 xml:space="preserve">Part Two: </w:t>
      </w:r>
      <w:r w:rsidR="003E4391">
        <w:rPr>
          <w:rFonts w:eastAsia="Times New Roman" w:cs="Times New Roman"/>
          <w:szCs w:val="20"/>
          <w:lang w:val="en-GB" w:eastAsia="en-GB"/>
        </w:rPr>
        <w:t>a</w:t>
      </w:r>
      <w:r w:rsidRPr="00652262">
        <w:rPr>
          <w:rFonts w:eastAsia="Times New Roman" w:cs="Times New Roman"/>
          <w:szCs w:val="20"/>
          <w:lang w:val="en-GB" w:eastAsia="en-GB"/>
        </w:rPr>
        <w:t xml:space="preserve">mendments to the </w:t>
      </w:r>
      <w:r w:rsidR="00D97D37">
        <w:rPr>
          <w:rFonts w:eastAsia="Times New Roman" w:cs="Times New Roman"/>
          <w:szCs w:val="20"/>
          <w:lang w:val="en-GB" w:eastAsia="en-GB"/>
        </w:rPr>
        <w:t>SWR</w:t>
      </w:r>
      <w:r w:rsidRPr="00652262">
        <w:rPr>
          <w:rFonts w:eastAsia="Times New Roman" w:cs="Times New Roman"/>
          <w:szCs w:val="20"/>
          <w:lang w:val="en-GB" w:eastAsia="en-GB"/>
        </w:rPr>
        <w:t xml:space="preserve"> Act to increase transparency and professionalism</w:t>
      </w:r>
      <w:r w:rsidR="003E4391">
        <w:rPr>
          <w:rFonts w:eastAsia="Times New Roman" w:cs="Times New Roman"/>
          <w:szCs w:val="20"/>
          <w:lang w:val="en-GB" w:eastAsia="en-GB"/>
        </w:rPr>
        <w:t>:</w:t>
      </w:r>
    </w:p>
    <w:p w:rsidR="006378E8" w:rsidRPr="00C05771" w:rsidRDefault="006378E8" w:rsidP="005B5FC6">
      <w:pPr>
        <w:numPr>
          <w:ilvl w:val="2"/>
          <w:numId w:val="29"/>
        </w:numPr>
        <w:spacing w:before="120" w:line="240" w:lineRule="auto"/>
        <w:rPr>
          <w:rFonts w:eastAsia="Times New Roman" w:cs="Times New Roman"/>
          <w:szCs w:val="20"/>
          <w:lang w:val="en-GB" w:eastAsia="en-GB"/>
        </w:rPr>
      </w:pPr>
      <w:r>
        <w:rPr>
          <w:rFonts w:eastAsia="Times New Roman" w:cs="Times New Roman"/>
          <w:szCs w:val="20"/>
          <w:lang w:val="en-GB" w:eastAsia="en-GB"/>
        </w:rPr>
        <w:t>checks and balances</w:t>
      </w:r>
      <w:r w:rsidR="001049B5">
        <w:rPr>
          <w:rFonts w:eastAsia="Times New Roman" w:cs="Times New Roman"/>
          <w:szCs w:val="20"/>
          <w:lang w:val="en-GB" w:eastAsia="en-GB"/>
        </w:rPr>
        <w:t xml:space="preserve"> </w:t>
      </w:r>
    </w:p>
    <w:p w:rsidR="006378E8" w:rsidRDefault="001D221F" w:rsidP="005B5FC6">
      <w:pPr>
        <w:numPr>
          <w:ilvl w:val="2"/>
          <w:numId w:val="29"/>
        </w:numPr>
        <w:spacing w:before="120" w:line="240" w:lineRule="auto"/>
        <w:rPr>
          <w:rFonts w:eastAsia="Times New Roman" w:cs="Times New Roman"/>
          <w:szCs w:val="20"/>
          <w:lang w:val="en-GB" w:eastAsia="en-GB"/>
        </w:rPr>
      </w:pPr>
      <w:r>
        <w:rPr>
          <w:rFonts w:eastAsia="Times New Roman" w:cs="Times New Roman"/>
          <w:szCs w:val="20"/>
          <w:lang w:val="en-GB" w:eastAsia="en-GB"/>
        </w:rPr>
        <w:t>experienced based</w:t>
      </w:r>
      <w:r w:rsidR="006378E8">
        <w:rPr>
          <w:rFonts w:eastAsia="Times New Roman" w:cs="Times New Roman"/>
          <w:szCs w:val="20"/>
          <w:lang w:val="en-GB" w:eastAsia="en-GB"/>
        </w:rPr>
        <w:t xml:space="preserve"> pathway to registration</w:t>
      </w:r>
    </w:p>
    <w:p w:rsidR="006378E8" w:rsidRDefault="001D221F" w:rsidP="005B5FC6">
      <w:pPr>
        <w:numPr>
          <w:ilvl w:val="2"/>
          <w:numId w:val="29"/>
        </w:numPr>
        <w:spacing w:before="120" w:line="240" w:lineRule="auto"/>
        <w:rPr>
          <w:rFonts w:eastAsia="Times New Roman" w:cs="Times New Roman"/>
          <w:szCs w:val="20"/>
          <w:lang w:val="en-GB" w:eastAsia="en-GB"/>
        </w:rPr>
      </w:pPr>
      <w:r>
        <w:rPr>
          <w:rFonts w:eastAsia="Times New Roman" w:cs="Times New Roman"/>
          <w:szCs w:val="20"/>
          <w:lang w:val="en-GB" w:eastAsia="en-GB"/>
        </w:rPr>
        <w:t xml:space="preserve">ensuring </w:t>
      </w:r>
      <w:r w:rsidR="006378E8">
        <w:rPr>
          <w:rFonts w:eastAsia="Times New Roman" w:cs="Times New Roman"/>
          <w:szCs w:val="20"/>
          <w:lang w:val="en-GB" w:eastAsia="en-GB"/>
        </w:rPr>
        <w:t>competence</w:t>
      </w:r>
    </w:p>
    <w:p w:rsidR="006378E8" w:rsidRDefault="001D221F" w:rsidP="005B5FC6">
      <w:pPr>
        <w:numPr>
          <w:ilvl w:val="2"/>
          <w:numId w:val="29"/>
        </w:numPr>
        <w:spacing w:before="120" w:line="240" w:lineRule="auto"/>
        <w:rPr>
          <w:rFonts w:eastAsia="Times New Roman" w:cs="Times New Roman"/>
          <w:szCs w:val="20"/>
          <w:lang w:val="en-GB" w:eastAsia="en-GB"/>
        </w:rPr>
      </w:pPr>
      <w:r>
        <w:rPr>
          <w:rFonts w:eastAsia="Times New Roman" w:cs="Times New Roman"/>
          <w:szCs w:val="20"/>
          <w:lang w:val="en-GB" w:eastAsia="en-GB"/>
        </w:rPr>
        <w:t xml:space="preserve">ensuring </w:t>
      </w:r>
      <w:r w:rsidR="006378E8">
        <w:rPr>
          <w:rFonts w:eastAsia="Times New Roman" w:cs="Times New Roman"/>
          <w:szCs w:val="20"/>
          <w:lang w:val="en-GB" w:eastAsia="en-GB"/>
        </w:rPr>
        <w:t>fitness to practice</w:t>
      </w:r>
    </w:p>
    <w:p w:rsidR="006378E8" w:rsidRDefault="006378E8" w:rsidP="005B5FC6">
      <w:pPr>
        <w:numPr>
          <w:ilvl w:val="2"/>
          <w:numId w:val="29"/>
        </w:numPr>
        <w:spacing w:before="120" w:line="240" w:lineRule="auto"/>
        <w:rPr>
          <w:rFonts w:eastAsia="Times New Roman" w:cs="Times New Roman"/>
          <w:szCs w:val="20"/>
          <w:lang w:val="en-GB" w:eastAsia="en-GB"/>
        </w:rPr>
      </w:pPr>
      <w:r>
        <w:rPr>
          <w:rFonts w:eastAsia="Times New Roman" w:cs="Times New Roman"/>
          <w:szCs w:val="20"/>
          <w:lang w:val="en-GB" w:eastAsia="en-GB"/>
        </w:rPr>
        <w:t>complaints and disciplinary processes</w:t>
      </w:r>
      <w:r w:rsidR="001D221F">
        <w:rPr>
          <w:rFonts w:eastAsia="Times New Roman" w:cs="Times New Roman"/>
          <w:szCs w:val="20"/>
          <w:lang w:val="en-GB" w:eastAsia="en-GB"/>
        </w:rPr>
        <w:t>.</w:t>
      </w:r>
    </w:p>
    <w:p w:rsidR="002C312C" w:rsidRPr="002A5D5B" w:rsidRDefault="00CA4875" w:rsidP="00177E1D">
      <w:pPr>
        <w:numPr>
          <w:ilvl w:val="0"/>
          <w:numId w:val="8"/>
        </w:numPr>
        <w:spacing w:before="240" w:line="240" w:lineRule="auto"/>
        <w:ind w:left="567" w:hanging="567"/>
        <w:rPr>
          <w:rFonts w:eastAsia="Times New Roman" w:cs="Times New Roman"/>
          <w:szCs w:val="20"/>
          <w:lang w:val="en-GB" w:eastAsia="en-GB"/>
        </w:rPr>
      </w:pPr>
      <w:r>
        <w:rPr>
          <w:rFonts w:eastAsia="Times New Roman" w:cs="Times New Roman"/>
          <w:szCs w:val="20"/>
          <w:lang w:val="en-GB" w:eastAsia="en-GB"/>
        </w:rPr>
        <w:t>With respect to the vehicle for legislative change, t</w:t>
      </w:r>
      <w:r w:rsidR="002C312C" w:rsidRPr="002A5D5B">
        <w:rPr>
          <w:rFonts w:eastAsia="Times New Roman" w:cs="Times New Roman"/>
          <w:szCs w:val="20"/>
          <w:lang w:val="en-GB" w:eastAsia="en-GB"/>
        </w:rPr>
        <w:t xml:space="preserve">he </w:t>
      </w:r>
      <w:r w:rsidR="00101F12">
        <w:rPr>
          <w:rFonts w:eastAsia="Times New Roman" w:cs="Times New Roman"/>
          <w:szCs w:val="20"/>
          <w:lang w:val="en-GB" w:eastAsia="en-GB"/>
        </w:rPr>
        <w:t xml:space="preserve">Select </w:t>
      </w:r>
      <w:r w:rsidR="002C312C" w:rsidRPr="002A5D5B">
        <w:rPr>
          <w:rFonts w:eastAsia="Times New Roman" w:cs="Times New Roman"/>
          <w:szCs w:val="20"/>
          <w:lang w:val="en-GB" w:eastAsia="en-GB"/>
        </w:rPr>
        <w:t>Committee noted the following options for achieving its recommendations:</w:t>
      </w:r>
    </w:p>
    <w:p w:rsidR="002C312C" w:rsidRPr="002A5D5B" w:rsidRDefault="002C312C" w:rsidP="005B5FC6">
      <w:pPr>
        <w:numPr>
          <w:ilvl w:val="1"/>
          <w:numId w:val="17"/>
        </w:numPr>
        <w:spacing w:before="120" w:line="240" w:lineRule="auto"/>
        <w:ind w:left="1134" w:hanging="425"/>
        <w:rPr>
          <w:rFonts w:eastAsia="Times New Roman" w:cs="Times New Roman"/>
          <w:szCs w:val="20"/>
          <w:lang w:val="en-GB" w:eastAsia="en-GB"/>
        </w:rPr>
      </w:pPr>
      <w:r w:rsidRPr="002A5D5B">
        <w:rPr>
          <w:rFonts w:eastAsia="Times New Roman" w:cs="Times New Roman"/>
          <w:szCs w:val="20"/>
          <w:lang w:val="en-GB" w:eastAsia="en-GB"/>
        </w:rPr>
        <w:t>amending the SWR Act</w:t>
      </w:r>
    </w:p>
    <w:p w:rsidR="002C312C" w:rsidRPr="002A5D5B" w:rsidRDefault="002C312C" w:rsidP="005B5FC6">
      <w:pPr>
        <w:numPr>
          <w:ilvl w:val="1"/>
          <w:numId w:val="17"/>
        </w:numPr>
        <w:spacing w:before="120" w:line="240" w:lineRule="auto"/>
        <w:ind w:left="1134" w:hanging="425"/>
        <w:rPr>
          <w:rFonts w:eastAsia="Times New Roman" w:cs="Times New Roman"/>
          <w:szCs w:val="20"/>
          <w:lang w:val="en-GB" w:eastAsia="en-GB"/>
        </w:rPr>
      </w:pPr>
      <w:r w:rsidRPr="002A5D5B">
        <w:rPr>
          <w:rFonts w:eastAsia="Times New Roman" w:cs="Times New Roman"/>
          <w:szCs w:val="20"/>
          <w:lang w:val="en-GB" w:eastAsia="en-GB"/>
        </w:rPr>
        <w:t>repealing and replacing the SWR Act</w:t>
      </w:r>
    </w:p>
    <w:p w:rsidR="002C312C" w:rsidRPr="002A5D5B" w:rsidRDefault="002C312C" w:rsidP="005B5FC6">
      <w:pPr>
        <w:numPr>
          <w:ilvl w:val="1"/>
          <w:numId w:val="17"/>
        </w:numPr>
        <w:spacing w:before="120" w:line="240" w:lineRule="auto"/>
        <w:ind w:left="1134" w:hanging="425"/>
        <w:rPr>
          <w:rFonts w:eastAsia="Times New Roman" w:cs="Times New Roman"/>
          <w:szCs w:val="20"/>
          <w:lang w:val="en-GB" w:eastAsia="en-GB"/>
        </w:rPr>
      </w:pPr>
      <w:r w:rsidRPr="002A5D5B">
        <w:rPr>
          <w:rFonts w:eastAsia="Times New Roman" w:cs="Times New Roman"/>
          <w:szCs w:val="20"/>
          <w:lang w:val="en-GB" w:eastAsia="en-GB"/>
        </w:rPr>
        <w:t xml:space="preserve">repealing the SWR Act and incorporating social work into the Health Practitioners Competence Assurance Act </w:t>
      </w:r>
      <w:r w:rsidR="002F638D">
        <w:rPr>
          <w:rFonts w:eastAsia="Times New Roman" w:cs="Times New Roman"/>
          <w:szCs w:val="20"/>
          <w:lang w:val="en-GB" w:eastAsia="en-GB"/>
        </w:rPr>
        <w:t xml:space="preserve">2003 </w:t>
      </w:r>
      <w:r w:rsidRPr="002A5D5B">
        <w:rPr>
          <w:rFonts w:eastAsia="Times New Roman" w:cs="Times New Roman"/>
          <w:szCs w:val="20"/>
          <w:lang w:val="en-GB" w:eastAsia="en-GB"/>
        </w:rPr>
        <w:t>(HPCA Act)</w:t>
      </w:r>
    </w:p>
    <w:p w:rsidR="002C312C" w:rsidRPr="00B27068" w:rsidRDefault="002C312C" w:rsidP="005B5FC6">
      <w:pPr>
        <w:numPr>
          <w:ilvl w:val="1"/>
          <w:numId w:val="17"/>
        </w:numPr>
        <w:spacing w:before="120" w:line="240" w:lineRule="auto"/>
        <w:ind w:left="1134" w:hanging="425"/>
        <w:rPr>
          <w:rFonts w:eastAsia="Times New Roman" w:cs="Times New Roman"/>
          <w:szCs w:val="20"/>
          <w:lang w:val="en-GB" w:eastAsia="en-GB"/>
        </w:rPr>
      </w:pPr>
      <w:r w:rsidRPr="002A5D5B">
        <w:rPr>
          <w:rFonts w:eastAsia="Times New Roman" w:cs="Times New Roman"/>
          <w:szCs w:val="20"/>
          <w:lang w:val="en-GB" w:eastAsia="en-GB"/>
        </w:rPr>
        <w:t>amending the SWR Act and incorporating social work partially into the HPCA Act.</w:t>
      </w:r>
    </w:p>
    <w:p w:rsidR="00612A00" w:rsidRDefault="002C312C" w:rsidP="00177E1D">
      <w:pPr>
        <w:numPr>
          <w:ilvl w:val="0"/>
          <w:numId w:val="8"/>
        </w:numPr>
        <w:spacing w:before="240" w:line="240" w:lineRule="auto"/>
        <w:ind w:left="567" w:hanging="567"/>
        <w:rPr>
          <w:rFonts w:eastAsia="Times New Roman" w:cs="Times New Roman"/>
          <w:szCs w:val="20"/>
          <w:lang w:val="en-GB" w:eastAsia="en-GB"/>
        </w:rPr>
      </w:pPr>
      <w:r w:rsidRPr="002A5D5B">
        <w:rPr>
          <w:rFonts w:eastAsia="Times New Roman" w:cs="Times New Roman"/>
          <w:szCs w:val="20"/>
          <w:lang w:val="en-GB" w:eastAsia="en-GB"/>
        </w:rPr>
        <w:t xml:space="preserve">MSD has considered the best means of implementing the legislative reform proposals in this RIS. </w:t>
      </w:r>
      <w:r w:rsidR="00481F3D" w:rsidRPr="002A5D5B">
        <w:rPr>
          <w:rFonts w:eastAsia="Times New Roman" w:cs="Times New Roman"/>
          <w:szCs w:val="20"/>
          <w:lang w:val="en-GB" w:eastAsia="en-GB"/>
        </w:rPr>
        <w:t xml:space="preserve"> On the basis of the scale and scope of the recommended legislative changes, MSD recommends</w:t>
      </w:r>
      <w:r w:rsidRPr="002A5D5B">
        <w:rPr>
          <w:rFonts w:eastAsia="Times New Roman" w:cs="Times New Roman"/>
          <w:szCs w:val="20"/>
          <w:lang w:val="en-GB" w:eastAsia="en-GB"/>
        </w:rPr>
        <w:t xml:space="preserve"> a Bill amending the SWR Act </w:t>
      </w:r>
      <w:r w:rsidR="00481F3D" w:rsidRPr="002A5D5B">
        <w:rPr>
          <w:rFonts w:eastAsia="Times New Roman" w:cs="Times New Roman"/>
          <w:szCs w:val="20"/>
          <w:lang w:val="en-GB" w:eastAsia="en-GB"/>
        </w:rPr>
        <w:t xml:space="preserve">as </w:t>
      </w:r>
      <w:r w:rsidRPr="002A5D5B">
        <w:rPr>
          <w:rFonts w:eastAsia="Times New Roman" w:cs="Times New Roman"/>
          <w:szCs w:val="20"/>
          <w:lang w:val="en-GB" w:eastAsia="en-GB"/>
        </w:rPr>
        <w:t xml:space="preserve">the most appropriate vehicle for legislative reform.  </w:t>
      </w:r>
    </w:p>
    <w:p w:rsidR="00E60D69" w:rsidRPr="000473EF" w:rsidRDefault="00E60D69" w:rsidP="00E60D69">
      <w:pPr>
        <w:numPr>
          <w:ilvl w:val="0"/>
          <w:numId w:val="8"/>
        </w:numPr>
        <w:spacing w:before="240" w:line="240" w:lineRule="auto"/>
        <w:ind w:left="567" w:hanging="567"/>
        <w:rPr>
          <w:rFonts w:eastAsia="Times New Roman" w:cs="Times New Roman"/>
          <w:szCs w:val="20"/>
          <w:lang w:val="en-GB" w:eastAsia="en-GB"/>
        </w:rPr>
      </w:pPr>
      <w:r w:rsidRPr="000473EF">
        <w:rPr>
          <w:rFonts w:eastAsia="Times New Roman" w:cs="Times New Roman"/>
          <w:szCs w:val="20"/>
          <w:lang w:val="en-GB" w:eastAsia="en-GB"/>
        </w:rPr>
        <w:t>Officials and the Board</w:t>
      </w:r>
      <w:r w:rsidR="007231FB" w:rsidRPr="000473EF">
        <w:rPr>
          <w:rFonts w:eastAsia="Times New Roman" w:cs="Times New Roman"/>
          <w:szCs w:val="20"/>
          <w:lang w:val="en-GB" w:eastAsia="en-GB"/>
        </w:rPr>
        <w:t xml:space="preserve"> consider that</w:t>
      </w:r>
      <w:r w:rsidR="00CB2909" w:rsidRPr="000473EF">
        <w:rPr>
          <w:rFonts w:eastAsia="Times New Roman" w:cs="Times New Roman"/>
          <w:szCs w:val="20"/>
          <w:lang w:val="en-GB" w:eastAsia="en-GB"/>
        </w:rPr>
        <w:t>, as suggested by the Select Committee</w:t>
      </w:r>
      <w:r w:rsidR="00CB2909">
        <w:rPr>
          <w:rFonts w:eastAsia="Times New Roman" w:cs="Times New Roman"/>
          <w:szCs w:val="20"/>
          <w:lang w:val="en-GB" w:eastAsia="en-GB"/>
        </w:rPr>
        <w:t>,</w:t>
      </w:r>
      <w:r w:rsidR="00CB2909" w:rsidRPr="000473EF">
        <w:rPr>
          <w:rFonts w:eastAsia="Times New Roman" w:cs="Times New Roman"/>
          <w:szCs w:val="20"/>
          <w:lang w:val="en-GB" w:eastAsia="en-GB"/>
        </w:rPr>
        <w:t xml:space="preserve"> </w:t>
      </w:r>
      <w:r w:rsidRPr="000473EF">
        <w:rPr>
          <w:rFonts w:eastAsia="Times New Roman" w:cs="Times New Roman"/>
          <w:szCs w:val="20"/>
          <w:lang w:val="en-GB" w:eastAsia="en-GB"/>
        </w:rPr>
        <w:t>the H</w:t>
      </w:r>
      <w:r w:rsidR="007231FB" w:rsidRPr="000473EF">
        <w:rPr>
          <w:rFonts w:eastAsia="Times New Roman" w:cs="Times New Roman"/>
          <w:szCs w:val="20"/>
          <w:lang w:val="en-GB" w:eastAsia="en-GB"/>
        </w:rPr>
        <w:t>P</w:t>
      </w:r>
      <w:r w:rsidRPr="000473EF">
        <w:rPr>
          <w:rFonts w:eastAsia="Times New Roman" w:cs="Times New Roman"/>
          <w:szCs w:val="20"/>
          <w:lang w:val="en-GB" w:eastAsia="en-GB"/>
        </w:rPr>
        <w:t>C</w:t>
      </w:r>
      <w:r w:rsidR="007231FB" w:rsidRPr="000473EF">
        <w:rPr>
          <w:rFonts w:eastAsia="Times New Roman" w:cs="Times New Roman"/>
          <w:szCs w:val="20"/>
          <w:lang w:val="en-GB" w:eastAsia="en-GB"/>
        </w:rPr>
        <w:t xml:space="preserve">A Act </w:t>
      </w:r>
      <w:r w:rsidRPr="000473EF">
        <w:rPr>
          <w:rFonts w:eastAsia="Times New Roman" w:cs="Times New Roman"/>
          <w:szCs w:val="20"/>
          <w:lang w:val="en-GB" w:eastAsia="en-GB"/>
        </w:rPr>
        <w:t>is</w:t>
      </w:r>
      <w:r w:rsidR="007231FB" w:rsidRPr="000473EF">
        <w:rPr>
          <w:rFonts w:eastAsia="Times New Roman" w:cs="Times New Roman"/>
          <w:szCs w:val="20"/>
          <w:lang w:val="en-GB" w:eastAsia="en-GB"/>
        </w:rPr>
        <w:t xml:space="preserve"> </w:t>
      </w:r>
      <w:r w:rsidR="003E4391">
        <w:rPr>
          <w:rFonts w:eastAsia="Times New Roman" w:cs="Times New Roman"/>
          <w:szCs w:val="20"/>
          <w:lang w:val="en-GB" w:eastAsia="en-GB"/>
        </w:rPr>
        <w:t xml:space="preserve">a </w:t>
      </w:r>
      <w:r w:rsidRPr="000473EF">
        <w:rPr>
          <w:rFonts w:eastAsia="Times New Roman" w:cs="Times New Roman"/>
          <w:szCs w:val="20"/>
          <w:lang w:val="en-GB" w:eastAsia="en-GB"/>
        </w:rPr>
        <w:t>good</w:t>
      </w:r>
      <w:r w:rsidR="007231FB" w:rsidRPr="000473EF">
        <w:rPr>
          <w:rFonts w:eastAsia="Times New Roman" w:cs="Times New Roman"/>
          <w:szCs w:val="20"/>
          <w:lang w:val="en-GB" w:eastAsia="en-GB"/>
        </w:rPr>
        <w:t xml:space="preserve"> model </w:t>
      </w:r>
      <w:r w:rsidR="00421BD3" w:rsidRPr="000473EF">
        <w:rPr>
          <w:rFonts w:eastAsia="Times New Roman" w:cs="Times New Roman"/>
          <w:szCs w:val="20"/>
          <w:lang w:val="en-GB" w:eastAsia="en-GB"/>
        </w:rPr>
        <w:t xml:space="preserve">for </w:t>
      </w:r>
      <w:r w:rsidR="009476DF" w:rsidRPr="000473EF">
        <w:rPr>
          <w:rFonts w:eastAsia="Times New Roman" w:cs="Times New Roman"/>
          <w:szCs w:val="20"/>
          <w:lang w:val="en-GB" w:eastAsia="en-GB"/>
        </w:rPr>
        <w:t xml:space="preserve">the recommended </w:t>
      </w:r>
      <w:r w:rsidR="00421BD3" w:rsidRPr="000473EF">
        <w:rPr>
          <w:rFonts w:eastAsia="Times New Roman" w:cs="Times New Roman"/>
          <w:szCs w:val="20"/>
          <w:lang w:val="en-GB" w:eastAsia="en-GB"/>
        </w:rPr>
        <w:t>amend</w:t>
      </w:r>
      <w:r w:rsidR="009476DF" w:rsidRPr="000473EF">
        <w:rPr>
          <w:rFonts w:eastAsia="Times New Roman" w:cs="Times New Roman"/>
          <w:szCs w:val="20"/>
          <w:lang w:val="en-GB" w:eastAsia="en-GB"/>
        </w:rPr>
        <w:t>ments to</w:t>
      </w:r>
      <w:r w:rsidR="008C03E6" w:rsidRPr="000473EF">
        <w:rPr>
          <w:rFonts w:eastAsia="Times New Roman" w:cs="Times New Roman"/>
          <w:szCs w:val="20"/>
          <w:lang w:val="en-GB" w:eastAsia="en-GB"/>
        </w:rPr>
        <w:t xml:space="preserve"> </w:t>
      </w:r>
      <w:r w:rsidR="00421BD3" w:rsidRPr="000473EF">
        <w:rPr>
          <w:rFonts w:eastAsia="Times New Roman" w:cs="Times New Roman"/>
          <w:szCs w:val="20"/>
          <w:lang w:val="en-GB" w:eastAsia="en-GB"/>
        </w:rPr>
        <w:t xml:space="preserve">the SWR Act. </w:t>
      </w:r>
      <w:r w:rsidR="009476DF" w:rsidRPr="000473EF">
        <w:rPr>
          <w:rFonts w:eastAsia="Times New Roman" w:cs="Times New Roman"/>
          <w:szCs w:val="20"/>
          <w:lang w:val="en-GB" w:eastAsia="en-GB"/>
        </w:rPr>
        <w:t xml:space="preserve"> </w:t>
      </w:r>
      <w:r w:rsidRPr="000473EF">
        <w:rPr>
          <w:rFonts w:eastAsia="Times New Roman" w:cs="Times New Roman"/>
          <w:szCs w:val="20"/>
          <w:lang w:val="en-GB" w:eastAsia="en-GB"/>
        </w:rPr>
        <w:t xml:space="preserve">The nature of social work better aligns with the </w:t>
      </w:r>
      <w:r w:rsidR="009476DF" w:rsidRPr="000473EF">
        <w:rPr>
          <w:rFonts w:eastAsia="Times New Roman" w:cs="Times New Roman"/>
          <w:szCs w:val="20"/>
          <w:lang w:val="en-GB" w:eastAsia="en-GB"/>
        </w:rPr>
        <w:t xml:space="preserve">range of </w:t>
      </w:r>
      <w:r w:rsidRPr="000473EF">
        <w:rPr>
          <w:rFonts w:eastAsia="Times New Roman" w:cs="Times New Roman"/>
          <w:szCs w:val="20"/>
          <w:lang w:val="en-GB" w:eastAsia="en-GB"/>
        </w:rPr>
        <w:t>professions included in the HPCA Act than other regulated professions in New Zealand.</w:t>
      </w:r>
      <w:r w:rsidR="009476DF" w:rsidRPr="000473EF">
        <w:rPr>
          <w:rFonts w:eastAsia="Times New Roman" w:cs="Times New Roman"/>
          <w:szCs w:val="20"/>
          <w:lang w:val="en-GB" w:eastAsia="en-GB"/>
        </w:rPr>
        <w:t xml:space="preserve"> </w:t>
      </w:r>
      <w:r w:rsidRPr="000473EF">
        <w:rPr>
          <w:rFonts w:eastAsia="Times New Roman" w:cs="Times New Roman"/>
          <w:szCs w:val="20"/>
          <w:lang w:val="en-GB" w:eastAsia="en-GB"/>
        </w:rPr>
        <w:t xml:space="preserve"> </w:t>
      </w:r>
      <w:r w:rsidR="00421BD3" w:rsidRPr="000473EF">
        <w:rPr>
          <w:rFonts w:eastAsia="Times New Roman" w:cs="Times New Roman"/>
          <w:szCs w:val="20"/>
          <w:lang w:val="en-GB" w:eastAsia="en-GB"/>
        </w:rPr>
        <w:t xml:space="preserve">Overseas jurisdictions, including Ireland and Australia, </w:t>
      </w:r>
      <w:r w:rsidR="008C03E6" w:rsidRPr="000473EF">
        <w:rPr>
          <w:rFonts w:eastAsia="Times New Roman" w:cs="Times New Roman"/>
          <w:szCs w:val="20"/>
          <w:lang w:val="en-GB" w:eastAsia="en-GB"/>
        </w:rPr>
        <w:t>include</w:t>
      </w:r>
      <w:r w:rsidR="00421BD3" w:rsidRPr="000473EF">
        <w:rPr>
          <w:rFonts w:eastAsia="Times New Roman" w:cs="Times New Roman"/>
          <w:szCs w:val="20"/>
          <w:lang w:val="en-GB" w:eastAsia="en-GB"/>
        </w:rPr>
        <w:t xml:space="preserve"> social work in their health regulatory regimes.</w:t>
      </w:r>
      <w:r w:rsidR="009476DF" w:rsidRPr="000473EF">
        <w:rPr>
          <w:rFonts w:eastAsia="Times New Roman" w:cs="Times New Roman"/>
          <w:szCs w:val="20"/>
          <w:lang w:val="en-GB" w:eastAsia="en-GB"/>
        </w:rPr>
        <w:t xml:space="preserve"> </w:t>
      </w:r>
      <w:r w:rsidR="00421BD3" w:rsidRPr="000473EF">
        <w:rPr>
          <w:rFonts w:eastAsia="Times New Roman" w:cs="Times New Roman"/>
          <w:szCs w:val="20"/>
          <w:lang w:val="en-GB" w:eastAsia="en-GB"/>
        </w:rPr>
        <w:t xml:space="preserve"> </w:t>
      </w:r>
    </w:p>
    <w:p w:rsidR="00792F57" w:rsidRPr="00E60D69" w:rsidRDefault="002C312C" w:rsidP="00E60D69">
      <w:pPr>
        <w:numPr>
          <w:ilvl w:val="0"/>
          <w:numId w:val="8"/>
        </w:numPr>
        <w:spacing w:before="240" w:line="240" w:lineRule="auto"/>
        <w:ind w:left="567" w:hanging="567"/>
        <w:rPr>
          <w:rFonts w:eastAsia="Times New Roman" w:cs="Times New Roman"/>
          <w:szCs w:val="20"/>
          <w:lang w:val="en-GB" w:eastAsia="en-GB"/>
        </w:rPr>
      </w:pPr>
      <w:r w:rsidRPr="00E60D69">
        <w:rPr>
          <w:rFonts w:eastAsia="Times New Roman" w:cs="Times New Roman"/>
          <w:szCs w:val="20"/>
          <w:lang w:val="en-GB" w:eastAsia="en-GB"/>
        </w:rPr>
        <w:t xml:space="preserve">The Ministry of Health supports </w:t>
      </w:r>
      <w:r w:rsidR="008321B5" w:rsidRPr="00E60D69">
        <w:rPr>
          <w:rFonts w:eastAsia="Times New Roman" w:cs="Times New Roman"/>
          <w:szCs w:val="20"/>
          <w:lang w:val="en-GB" w:eastAsia="en-GB"/>
        </w:rPr>
        <w:t>the approach of amending the SWR Act, using the HPCA Act</w:t>
      </w:r>
      <w:r w:rsidRPr="00E60D69">
        <w:rPr>
          <w:rFonts w:eastAsia="Times New Roman" w:cs="Times New Roman"/>
          <w:szCs w:val="20"/>
          <w:lang w:val="en-GB" w:eastAsia="en-GB"/>
        </w:rPr>
        <w:t xml:space="preserve"> </w:t>
      </w:r>
      <w:r w:rsidR="008321B5" w:rsidRPr="00E60D69">
        <w:rPr>
          <w:rFonts w:eastAsia="Times New Roman" w:cs="Times New Roman"/>
          <w:szCs w:val="20"/>
          <w:lang w:val="en-GB" w:eastAsia="en-GB"/>
        </w:rPr>
        <w:t>as a model</w:t>
      </w:r>
      <w:r w:rsidRPr="00E60D69">
        <w:rPr>
          <w:rFonts w:eastAsia="Times New Roman" w:cs="Times New Roman"/>
          <w:szCs w:val="20"/>
          <w:lang w:val="en-GB" w:eastAsia="en-GB"/>
        </w:rPr>
        <w:t>.</w:t>
      </w:r>
    </w:p>
    <w:p w:rsidR="00612A00" w:rsidRPr="002A5D5B" w:rsidRDefault="00612A00" w:rsidP="006F072A">
      <w:pPr>
        <w:spacing w:before="240" w:line="240" w:lineRule="auto"/>
        <w:ind w:left="567"/>
        <w:rPr>
          <w:rFonts w:eastAsia="Times New Roman" w:cs="Times New Roman"/>
          <w:szCs w:val="20"/>
          <w:lang w:val="en-GB" w:eastAsia="en-GB"/>
        </w:rPr>
      </w:pPr>
    </w:p>
    <w:p w:rsidR="00E03811" w:rsidRPr="00F87BA3" w:rsidRDefault="00E03811" w:rsidP="00177E1D">
      <w:pPr>
        <w:spacing w:after="240" w:line="240" w:lineRule="auto"/>
        <w:outlineLvl w:val="1"/>
        <w:rPr>
          <w:rFonts w:eastAsia="Times New Roman" w:cs="Times New Roman"/>
          <w:b/>
          <w:color w:val="1F497D" w:themeColor="text2"/>
          <w:sz w:val="28"/>
          <w:szCs w:val="28"/>
          <w:lang w:val="en-GB" w:eastAsia="en-GB"/>
        </w:rPr>
      </w:pPr>
      <w:bookmarkStart w:id="43" w:name="_Toc520457885"/>
      <w:r w:rsidRPr="00F87BA3">
        <w:rPr>
          <w:rFonts w:eastAsia="Times New Roman" w:cs="Times New Roman"/>
          <w:b/>
          <w:color w:val="1F497D" w:themeColor="text2"/>
          <w:sz w:val="28"/>
          <w:szCs w:val="28"/>
          <w:lang w:val="en-GB" w:eastAsia="en-GB"/>
        </w:rPr>
        <w:t>Objectives and Criteria</w:t>
      </w:r>
      <w:bookmarkEnd w:id="43"/>
    </w:p>
    <w:p w:rsidR="00A250D5" w:rsidRPr="002A5D5B" w:rsidRDefault="00E03811" w:rsidP="00177E1D">
      <w:pPr>
        <w:numPr>
          <w:ilvl w:val="0"/>
          <w:numId w:val="8"/>
        </w:numPr>
        <w:spacing w:after="240" w:line="240" w:lineRule="auto"/>
        <w:ind w:left="567" w:hanging="567"/>
        <w:rPr>
          <w:rFonts w:eastAsia="Times New Roman"/>
          <w:kern w:val="28"/>
          <w:szCs w:val="20"/>
          <w:lang w:val="en-US"/>
        </w:rPr>
      </w:pPr>
      <w:r w:rsidRPr="002A5D5B">
        <w:rPr>
          <w:rFonts w:eastAsia="Times New Roman"/>
          <w:kern w:val="28"/>
          <w:szCs w:val="20"/>
          <w:lang w:val="en-US"/>
        </w:rPr>
        <w:t>The</w:t>
      </w:r>
      <w:r w:rsidR="00A250D5" w:rsidRPr="002A5D5B">
        <w:rPr>
          <w:rFonts w:eastAsia="Times New Roman"/>
          <w:kern w:val="28"/>
          <w:szCs w:val="20"/>
          <w:lang w:val="en-US"/>
        </w:rPr>
        <w:t xml:space="preserve"> </w:t>
      </w:r>
      <w:r w:rsidR="007F6B8B">
        <w:rPr>
          <w:rFonts w:eastAsia="Times New Roman"/>
          <w:kern w:val="28"/>
          <w:szCs w:val="20"/>
          <w:lang w:val="en-US"/>
        </w:rPr>
        <w:t>immediate</w:t>
      </w:r>
      <w:r w:rsidR="00A250D5">
        <w:rPr>
          <w:rFonts w:eastAsia="Times New Roman"/>
          <w:kern w:val="28"/>
          <w:szCs w:val="20"/>
          <w:lang w:val="en-US"/>
        </w:rPr>
        <w:t xml:space="preserve"> objective of these proposals is</w:t>
      </w:r>
      <w:r w:rsidR="00A250D5" w:rsidRPr="002A5D5B">
        <w:rPr>
          <w:rFonts w:eastAsia="Times New Roman"/>
          <w:kern w:val="28"/>
          <w:szCs w:val="20"/>
          <w:lang w:val="en-US"/>
        </w:rPr>
        <w:t xml:space="preserve"> to increase the coverage of the regulatory regime </w:t>
      </w:r>
      <w:r w:rsidR="008E6A4B" w:rsidRPr="002A5D5B">
        <w:rPr>
          <w:rFonts w:eastAsia="Times New Roman"/>
          <w:kern w:val="28"/>
          <w:szCs w:val="20"/>
          <w:lang w:val="en-US"/>
        </w:rPr>
        <w:t>so that it will cover</w:t>
      </w:r>
      <w:r w:rsidR="00A250D5" w:rsidRPr="002A5D5B">
        <w:rPr>
          <w:rFonts w:eastAsia="Times New Roman"/>
          <w:kern w:val="28"/>
          <w:szCs w:val="20"/>
          <w:lang w:val="en-US"/>
        </w:rPr>
        <w:t xml:space="preserve"> all social workers.  This</w:t>
      </w:r>
      <w:r w:rsidR="007F6B8B" w:rsidRPr="002A5D5B">
        <w:rPr>
          <w:rFonts w:eastAsia="Times New Roman"/>
          <w:kern w:val="28"/>
          <w:szCs w:val="20"/>
          <w:lang w:val="en-US"/>
        </w:rPr>
        <w:t xml:space="preserve"> objective</w:t>
      </w:r>
      <w:r w:rsidR="008E6A4B" w:rsidRPr="002A5D5B">
        <w:rPr>
          <w:rFonts w:eastAsia="Times New Roman"/>
          <w:kern w:val="28"/>
          <w:szCs w:val="20"/>
          <w:lang w:val="en-US"/>
        </w:rPr>
        <w:t xml:space="preserve"> </w:t>
      </w:r>
      <w:r w:rsidR="007F6B8B" w:rsidRPr="002A5D5B">
        <w:rPr>
          <w:rFonts w:eastAsia="Times New Roman"/>
          <w:kern w:val="28"/>
          <w:szCs w:val="20"/>
          <w:lang w:val="en-US"/>
        </w:rPr>
        <w:t xml:space="preserve">is </w:t>
      </w:r>
      <w:r w:rsidR="008E6A4B" w:rsidRPr="002A5D5B">
        <w:rPr>
          <w:rFonts w:eastAsia="Times New Roman"/>
          <w:kern w:val="28"/>
          <w:szCs w:val="20"/>
          <w:lang w:val="en-US"/>
        </w:rPr>
        <w:t>recommended on the basis that:</w:t>
      </w:r>
    </w:p>
    <w:p w:rsidR="008E6A4B" w:rsidRPr="002A5D5B" w:rsidRDefault="00C53110" w:rsidP="005B5FC6">
      <w:pPr>
        <w:numPr>
          <w:ilvl w:val="1"/>
          <w:numId w:val="17"/>
        </w:numPr>
        <w:spacing w:after="240" w:line="240" w:lineRule="auto"/>
        <w:ind w:left="1134" w:hanging="425"/>
        <w:rPr>
          <w:rFonts w:eastAsia="Times New Roman" w:cs="Times New Roman"/>
          <w:szCs w:val="20"/>
          <w:lang w:val="en-GB" w:eastAsia="en-GB"/>
        </w:rPr>
      </w:pPr>
      <w:r w:rsidRPr="002A5D5B">
        <w:rPr>
          <w:rFonts w:eastAsia="Times New Roman" w:cs="Times New Roman"/>
          <w:szCs w:val="20"/>
          <w:lang w:val="en-GB" w:eastAsia="en-GB"/>
        </w:rPr>
        <w:t>T</w:t>
      </w:r>
      <w:r w:rsidR="008E6A4B" w:rsidRPr="002A5D5B">
        <w:rPr>
          <w:rFonts w:eastAsia="Times New Roman" w:cs="Times New Roman"/>
          <w:szCs w:val="20"/>
          <w:lang w:val="en-GB" w:eastAsia="en-GB"/>
        </w:rPr>
        <w:t>he</w:t>
      </w:r>
      <w:r w:rsidRPr="002A5D5B">
        <w:rPr>
          <w:rFonts w:eastAsia="Times New Roman" w:cs="Times New Roman"/>
          <w:szCs w:val="20"/>
          <w:lang w:val="en-GB" w:eastAsia="en-GB"/>
        </w:rPr>
        <w:t>re is a</w:t>
      </w:r>
      <w:r w:rsidR="008E6A4B" w:rsidRPr="002A5D5B">
        <w:rPr>
          <w:rFonts w:eastAsia="Times New Roman" w:cs="Times New Roman"/>
          <w:szCs w:val="20"/>
          <w:lang w:val="en-GB" w:eastAsia="en-GB"/>
        </w:rPr>
        <w:t xml:space="preserve"> </w:t>
      </w:r>
      <w:r w:rsidR="00CE1DAF">
        <w:rPr>
          <w:rFonts w:eastAsia="Times New Roman" w:cs="Times New Roman"/>
          <w:szCs w:val="20"/>
          <w:lang w:val="en-GB" w:eastAsia="en-GB"/>
        </w:rPr>
        <w:t xml:space="preserve">small but significant </w:t>
      </w:r>
      <w:r w:rsidRPr="002A5D5B">
        <w:rPr>
          <w:rFonts w:eastAsia="Times New Roman" w:cs="Times New Roman"/>
          <w:szCs w:val="20"/>
          <w:lang w:val="en-GB" w:eastAsia="en-GB"/>
        </w:rPr>
        <w:t>risk to the public of</w:t>
      </w:r>
      <w:r w:rsidR="008E6A4B" w:rsidRPr="002A5D5B">
        <w:rPr>
          <w:rFonts w:eastAsia="Times New Roman" w:cs="Times New Roman"/>
          <w:szCs w:val="20"/>
          <w:lang w:val="en-GB" w:eastAsia="en-GB"/>
        </w:rPr>
        <w:t xml:space="preserve"> harm </w:t>
      </w:r>
      <w:r w:rsidRPr="002A5D5B">
        <w:rPr>
          <w:rFonts w:eastAsia="Times New Roman" w:cs="Times New Roman"/>
          <w:szCs w:val="20"/>
          <w:lang w:val="en-GB" w:eastAsia="en-GB"/>
        </w:rPr>
        <w:t>from</w:t>
      </w:r>
      <w:r w:rsidR="008E6A4B" w:rsidRPr="002A5D5B">
        <w:rPr>
          <w:rFonts w:eastAsia="Times New Roman" w:cs="Times New Roman"/>
          <w:szCs w:val="20"/>
          <w:lang w:val="en-GB" w:eastAsia="en-GB"/>
        </w:rPr>
        <w:t xml:space="preserve"> incompetent, reckless or dishonest practice of </w:t>
      </w:r>
      <w:r w:rsidRPr="002A5D5B">
        <w:rPr>
          <w:rFonts w:eastAsia="Times New Roman" w:cs="Times New Roman"/>
          <w:szCs w:val="20"/>
          <w:lang w:val="en-GB" w:eastAsia="en-GB"/>
        </w:rPr>
        <w:t xml:space="preserve">social workers, which could result in </w:t>
      </w:r>
      <w:r w:rsidR="008E6A4B" w:rsidRPr="002A5D5B">
        <w:rPr>
          <w:rFonts w:eastAsia="Times New Roman" w:cs="Times New Roman"/>
          <w:szCs w:val="20"/>
          <w:lang w:val="en-GB" w:eastAsia="en-GB"/>
        </w:rPr>
        <w:t xml:space="preserve">significant harm to one person or moderate harm to a larger number. </w:t>
      </w:r>
      <w:r w:rsidRPr="002A5D5B">
        <w:rPr>
          <w:rFonts w:eastAsia="Times New Roman" w:cs="Times New Roman"/>
          <w:szCs w:val="20"/>
          <w:lang w:val="en-GB" w:eastAsia="en-GB"/>
        </w:rPr>
        <w:t xml:space="preserve"> This </w:t>
      </w:r>
      <w:r w:rsidR="008E6A4B" w:rsidRPr="002A5D5B">
        <w:rPr>
          <w:rFonts w:eastAsia="Times New Roman" w:cs="Times New Roman"/>
          <w:szCs w:val="20"/>
          <w:lang w:val="en-GB" w:eastAsia="en-GB"/>
        </w:rPr>
        <w:t xml:space="preserve">harm </w:t>
      </w:r>
      <w:r w:rsidRPr="002A5D5B">
        <w:rPr>
          <w:rFonts w:eastAsia="Times New Roman" w:cs="Times New Roman"/>
          <w:szCs w:val="20"/>
          <w:lang w:val="en-GB" w:eastAsia="en-GB"/>
        </w:rPr>
        <w:t xml:space="preserve">could be irreversible, </w:t>
      </w:r>
      <w:r w:rsidR="008E6A4B" w:rsidRPr="002A5D5B">
        <w:rPr>
          <w:rFonts w:eastAsia="Times New Roman" w:cs="Times New Roman"/>
          <w:szCs w:val="20"/>
          <w:lang w:val="en-GB" w:eastAsia="en-GB"/>
        </w:rPr>
        <w:t xml:space="preserve">such </w:t>
      </w:r>
      <w:r w:rsidR="00D55378">
        <w:rPr>
          <w:rFonts w:eastAsia="Times New Roman" w:cs="Times New Roman"/>
          <w:szCs w:val="20"/>
          <w:lang w:val="en-GB" w:eastAsia="en-GB"/>
        </w:rPr>
        <w:t xml:space="preserve">as </w:t>
      </w:r>
      <w:r w:rsidRPr="002A5D5B">
        <w:rPr>
          <w:rFonts w:eastAsia="Times New Roman" w:cs="Times New Roman"/>
          <w:szCs w:val="20"/>
          <w:lang w:val="en-GB" w:eastAsia="en-GB"/>
        </w:rPr>
        <w:t xml:space="preserve">death in the case of vulnerable children, or permanent </w:t>
      </w:r>
      <w:r w:rsidR="007F6B8B" w:rsidRPr="002A5D5B">
        <w:rPr>
          <w:rFonts w:eastAsia="Times New Roman" w:cs="Times New Roman"/>
          <w:szCs w:val="20"/>
          <w:lang w:val="en-GB" w:eastAsia="en-GB"/>
        </w:rPr>
        <w:t xml:space="preserve">physical or psychological </w:t>
      </w:r>
      <w:r w:rsidRPr="002A5D5B">
        <w:rPr>
          <w:rFonts w:eastAsia="Times New Roman" w:cs="Times New Roman"/>
          <w:szCs w:val="20"/>
          <w:lang w:val="en-GB" w:eastAsia="en-GB"/>
        </w:rPr>
        <w:t>disability.</w:t>
      </w:r>
    </w:p>
    <w:p w:rsidR="007F6B8B" w:rsidRDefault="007F6B8B" w:rsidP="005B5FC6">
      <w:pPr>
        <w:numPr>
          <w:ilvl w:val="1"/>
          <w:numId w:val="17"/>
        </w:numPr>
        <w:spacing w:after="240" w:line="240" w:lineRule="auto"/>
        <w:ind w:left="1134" w:hanging="425"/>
        <w:rPr>
          <w:rFonts w:eastAsia="Times New Roman" w:cs="Times New Roman"/>
          <w:szCs w:val="20"/>
          <w:lang w:val="en-GB" w:eastAsia="en-GB"/>
        </w:rPr>
      </w:pPr>
      <w:r w:rsidRPr="002A5D5B">
        <w:rPr>
          <w:rFonts w:eastAsia="Times New Roman" w:cs="Times New Roman"/>
          <w:szCs w:val="20"/>
          <w:lang w:val="en-GB" w:eastAsia="en-GB"/>
        </w:rPr>
        <w:t>These risks can be addressed by</w:t>
      </w:r>
      <w:r w:rsidR="008E6A4B" w:rsidRPr="002A5D5B">
        <w:rPr>
          <w:rFonts w:eastAsia="Times New Roman" w:cs="Times New Roman"/>
          <w:szCs w:val="20"/>
          <w:lang w:val="en-GB" w:eastAsia="en-GB"/>
        </w:rPr>
        <w:t xml:space="preserve"> </w:t>
      </w:r>
      <w:r w:rsidR="00E03811" w:rsidRPr="002A5D5B">
        <w:rPr>
          <w:rFonts w:eastAsia="Times New Roman" w:cs="Times New Roman"/>
          <w:szCs w:val="20"/>
          <w:lang w:val="en-GB" w:eastAsia="en-GB"/>
        </w:rPr>
        <w:t>increas</w:t>
      </w:r>
      <w:r w:rsidRPr="002A5D5B">
        <w:rPr>
          <w:rFonts w:eastAsia="Times New Roman" w:cs="Times New Roman"/>
          <w:szCs w:val="20"/>
          <w:lang w:val="en-GB" w:eastAsia="en-GB"/>
        </w:rPr>
        <w:t>ing</w:t>
      </w:r>
      <w:r w:rsidR="00E03811" w:rsidRPr="002A5D5B">
        <w:rPr>
          <w:rFonts w:eastAsia="Times New Roman" w:cs="Times New Roman"/>
          <w:szCs w:val="20"/>
          <w:lang w:val="en-GB" w:eastAsia="en-GB"/>
        </w:rPr>
        <w:t xml:space="preserve"> the professionalism of the social work workforce</w:t>
      </w:r>
      <w:r w:rsidR="00A250D5" w:rsidRPr="002A5D5B">
        <w:rPr>
          <w:rFonts w:eastAsia="Times New Roman" w:cs="Times New Roman"/>
          <w:szCs w:val="20"/>
          <w:lang w:val="en-GB" w:eastAsia="en-GB"/>
        </w:rPr>
        <w:t xml:space="preserve"> </w:t>
      </w:r>
      <w:r w:rsidR="009C6D2E">
        <w:rPr>
          <w:rFonts w:eastAsia="Times New Roman" w:cs="Times New Roman"/>
          <w:szCs w:val="20"/>
          <w:lang w:val="en-GB" w:eastAsia="en-GB"/>
        </w:rPr>
        <w:t>so</w:t>
      </w:r>
      <w:r w:rsidR="00A250D5" w:rsidRPr="002A5D5B">
        <w:rPr>
          <w:rFonts w:eastAsia="Times New Roman" w:cs="Times New Roman"/>
          <w:szCs w:val="20"/>
          <w:lang w:val="en-GB" w:eastAsia="en-GB"/>
        </w:rPr>
        <w:t xml:space="preserve"> that employers, clients, and the public can be confident </w:t>
      </w:r>
      <w:r w:rsidR="00A250D5" w:rsidRPr="002A5D5B">
        <w:rPr>
          <w:rFonts w:eastAsia="Times New Roman" w:cs="Times New Roman"/>
          <w:szCs w:val="20"/>
          <w:lang w:val="en-GB" w:eastAsia="en-GB"/>
        </w:rPr>
        <w:lastRenderedPageBreak/>
        <w:t xml:space="preserve">that a social worker has certain standards of qualifications, skills, knowledge and experience, and is subject to professional </w:t>
      </w:r>
      <w:r w:rsidR="009C6D2E" w:rsidRPr="002A5D5B">
        <w:rPr>
          <w:rFonts w:eastAsia="Times New Roman" w:cs="Times New Roman"/>
          <w:szCs w:val="20"/>
          <w:lang w:val="en-GB" w:eastAsia="en-GB"/>
        </w:rPr>
        <w:t>discipl</w:t>
      </w:r>
      <w:r w:rsidR="009C6D2E">
        <w:rPr>
          <w:rFonts w:eastAsia="Times New Roman" w:cs="Times New Roman"/>
          <w:szCs w:val="20"/>
          <w:lang w:val="en-GB" w:eastAsia="en-GB"/>
        </w:rPr>
        <w:t>ines</w:t>
      </w:r>
      <w:r w:rsidR="00A250D5" w:rsidRPr="002A5D5B">
        <w:rPr>
          <w:rFonts w:eastAsia="Times New Roman" w:cs="Times New Roman"/>
          <w:szCs w:val="20"/>
          <w:lang w:val="en-GB" w:eastAsia="en-GB"/>
        </w:rPr>
        <w:t xml:space="preserve"> including supervision, continuing professional development and </w:t>
      </w:r>
      <w:r w:rsidR="009C6D2E">
        <w:rPr>
          <w:rFonts w:eastAsia="Times New Roman" w:cs="Times New Roman"/>
          <w:szCs w:val="20"/>
          <w:lang w:val="en-GB" w:eastAsia="en-GB"/>
        </w:rPr>
        <w:t xml:space="preserve">that there is </w:t>
      </w:r>
      <w:r w:rsidR="00A250D5" w:rsidRPr="002A5D5B">
        <w:rPr>
          <w:rFonts w:eastAsia="Times New Roman" w:cs="Times New Roman"/>
          <w:szCs w:val="20"/>
          <w:lang w:val="en-GB" w:eastAsia="en-GB"/>
        </w:rPr>
        <w:t>an accessible and effective complaints and disciplin</w:t>
      </w:r>
      <w:r w:rsidR="00D55378">
        <w:rPr>
          <w:rFonts w:eastAsia="Times New Roman" w:cs="Times New Roman"/>
          <w:szCs w:val="20"/>
          <w:lang w:val="en-GB" w:eastAsia="en-GB"/>
        </w:rPr>
        <w:t>ary</w:t>
      </w:r>
      <w:r w:rsidR="00A250D5" w:rsidRPr="002A5D5B">
        <w:rPr>
          <w:rFonts w:eastAsia="Times New Roman" w:cs="Times New Roman"/>
          <w:szCs w:val="20"/>
          <w:lang w:val="en-GB" w:eastAsia="en-GB"/>
        </w:rPr>
        <w:t xml:space="preserve"> process</w:t>
      </w:r>
      <w:r w:rsidR="009C6D2E">
        <w:rPr>
          <w:rFonts w:eastAsia="Times New Roman" w:cs="Times New Roman"/>
          <w:szCs w:val="20"/>
          <w:lang w:val="en-GB" w:eastAsia="en-GB"/>
        </w:rPr>
        <w:t xml:space="preserve"> for clients </w:t>
      </w:r>
      <w:r w:rsidR="00100192">
        <w:rPr>
          <w:rFonts w:eastAsia="Times New Roman" w:cs="Times New Roman"/>
          <w:szCs w:val="20"/>
          <w:lang w:val="en-GB" w:eastAsia="en-GB"/>
        </w:rPr>
        <w:t>independent</w:t>
      </w:r>
      <w:r w:rsidR="009C6D2E">
        <w:rPr>
          <w:rFonts w:eastAsia="Times New Roman" w:cs="Times New Roman"/>
          <w:szCs w:val="20"/>
          <w:lang w:val="en-GB" w:eastAsia="en-GB"/>
        </w:rPr>
        <w:t xml:space="preserve"> of </w:t>
      </w:r>
      <w:r w:rsidR="00652262">
        <w:rPr>
          <w:rFonts w:eastAsia="Times New Roman" w:cs="Times New Roman"/>
          <w:szCs w:val="20"/>
          <w:lang w:val="en-GB" w:eastAsia="en-GB"/>
        </w:rPr>
        <w:t xml:space="preserve">employer </w:t>
      </w:r>
      <w:r w:rsidR="009C6D2E">
        <w:rPr>
          <w:rFonts w:eastAsia="Times New Roman" w:cs="Times New Roman"/>
          <w:szCs w:val="20"/>
          <w:lang w:val="en-GB" w:eastAsia="en-GB"/>
        </w:rPr>
        <w:t>systems</w:t>
      </w:r>
      <w:r w:rsidR="00A250D5" w:rsidRPr="002A5D5B">
        <w:rPr>
          <w:rFonts w:eastAsia="Times New Roman" w:cs="Times New Roman"/>
          <w:szCs w:val="20"/>
          <w:lang w:val="en-GB" w:eastAsia="en-GB"/>
        </w:rPr>
        <w:t xml:space="preserve">. </w:t>
      </w:r>
    </w:p>
    <w:p w:rsidR="00E03811" w:rsidRPr="002A5D5B" w:rsidRDefault="003F70A0" w:rsidP="005B5FC6">
      <w:pPr>
        <w:numPr>
          <w:ilvl w:val="1"/>
          <w:numId w:val="17"/>
        </w:numPr>
        <w:spacing w:after="240" w:line="240" w:lineRule="auto"/>
        <w:ind w:left="1134" w:hanging="425"/>
        <w:rPr>
          <w:rFonts w:eastAsia="Times New Roman" w:cs="Times New Roman"/>
          <w:szCs w:val="20"/>
          <w:lang w:val="en-GB" w:eastAsia="en-GB"/>
        </w:rPr>
      </w:pPr>
      <w:r>
        <w:rPr>
          <w:rFonts w:eastAsia="Times New Roman" w:cs="Times New Roman"/>
          <w:szCs w:val="20"/>
          <w:lang w:val="en-GB" w:eastAsia="en-GB"/>
        </w:rPr>
        <w:t>Increasing the</w:t>
      </w:r>
      <w:r w:rsidR="007F6B8B">
        <w:rPr>
          <w:rFonts w:eastAsia="Times New Roman" w:cs="Times New Roman"/>
          <w:szCs w:val="20"/>
          <w:lang w:val="en-GB" w:eastAsia="en-GB"/>
        </w:rPr>
        <w:t xml:space="preserve"> professionalism of the social work workforce will also contribute to the Government’s goals for </w:t>
      </w:r>
      <w:r w:rsidR="00011393">
        <w:rPr>
          <w:rFonts w:eastAsia="Times New Roman" w:cs="Times New Roman"/>
          <w:szCs w:val="20"/>
          <w:lang w:val="en-GB" w:eastAsia="en-GB"/>
        </w:rPr>
        <w:t>s</w:t>
      </w:r>
      <w:r w:rsidR="007F6B8B">
        <w:rPr>
          <w:rFonts w:eastAsia="Times New Roman" w:cs="Times New Roman"/>
          <w:szCs w:val="20"/>
          <w:lang w:val="en-GB" w:eastAsia="en-GB"/>
        </w:rPr>
        <w:t xml:space="preserve">ocial </w:t>
      </w:r>
      <w:r w:rsidR="00011393">
        <w:rPr>
          <w:rFonts w:eastAsia="Times New Roman" w:cs="Times New Roman"/>
          <w:szCs w:val="20"/>
          <w:lang w:val="en-GB" w:eastAsia="en-GB"/>
        </w:rPr>
        <w:t>i</w:t>
      </w:r>
      <w:r w:rsidR="007F6B8B">
        <w:rPr>
          <w:rFonts w:eastAsia="Times New Roman" w:cs="Times New Roman"/>
          <w:szCs w:val="20"/>
          <w:lang w:val="en-GB" w:eastAsia="en-GB"/>
        </w:rPr>
        <w:t>nvestment</w:t>
      </w:r>
      <w:r w:rsidR="009C6D2E">
        <w:rPr>
          <w:rFonts w:eastAsia="Times New Roman" w:cs="Times New Roman"/>
          <w:szCs w:val="20"/>
          <w:lang w:val="en-GB" w:eastAsia="en-GB"/>
        </w:rPr>
        <w:t>, which relies on</w:t>
      </w:r>
      <w:r w:rsidR="007F6B8B">
        <w:rPr>
          <w:rFonts w:eastAsia="Times New Roman" w:cs="Times New Roman"/>
          <w:szCs w:val="20"/>
          <w:lang w:val="en-GB" w:eastAsia="en-GB"/>
        </w:rPr>
        <w:t xml:space="preserve"> </w:t>
      </w:r>
      <w:r>
        <w:rPr>
          <w:rFonts w:eastAsia="Times New Roman" w:cs="Times New Roman"/>
          <w:szCs w:val="20"/>
          <w:lang w:val="en-GB" w:eastAsia="en-GB"/>
        </w:rPr>
        <w:t>improving the quality of social work services in undertaking casework and making assessments and referrals for vulnerable children, young people and adults who are at risk of serious long-term difficulties requiring on-going government support unless they receive appropriate help and preventative services.</w:t>
      </w:r>
    </w:p>
    <w:p w:rsidR="00791494" w:rsidRDefault="007F6B8B"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These assumptions are supported in more detail below.  </w:t>
      </w:r>
      <w:r w:rsidRPr="002A5D5B">
        <w:rPr>
          <w:rFonts w:eastAsia="Times New Roman" w:cs="Times New Roman"/>
          <w:szCs w:val="20"/>
          <w:lang w:val="en-GB" w:eastAsia="en-GB"/>
        </w:rPr>
        <w:t>Analysis</w:t>
      </w:r>
      <w:r w:rsidR="00E03811" w:rsidRPr="001049B5">
        <w:rPr>
          <w:rFonts w:eastAsia="Times New Roman" w:cs="Times New Roman"/>
          <w:szCs w:val="20"/>
          <w:lang w:val="en-GB" w:eastAsia="en-GB"/>
        </w:rPr>
        <w:t xml:space="preserve"> has </w:t>
      </w:r>
      <w:r>
        <w:rPr>
          <w:rFonts w:eastAsia="Times New Roman" w:cs="Times New Roman"/>
          <w:szCs w:val="20"/>
          <w:lang w:val="en-GB" w:eastAsia="en-GB"/>
        </w:rPr>
        <w:t>included</w:t>
      </w:r>
      <w:r w:rsidR="00E03811" w:rsidRPr="001049B5">
        <w:rPr>
          <w:rFonts w:eastAsia="Times New Roman" w:cs="Times New Roman"/>
          <w:szCs w:val="20"/>
          <w:lang w:val="en-GB" w:eastAsia="en-GB"/>
        </w:rPr>
        <w:t xml:space="preserve"> the criteria specified in the Policy Framework for Occupational Regulation</w:t>
      </w:r>
      <w:r w:rsidR="00EE01F1">
        <w:rPr>
          <w:rFonts w:eastAsia="Times New Roman" w:cs="Times New Roman"/>
          <w:szCs w:val="20"/>
          <w:lang w:val="en-GB" w:eastAsia="en-GB"/>
        </w:rPr>
        <w:t>.</w:t>
      </w:r>
      <w:r w:rsidR="00EE01F1">
        <w:rPr>
          <w:rStyle w:val="FootnoteReference"/>
          <w:rFonts w:eastAsia="Times New Roman" w:cs="Times New Roman"/>
          <w:szCs w:val="20"/>
          <w:lang w:val="en-GB" w:eastAsia="en-GB"/>
        </w:rPr>
        <w:footnoteReference w:id="15"/>
      </w:r>
      <w:r w:rsidR="003E4391">
        <w:rPr>
          <w:rFonts w:eastAsia="Times New Roman" w:cs="Times New Roman"/>
          <w:szCs w:val="20"/>
          <w:lang w:val="en-GB" w:eastAsia="en-GB"/>
        </w:rPr>
        <w:t xml:space="preserve"> </w:t>
      </w:r>
    </w:p>
    <w:p w:rsidR="00E03811" w:rsidRPr="001049B5" w:rsidRDefault="00E03811" w:rsidP="00177E1D">
      <w:pPr>
        <w:numPr>
          <w:ilvl w:val="0"/>
          <w:numId w:val="8"/>
        </w:numPr>
        <w:spacing w:after="240" w:line="240" w:lineRule="auto"/>
        <w:ind w:left="567" w:hanging="567"/>
        <w:rPr>
          <w:rFonts w:eastAsia="Times New Roman" w:cs="Times New Roman"/>
          <w:szCs w:val="20"/>
          <w:lang w:val="en-GB" w:eastAsia="en-GB"/>
        </w:rPr>
      </w:pPr>
      <w:r w:rsidRPr="001049B5">
        <w:rPr>
          <w:rFonts w:eastAsia="Times New Roman" w:cs="Times New Roman"/>
          <w:szCs w:val="20"/>
          <w:lang w:val="en-GB" w:eastAsia="en-GB"/>
        </w:rPr>
        <w:t xml:space="preserve">The following table provides a more detailed breakdown of how proposals will be assessed against the objectives and additional criteria. </w:t>
      </w:r>
    </w:p>
    <w:tbl>
      <w:tblPr>
        <w:tblStyle w:val="LightList-Accent5"/>
        <w:tblW w:w="5000" w:type="pct"/>
        <w:tblLook w:val="04A0" w:firstRow="1" w:lastRow="0" w:firstColumn="1" w:lastColumn="0" w:noHBand="0" w:noVBand="1"/>
      </w:tblPr>
      <w:tblGrid>
        <w:gridCol w:w="3100"/>
        <w:gridCol w:w="6187"/>
      </w:tblGrid>
      <w:tr w:rsidR="00E03811" w:rsidRPr="00881D62" w:rsidTr="001555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Borders>
              <w:top w:val="single" w:sz="8" w:space="0" w:color="4BACC6" w:themeColor="accent5"/>
              <w:bottom w:val="single" w:sz="8" w:space="0" w:color="4BACC6" w:themeColor="accent5"/>
            </w:tcBorders>
            <w:shd w:val="clear" w:color="auto" w:fill="31849B" w:themeFill="accent5" w:themeFillShade="BF"/>
          </w:tcPr>
          <w:p w:rsidR="00E03811" w:rsidRPr="00881D62" w:rsidRDefault="00E03811" w:rsidP="00177E1D">
            <w:pPr>
              <w:spacing w:after="240" w:line="240" w:lineRule="auto"/>
              <w:rPr>
                <w:rFonts w:eastAsia="Times New Roman"/>
                <w:szCs w:val="18"/>
                <w:lang w:val="en-GB" w:eastAsia="en-GB"/>
              </w:rPr>
            </w:pPr>
            <w:r w:rsidRPr="00881D62">
              <w:rPr>
                <w:rFonts w:eastAsia="Times New Roman"/>
                <w:szCs w:val="18"/>
                <w:lang w:val="en-GB" w:eastAsia="en-GB"/>
              </w:rPr>
              <w:t>Objective</w:t>
            </w:r>
          </w:p>
        </w:tc>
        <w:tc>
          <w:tcPr>
            <w:tcW w:w="3331" w:type="pct"/>
            <w:shd w:val="clear" w:color="auto" w:fill="31849B" w:themeFill="accent5" w:themeFillShade="BF"/>
          </w:tcPr>
          <w:p w:rsidR="00E03811" w:rsidRPr="00881D62" w:rsidRDefault="00E03811" w:rsidP="00177E1D">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szCs w:val="18"/>
                <w:lang w:val="en-GB" w:eastAsia="en-GB"/>
              </w:rPr>
            </w:pPr>
            <w:r w:rsidRPr="00881D62">
              <w:rPr>
                <w:rFonts w:eastAsia="Times New Roman"/>
                <w:szCs w:val="18"/>
                <w:lang w:val="en-GB" w:eastAsia="en-GB"/>
              </w:rPr>
              <w:t>How proposals will be assessed against the objectives</w:t>
            </w:r>
          </w:p>
        </w:tc>
      </w:tr>
      <w:tr w:rsidR="00E03811" w:rsidRPr="00881D62" w:rsidTr="002A5D5B">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0" w:type="auto"/>
          </w:tcPr>
          <w:p w:rsidR="00E03811" w:rsidRPr="00881D62" w:rsidRDefault="007F6B8B" w:rsidP="00CF2F69">
            <w:pPr>
              <w:spacing w:after="0" w:line="240" w:lineRule="auto"/>
              <w:rPr>
                <w:rFonts w:eastAsia="Times New Roman" w:cs="Times New Roman"/>
                <w:szCs w:val="18"/>
                <w:lang w:val="en-GB" w:eastAsia="en-GB"/>
              </w:rPr>
            </w:pPr>
            <w:r>
              <w:rPr>
                <w:rFonts w:eastAsia="Times New Roman"/>
                <w:kern w:val="28"/>
                <w:szCs w:val="20"/>
                <w:lang w:val="en-US"/>
              </w:rPr>
              <w:t>I</w:t>
            </w:r>
            <w:r w:rsidR="007B3B5D">
              <w:rPr>
                <w:rFonts w:eastAsia="Times New Roman"/>
                <w:kern w:val="28"/>
                <w:szCs w:val="20"/>
                <w:lang w:val="en-US"/>
              </w:rPr>
              <w:t>mmediate objective: i</w:t>
            </w:r>
            <w:r w:rsidRPr="00205031">
              <w:rPr>
                <w:rFonts w:eastAsia="Times New Roman"/>
                <w:kern w:val="28"/>
                <w:szCs w:val="20"/>
                <w:lang w:val="en-US"/>
              </w:rPr>
              <w:t>ncreas</w:t>
            </w:r>
            <w:r>
              <w:rPr>
                <w:rFonts w:eastAsia="Times New Roman"/>
                <w:kern w:val="28"/>
                <w:szCs w:val="20"/>
                <w:lang w:val="en-US"/>
              </w:rPr>
              <w:t>ing</w:t>
            </w:r>
            <w:r w:rsidRPr="00205031">
              <w:rPr>
                <w:rFonts w:eastAsia="Times New Roman"/>
                <w:kern w:val="28"/>
                <w:szCs w:val="20"/>
                <w:lang w:val="en-US"/>
              </w:rPr>
              <w:t xml:space="preserve"> the coverage of the regulatory regime so that it will cover all social workers</w:t>
            </w:r>
          </w:p>
        </w:tc>
        <w:tc>
          <w:tcPr>
            <w:tcW w:w="3331" w:type="pct"/>
          </w:tcPr>
          <w:p w:rsidR="00E03811" w:rsidRPr="00881D62" w:rsidRDefault="00835488" w:rsidP="00177E1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Cs w:val="18"/>
                <w:lang w:val="en-GB" w:eastAsia="en-GB"/>
              </w:rPr>
            </w:pPr>
            <w:r w:rsidRPr="00881D62">
              <w:rPr>
                <w:rFonts w:eastAsia="Times New Roman"/>
                <w:szCs w:val="18"/>
                <w:lang w:val="en-GB" w:eastAsia="en-GB"/>
              </w:rPr>
              <w:t xml:space="preserve">The extent to which proposals </w:t>
            </w:r>
            <w:r w:rsidR="007B3B5D">
              <w:rPr>
                <w:rFonts w:eastAsia="Times New Roman"/>
                <w:szCs w:val="18"/>
                <w:lang w:val="en-GB" w:eastAsia="en-GB"/>
              </w:rPr>
              <w:t>ensure that all practising social workers</w:t>
            </w:r>
            <w:r w:rsidR="007B3B5D" w:rsidDel="007B3B5D">
              <w:rPr>
                <w:rFonts w:eastAsia="Times New Roman"/>
                <w:szCs w:val="18"/>
                <w:lang w:val="en-GB" w:eastAsia="en-GB"/>
              </w:rPr>
              <w:t xml:space="preserve"> </w:t>
            </w:r>
            <w:r w:rsidR="007B3B5D">
              <w:rPr>
                <w:rFonts w:eastAsia="Times New Roman"/>
                <w:szCs w:val="18"/>
                <w:lang w:val="en-GB" w:eastAsia="en-GB"/>
              </w:rPr>
              <w:t>are registered</w:t>
            </w:r>
            <w:r>
              <w:rPr>
                <w:rFonts w:eastAsia="Times New Roman"/>
                <w:szCs w:val="18"/>
                <w:lang w:val="en-GB" w:eastAsia="en-GB"/>
              </w:rPr>
              <w:t>.</w:t>
            </w:r>
          </w:p>
        </w:tc>
      </w:tr>
      <w:tr w:rsidR="007F6B8B" w:rsidRPr="00881D62" w:rsidTr="002A5D5B">
        <w:trPr>
          <w:trHeight w:val="1130"/>
        </w:trPr>
        <w:tc>
          <w:tcPr>
            <w:cnfStyle w:val="001000000000" w:firstRow="0" w:lastRow="0" w:firstColumn="1" w:lastColumn="0" w:oddVBand="0" w:evenVBand="0" w:oddHBand="0" w:evenHBand="0" w:firstRowFirstColumn="0" w:firstRowLastColumn="0" w:lastRowFirstColumn="0" w:lastRowLastColumn="0"/>
            <w:tcW w:w="0" w:type="auto"/>
          </w:tcPr>
          <w:p w:rsidR="007F6B8B" w:rsidRPr="00881D62" w:rsidRDefault="007B3B5D" w:rsidP="00CF2F69">
            <w:pPr>
              <w:spacing w:after="0" w:line="240" w:lineRule="auto"/>
              <w:rPr>
                <w:rFonts w:eastAsia="Times New Roman" w:cs="Times New Roman"/>
                <w:szCs w:val="18"/>
                <w:lang w:val="en-GB" w:eastAsia="en-GB"/>
              </w:rPr>
            </w:pPr>
            <w:r>
              <w:rPr>
                <w:rFonts w:eastAsia="Times New Roman" w:cs="Times New Roman"/>
                <w:szCs w:val="18"/>
                <w:lang w:val="en-GB" w:eastAsia="en-GB"/>
              </w:rPr>
              <w:t>Underlying objective: p</w:t>
            </w:r>
            <w:r w:rsidR="007F6B8B" w:rsidRPr="00881D62">
              <w:rPr>
                <w:rFonts w:eastAsia="Times New Roman" w:cs="Times New Roman"/>
                <w:szCs w:val="18"/>
                <w:lang w:val="en-GB" w:eastAsia="en-GB"/>
              </w:rPr>
              <w:t>rotect</w:t>
            </w:r>
            <w:r w:rsidR="007F6B8B">
              <w:rPr>
                <w:rFonts w:eastAsia="Times New Roman" w:cs="Times New Roman"/>
                <w:szCs w:val="18"/>
                <w:lang w:val="en-GB" w:eastAsia="en-GB"/>
              </w:rPr>
              <w:t>ing</w:t>
            </w:r>
            <w:r w:rsidR="007F6B8B" w:rsidRPr="00881D62">
              <w:rPr>
                <w:rFonts w:eastAsia="Times New Roman" w:cs="Times New Roman"/>
                <w:szCs w:val="18"/>
                <w:lang w:val="en-GB" w:eastAsia="en-GB"/>
              </w:rPr>
              <w:t xml:space="preserve"> the public from harm</w:t>
            </w:r>
            <w:r w:rsidR="007F6B8B">
              <w:rPr>
                <w:rFonts w:eastAsia="Times New Roman" w:cs="Times New Roman"/>
                <w:szCs w:val="18"/>
                <w:lang w:val="en-GB" w:eastAsia="en-GB"/>
              </w:rPr>
              <w:t xml:space="preserve"> by increasing</w:t>
            </w:r>
            <w:r w:rsidR="007F6B8B" w:rsidRPr="00881D62">
              <w:rPr>
                <w:rFonts w:eastAsia="Times New Roman" w:cs="Times New Roman"/>
                <w:szCs w:val="18"/>
                <w:lang w:val="en-GB" w:eastAsia="en-GB"/>
              </w:rPr>
              <w:t xml:space="preserve"> the professionalism of the social worker workforce</w:t>
            </w:r>
          </w:p>
        </w:tc>
        <w:tc>
          <w:tcPr>
            <w:tcW w:w="3331" w:type="pct"/>
          </w:tcPr>
          <w:p w:rsidR="007F6B8B" w:rsidRPr="00881D62" w:rsidRDefault="007B3B5D" w:rsidP="00177E1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Cs w:val="18"/>
                <w:lang w:val="en-GB" w:eastAsia="en-GB"/>
              </w:rPr>
            </w:pPr>
            <w:r w:rsidRPr="007B3B5D">
              <w:rPr>
                <w:rFonts w:eastAsia="Times New Roman"/>
                <w:szCs w:val="18"/>
                <w:lang w:val="en-GB" w:eastAsia="en-GB"/>
              </w:rPr>
              <w:t>The extent to which proposals</w:t>
            </w:r>
            <w:r>
              <w:rPr>
                <w:rFonts w:eastAsia="Times New Roman"/>
                <w:szCs w:val="18"/>
                <w:lang w:val="en-GB" w:eastAsia="en-GB"/>
              </w:rPr>
              <w:t xml:space="preserve"> </w:t>
            </w:r>
            <w:r w:rsidRPr="00881D62">
              <w:rPr>
                <w:rFonts w:eastAsia="Times New Roman"/>
                <w:szCs w:val="18"/>
                <w:lang w:val="en-GB" w:eastAsia="en-GB"/>
              </w:rPr>
              <w:t>increase</w:t>
            </w:r>
            <w:r>
              <w:rPr>
                <w:rFonts w:eastAsia="Times New Roman"/>
                <w:szCs w:val="18"/>
                <w:lang w:val="en-GB" w:eastAsia="en-GB"/>
              </w:rPr>
              <w:t xml:space="preserve"> </w:t>
            </w:r>
            <w:r w:rsidR="00260EE2">
              <w:rPr>
                <w:rFonts w:eastAsia="Times New Roman"/>
                <w:szCs w:val="18"/>
                <w:lang w:val="en-GB" w:eastAsia="en-GB"/>
              </w:rPr>
              <w:t xml:space="preserve">the </w:t>
            </w:r>
            <w:r>
              <w:rPr>
                <w:rFonts w:eastAsia="Times New Roman"/>
                <w:szCs w:val="18"/>
                <w:lang w:val="en-GB" w:eastAsia="en-GB"/>
              </w:rPr>
              <w:t>protection to the public</w:t>
            </w:r>
            <w:r w:rsidRPr="007B3B5D">
              <w:rPr>
                <w:rFonts w:eastAsia="Times New Roman"/>
                <w:szCs w:val="18"/>
                <w:lang w:val="en-GB" w:eastAsia="en-GB"/>
              </w:rPr>
              <w:t xml:space="preserve"> </w:t>
            </w:r>
            <w:r>
              <w:rPr>
                <w:rFonts w:eastAsia="Times New Roman"/>
                <w:szCs w:val="18"/>
                <w:lang w:val="en-GB" w:eastAsia="en-GB"/>
              </w:rPr>
              <w:t>from the risk of harm from</w:t>
            </w:r>
            <w:r w:rsidRPr="007B3B5D">
              <w:rPr>
                <w:rFonts w:eastAsia="Times New Roman"/>
                <w:szCs w:val="18"/>
                <w:lang w:val="en-GB" w:eastAsia="en-GB"/>
              </w:rPr>
              <w:t xml:space="preserve"> social work</w:t>
            </w:r>
            <w:r>
              <w:rPr>
                <w:rFonts w:eastAsia="Times New Roman"/>
                <w:szCs w:val="18"/>
                <w:lang w:val="en-GB" w:eastAsia="en-GB"/>
              </w:rPr>
              <w:t xml:space="preserve"> practice</w:t>
            </w:r>
            <w:r w:rsidRPr="007B3B5D">
              <w:rPr>
                <w:rFonts w:eastAsia="Times New Roman"/>
                <w:szCs w:val="18"/>
                <w:lang w:val="en-GB" w:eastAsia="en-GB"/>
              </w:rPr>
              <w:t xml:space="preserve"> in the government and NGO sectors</w:t>
            </w:r>
            <w:r w:rsidR="00260EE2">
              <w:rPr>
                <w:rFonts w:eastAsia="Times New Roman"/>
                <w:szCs w:val="18"/>
                <w:lang w:val="en-GB" w:eastAsia="en-GB"/>
              </w:rPr>
              <w:t>, and the confidence that employers and the public have in the profession.</w:t>
            </w:r>
          </w:p>
        </w:tc>
      </w:tr>
      <w:tr w:rsidR="007F6B8B" w:rsidRPr="00881D62" w:rsidTr="001555D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669" w:type="pct"/>
          </w:tcPr>
          <w:p w:rsidR="007F6B8B" w:rsidRPr="00881D62" w:rsidRDefault="007B3B5D" w:rsidP="00CF2F69">
            <w:pPr>
              <w:spacing w:after="0" w:line="240" w:lineRule="auto"/>
              <w:rPr>
                <w:rFonts w:eastAsia="Times New Roman" w:cs="Times New Roman"/>
                <w:szCs w:val="18"/>
                <w:lang w:val="en-GB" w:eastAsia="en-GB"/>
              </w:rPr>
            </w:pPr>
            <w:r>
              <w:rPr>
                <w:rFonts w:eastAsia="Times New Roman" w:cs="Times New Roman"/>
                <w:szCs w:val="18"/>
                <w:lang w:val="en-GB" w:eastAsia="en-GB"/>
              </w:rPr>
              <w:t>Underlying objective: i</w:t>
            </w:r>
            <w:r w:rsidR="00CD6F15">
              <w:rPr>
                <w:rFonts w:eastAsia="Times New Roman" w:cs="Times New Roman"/>
                <w:szCs w:val="18"/>
                <w:lang w:val="en-GB" w:eastAsia="en-GB"/>
              </w:rPr>
              <w:t>mproving the contribution of social workers to the Social Investment approach by increasing</w:t>
            </w:r>
            <w:r w:rsidR="00CD6F15" w:rsidRPr="00881D62">
              <w:rPr>
                <w:rFonts w:eastAsia="Times New Roman" w:cs="Times New Roman"/>
                <w:szCs w:val="18"/>
                <w:lang w:val="en-GB" w:eastAsia="en-GB"/>
              </w:rPr>
              <w:t xml:space="preserve"> the professionalism of the social worker workforce</w:t>
            </w:r>
          </w:p>
        </w:tc>
        <w:tc>
          <w:tcPr>
            <w:tcW w:w="3331" w:type="pct"/>
          </w:tcPr>
          <w:p w:rsidR="007F6B8B" w:rsidRPr="00881D62" w:rsidRDefault="007F6B8B" w:rsidP="00177E1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Cs w:val="18"/>
                <w:lang w:val="en-GB" w:eastAsia="en-GB"/>
              </w:rPr>
            </w:pPr>
            <w:r w:rsidRPr="00881D62">
              <w:rPr>
                <w:rFonts w:eastAsia="Times New Roman"/>
                <w:szCs w:val="18"/>
                <w:lang w:val="en-GB" w:eastAsia="en-GB"/>
              </w:rPr>
              <w:t xml:space="preserve">The extent to which proposals </w:t>
            </w:r>
            <w:r w:rsidR="00CD6F15">
              <w:rPr>
                <w:rFonts w:eastAsia="Times New Roman"/>
                <w:szCs w:val="18"/>
                <w:lang w:val="en-GB" w:eastAsia="en-GB"/>
              </w:rPr>
              <w:t xml:space="preserve">improve the quality and effectiveness of social workers </w:t>
            </w:r>
            <w:r w:rsidR="00963630">
              <w:rPr>
                <w:rFonts w:eastAsia="Times New Roman"/>
                <w:szCs w:val="18"/>
                <w:lang w:val="en-GB" w:eastAsia="en-GB"/>
              </w:rPr>
              <w:t>in the government and NGO sectors.</w:t>
            </w:r>
          </w:p>
        </w:tc>
      </w:tr>
    </w:tbl>
    <w:p w:rsidR="00FE7BB6" w:rsidRDefault="00FE7BB6" w:rsidP="00CF2F69">
      <w:pPr>
        <w:spacing w:after="0" w:line="240" w:lineRule="auto"/>
        <w:rPr>
          <w:rFonts w:eastAsia="Times New Roman" w:cs="Times New Roman"/>
          <w:b/>
          <w:color w:val="1F497D" w:themeColor="text2"/>
          <w:sz w:val="28"/>
          <w:szCs w:val="28"/>
          <w:lang w:val="en-GB" w:eastAsia="en-GB"/>
        </w:rPr>
      </w:pPr>
    </w:p>
    <w:tbl>
      <w:tblPr>
        <w:tblStyle w:val="LightList-Accent5"/>
        <w:tblW w:w="5000" w:type="pct"/>
        <w:tblLook w:val="04A0" w:firstRow="1" w:lastRow="0" w:firstColumn="1" w:lastColumn="0" w:noHBand="0" w:noVBand="1"/>
      </w:tblPr>
      <w:tblGrid>
        <w:gridCol w:w="3100"/>
        <w:gridCol w:w="6187"/>
      </w:tblGrid>
      <w:tr w:rsidR="00FE7BB6" w:rsidRPr="00881D62" w:rsidTr="00163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shd w:val="clear" w:color="auto" w:fill="31849B" w:themeFill="accent5" w:themeFillShade="BF"/>
          </w:tcPr>
          <w:p w:rsidR="00FE7BB6" w:rsidRPr="00881D62" w:rsidRDefault="00FE7BB6" w:rsidP="00177E1D">
            <w:pPr>
              <w:spacing w:after="0" w:line="240" w:lineRule="auto"/>
              <w:rPr>
                <w:rFonts w:eastAsia="Times New Roman"/>
                <w:szCs w:val="18"/>
                <w:lang w:val="en-GB" w:eastAsia="en-GB"/>
              </w:rPr>
            </w:pPr>
            <w:r w:rsidRPr="00881D62">
              <w:rPr>
                <w:rFonts w:eastAsia="Times New Roman"/>
                <w:szCs w:val="18"/>
                <w:lang w:val="en-GB" w:eastAsia="en-GB"/>
              </w:rPr>
              <w:t>Additional criteria</w:t>
            </w:r>
          </w:p>
        </w:tc>
        <w:tc>
          <w:tcPr>
            <w:tcW w:w="3331" w:type="pct"/>
            <w:shd w:val="clear" w:color="auto" w:fill="31849B" w:themeFill="accent5" w:themeFillShade="BF"/>
          </w:tcPr>
          <w:p w:rsidR="00FE7BB6" w:rsidRPr="00881D62" w:rsidRDefault="00FE7BB6" w:rsidP="00177E1D">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b w:val="0"/>
                <w:szCs w:val="18"/>
                <w:lang w:val="en-GB" w:eastAsia="en-GB"/>
              </w:rPr>
            </w:pPr>
            <w:r w:rsidRPr="00881D62">
              <w:rPr>
                <w:rFonts w:eastAsia="Times New Roman"/>
                <w:b w:val="0"/>
                <w:szCs w:val="18"/>
                <w:lang w:val="en-GB" w:eastAsia="en-GB"/>
              </w:rPr>
              <w:t>How these additional criteria will be assessed</w:t>
            </w:r>
          </w:p>
        </w:tc>
      </w:tr>
      <w:tr w:rsidR="00FE7BB6" w:rsidRPr="00881D62" w:rsidTr="00163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Pr>
          <w:p w:rsidR="00FE7BB6" w:rsidRPr="00881D62" w:rsidRDefault="00EE01F1" w:rsidP="00CF2F69">
            <w:pPr>
              <w:spacing w:after="240" w:line="240" w:lineRule="auto"/>
              <w:rPr>
                <w:rFonts w:eastAsia="Times New Roman" w:cs="Times New Roman"/>
                <w:szCs w:val="18"/>
                <w:lang w:val="en-GB" w:eastAsia="en-GB"/>
              </w:rPr>
            </w:pPr>
            <w:r>
              <w:rPr>
                <w:rFonts w:eastAsia="Times New Roman" w:cs="Times New Roman"/>
                <w:szCs w:val="18"/>
                <w:lang w:val="en-GB" w:eastAsia="en-GB"/>
              </w:rPr>
              <w:t>Effectiveness</w:t>
            </w:r>
          </w:p>
          <w:p w:rsidR="00FE7BB6" w:rsidRPr="00881D62" w:rsidRDefault="00FE7BB6" w:rsidP="00177E1D">
            <w:pPr>
              <w:spacing w:after="240" w:line="240" w:lineRule="auto"/>
              <w:rPr>
                <w:rFonts w:eastAsia="Times New Roman" w:cs="Times New Roman"/>
                <w:szCs w:val="18"/>
                <w:lang w:val="en-GB" w:eastAsia="en-GB"/>
              </w:rPr>
            </w:pPr>
          </w:p>
        </w:tc>
        <w:tc>
          <w:tcPr>
            <w:tcW w:w="3331" w:type="pct"/>
          </w:tcPr>
          <w:p w:rsidR="00FE7BB6" w:rsidRPr="00881D62" w:rsidRDefault="00FE7BB6" w:rsidP="00177E1D">
            <w:pPr>
              <w:tabs>
                <w:tab w:val="left" w:pos="454"/>
              </w:tabs>
              <w:suppressAutoHyphens/>
              <w:autoSpaceDE w:val="0"/>
              <w:autoSpaceDN w:val="0"/>
              <w:adjustRightInd w:val="0"/>
              <w:spacing w:line="240" w:lineRule="auto"/>
              <w:ind w:left="34" w:right="170"/>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Cs w:val="18"/>
                <w:lang w:val="en-US" w:eastAsia="en-GB"/>
              </w:rPr>
            </w:pPr>
            <w:r w:rsidRPr="00881D62">
              <w:rPr>
                <w:rFonts w:eastAsia="Times New Roman" w:cs="Times New Roman"/>
                <w:kern w:val="28"/>
                <w:szCs w:val="18"/>
                <w:lang w:val="en-US" w:eastAsia="en-GB"/>
              </w:rPr>
              <w:t xml:space="preserve">The analysis will consider the extent to which proposals </w:t>
            </w:r>
            <w:r w:rsidRPr="00881D62">
              <w:rPr>
                <w:rFonts w:eastAsia="Times New Roman" w:cs="Times New Roman"/>
                <w:szCs w:val="18"/>
                <w:lang w:val="en-GB" w:eastAsia="en-GB"/>
              </w:rPr>
              <w:t>minimise an identified risk of significant harm to the clients of social workers</w:t>
            </w:r>
            <w:r>
              <w:rPr>
                <w:rFonts w:eastAsia="Times New Roman" w:cs="Times New Roman"/>
                <w:szCs w:val="18"/>
                <w:lang w:val="en-GB" w:eastAsia="en-GB"/>
              </w:rPr>
              <w:t xml:space="preserve"> or the public.</w:t>
            </w:r>
          </w:p>
        </w:tc>
      </w:tr>
      <w:tr w:rsidR="00FE7BB6" w:rsidRPr="00881D62" w:rsidTr="00163A28">
        <w:trPr>
          <w:cantSplit/>
        </w:trPr>
        <w:tc>
          <w:tcPr>
            <w:cnfStyle w:val="001000000000" w:firstRow="0" w:lastRow="0" w:firstColumn="1" w:lastColumn="0" w:oddVBand="0" w:evenVBand="0" w:oddHBand="0" w:evenHBand="0" w:firstRowFirstColumn="0" w:firstRowLastColumn="0" w:lastRowFirstColumn="0" w:lastRowLastColumn="0"/>
            <w:tcW w:w="1669" w:type="pct"/>
          </w:tcPr>
          <w:p w:rsidR="00FE7BB6" w:rsidRPr="00881D62" w:rsidRDefault="00FE7BB6" w:rsidP="00CF2F69">
            <w:pPr>
              <w:spacing w:after="240" w:line="240" w:lineRule="auto"/>
              <w:rPr>
                <w:rFonts w:eastAsia="Times New Roman" w:cs="Times New Roman"/>
                <w:szCs w:val="18"/>
                <w:lang w:val="en-GB" w:eastAsia="en-GB"/>
              </w:rPr>
            </w:pPr>
            <w:r w:rsidRPr="00881D62">
              <w:rPr>
                <w:rFonts w:eastAsia="Times New Roman" w:cs="Times New Roman"/>
                <w:szCs w:val="18"/>
                <w:lang w:val="en-GB" w:eastAsia="en-GB"/>
              </w:rPr>
              <w:t>Efficiency</w:t>
            </w:r>
          </w:p>
          <w:p w:rsidR="00FE7BB6" w:rsidRPr="00881D62" w:rsidRDefault="00FE7BB6" w:rsidP="00177E1D">
            <w:pPr>
              <w:spacing w:after="240" w:line="240" w:lineRule="auto"/>
              <w:rPr>
                <w:rFonts w:eastAsia="Times New Roman" w:cs="Times New Roman"/>
                <w:szCs w:val="18"/>
                <w:lang w:val="en-GB" w:eastAsia="en-GB"/>
              </w:rPr>
            </w:pPr>
          </w:p>
        </w:tc>
        <w:tc>
          <w:tcPr>
            <w:tcW w:w="3331" w:type="pct"/>
          </w:tcPr>
          <w:p w:rsidR="00FE7BB6" w:rsidRPr="00881D62" w:rsidRDefault="00FE7BB6" w:rsidP="00177E1D">
            <w:pPr>
              <w:tabs>
                <w:tab w:val="left" w:pos="454"/>
              </w:tabs>
              <w:suppressAutoHyphens/>
              <w:autoSpaceDE w:val="0"/>
              <w:autoSpaceDN w:val="0"/>
              <w:adjustRightInd w:val="0"/>
              <w:spacing w:line="240" w:lineRule="auto"/>
              <w:ind w:left="34" w:right="170"/>
              <w:textAlignment w:val="center"/>
              <w:cnfStyle w:val="000000000000" w:firstRow="0" w:lastRow="0" w:firstColumn="0" w:lastColumn="0" w:oddVBand="0" w:evenVBand="0" w:oddHBand="0" w:evenHBand="0" w:firstRowFirstColumn="0" w:firstRowLastColumn="0" w:lastRowFirstColumn="0" w:lastRowLastColumn="0"/>
              <w:rPr>
                <w:rFonts w:eastAsia="Times New Roman" w:cs="Times New Roman"/>
                <w:kern w:val="28"/>
                <w:szCs w:val="18"/>
                <w:lang w:val="en-US" w:eastAsia="en-GB"/>
              </w:rPr>
            </w:pPr>
            <w:r w:rsidRPr="00881D62">
              <w:rPr>
                <w:rFonts w:eastAsia="Times New Roman" w:cs="Times New Roman"/>
                <w:kern w:val="28"/>
                <w:szCs w:val="18"/>
                <w:lang w:val="en-US" w:eastAsia="en-GB"/>
              </w:rPr>
              <w:t>The analysis will consider the extent to which the benefits of the proposals exceed the costs of regulation. In particular, the analysis will consider the following impacts, and will favour proposals that achieve the objectives above while minimising the fiscal and operational impact</w:t>
            </w:r>
            <w:r w:rsidR="00340B40">
              <w:rPr>
                <w:rFonts w:eastAsia="Times New Roman" w:cs="Times New Roman"/>
                <w:kern w:val="28"/>
                <w:szCs w:val="18"/>
                <w:lang w:val="en-US" w:eastAsia="en-GB"/>
              </w:rPr>
              <w:t xml:space="preserve"> of</w:t>
            </w:r>
            <w:r w:rsidRPr="00881D62">
              <w:rPr>
                <w:rFonts w:eastAsia="Times New Roman" w:cs="Times New Roman"/>
                <w:kern w:val="28"/>
                <w:szCs w:val="18"/>
                <w:lang w:val="en-US" w:eastAsia="en-GB"/>
              </w:rPr>
              <w:t xml:space="preserve">: </w:t>
            </w:r>
          </w:p>
          <w:p w:rsidR="00FE7BB6" w:rsidRPr="00881D62" w:rsidRDefault="00FE7BB6" w:rsidP="00177E1D">
            <w:pPr>
              <w:numPr>
                <w:ilvl w:val="0"/>
                <w:numId w:val="2"/>
              </w:numPr>
              <w:tabs>
                <w:tab w:val="left" w:pos="454"/>
              </w:tabs>
              <w:suppressAutoHyphens/>
              <w:autoSpaceDE w:val="0"/>
              <w:autoSpaceDN w:val="0"/>
              <w:adjustRightInd w:val="0"/>
              <w:spacing w:line="240" w:lineRule="auto"/>
              <w:ind w:right="170"/>
              <w:textAlignment w:val="center"/>
              <w:cnfStyle w:val="000000000000" w:firstRow="0" w:lastRow="0" w:firstColumn="0" w:lastColumn="0" w:oddVBand="0" w:evenVBand="0" w:oddHBand="0" w:evenHBand="0" w:firstRowFirstColumn="0" w:firstRowLastColumn="0" w:lastRowFirstColumn="0" w:lastRowLastColumn="0"/>
              <w:rPr>
                <w:rFonts w:eastAsia="Times New Roman" w:cs="Times New Roman"/>
                <w:kern w:val="28"/>
                <w:szCs w:val="18"/>
                <w:lang w:val="en-US" w:eastAsia="en-GB"/>
              </w:rPr>
            </w:pPr>
            <w:r w:rsidRPr="00881D62">
              <w:rPr>
                <w:rFonts w:eastAsia="Times New Roman" w:cs="Times New Roman"/>
                <w:kern w:val="28"/>
                <w:szCs w:val="18"/>
                <w:lang w:val="en-US" w:eastAsia="en-GB"/>
              </w:rPr>
              <w:t>compliance costs of implementing the proposal across government agencies, and for other organisations</w:t>
            </w:r>
          </w:p>
          <w:p w:rsidR="00FE7BB6" w:rsidRPr="00881D62" w:rsidRDefault="00FE7BB6" w:rsidP="00177E1D">
            <w:pPr>
              <w:numPr>
                <w:ilvl w:val="0"/>
                <w:numId w:val="2"/>
              </w:numPr>
              <w:tabs>
                <w:tab w:val="left" w:pos="454"/>
              </w:tabs>
              <w:suppressAutoHyphens/>
              <w:autoSpaceDE w:val="0"/>
              <w:autoSpaceDN w:val="0"/>
              <w:adjustRightInd w:val="0"/>
              <w:spacing w:line="240" w:lineRule="auto"/>
              <w:ind w:right="170"/>
              <w:textAlignment w:val="center"/>
              <w:cnfStyle w:val="000000000000" w:firstRow="0" w:lastRow="0" w:firstColumn="0" w:lastColumn="0" w:oddVBand="0" w:evenVBand="0" w:oddHBand="0" w:evenHBand="0" w:firstRowFirstColumn="0" w:firstRowLastColumn="0" w:lastRowFirstColumn="0" w:lastRowLastColumn="0"/>
              <w:rPr>
                <w:rFonts w:eastAsia="Times New Roman" w:cs="Times New Roman"/>
                <w:kern w:val="28"/>
                <w:szCs w:val="18"/>
                <w:lang w:val="en-US" w:eastAsia="en-GB"/>
              </w:rPr>
            </w:pPr>
            <w:r w:rsidRPr="00881D62">
              <w:rPr>
                <w:rFonts w:eastAsia="Times New Roman" w:cs="Times New Roman"/>
                <w:kern w:val="28"/>
                <w:szCs w:val="18"/>
                <w:lang w:val="en-US" w:eastAsia="en-GB"/>
              </w:rPr>
              <w:t>operational implications of implementing the proposals for government agencies, and any other affected organisations, including the scope and magnitude of organisational change required to implement proposals.</w:t>
            </w:r>
          </w:p>
        </w:tc>
      </w:tr>
      <w:tr w:rsidR="00FE7BB6" w:rsidRPr="00881D62" w:rsidTr="00163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Pr>
          <w:p w:rsidR="00FE7BB6" w:rsidRPr="00881D62" w:rsidRDefault="00FE7BB6" w:rsidP="00CF2F69">
            <w:pPr>
              <w:spacing w:after="240" w:line="240" w:lineRule="auto"/>
              <w:rPr>
                <w:rFonts w:eastAsia="Times New Roman" w:cs="Times New Roman"/>
                <w:szCs w:val="18"/>
                <w:lang w:val="en-GB" w:eastAsia="en-GB"/>
              </w:rPr>
            </w:pPr>
            <w:r w:rsidRPr="00881D62">
              <w:rPr>
                <w:rFonts w:eastAsia="Times New Roman" w:cs="Times New Roman"/>
                <w:szCs w:val="18"/>
                <w:lang w:val="en-GB" w:eastAsia="en-GB"/>
              </w:rPr>
              <w:lastRenderedPageBreak/>
              <w:t>Equity</w:t>
            </w:r>
          </w:p>
          <w:p w:rsidR="00FE7BB6" w:rsidRPr="00881D62" w:rsidRDefault="00FE7BB6" w:rsidP="00177E1D">
            <w:pPr>
              <w:spacing w:after="240" w:line="240" w:lineRule="auto"/>
              <w:rPr>
                <w:rFonts w:eastAsia="Times New Roman" w:cs="Times New Roman"/>
                <w:szCs w:val="18"/>
                <w:lang w:val="en-GB" w:eastAsia="en-GB"/>
              </w:rPr>
            </w:pPr>
          </w:p>
        </w:tc>
        <w:tc>
          <w:tcPr>
            <w:tcW w:w="3331" w:type="pct"/>
          </w:tcPr>
          <w:p w:rsidR="00FE7BB6" w:rsidRDefault="00FE7BB6" w:rsidP="00177E1D">
            <w:pPr>
              <w:tabs>
                <w:tab w:val="left" w:pos="454"/>
              </w:tabs>
              <w:suppressAutoHyphens/>
              <w:autoSpaceDE w:val="0"/>
              <w:autoSpaceDN w:val="0"/>
              <w:adjustRightInd w:val="0"/>
              <w:spacing w:line="240" w:lineRule="auto"/>
              <w:ind w:left="34" w:right="170"/>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Cs w:val="18"/>
                <w:lang w:val="en-US" w:eastAsia="en-GB"/>
              </w:rPr>
            </w:pPr>
            <w:r w:rsidRPr="00881D62">
              <w:rPr>
                <w:rFonts w:eastAsia="Times New Roman" w:cs="Times New Roman"/>
                <w:kern w:val="28"/>
                <w:szCs w:val="18"/>
                <w:lang w:val="en-US" w:eastAsia="en-GB"/>
              </w:rPr>
              <w:t>The analysis will consider the extent to which proposals are fair (ie treat individuals in similar situations similarly and individuals in different situations differently)</w:t>
            </w:r>
            <w:r w:rsidR="00340B40">
              <w:rPr>
                <w:rFonts w:eastAsia="Times New Roman" w:cs="Times New Roman"/>
                <w:kern w:val="28"/>
                <w:szCs w:val="18"/>
                <w:lang w:val="en-US" w:eastAsia="en-GB"/>
              </w:rPr>
              <w:t>.</w:t>
            </w:r>
          </w:p>
          <w:p w:rsidR="00FE7BB6" w:rsidRPr="00881D62" w:rsidRDefault="00FE7BB6" w:rsidP="00177E1D">
            <w:pPr>
              <w:tabs>
                <w:tab w:val="left" w:pos="454"/>
              </w:tabs>
              <w:suppressAutoHyphens/>
              <w:autoSpaceDE w:val="0"/>
              <w:autoSpaceDN w:val="0"/>
              <w:adjustRightInd w:val="0"/>
              <w:spacing w:line="240" w:lineRule="auto"/>
              <w:ind w:left="34" w:right="170"/>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Cs w:val="18"/>
                <w:lang w:val="en-US" w:eastAsia="en-GB"/>
              </w:rPr>
            </w:pPr>
            <w:r>
              <w:rPr>
                <w:rFonts w:eastAsia="Times New Roman" w:cs="Times New Roman"/>
                <w:szCs w:val="20"/>
                <w:lang w:val="en-GB" w:eastAsia="en-GB"/>
              </w:rPr>
              <w:t xml:space="preserve">In the case of those </w:t>
            </w:r>
            <w:r w:rsidRPr="001015BB">
              <w:rPr>
                <w:rFonts w:eastAsia="Times New Roman" w:cs="Times New Roman"/>
                <w:szCs w:val="20"/>
                <w:lang w:val="en-GB" w:eastAsia="en-GB"/>
              </w:rPr>
              <w:t xml:space="preserve">options relating complaints and disciplinary processes consideration has also been given to </w:t>
            </w:r>
            <w:r>
              <w:rPr>
                <w:rFonts w:eastAsia="Times New Roman" w:cs="Times New Roman"/>
                <w:szCs w:val="20"/>
                <w:lang w:val="en-GB" w:eastAsia="en-GB"/>
              </w:rPr>
              <w:t xml:space="preserve">the objectives of </w:t>
            </w:r>
            <w:r w:rsidRPr="00BF4A39">
              <w:rPr>
                <w:rFonts w:eastAsia="Times New Roman" w:cs="Times New Roman"/>
                <w:szCs w:val="20"/>
                <w:lang w:val="en-GB" w:eastAsia="en-GB"/>
              </w:rPr>
              <w:t>natural justice and due process</w:t>
            </w:r>
            <w:r>
              <w:rPr>
                <w:rFonts w:eastAsia="Times New Roman" w:cs="Times New Roman"/>
                <w:szCs w:val="20"/>
                <w:lang w:val="en-GB" w:eastAsia="en-GB"/>
              </w:rPr>
              <w:t>.</w:t>
            </w:r>
          </w:p>
        </w:tc>
      </w:tr>
      <w:tr w:rsidR="00FE7BB6" w:rsidRPr="00881D62" w:rsidTr="00163A28">
        <w:tc>
          <w:tcPr>
            <w:cnfStyle w:val="001000000000" w:firstRow="0" w:lastRow="0" w:firstColumn="1" w:lastColumn="0" w:oddVBand="0" w:evenVBand="0" w:oddHBand="0" w:evenHBand="0" w:firstRowFirstColumn="0" w:firstRowLastColumn="0" w:lastRowFirstColumn="0" w:lastRowLastColumn="0"/>
            <w:tcW w:w="1669" w:type="pct"/>
          </w:tcPr>
          <w:p w:rsidR="00FE7BB6" w:rsidRPr="00881D62" w:rsidRDefault="00FE7BB6" w:rsidP="00CF2F69">
            <w:pPr>
              <w:spacing w:after="240" w:line="240" w:lineRule="auto"/>
              <w:rPr>
                <w:rFonts w:eastAsia="Times New Roman" w:cs="Times New Roman"/>
                <w:szCs w:val="18"/>
                <w:lang w:val="en-GB" w:eastAsia="en-GB"/>
              </w:rPr>
            </w:pPr>
            <w:r w:rsidRPr="00881D62">
              <w:rPr>
                <w:rFonts w:eastAsia="Times New Roman" w:cs="Times New Roman"/>
                <w:szCs w:val="18"/>
                <w:lang w:val="en-GB" w:eastAsia="en-GB"/>
              </w:rPr>
              <w:t>Transparency</w:t>
            </w:r>
          </w:p>
        </w:tc>
        <w:tc>
          <w:tcPr>
            <w:tcW w:w="3331" w:type="pct"/>
          </w:tcPr>
          <w:p w:rsidR="00FE7BB6" w:rsidRPr="00881D62" w:rsidRDefault="00FE7BB6" w:rsidP="00177E1D">
            <w:pPr>
              <w:tabs>
                <w:tab w:val="left" w:pos="454"/>
              </w:tabs>
              <w:suppressAutoHyphens/>
              <w:autoSpaceDE w:val="0"/>
              <w:autoSpaceDN w:val="0"/>
              <w:adjustRightInd w:val="0"/>
              <w:spacing w:line="240" w:lineRule="auto"/>
              <w:ind w:left="34" w:right="170"/>
              <w:textAlignment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val="en-GB" w:eastAsia="en-GB"/>
              </w:rPr>
            </w:pPr>
            <w:r w:rsidRPr="00881D62">
              <w:rPr>
                <w:rFonts w:eastAsia="Times New Roman" w:cs="Times New Roman"/>
                <w:szCs w:val="18"/>
                <w:lang w:val="en-GB" w:eastAsia="en-GB"/>
              </w:rPr>
              <w:t>The analysis will consider the extent to which</w:t>
            </w:r>
            <w:r>
              <w:rPr>
                <w:rFonts w:eastAsia="Times New Roman" w:cs="Times New Roman"/>
                <w:szCs w:val="18"/>
                <w:lang w:val="en-GB" w:eastAsia="en-GB"/>
              </w:rPr>
              <w:t xml:space="preserve"> the proposals support regulatory processes and requirements that are transparent to both the decision-makers and those affected by the decisions.</w:t>
            </w:r>
          </w:p>
        </w:tc>
      </w:tr>
      <w:tr w:rsidR="00FE7BB6" w:rsidRPr="00881D62" w:rsidTr="00163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Pr>
          <w:p w:rsidR="00FE7BB6" w:rsidRPr="00881D62" w:rsidRDefault="00FE7BB6" w:rsidP="00CF2F69">
            <w:pPr>
              <w:spacing w:after="240" w:line="240" w:lineRule="auto"/>
              <w:rPr>
                <w:rFonts w:eastAsia="Times New Roman" w:cs="Times New Roman"/>
                <w:szCs w:val="18"/>
                <w:lang w:val="en-GB" w:eastAsia="en-GB"/>
              </w:rPr>
            </w:pPr>
            <w:r w:rsidRPr="00881D62">
              <w:rPr>
                <w:rFonts w:eastAsia="Times New Roman" w:cs="Times New Roman"/>
                <w:szCs w:val="18"/>
                <w:lang w:val="en-GB" w:eastAsia="en-GB"/>
              </w:rPr>
              <w:t>Clarity</w:t>
            </w:r>
          </w:p>
          <w:p w:rsidR="00FE7BB6" w:rsidRPr="00881D62" w:rsidRDefault="00FE7BB6" w:rsidP="00177E1D">
            <w:pPr>
              <w:spacing w:after="240" w:line="240" w:lineRule="auto"/>
              <w:rPr>
                <w:rFonts w:eastAsia="Times New Roman" w:cs="Times New Roman"/>
                <w:szCs w:val="18"/>
                <w:lang w:val="en-GB" w:eastAsia="en-GB"/>
              </w:rPr>
            </w:pPr>
          </w:p>
        </w:tc>
        <w:tc>
          <w:tcPr>
            <w:tcW w:w="3331" w:type="pct"/>
          </w:tcPr>
          <w:p w:rsidR="00FE7BB6" w:rsidRPr="00881D62" w:rsidRDefault="00FE7BB6" w:rsidP="00177E1D">
            <w:pPr>
              <w:tabs>
                <w:tab w:val="left" w:pos="454"/>
              </w:tabs>
              <w:suppressAutoHyphens/>
              <w:autoSpaceDE w:val="0"/>
              <w:autoSpaceDN w:val="0"/>
              <w:adjustRightInd w:val="0"/>
              <w:spacing w:line="240" w:lineRule="auto"/>
              <w:ind w:left="34" w:right="170"/>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Cs w:val="18"/>
                <w:lang w:val="en-US" w:eastAsia="en-GB"/>
              </w:rPr>
            </w:pPr>
            <w:r w:rsidRPr="00881D62">
              <w:rPr>
                <w:rFonts w:eastAsia="Times New Roman" w:cs="Times New Roman"/>
                <w:szCs w:val="18"/>
                <w:lang w:val="en-GB" w:eastAsia="en-GB"/>
              </w:rPr>
              <w:t>The analysis will consider the extent to which the proposals support regulatory processes and requirements that are understandable and accessible as practicable</w:t>
            </w:r>
            <w:r>
              <w:rPr>
                <w:rFonts w:eastAsia="Times New Roman" w:cs="Times New Roman"/>
                <w:szCs w:val="18"/>
                <w:lang w:val="en-GB" w:eastAsia="en-GB"/>
              </w:rPr>
              <w:t>.</w:t>
            </w:r>
          </w:p>
        </w:tc>
      </w:tr>
      <w:tr w:rsidR="00FE7BB6" w:rsidRPr="00881D62" w:rsidTr="00163A28">
        <w:tc>
          <w:tcPr>
            <w:cnfStyle w:val="001000000000" w:firstRow="0" w:lastRow="0" w:firstColumn="1" w:lastColumn="0" w:oddVBand="0" w:evenVBand="0" w:oddHBand="0" w:evenHBand="0" w:firstRowFirstColumn="0" w:firstRowLastColumn="0" w:lastRowFirstColumn="0" w:lastRowLastColumn="0"/>
            <w:tcW w:w="1669" w:type="pct"/>
          </w:tcPr>
          <w:p w:rsidR="00FE7BB6" w:rsidRPr="00881D62" w:rsidRDefault="00FE7BB6" w:rsidP="00CF2F69">
            <w:pPr>
              <w:spacing w:after="240" w:line="240" w:lineRule="auto"/>
              <w:rPr>
                <w:rFonts w:eastAsia="Times New Roman" w:cs="Times New Roman"/>
                <w:szCs w:val="18"/>
                <w:lang w:val="en-GB" w:eastAsia="en-GB"/>
              </w:rPr>
            </w:pPr>
            <w:r w:rsidRPr="00881D62">
              <w:rPr>
                <w:rFonts w:eastAsia="Times New Roman" w:cs="Times New Roman"/>
                <w:szCs w:val="18"/>
                <w:lang w:val="en-GB" w:eastAsia="en-GB"/>
              </w:rPr>
              <w:t>Institutional</w:t>
            </w:r>
          </w:p>
        </w:tc>
        <w:tc>
          <w:tcPr>
            <w:tcW w:w="3331" w:type="pct"/>
          </w:tcPr>
          <w:p w:rsidR="00FE7BB6" w:rsidRPr="00881D62" w:rsidRDefault="00FE7BB6" w:rsidP="00CB2909">
            <w:pPr>
              <w:tabs>
                <w:tab w:val="left" w:pos="454"/>
              </w:tabs>
              <w:suppressAutoHyphens/>
              <w:autoSpaceDE w:val="0"/>
              <w:autoSpaceDN w:val="0"/>
              <w:adjustRightInd w:val="0"/>
              <w:spacing w:line="240" w:lineRule="auto"/>
              <w:ind w:left="34" w:right="170"/>
              <w:textAlignment w:val="center"/>
              <w:cnfStyle w:val="000000000000" w:firstRow="0" w:lastRow="0" w:firstColumn="0" w:lastColumn="0" w:oddVBand="0" w:evenVBand="0" w:oddHBand="0" w:evenHBand="0" w:firstRowFirstColumn="0" w:firstRowLastColumn="0" w:lastRowFirstColumn="0" w:lastRowLastColumn="0"/>
              <w:rPr>
                <w:rFonts w:eastAsia="Times New Roman" w:cs="Times New Roman"/>
                <w:kern w:val="28"/>
                <w:szCs w:val="18"/>
                <w:lang w:val="en-US" w:eastAsia="en-GB"/>
              </w:rPr>
            </w:pPr>
            <w:r w:rsidRPr="00881D62">
              <w:rPr>
                <w:rFonts w:eastAsia="Times New Roman" w:cs="Times New Roman"/>
                <w:kern w:val="28"/>
                <w:szCs w:val="18"/>
                <w:lang w:val="en-US" w:eastAsia="en-GB"/>
              </w:rPr>
              <w:t xml:space="preserve">The analysis will consider the extent to which the proposals </w:t>
            </w:r>
            <w:r w:rsidR="00CB2909">
              <w:rPr>
                <w:rFonts w:eastAsia="Times New Roman" w:cs="Times New Roman"/>
                <w:kern w:val="28"/>
                <w:szCs w:val="18"/>
                <w:lang w:val="en-US" w:eastAsia="en-GB"/>
              </w:rPr>
              <w:t xml:space="preserve">raise a </w:t>
            </w:r>
            <w:r w:rsidR="005B46F7">
              <w:rPr>
                <w:rFonts w:eastAsia="Times New Roman" w:cs="Times New Roman"/>
                <w:kern w:val="28"/>
                <w:szCs w:val="18"/>
                <w:lang w:val="en-US" w:eastAsia="en-GB"/>
              </w:rPr>
              <w:t xml:space="preserve">risk </w:t>
            </w:r>
            <w:r w:rsidR="00CB2909">
              <w:rPr>
                <w:rFonts w:eastAsia="Times New Roman" w:cs="Times New Roman"/>
                <w:kern w:val="28"/>
                <w:szCs w:val="18"/>
                <w:lang w:val="en-US" w:eastAsia="en-GB"/>
              </w:rPr>
              <w:t xml:space="preserve">that </w:t>
            </w:r>
            <w:r w:rsidR="005B46F7">
              <w:rPr>
                <w:rFonts w:eastAsia="Times New Roman" w:cs="Times New Roman"/>
                <w:kern w:val="28"/>
                <w:szCs w:val="18"/>
                <w:lang w:val="en-US" w:eastAsia="en-GB"/>
              </w:rPr>
              <w:t>the regime</w:t>
            </w:r>
            <w:r w:rsidRPr="00881D62">
              <w:rPr>
                <w:rFonts w:eastAsia="Times New Roman" w:cs="Times New Roman"/>
                <w:kern w:val="28"/>
                <w:szCs w:val="18"/>
                <w:lang w:val="en-US" w:eastAsia="en-GB"/>
              </w:rPr>
              <w:t xml:space="preserve"> </w:t>
            </w:r>
            <w:r w:rsidR="00CB2909">
              <w:rPr>
                <w:rFonts w:eastAsia="Times New Roman" w:cs="Times New Roman"/>
                <w:kern w:val="28"/>
                <w:szCs w:val="18"/>
                <w:lang w:val="en-US" w:eastAsia="en-GB"/>
              </w:rPr>
              <w:t>might function</w:t>
            </w:r>
            <w:r w:rsidR="005B46F7">
              <w:rPr>
                <w:rFonts w:eastAsia="Times New Roman" w:cs="Times New Roman"/>
                <w:kern w:val="28"/>
                <w:szCs w:val="18"/>
                <w:lang w:val="en-US" w:eastAsia="en-GB"/>
              </w:rPr>
              <w:t xml:space="preserve"> to</w:t>
            </w:r>
            <w:r w:rsidR="005B46F7" w:rsidRPr="00881D62">
              <w:rPr>
                <w:rFonts w:eastAsia="Times New Roman" w:cs="Times New Roman"/>
                <w:kern w:val="28"/>
                <w:szCs w:val="18"/>
                <w:lang w:val="en-US" w:eastAsia="en-GB"/>
              </w:rPr>
              <w:t xml:space="preserve"> </w:t>
            </w:r>
            <w:r w:rsidRPr="00881D62">
              <w:rPr>
                <w:rFonts w:eastAsia="Times New Roman" w:cs="Times New Roman"/>
                <w:kern w:val="28"/>
                <w:szCs w:val="18"/>
                <w:lang w:val="en-US" w:eastAsia="en-GB"/>
              </w:rPr>
              <w:t>protect</w:t>
            </w:r>
            <w:r w:rsidR="005B46F7">
              <w:rPr>
                <w:rFonts w:eastAsia="Times New Roman" w:cs="Times New Roman"/>
                <w:kern w:val="28"/>
                <w:szCs w:val="18"/>
                <w:lang w:val="en-US" w:eastAsia="en-GB"/>
              </w:rPr>
              <w:t xml:space="preserve"> the</w:t>
            </w:r>
            <w:r w:rsidRPr="00881D62">
              <w:rPr>
                <w:rFonts w:eastAsia="Times New Roman" w:cs="Times New Roman"/>
                <w:kern w:val="28"/>
                <w:szCs w:val="18"/>
                <w:lang w:val="en-US" w:eastAsia="en-GB"/>
              </w:rPr>
              <w:t xml:space="preserve"> </w:t>
            </w:r>
            <w:r w:rsidR="005B46F7">
              <w:rPr>
                <w:rFonts w:eastAsia="Times New Roman" w:cs="Times New Roman"/>
                <w:kern w:val="28"/>
                <w:szCs w:val="18"/>
                <w:lang w:val="en-US" w:eastAsia="en-GB"/>
              </w:rPr>
              <w:t>profession</w:t>
            </w:r>
            <w:r w:rsidR="005B46F7" w:rsidRPr="00881D62">
              <w:rPr>
                <w:rFonts w:eastAsia="Times New Roman" w:cs="Times New Roman"/>
                <w:kern w:val="28"/>
                <w:szCs w:val="18"/>
                <w:lang w:val="en-US" w:eastAsia="en-GB"/>
              </w:rPr>
              <w:t xml:space="preserve"> </w:t>
            </w:r>
            <w:r w:rsidRPr="00881D62">
              <w:rPr>
                <w:rFonts w:eastAsia="Times New Roman" w:cs="Times New Roman"/>
                <w:kern w:val="28"/>
                <w:szCs w:val="18"/>
                <w:lang w:val="en-US" w:eastAsia="en-GB"/>
              </w:rPr>
              <w:t xml:space="preserve">rather than </w:t>
            </w:r>
            <w:r w:rsidR="005B46F7">
              <w:rPr>
                <w:rFonts w:eastAsia="Times New Roman" w:cs="Times New Roman"/>
                <w:kern w:val="28"/>
                <w:szCs w:val="18"/>
                <w:lang w:val="en-US" w:eastAsia="en-GB"/>
              </w:rPr>
              <w:t xml:space="preserve">the </w:t>
            </w:r>
            <w:r w:rsidRPr="00881D62">
              <w:rPr>
                <w:rFonts w:eastAsia="Times New Roman" w:cs="Times New Roman"/>
                <w:kern w:val="28"/>
                <w:szCs w:val="18"/>
                <w:lang w:val="en-US" w:eastAsia="en-GB"/>
              </w:rPr>
              <w:t>public</w:t>
            </w:r>
            <w:r>
              <w:rPr>
                <w:rFonts w:eastAsia="Times New Roman" w:cs="Times New Roman"/>
                <w:kern w:val="28"/>
                <w:szCs w:val="18"/>
                <w:lang w:val="en-US" w:eastAsia="en-GB"/>
              </w:rPr>
              <w:t>.</w:t>
            </w:r>
          </w:p>
        </w:tc>
      </w:tr>
    </w:tbl>
    <w:p w:rsidR="00FE7BB6" w:rsidRPr="00FE7BB6" w:rsidRDefault="00FE7BB6" w:rsidP="00CF2F69">
      <w:pPr>
        <w:spacing w:after="240" w:line="240" w:lineRule="auto"/>
        <w:rPr>
          <w:rFonts w:eastAsia="Times New Roman" w:cs="Times New Roman"/>
          <w:szCs w:val="20"/>
          <w:lang w:eastAsia="en-GB"/>
        </w:rPr>
      </w:pPr>
    </w:p>
    <w:p w:rsidR="006638A8" w:rsidRDefault="006638A8" w:rsidP="00177E1D">
      <w:pPr>
        <w:spacing w:after="240" w:line="240" w:lineRule="auto"/>
        <w:outlineLvl w:val="1"/>
        <w:rPr>
          <w:rFonts w:eastAsia="Times New Roman" w:cs="Times New Roman"/>
          <w:b/>
          <w:color w:val="1F497D" w:themeColor="text2"/>
          <w:sz w:val="28"/>
          <w:szCs w:val="28"/>
          <w:lang w:val="en-GB" w:eastAsia="en-GB"/>
        </w:rPr>
      </w:pPr>
      <w:bookmarkStart w:id="44" w:name="_Toc520457886"/>
      <w:r>
        <w:rPr>
          <w:rFonts w:eastAsia="Times New Roman" w:cs="Times New Roman"/>
          <w:b/>
          <w:color w:val="1F497D" w:themeColor="text2"/>
          <w:sz w:val="28"/>
          <w:szCs w:val="28"/>
          <w:lang w:val="en-GB" w:eastAsia="en-GB"/>
        </w:rPr>
        <w:t>Specific proposals and options</w:t>
      </w:r>
      <w:bookmarkEnd w:id="44"/>
      <w:r w:rsidRPr="002A5D5B">
        <w:rPr>
          <w:rFonts w:eastAsia="Times New Roman" w:cs="Times New Roman"/>
          <w:b/>
          <w:color w:val="1F497D" w:themeColor="text2"/>
          <w:sz w:val="28"/>
          <w:szCs w:val="28"/>
          <w:lang w:val="en-GB" w:eastAsia="en-GB"/>
        </w:rPr>
        <w:t xml:space="preserve"> </w:t>
      </w:r>
    </w:p>
    <w:p w:rsidR="006638A8" w:rsidRPr="002A5D5B" w:rsidRDefault="00112962" w:rsidP="00177E1D">
      <w:pPr>
        <w:spacing w:after="240"/>
        <w:outlineLvl w:val="2"/>
        <w:rPr>
          <w:rFonts w:eastAsia="Times New Roman" w:cs="Times New Roman"/>
          <w:b/>
          <w:sz w:val="24"/>
          <w:szCs w:val="24"/>
          <w:lang w:val="en-GB" w:eastAsia="en-GB"/>
        </w:rPr>
      </w:pPr>
      <w:bookmarkStart w:id="45" w:name="_Toc520457887"/>
      <w:r>
        <w:rPr>
          <w:rFonts w:eastAsia="Times New Roman" w:cs="Times New Roman"/>
          <w:b/>
          <w:sz w:val="24"/>
          <w:szCs w:val="24"/>
          <w:lang w:val="en-GB" w:eastAsia="en-GB"/>
        </w:rPr>
        <w:t xml:space="preserve">Part One: </w:t>
      </w:r>
      <w:r w:rsidR="006638A8" w:rsidRPr="002A5D5B">
        <w:rPr>
          <w:rFonts w:eastAsia="Times New Roman" w:cs="Times New Roman"/>
          <w:b/>
          <w:sz w:val="24"/>
          <w:szCs w:val="24"/>
          <w:lang w:val="en-GB" w:eastAsia="en-GB"/>
        </w:rPr>
        <w:t>Registration of social workers</w:t>
      </w:r>
      <w:bookmarkEnd w:id="45"/>
      <w:r w:rsidR="006638A8" w:rsidRPr="002A5D5B">
        <w:rPr>
          <w:rFonts w:eastAsia="Times New Roman" w:cs="Times New Roman"/>
          <w:b/>
          <w:sz w:val="24"/>
          <w:szCs w:val="24"/>
          <w:lang w:val="en-GB" w:eastAsia="en-GB"/>
        </w:rPr>
        <w:t xml:space="preserve"> </w:t>
      </w:r>
    </w:p>
    <w:p w:rsidR="006638A8" w:rsidRPr="00AF2E9F" w:rsidRDefault="006638A8" w:rsidP="00177E1D">
      <w:pPr>
        <w:spacing w:after="240" w:line="240" w:lineRule="auto"/>
        <w:rPr>
          <w:rFonts w:eastAsia="Times New Roman" w:cs="Times New Roman"/>
          <w:i/>
          <w:szCs w:val="20"/>
          <w:lang w:val="en-GB" w:eastAsia="en-GB"/>
        </w:rPr>
      </w:pPr>
      <w:r w:rsidRPr="00AF2E9F">
        <w:rPr>
          <w:rFonts w:eastAsia="Times New Roman" w:cs="Times New Roman"/>
          <w:i/>
          <w:szCs w:val="20"/>
          <w:lang w:val="en-GB" w:eastAsia="en-GB"/>
        </w:rPr>
        <w:t xml:space="preserve">What is the argument for the regulation of social work?  </w:t>
      </w:r>
    </w:p>
    <w:p w:rsidR="006638A8" w:rsidRPr="00AF2E9F" w:rsidRDefault="006638A8" w:rsidP="005B5FC6">
      <w:pPr>
        <w:numPr>
          <w:ilvl w:val="0"/>
          <w:numId w:val="23"/>
        </w:numPr>
        <w:spacing w:after="240" w:line="240" w:lineRule="auto"/>
        <w:ind w:left="567" w:hanging="567"/>
        <w:rPr>
          <w:rFonts w:eastAsia="Times New Roman" w:cs="Times New Roman"/>
          <w:szCs w:val="20"/>
          <w:lang w:eastAsia="en-GB"/>
        </w:rPr>
      </w:pPr>
      <w:r w:rsidRPr="00AF2E9F">
        <w:rPr>
          <w:rFonts w:eastAsia="Times New Roman" w:cs="Times New Roman"/>
          <w:szCs w:val="20"/>
          <w:lang w:eastAsia="en-GB"/>
        </w:rPr>
        <w:t xml:space="preserve">Government is investing in a systematic approach to lifting the quality and effectiveness of social services.  Social investment is about improving the lives of New Zealanders by applying rigorous and evidence-based investment practice to social services.  It recognises that vulnerable New Zealanders have complex needs that span multiple agencies and require collaboration to address the underlying drivers of dysfunction rather than just responding to symptoms.  Critical to the success of this initiative is having a highly skilled </w:t>
      </w:r>
      <w:r>
        <w:rPr>
          <w:rFonts w:eastAsia="Times New Roman" w:cs="Times New Roman"/>
          <w:szCs w:val="20"/>
          <w:lang w:eastAsia="en-GB"/>
        </w:rPr>
        <w:t xml:space="preserve">social work </w:t>
      </w:r>
      <w:r w:rsidRPr="00AF2E9F">
        <w:rPr>
          <w:rFonts w:eastAsia="Times New Roman" w:cs="Times New Roman"/>
          <w:szCs w:val="20"/>
          <w:lang w:eastAsia="en-GB"/>
        </w:rPr>
        <w:t>workforce to deliver interventions and services to a consistent and competent level</w:t>
      </w:r>
      <w:r>
        <w:rPr>
          <w:rFonts w:eastAsia="Times New Roman" w:cs="Times New Roman"/>
          <w:szCs w:val="20"/>
          <w:lang w:eastAsia="en-GB"/>
        </w:rPr>
        <w:t>, because social workers frequently provide the frontline social service interventions - assessments, casework and referrals.</w:t>
      </w:r>
    </w:p>
    <w:p w:rsidR="006638A8" w:rsidRPr="00E765E1" w:rsidRDefault="006638A8" w:rsidP="005B5FC6">
      <w:pPr>
        <w:numPr>
          <w:ilvl w:val="0"/>
          <w:numId w:val="23"/>
        </w:numPr>
        <w:spacing w:after="240" w:line="240" w:lineRule="auto"/>
        <w:ind w:left="567" w:hanging="567"/>
        <w:rPr>
          <w:rFonts w:eastAsia="Times New Roman" w:cs="Times New Roman"/>
          <w:szCs w:val="20"/>
          <w:lang w:eastAsia="en-GB"/>
        </w:rPr>
      </w:pPr>
      <w:r w:rsidRPr="00E765E1">
        <w:rPr>
          <w:rFonts w:eastAsia="Times New Roman" w:cs="Times New Roman"/>
          <w:szCs w:val="20"/>
          <w:lang w:eastAsia="en-GB"/>
        </w:rPr>
        <w:t xml:space="preserve">Good quality social work </w:t>
      </w:r>
      <w:r>
        <w:rPr>
          <w:rFonts w:eastAsia="Times New Roman" w:cs="Times New Roman"/>
          <w:szCs w:val="20"/>
          <w:lang w:eastAsia="en-GB"/>
        </w:rPr>
        <w:t>also matters to the individual</w:t>
      </w:r>
      <w:r w:rsidRPr="00E765E1">
        <w:rPr>
          <w:rFonts w:eastAsia="Times New Roman" w:cs="Times New Roman"/>
          <w:szCs w:val="20"/>
          <w:lang w:eastAsia="en-GB"/>
        </w:rPr>
        <w:t xml:space="preserve">.  Its immediate value is in addressing serious problems faced by individuals and communities, and protecting the vulnerable.  Social workers have a critical role in </w:t>
      </w:r>
      <w:r>
        <w:rPr>
          <w:rFonts w:eastAsia="Times New Roman" w:cs="Times New Roman"/>
          <w:szCs w:val="20"/>
          <w:lang w:eastAsia="en-GB"/>
        </w:rPr>
        <w:t xml:space="preserve">the delivery of </w:t>
      </w:r>
      <w:r w:rsidRPr="00E765E1">
        <w:rPr>
          <w:rFonts w:eastAsia="Times New Roman" w:cs="Times New Roman"/>
          <w:szCs w:val="20"/>
          <w:lang w:eastAsia="en-GB"/>
        </w:rPr>
        <w:t xml:space="preserve">effective social </w:t>
      </w:r>
      <w:r>
        <w:rPr>
          <w:rFonts w:eastAsia="Times New Roman" w:cs="Times New Roman"/>
          <w:szCs w:val="20"/>
          <w:lang w:eastAsia="en-GB"/>
        </w:rPr>
        <w:t>services</w:t>
      </w:r>
      <w:r w:rsidRPr="00E765E1">
        <w:rPr>
          <w:rFonts w:eastAsia="Times New Roman" w:cs="Times New Roman"/>
          <w:szCs w:val="20"/>
          <w:lang w:eastAsia="en-GB"/>
        </w:rPr>
        <w:t xml:space="preserve"> – interventions that mitigate and prevent harm that could otherwise have long term adverse consequences for individuals and society.  Most social work is government funded, either directly through government agencies, or via contracts with NGOs.  </w:t>
      </w:r>
    </w:p>
    <w:p w:rsidR="006638A8" w:rsidRPr="00E765E1" w:rsidRDefault="006638A8" w:rsidP="005B5FC6">
      <w:pPr>
        <w:numPr>
          <w:ilvl w:val="0"/>
          <w:numId w:val="23"/>
        </w:numPr>
        <w:spacing w:after="240" w:line="240" w:lineRule="auto"/>
        <w:ind w:left="567" w:hanging="567"/>
        <w:rPr>
          <w:rFonts w:eastAsia="Times New Roman" w:cs="Times New Roman"/>
          <w:szCs w:val="20"/>
          <w:lang w:eastAsia="en-GB"/>
        </w:rPr>
      </w:pPr>
      <w:r w:rsidRPr="00E765E1">
        <w:rPr>
          <w:rFonts w:eastAsia="Times New Roman" w:cs="Times New Roman"/>
          <w:szCs w:val="20"/>
          <w:lang w:eastAsia="en-GB"/>
        </w:rPr>
        <w:t xml:space="preserve">Social work is a complex set of tasks and approaches, involving relationships and professional judgements, informed by a body of knowledge and experience.  There are a range of recognised methodologies and tools which social workers use, and various specialist areas of practice.  It is frequently practiced in a collaborative way, in a multidisciplinary context.  </w:t>
      </w:r>
    </w:p>
    <w:p w:rsidR="006638A8" w:rsidRPr="00E765E1" w:rsidRDefault="006638A8" w:rsidP="005B5FC6">
      <w:pPr>
        <w:numPr>
          <w:ilvl w:val="0"/>
          <w:numId w:val="23"/>
        </w:numPr>
        <w:spacing w:after="240" w:line="240" w:lineRule="auto"/>
        <w:ind w:left="567" w:hanging="567"/>
        <w:rPr>
          <w:rFonts w:eastAsia="Times New Roman" w:cs="Times New Roman"/>
          <w:szCs w:val="20"/>
          <w:lang w:eastAsia="en-GB"/>
        </w:rPr>
      </w:pPr>
      <w:r w:rsidRPr="00E765E1">
        <w:rPr>
          <w:rFonts w:eastAsia="Times New Roman" w:cs="Times New Roman"/>
          <w:szCs w:val="20"/>
          <w:lang w:eastAsia="en-GB"/>
        </w:rPr>
        <w:t>Social work has the potential to be a moderate to high risk occupation in terms of causing harm.  Harm can be physical, emotional, psychological, material, financial or social.  Harm from social work can arise via misconduct (improper behaviour and breach of professional standards</w:t>
      </w:r>
      <w:r w:rsidR="00340B40">
        <w:rPr>
          <w:rFonts w:eastAsia="Times New Roman" w:cs="Times New Roman"/>
          <w:szCs w:val="20"/>
          <w:lang w:eastAsia="en-GB"/>
        </w:rPr>
        <w:t>,</w:t>
      </w:r>
      <w:r w:rsidRPr="00E765E1">
        <w:rPr>
          <w:rFonts w:eastAsia="Times New Roman" w:cs="Times New Roman"/>
          <w:szCs w:val="20"/>
          <w:lang w:eastAsia="en-GB"/>
        </w:rPr>
        <w:t xml:space="preserve"> improper relationships,) or incompetence (failure to act, wrong assessments, wrong judgements).  </w:t>
      </w:r>
    </w:p>
    <w:p w:rsidR="006638A8" w:rsidRPr="00E765E1" w:rsidRDefault="006638A8" w:rsidP="005B5FC6">
      <w:pPr>
        <w:numPr>
          <w:ilvl w:val="0"/>
          <w:numId w:val="23"/>
        </w:numPr>
        <w:spacing w:after="240" w:line="240" w:lineRule="auto"/>
        <w:ind w:left="567" w:hanging="567"/>
        <w:rPr>
          <w:rFonts w:eastAsia="Times New Roman" w:cs="Times New Roman"/>
          <w:szCs w:val="20"/>
          <w:lang w:eastAsia="en-GB"/>
        </w:rPr>
      </w:pPr>
      <w:r w:rsidRPr="00E765E1">
        <w:rPr>
          <w:rFonts w:eastAsia="Times New Roman" w:cs="Times New Roman"/>
          <w:szCs w:val="20"/>
          <w:lang w:eastAsia="en-GB"/>
        </w:rPr>
        <w:lastRenderedPageBreak/>
        <w:t xml:space="preserve">There can also be a risk of harm to others (including the wider public) in some extreme situations, for example poor social work practice might lead to a client harming to others which could have been prevented. </w:t>
      </w:r>
    </w:p>
    <w:p w:rsidR="006638A8" w:rsidRPr="00E765E1" w:rsidRDefault="00340B40" w:rsidP="005B5FC6">
      <w:pPr>
        <w:numPr>
          <w:ilvl w:val="0"/>
          <w:numId w:val="23"/>
        </w:numPr>
        <w:spacing w:after="240" w:line="240" w:lineRule="auto"/>
        <w:ind w:left="567" w:hanging="567"/>
        <w:rPr>
          <w:rFonts w:eastAsia="Times New Roman" w:cs="Times New Roman"/>
          <w:szCs w:val="20"/>
          <w:lang w:eastAsia="en-GB"/>
        </w:rPr>
      </w:pPr>
      <w:r>
        <w:rPr>
          <w:rFonts w:eastAsia="Times New Roman" w:cs="Times New Roman"/>
          <w:szCs w:val="20"/>
          <w:lang w:eastAsia="en-GB"/>
        </w:rPr>
        <w:t>Harm</w:t>
      </w:r>
      <w:r w:rsidR="006638A8" w:rsidRPr="00E765E1">
        <w:rPr>
          <w:rFonts w:eastAsia="Times New Roman" w:cs="Times New Roman"/>
          <w:szCs w:val="20"/>
          <w:lang w:eastAsia="en-GB"/>
        </w:rPr>
        <w:t xml:space="preserve"> may consist of clients not having received the help or protection they needed and which it could have been expected that </w:t>
      </w:r>
      <w:r>
        <w:rPr>
          <w:rFonts w:eastAsia="Times New Roman" w:cs="Times New Roman"/>
          <w:szCs w:val="20"/>
          <w:lang w:eastAsia="en-GB"/>
        </w:rPr>
        <w:t xml:space="preserve">a </w:t>
      </w:r>
      <w:r w:rsidR="006638A8" w:rsidRPr="00E765E1">
        <w:rPr>
          <w:rFonts w:eastAsia="Times New Roman" w:cs="Times New Roman"/>
          <w:szCs w:val="20"/>
          <w:lang w:eastAsia="en-GB"/>
        </w:rPr>
        <w:t>social</w:t>
      </w:r>
      <w:r>
        <w:rPr>
          <w:rFonts w:eastAsia="Times New Roman" w:cs="Times New Roman"/>
          <w:szCs w:val="20"/>
          <w:lang w:eastAsia="en-GB"/>
        </w:rPr>
        <w:t xml:space="preserve"> worker should have provided.  In such cases t</w:t>
      </w:r>
      <w:r w:rsidR="006638A8" w:rsidRPr="00E765E1">
        <w:rPr>
          <w:rFonts w:eastAsia="Times New Roman" w:cs="Times New Roman"/>
          <w:szCs w:val="20"/>
          <w:lang w:eastAsia="en-GB"/>
        </w:rPr>
        <w:t>he service provided has not achieved what it should have, or has not been cost effective.  This is an opportunity cost to society in the case of government funded services.</w:t>
      </w:r>
    </w:p>
    <w:p w:rsidR="006638A8" w:rsidRDefault="006638A8" w:rsidP="005B5FC6">
      <w:pPr>
        <w:numPr>
          <w:ilvl w:val="0"/>
          <w:numId w:val="23"/>
        </w:numPr>
        <w:spacing w:after="240" w:line="240" w:lineRule="auto"/>
        <w:ind w:left="567" w:hanging="567"/>
        <w:rPr>
          <w:rFonts w:eastAsia="Times New Roman" w:cs="Times New Roman"/>
          <w:szCs w:val="20"/>
          <w:lang w:eastAsia="en-GB"/>
        </w:rPr>
      </w:pPr>
      <w:r w:rsidRPr="00E765E1">
        <w:rPr>
          <w:rFonts w:eastAsia="Times New Roman" w:cs="Times New Roman"/>
          <w:szCs w:val="20"/>
          <w:lang w:eastAsia="en-GB"/>
        </w:rPr>
        <w:t>Clients are frequently highly vulnerable and often powerless to complain – they generally have little or no choice about who is providing the service, or whether they want to receive the service at all – possibly even being under legal compulsion to accept the service.</w:t>
      </w:r>
    </w:p>
    <w:p w:rsidR="006638A8" w:rsidRPr="0010226B" w:rsidRDefault="006638A8" w:rsidP="005B5FC6">
      <w:pPr>
        <w:numPr>
          <w:ilvl w:val="0"/>
          <w:numId w:val="23"/>
        </w:numPr>
        <w:spacing w:after="240" w:line="240" w:lineRule="auto"/>
        <w:ind w:left="567" w:hanging="567"/>
        <w:rPr>
          <w:rFonts w:eastAsia="Times New Roman" w:cs="Times New Roman"/>
          <w:szCs w:val="20"/>
          <w:lang w:eastAsia="en-GB"/>
        </w:rPr>
      </w:pPr>
      <w:r w:rsidRPr="0010226B">
        <w:rPr>
          <w:rFonts w:eastAsia="Times New Roman" w:cs="Times New Roman"/>
          <w:szCs w:val="20"/>
          <w:lang w:eastAsia="en-GB"/>
        </w:rPr>
        <w:t>Many other jurisdictions including the United Kingdom, Canada, many European countries as well as countries throughout Africa, the Middle East and Asia have chosen to implement some form of social worker registratio</w:t>
      </w:r>
      <w:r w:rsidR="00340B40">
        <w:rPr>
          <w:rFonts w:eastAsia="Times New Roman" w:cs="Times New Roman"/>
          <w:szCs w:val="20"/>
          <w:lang w:eastAsia="en-GB"/>
        </w:rPr>
        <w:t>n</w:t>
      </w:r>
      <w:r w:rsidRPr="0010226B">
        <w:rPr>
          <w:rFonts w:eastAsia="Times New Roman" w:cs="Times New Roman"/>
          <w:szCs w:val="20"/>
          <w:lang w:eastAsia="en-GB"/>
        </w:rPr>
        <w:t xml:space="preserve"> </w:t>
      </w:r>
      <w:r w:rsidRPr="0010226B">
        <w:rPr>
          <w:rFonts w:eastAsia="Times New Roman" w:cs="Times New Roman"/>
          <w:szCs w:val="20"/>
          <w:lang w:eastAsia="en-GB"/>
        </w:rPr>
        <w:fldChar w:fldCharType="begin" w:fldLock="1"/>
      </w:r>
      <w:r w:rsidRPr="0010226B">
        <w:rPr>
          <w:rFonts w:eastAsia="Times New Roman" w:cs="Times New Roman"/>
          <w:szCs w:val="20"/>
          <w:lang w:eastAsia="en-GB"/>
        </w:rPr>
        <w:instrText>ADDIN CSL_CITATION { "citationItems" : [ { "id" : "ITEM-1", "itemData" : { "abstract" : "The Australian Association of Social Workers (AASW) is the professional representative body for Social Workers and the social work profession in Australia, with approximately 8,000 voluntary members nation-wide. The AASW promotes the social work profession, sets the professional standards and regulates the professional conduct of social workers who choose to be members. The National Registration and Accreditation Scheme for health professions has been crucial in enhancing public safety for many vulnerable Australians receiving some health services, and enhancing the professional standards of the practitioners delivering these services. However, it has not succeeded in protecting the hundreds of thousands of vulnerable Australians who access social work services every year. Social Workers are one of the largest allied health professions in Australia, yet the people who use our services are afforded no protections under the National Scheme.", "author" : [ { "dropping-particle" : "", "family" : "Australian Association of Social Workers", "given" : "", "non-dropping-particle" : "", "parse-names" : false, "suffix" : "" } ], "id" : "ITEM-1", "issue" : "October", "issued" : { "date-parts" : [ [ "2014" ] ] }, "note" : "Arguments for professional registration", "number-of-pages" : "1-14", "title" : "AASW Submission to the Review of the National Registration and Accreditation Scheme for health professions", "type" : "report" }, "uris" : [ "http://www.mendeley.com/documents/?uuid=14e77926-4e7c-4063-a5af-cedb0c2f8d04" ] } ], "mendeley" : { "formattedCitation" : "(Australian Association of Social Workers, 2014)", "plainTextFormattedCitation" : "(Australian Association of Social Workers, 2014)" }, "properties" : { "noteIndex" : 0 }, "schema" : "https://github.com/citation-style-language/schema/raw/master/csl-citation.json" }</w:instrText>
      </w:r>
      <w:r w:rsidRPr="0010226B">
        <w:rPr>
          <w:rFonts w:eastAsia="Times New Roman" w:cs="Times New Roman"/>
          <w:szCs w:val="20"/>
          <w:lang w:eastAsia="en-GB"/>
        </w:rPr>
        <w:fldChar w:fldCharType="separate"/>
      </w:r>
      <w:r w:rsidRPr="0010226B">
        <w:rPr>
          <w:rFonts w:eastAsia="Times New Roman" w:cs="Times New Roman"/>
          <w:szCs w:val="20"/>
          <w:lang w:eastAsia="en-GB"/>
        </w:rPr>
        <w:t>(Australian Association of Social Workers, 2014)</w:t>
      </w:r>
      <w:r w:rsidRPr="0010226B">
        <w:rPr>
          <w:rFonts w:eastAsia="Times New Roman" w:cs="Times New Roman"/>
          <w:szCs w:val="20"/>
          <w:lang w:eastAsia="en-GB"/>
        </w:rPr>
        <w:fldChar w:fldCharType="end"/>
      </w:r>
      <w:r w:rsidR="00340B40">
        <w:rPr>
          <w:rFonts w:eastAsia="Times New Roman" w:cs="Times New Roman"/>
          <w:szCs w:val="20"/>
          <w:lang w:eastAsia="en-GB"/>
        </w:rPr>
        <w:t>.</w:t>
      </w:r>
      <w:r w:rsidRPr="0010226B">
        <w:rPr>
          <w:rFonts w:eastAsia="Times New Roman" w:cs="Times New Roman"/>
          <w:szCs w:val="20"/>
          <w:lang w:eastAsia="en-GB"/>
        </w:rPr>
        <w:t xml:space="preserve">  </w:t>
      </w:r>
      <w:r w:rsidRPr="00FC32D3">
        <w:rPr>
          <w:rFonts w:eastAsia="Times New Roman" w:cs="Times New Roman"/>
          <w:szCs w:val="20"/>
          <w:lang w:eastAsia="en-GB"/>
        </w:rPr>
        <w:t>Can</w:t>
      </w:r>
      <w:r w:rsidR="00FC32D3" w:rsidRPr="00FC32D3">
        <w:rPr>
          <w:rFonts w:eastAsia="Times New Roman" w:cs="Times New Roman"/>
          <w:szCs w:val="20"/>
          <w:lang w:eastAsia="en-GB"/>
        </w:rPr>
        <w:t xml:space="preserve">ada, England, Scotland, Iceland, Wales, Northern Ireland, the Republic of Ireland </w:t>
      </w:r>
      <w:r w:rsidRPr="00FC32D3">
        <w:rPr>
          <w:rFonts w:eastAsia="Times New Roman" w:cs="Times New Roman"/>
          <w:szCs w:val="20"/>
          <w:lang w:eastAsia="en-GB"/>
        </w:rPr>
        <w:t>and the majority of states in the United States of America have introduced mandatory social worker registration.</w:t>
      </w:r>
      <w:r w:rsidRPr="0010226B">
        <w:rPr>
          <w:rFonts w:eastAsia="Times New Roman" w:cs="Times New Roman"/>
          <w:szCs w:val="20"/>
          <w:lang w:eastAsia="en-GB"/>
        </w:rPr>
        <w:t xml:space="preserve">  Compulsory registration for people wishing to practise as social workers in England began in April 2003 and made </w:t>
      </w:r>
      <w:r w:rsidR="00DF4203">
        <w:rPr>
          <w:rFonts w:eastAsia="Times New Roman" w:cs="Times New Roman"/>
          <w:szCs w:val="20"/>
          <w:lang w:eastAsia="en-GB"/>
        </w:rPr>
        <w:t>“</w:t>
      </w:r>
      <w:r w:rsidRPr="0010226B">
        <w:rPr>
          <w:rFonts w:eastAsia="Times New Roman" w:cs="Times New Roman"/>
          <w:szCs w:val="20"/>
          <w:lang w:eastAsia="en-GB"/>
        </w:rPr>
        <w:t>social worker</w:t>
      </w:r>
      <w:r w:rsidR="00DF4203">
        <w:rPr>
          <w:rFonts w:eastAsia="Times New Roman" w:cs="Times New Roman"/>
          <w:szCs w:val="20"/>
          <w:lang w:eastAsia="en-GB"/>
        </w:rPr>
        <w:t>”</w:t>
      </w:r>
      <w:r w:rsidRPr="0010226B">
        <w:rPr>
          <w:rFonts w:eastAsia="Times New Roman" w:cs="Times New Roman"/>
          <w:szCs w:val="20"/>
          <w:lang w:eastAsia="en-GB"/>
        </w:rPr>
        <w:t xml:space="preserve"> a protected title.</w:t>
      </w:r>
      <w:r w:rsidR="00CB2AAB">
        <w:rPr>
          <w:rFonts w:eastAsia="Times New Roman" w:cs="Times New Roman"/>
          <w:szCs w:val="20"/>
          <w:lang w:eastAsia="en-GB"/>
        </w:rPr>
        <w:t xml:space="preserve">  </w:t>
      </w:r>
    </w:p>
    <w:p w:rsidR="006638A8" w:rsidRDefault="006638A8" w:rsidP="005B5FC6">
      <w:pPr>
        <w:numPr>
          <w:ilvl w:val="0"/>
          <w:numId w:val="23"/>
        </w:numPr>
        <w:spacing w:after="240" w:line="240" w:lineRule="auto"/>
        <w:ind w:left="567" w:hanging="567"/>
        <w:rPr>
          <w:rFonts w:eastAsia="Times New Roman" w:cs="Times New Roman"/>
          <w:szCs w:val="20"/>
          <w:lang w:eastAsia="en-GB"/>
        </w:rPr>
      </w:pPr>
      <w:r w:rsidRPr="00E765E1">
        <w:rPr>
          <w:rFonts w:eastAsia="Times New Roman" w:cs="Times New Roman"/>
          <w:szCs w:val="20"/>
          <w:lang w:val="en-GB" w:eastAsia="en-GB"/>
        </w:rPr>
        <w:t>In countries where social work is registered, unethical and unsafe social workers can be brought to account and prevented from continuing to practice</w:t>
      </w:r>
      <w:r>
        <w:rPr>
          <w:rFonts w:eastAsia="Times New Roman" w:cs="Times New Roman"/>
          <w:szCs w:val="20"/>
          <w:lang w:val="en-GB" w:eastAsia="en-GB"/>
        </w:rPr>
        <w:t xml:space="preserve">.  Currently, under the voluntary regime, the </w:t>
      </w:r>
      <w:r w:rsidRPr="00E765E1">
        <w:rPr>
          <w:rFonts w:eastAsia="Times New Roman" w:cs="Times New Roman"/>
          <w:szCs w:val="20"/>
          <w:lang w:val="en-GB" w:eastAsia="en-GB"/>
        </w:rPr>
        <w:t>New Zealand public is not offered the same level of protection as social work service users in other countries, or the same level of statutory protection provided by the regulatory</w:t>
      </w:r>
      <w:r>
        <w:rPr>
          <w:rFonts w:eastAsia="Times New Roman" w:cs="Times New Roman"/>
          <w:szCs w:val="20"/>
          <w:lang w:eastAsia="en-GB"/>
        </w:rPr>
        <w:t xml:space="preserve"> regimes applying to similar professions such as nursing or teaching</w:t>
      </w:r>
      <w:r w:rsidRPr="0010226B">
        <w:rPr>
          <w:rFonts w:eastAsia="Times New Roman" w:cs="Times New Roman"/>
          <w:szCs w:val="20"/>
          <w:lang w:eastAsia="en-GB"/>
        </w:rPr>
        <w:t xml:space="preserve">. </w:t>
      </w:r>
      <w:r>
        <w:rPr>
          <w:rFonts w:eastAsia="Times New Roman" w:cs="Times New Roman"/>
          <w:szCs w:val="20"/>
          <w:lang w:eastAsia="en-GB"/>
        </w:rPr>
        <w:t xml:space="preserve"> </w:t>
      </w:r>
    </w:p>
    <w:p w:rsidR="006638A8" w:rsidRPr="00667992" w:rsidRDefault="006638A8" w:rsidP="005B5FC6">
      <w:pPr>
        <w:numPr>
          <w:ilvl w:val="0"/>
          <w:numId w:val="23"/>
        </w:numPr>
        <w:spacing w:after="240" w:line="240" w:lineRule="auto"/>
        <w:ind w:left="567" w:hanging="567"/>
        <w:rPr>
          <w:rFonts w:eastAsia="Times New Roman" w:cs="Times New Roman"/>
          <w:szCs w:val="20"/>
          <w:lang w:eastAsia="en-GB"/>
        </w:rPr>
      </w:pPr>
      <w:r w:rsidRPr="00667992">
        <w:rPr>
          <w:rFonts w:eastAsia="Times New Roman" w:cs="Times New Roman"/>
          <w:szCs w:val="20"/>
          <w:lang w:val="en-GB" w:eastAsia="en-GB"/>
        </w:rPr>
        <w:t xml:space="preserve">A comprehensive system of statutory regulation for all social workers is now needed to ensure consistency of practice and rapid and effective resolution of complaints and disciplinary issues.  This was </w:t>
      </w:r>
      <w:r w:rsidR="00340B40">
        <w:rPr>
          <w:rFonts w:eastAsia="Times New Roman" w:cs="Times New Roman"/>
          <w:szCs w:val="20"/>
          <w:lang w:val="en-GB" w:eastAsia="en-GB"/>
        </w:rPr>
        <w:t xml:space="preserve">the </w:t>
      </w:r>
      <w:r w:rsidRPr="00667992">
        <w:rPr>
          <w:rFonts w:eastAsia="Times New Roman" w:cs="Times New Roman"/>
          <w:szCs w:val="20"/>
          <w:lang w:val="en-GB" w:eastAsia="en-GB"/>
        </w:rPr>
        <w:t xml:space="preserve">conclusion reached by the Select Committee Inquiry, supported by all the major submissions including those of the </w:t>
      </w:r>
      <w:r w:rsidR="001913C7" w:rsidRPr="00177E1D">
        <w:t>Aotearoa New Zealan</w:t>
      </w:r>
      <w:r w:rsidR="001913C7">
        <w:t>d Association of Social Workers,</w:t>
      </w:r>
      <w:r w:rsidRPr="00667992">
        <w:rPr>
          <w:rFonts w:eastAsia="Times New Roman" w:cs="Times New Roman"/>
          <w:szCs w:val="20"/>
          <w:lang w:val="en-GB" w:eastAsia="en-GB"/>
        </w:rPr>
        <w:t xml:space="preserve"> and the Board.  The major government agencies </w:t>
      </w:r>
      <w:r w:rsidR="00CB2909" w:rsidRPr="00667992">
        <w:rPr>
          <w:rFonts w:eastAsia="Times New Roman" w:cs="Times New Roman"/>
          <w:szCs w:val="20"/>
          <w:lang w:val="en-GB" w:eastAsia="en-GB"/>
        </w:rPr>
        <w:t>that</w:t>
      </w:r>
      <w:r w:rsidRPr="00667992">
        <w:rPr>
          <w:rFonts w:eastAsia="Times New Roman" w:cs="Times New Roman"/>
          <w:szCs w:val="20"/>
          <w:lang w:val="en-GB" w:eastAsia="en-GB"/>
        </w:rPr>
        <w:t xml:space="preserve"> employ social workers, either directly or via contracts with NGOs, also support this view.</w:t>
      </w:r>
    </w:p>
    <w:p w:rsidR="006638A8" w:rsidRPr="00DF46A9" w:rsidRDefault="006638A8" w:rsidP="00177E1D">
      <w:pPr>
        <w:spacing w:after="240" w:line="240" w:lineRule="auto"/>
        <w:rPr>
          <w:rFonts w:eastAsia="Times New Roman" w:cs="Times New Roman"/>
          <w:i/>
          <w:szCs w:val="20"/>
          <w:lang w:val="en-GB" w:eastAsia="en-GB"/>
        </w:rPr>
      </w:pPr>
      <w:r w:rsidRPr="00DF46A9">
        <w:rPr>
          <w:rFonts w:eastAsia="Times New Roman" w:cs="Times New Roman"/>
          <w:i/>
          <w:szCs w:val="20"/>
          <w:lang w:val="en-GB" w:eastAsia="en-GB"/>
        </w:rPr>
        <w:t xml:space="preserve">What </w:t>
      </w:r>
      <w:r>
        <w:rPr>
          <w:rFonts w:eastAsia="Times New Roman" w:cs="Times New Roman"/>
          <w:i/>
          <w:szCs w:val="20"/>
          <w:lang w:val="en-GB" w:eastAsia="en-GB"/>
        </w:rPr>
        <w:t>i</w:t>
      </w:r>
      <w:r w:rsidRPr="00DF46A9">
        <w:rPr>
          <w:rFonts w:eastAsia="Times New Roman" w:cs="Times New Roman"/>
          <w:i/>
          <w:szCs w:val="20"/>
          <w:lang w:val="en-GB" w:eastAsia="en-GB"/>
        </w:rPr>
        <w:t>s the nature of the current system in New Zealand?</w:t>
      </w:r>
    </w:p>
    <w:p w:rsidR="006638A8" w:rsidRPr="00E765E1" w:rsidRDefault="006638A8" w:rsidP="005B5FC6">
      <w:pPr>
        <w:numPr>
          <w:ilvl w:val="0"/>
          <w:numId w:val="23"/>
        </w:numPr>
        <w:spacing w:after="240" w:line="240" w:lineRule="auto"/>
        <w:ind w:left="567" w:hanging="567"/>
        <w:rPr>
          <w:rFonts w:eastAsia="Times New Roman" w:cs="Times New Roman"/>
          <w:szCs w:val="20"/>
          <w:lang w:val="en-GB" w:eastAsia="en-GB"/>
        </w:rPr>
      </w:pPr>
      <w:r w:rsidRPr="00E765E1">
        <w:rPr>
          <w:rFonts w:eastAsia="Times New Roman" w:cs="Times New Roman"/>
          <w:szCs w:val="20"/>
          <w:lang w:val="en-GB" w:eastAsia="en-GB"/>
        </w:rPr>
        <w:t xml:space="preserve">The SWR Act establishes a system of voluntary </w:t>
      </w:r>
      <w:r w:rsidR="00DF4203">
        <w:rPr>
          <w:rFonts w:eastAsia="Times New Roman" w:cs="Times New Roman"/>
          <w:szCs w:val="20"/>
          <w:lang w:val="en-GB" w:eastAsia="en-GB"/>
        </w:rPr>
        <w:t>“</w:t>
      </w:r>
      <w:r w:rsidRPr="00E765E1">
        <w:rPr>
          <w:rFonts w:eastAsia="Times New Roman" w:cs="Times New Roman"/>
          <w:szCs w:val="20"/>
          <w:lang w:val="en-GB" w:eastAsia="en-GB"/>
        </w:rPr>
        <w:t>certification</w:t>
      </w:r>
      <w:r w:rsidR="00DF4203">
        <w:rPr>
          <w:rFonts w:eastAsia="Times New Roman" w:cs="Times New Roman"/>
          <w:szCs w:val="20"/>
          <w:lang w:val="en-GB" w:eastAsia="en-GB"/>
        </w:rPr>
        <w:t>”</w:t>
      </w:r>
      <w:r w:rsidRPr="00E765E1">
        <w:rPr>
          <w:rFonts w:eastAsia="Times New Roman" w:cs="Times New Roman"/>
          <w:szCs w:val="20"/>
          <w:lang w:val="en-GB" w:eastAsia="en-GB"/>
        </w:rPr>
        <w:t xml:space="preserve">.  Under this system, individuals can choose to apply to the Board to be registered as social workers.  Only those that successfully meet the statutory criteria (which cover qualifications, assessment of competence, fitness to practice and practical experience) are entitled to be registered and use the title </w:t>
      </w:r>
      <w:r w:rsidR="00DF4203">
        <w:rPr>
          <w:rFonts w:eastAsia="Times New Roman" w:cs="Times New Roman"/>
          <w:szCs w:val="20"/>
          <w:lang w:val="en-GB" w:eastAsia="en-GB"/>
        </w:rPr>
        <w:t>“</w:t>
      </w:r>
      <w:r w:rsidRPr="00E765E1">
        <w:rPr>
          <w:rFonts w:eastAsia="Times New Roman" w:cs="Times New Roman"/>
          <w:szCs w:val="20"/>
          <w:lang w:val="en-GB" w:eastAsia="en-GB"/>
        </w:rPr>
        <w:t>Registered Social Worker</w:t>
      </w:r>
      <w:r w:rsidR="00DF4203">
        <w:rPr>
          <w:rFonts w:eastAsia="Times New Roman" w:cs="Times New Roman"/>
          <w:szCs w:val="20"/>
          <w:lang w:val="en-GB" w:eastAsia="en-GB"/>
        </w:rPr>
        <w:t>”</w:t>
      </w:r>
      <w:r w:rsidRPr="00E765E1">
        <w:rPr>
          <w:rFonts w:eastAsia="Times New Roman" w:cs="Times New Roman"/>
          <w:szCs w:val="20"/>
          <w:lang w:val="en-GB" w:eastAsia="en-GB"/>
        </w:rPr>
        <w:t xml:space="preserve">. </w:t>
      </w:r>
    </w:p>
    <w:p w:rsidR="006638A8" w:rsidRPr="009A1C49" w:rsidRDefault="006638A8" w:rsidP="005B5FC6">
      <w:pPr>
        <w:numPr>
          <w:ilvl w:val="0"/>
          <w:numId w:val="23"/>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The current </w:t>
      </w:r>
      <w:r w:rsidR="00CE1DAF">
        <w:rPr>
          <w:rFonts w:eastAsia="Times New Roman" w:cs="Times New Roman"/>
          <w:szCs w:val="20"/>
          <w:lang w:val="en-GB" w:eastAsia="en-GB"/>
        </w:rPr>
        <w:t xml:space="preserve">voluntary </w:t>
      </w:r>
      <w:r>
        <w:rPr>
          <w:rFonts w:eastAsia="Times New Roman" w:cs="Times New Roman"/>
          <w:szCs w:val="20"/>
          <w:lang w:val="en-GB" w:eastAsia="en-GB"/>
        </w:rPr>
        <w:t xml:space="preserve">certification regime offers a number </w:t>
      </w:r>
      <w:r w:rsidRPr="009A1C49">
        <w:rPr>
          <w:rFonts w:eastAsia="Times New Roman" w:cs="Times New Roman"/>
          <w:szCs w:val="20"/>
          <w:lang w:val="en-GB" w:eastAsia="en-GB"/>
        </w:rPr>
        <w:t xml:space="preserve">of </w:t>
      </w:r>
      <w:r w:rsidR="006E489F" w:rsidRPr="009A1C49">
        <w:rPr>
          <w:rFonts w:eastAsia="Times New Roman" w:cs="Times New Roman"/>
          <w:szCs w:val="20"/>
          <w:lang w:val="en-GB" w:eastAsia="en-GB"/>
        </w:rPr>
        <w:t>features:</w:t>
      </w:r>
      <w:r w:rsidRPr="009A1C49">
        <w:rPr>
          <w:rFonts w:eastAsia="Times New Roman" w:cs="Times New Roman"/>
          <w:szCs w:val="20"/>
          <w:lang w:val="en-GB" w:eastAsia="en-GB"/>
        </w:rPr>
        <w:t xml:space="preserve"> </w:t>
      </w:r>
    </w:p>
    <w:p w:rsidR="006638A8" w:rsidRPr="00E765E1" w:rsidRDefault="00652262" w:rsidP="005B5FC6">
      <w:pPr>
        <w:numPr>
          <w:ilvl w:val="1"/>
          <w:numId w:val="17"/>
        </w:numPr>
        <w:spacing w:before="120" w:line="240" w:lineRule="auto"/>
        <w:ind w:left="1134" w:hanging="425"/>
        <w:rPr>
          <w:rFonts w:eastAsia="Times New Roman" w:cs="Times New Roman"/>
          <w:szCs w:val="20"/>
          <w:lang w:val="en-GB" w:eastAsia="en-GB"/>
        </w:rPr>
      </w:pPr>
      <w:r w:rsidRPr="009A1C49">
        <w:rPr>
          <w:rFonts w:eastAsia="Times New Roman" w:cs="Times New Roman"/>
          <w:szCs w:val="20"/>
          <w:lang w:val="en-GB" w:eastAsia="en-GB"/>
        </w:rPr>
        <w:t>Voluntary c</w:t>
      </w:r>
      <w:r w:rsidR="006638A8" w:rsidRPr="009A1C49">
        <w:rPr>
          <w:rFonts w:eastAsia="Times New Roman" w:cs="Times New Roman"/>
          <w:szCs w:val="20"/>
          <w:lang w:val="en-GB" w:eastAsia="en-GB"/>
        </w:rPr>
        <w:t>ertification and title protection provides assurance to the public and prospective employers that someone who call</w:t>
      </w:r>
      <w:r w:rsidR="00CE1DAF" w:rsidRPr="009A1C49">
        <w:rPr>
          <w:rFonts w:eastAsia="Times New Roman" w:cs="Times New Roman"/>
          <w:szCs w:val="20"/>
          <w:lang w:val="en-GB" w:eastAsia="en-GB"/>
        </w:rPr>
        <w:t>s</w:t>
      </w:r>
      <w:r w:rsidR="006638A8" w:rsidRPr="009A1C49">
        <w:rPr>
          <w:rFonts w:eastAsia="Times New Roman" w:cs="Times New Roman"/>
          <w:szCs w:val="20"/>
          <w:lang w:val="en-GB" w:eastAsia="en-GB"/>
        </w:rPr>
        <w:t xml:space="preserve"> themselves a </w:t>
      </w:r>
      <w:r w:rsidR="00DF4203">
        <w:rPr>
          <w:rFonts w:eastAsia="Times New Roman" w:cs="Times New Roman"/>
          <w:szCs w:val="20"/>
          <w:lang w:val="en-GB" w:eastAsia="en-GB"/>
        </w:rPr>
        <w:t>“</w:t>
      </w:r>
      <w:r w:rsidR="006638A8" w:rsidRPr="009A1C49">
        <w:rPr>
          <w:rFonts w:eastAsia="Times New Roman" w:cs="Times New Roman"/>
          <w:szCs w:val="20"/>
          <w:lang w:val="en-GB" w:eastAsia="en-GB"/>
        </w:rPr>
        <w:t>registered</w:t>
      </w:r>
      <w:r w:rsidR="00DF4203">
        <w:rPr>
          <w:rFonts w:eastAsia="Times New Roman" w:cs="Times New Roman"/>
          <w:szCs w:val="20"/>
          <w:lang w:val="en-GB" w:eastAsia="en-GB"/>
        </w:rPr>
        <w:t>”</w:t>
      </w:r>
      <w:r w:rsidR="006638A8" w:rsidRPr="009A1C49">
        <w:rPr>
          <w:rFonts w:eastAsia="Times New Roman" w:cs="Times New Roman"/>
          <w:szCs w:val="20"/>
          <w:lang w:val="en-GB" w:eastAsia="en-GB"/>
        </w:rPr>
        <w:t xml:space="preserve"> social worker has meet certain standards of skills, knowledge and experience</w:t>
      </w:r>
      <w:r w:rsidR="006638A8" w:rsidRPr="00E765E1">
        <w:rPr>
          <w:rFonts w:eastAsia="Times New Roman" w:cs="Times New Roman"/>
          <w:szCs w:val="20"/>
          <w:lang w:val="en-GB" w:eastAsia="en-GB"/>
        </w:rPr>
        <w:t xml:space="preserve"> and </w:t>
      </w:r>
      <w:r w:rsidR="006638A8">
        <w:rPr>
          <w:rFonts w:eastAsia="Times New Roman" w:cs="Times New Roman"/>
          <w:szCs w:val="20"/>
          <w:lang w:val="en-GB" w:eastAsia="en-GB"/>
        </w:rPr>
        <w:t>is</w:t>
      </w:r>
      <w:r w:rsidR="006638A8" w:rsidRPr="00E765E1">
        <w:rPr>
          <w:rFonts w:eastAsia="Times New Roman" w:cs="Times New Roman"/>
          <w:szCs w:val="20"/>
          <w:lang w:val="en-GB" w:eastAsia="en-GB"/>
        </w:rPr>
        <w:t xml:space="preserve"> subject to on-going professional disciplines (</w:t>
      </w:r>
      <w:r w:rsidR="00340B40">
        <w:rPr>
          <w:rFonts w:eastAsia="Times New Roman" w:cs="Times New Roman"/>
          <w:szCs w:val="20"/>
          <w:lang w:val="en-GB" w:eastAsia="en-GB"/>
        </w:rPr>
        <w:t>a</w:t>
      </w:r>
      <w:r w:rsidR="006638A8">
        <w:rPr>
          <w:rFonts w:eastAsia="Times New Roman" w:cs="Times New Roman"/>
          <w:szCs w:val="20"/>
          <w:lang w:val="en-GB" w:eastAsia="en-GB"/>
        </w:rPr>
        <w:t xml:space="preserve">nnual </w:t>
      </w:r>
      <w:r w:rsidR="00340B40">
        <w:rPr>
          <w:rFonts w:eastAsia="Times New Roman" w:cs="Times New Roman"/>
          <w:szCs w:val="20"/>
          <w:lang w:val="en-GB" w:eastAsia="en-GB"/>
        </w:rPr>
        <w:t>p</w:t>
      </w:r>
      <w:r w:rsidR="006638A8">
        <w:rPr>
          <w:rFonts w:eastAsia="Times New Roman" w:cs="Times New Roman"/>
          <w:szCs w:val="20"/>
          <w:lang w:val="en-GB" w:eastAsia="en-GB"/>
        </w:rPr>
        <w:t xml:space="preserve">racticing </w:t>
      </w:r>
      <w:r w:rsidR="00340B40">
        <w:rPr>
          <w:rFonts w:eastAsia="Times New Roman" w:cs="Times New Roman"/>
          <w:szCs w:val="20"/>
          <w:lang w:val="en-GB" w:eastAsia="en-GB"/>
        </w:rPr>
        <w:t>c</w:t>
      </w:r>
      <w:r w:rsidR="006638A8">
        <w:rPr>
          <w:rFonts w:eastAsia="Times New Roman" w:cs="Times New Roman"/>
          <w:szCs w:val="20"/>
          <w:lang w:val="en-GB" w:eastAsia="en-GB"/>
        </w:rPr>
        <w:t>ertification</w:t>
      </w:r>
      <w:r w:rsidR="006638A8" w:rsidRPr="00E765E1">
        <w:rPr>
          <w:rFonts w:eastAsia="Times New Roman" w:cs="Times New Roman"/>
          <w:szCs w:val="20"/>
          <w:lang w:val="en-GB" w:eastAsia="en-GB"/>
        </w:rPr>
        <w:t xml:space="preserve"> and complaints processes). </w:t>
      </w:r>
    </w:p>
    <w:p w:rsidR="006638A8" w:rsidRPr="00E765E1" w:rsidRDefault="00652262"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Voluntary c</w:t>
      </w:r>
      <w:r w:rsidR="00CB2AAB">
        <w:rPr>
          <w:rFonts w:eastAsia="Times New Roman" w:cs="Times New Roman"/>
          <w:szCs w:val="20"/>
          <w:lang w:val="en-GB" w:eastAsia="en-GB"/>
        </w:rPr>
        <w:t>ertification</w:t>
      </w:r>
      <w:r w:rsidR="006638A8" w:rsidRPr="00E765E1">
        <w:rPr>
          <w:rFonts w:eastAsia="Times New Roman" w:cs="Times New Roman"/>
          <w:szCs w:val="20"/>
          <w:lang w:val="en-GB" w:eastAsia="en-GB"/>
        </w:rPr>
        <w:t xml:space="preserve"> provide</w:t>
      </w:r>
      <w:r w:rsidR="006638A8">
        <w:rPr>
          <w:rFonts w:eastAsia="Times New Roman" w:cs="Times New Roman"/>
          <w:szCs w:val="20"/>
          <w:lang w:val="en-GB" w:eastAsia="en-GB"/>
        </w:rPr>
        <w:t>s</w:t>
      </w:r>
      <w:r w:rsidR="006638A8" w:rsidRPr="00E765E1">
        <w:rPr>
          <w:rFonts w:eastAsia="Times New Roman" w:cs="Times New Roman"/>
          <w:szCs w:val="20"/>
          <w:lang w:val="en-GB" w:eastAsia="en-GB"/>
        </w:rPr>
        <w:t xml:space="preserve"> smaller employers (NGOs) quality assurance of skills that are otherwise hard to assess, including on-going quality assurance </w:t>
      </w:r>
      <w:r w:rsidR="006638A8">
        <w:rPr>
          <w:rFonts w:eastAsia="Times New Roman" w:cs="Times New Roman"/>
          <w:szCs w:val="20"/>
          <w:lang w:val="en-GB" w:eastAsia="en-GB"/>
        </w:rPr>
        <w:t xml:space="preserve">from the annual practicing certificate process, and </w:t>
      </w:r>
      <w:r w:rsidR="006638A8" w:rsidRPr="00E765E1">
        <w:rPr>
          <w:rFonts w:eastAsia="Times New Roman" w:cs="Times New Roman"/>
          <w:szCs w:val="20"/>
          <w:lang w:val="en-GB" w:eastAsia="en-GB"/>
        </w:rPr>
        <w:t xml:space="preserve">complaints </w:t>
      </w:r>
      <w:r w:rsidR="006638A8">
        <w:rPr>
          <w:rFonts w:eastAsia="Times New Roman" w:cs="Times New Roman"/>
          <w:szCs w:val="20"/>
          <w:lang w:val="en-GB" w:eastAsia="en-GB"/>
        </w:rPr>
        <w:t xml:space="preserve">and disciplinary </w:t>
      </w:r>
      <w:r w:rsidR="006638A8" w:rsidRPr="00E765E1">
        <w:rPr>
          <w:rFonts w:eastAsia="Times New Roman" w:cs="Times New Roman"/>
          <w:szCs w:val="20"/>
          <w:lang w:val="en-GB" w:eastAsia="en-GB"/>
        </w:rPr>
        <w:t>process</w:t>
      </w:r>
      <w:r w:rsidR="006638A8">
        <w:rPr>
          <w:rFonts w:eastAsia="Times New Roman" w:cs="Times New Roman"/>
          <w:szCs w:val="20"/>
          <w:lang w:val="en-GB" w:eastAsia="en-GB"/>
        </w:rPr>
        <w:t>es</w:t>
      </w:r>
      <w:r w:rsidR="006638A8" w:rsidRPr="00E765E1">
        <w:rPr>
          <w:rFonts w:eastAsia="Times New Roman" w:cs="Times New Roman"/>
          <w:szCs w:val="20"/>
          <w:lang w:val="en-GB" w:eastAsia="en-GB"/>
        </w:rPr>
        <w:t>.</w:t>
      </w:r>
    </w:p>
    <w:p w:rsidR="006638A8" w:rsidRPr="00E765E1" w:rsidRDefault="006638A8" w:rsidP="005B5FC6">
      <w:pPr>
        <w:numPr>
          <w:ilvl w:val="1"/>
          <w:numId w:val="17"/>
        </w:numPr>
        <w:spacing w:before="120" w:line="240" w:lineRule="auto"/>
        <w:ind w:left="1134" w:hanging="425"/>
        <w:rPr>
          <w:rFonts w:eastAsia="Times New Roman" w:cs="Times New Roman"/>
          <w:szCs w:val="20"/>
          <w:lang w:val="en-GB" w:eastAsia="en-GB"/>
        </w:rPr>
      </w:pPr>
      <w:r w:rsidRPr="00E765E1">
        <w:rPr>
          <w:rFonts w:eastAsia="Times New Roman" w:cs="Times New Roman"/>
          <w:szCs w:val="20"/>
          <w:lang w:val="en-GB" w:eastAsia="en-GB"/>
        </w:rPr>
        <w:lastRenderedPageBreak/>
        <w:t>Government is the predominant employer and funder of social work services and can therefore influence quality and safety issues directly.  However Government agencies as employers have to manage scar</w:t>
      </w:r>
      <w:r w:rsidR="00CB2AAB">
        <w:rPr>
          <w:rFonts w:eastAsia="Times New Roman" w:cs="Times New Roman"/>
          <w:szCs w:val="20"/>
          <w:lang w:val="en-GB" w:eastAsia="en-GB"/>
        </w:rPr>
        <w:t>c</w:t>
      </w:r>
      <w:r w:rsidRPr="00E765E1">
        <w:rPr>
          <w:rFonts w:eastAsia="Times New Roman" w:cs="Times New Roman"/>
          <w:szCs w:val="20"/>
          <w:lang w:val="en-GB" w:eastAsia="en-GB"/>
        </w:rPr>
        <w:t xml:space="preserve">e resources, so having a </w:t>
      </w:r>
      <w:r w:rsidR="00CB2AAB">
        <w:rPr>
          <w:rFonts w:eastAsia="Times New Roman" w:cs="Times New Roman"/>
          <w:szCs w:val="20"/>
          <w:lang w:val="en-GB" w:eastAsia="en-GB"/>
        </w:rPr>
        <w:t>regulatory authority</w:t>
      </w:r>
      <w:r w:rsidRPr="00E765E1">
        <w:rPr>
          <w:rFonts w:eastAsia="Times New Roman" w:cs="Times New Roman"/>
          <w:szCs w:val="20"/>
          <w:lang w:val="en-GB" w:eastAsia="en-GB"/>
        </w:rPr>
        <w:t xml:space="preserve"> as an independent accountability mechanism helps ensure that the right trade-offs are being made.</w:t>
      </w:r>
    </w:p>
    <w:p w:rsidR="006638A8" w:rsidRPr="00E765E1" w:rsidRDefault="006638A8" w:rsidP="005B5FC6">
      <w:pPr>
        <w:numPr>
          <w:ilvl w:val="1"/>
          <w:numId w:val="17"/>
        </w:numPr>
        <w:spacing w:before="120" w:line="240" w:lineRule="auto"/>
        <w:ind w:left="1134" w:hanging="425"/>
        <w:rPr>
          <w:rFonts w:eastAsia="Times New Roman" w:cs="Times New Roman"/>
          <w:szCs w:val="20"/>
          <w:lang w:val="en-GB" w:eastAsia="en-GB"/>
        </w:rPr>
      </w:pPr>
      <w:r w:rsidRPr="00E765E1">
        <w:rPr>
          <w:rFonts w:eastAsia="Times New Roman" w:cs="Times New Roman"/>
          <w:szCs w:val="20"/>
          <w:lang w:val="en-GB" w:eastAsia="en-GB"/>
        </w:rPr>
        <w:t xml:space="preserve">Further, a distinct </w:t>
      </w:r>
      <w:r w:rsidR="00CB2AAB">
        <w:rPr>
          <w:rFonts w:eastAsia="Times New Roman" w:cs="Times New Roman"/>
          <w:szCs w:val="20"/>
          <w:lang w:val="en-GB" w:eastAsia="en-GB"/>
        </w:rPr>
        <w:t>regulatory authority</w:t>
      </w:r>
      <w:r w:rsidR="00CB2AAB" w:rsidRPr="00E765E1">
        <w:rPr>
          <w:rFonts w:eastAsia="Times New Roman" w:cs="Times New Roman"/>
          <w:szCs w:val="20"/>
          <w:lang w:val="en-GB" w:eastAsia="en-GB"/>
        </w:rPr>
        <w:t xml:space="preserve"> </w:t>
      </w:r>
      <w:r w:rsidRPr="00E765E1">
        <w:rPr>
          <w:rFonts w:eastAsia="Times New Roman" w:cs="Times New Roman"/>
          <w:szCs w:val="20"/>
          <w:lang w:val="en-GB" w:eastAsia="en-GB"/>
        </w:rPr>
        <w:t xml:space="preserve">can provide a complaints process independent of the employer, who may have a conflict of interest in assessing complaints about its staff.  </w:t>
      </w:r>
      <w:r>
        <w:rPr>
          <w:rFonts w:eastAsia="Times New Roman" w:cs="Times New Roman"/>
          <w:szCs w:val="20"/>
          <w:lang w:val="en-GB" w:eastAsia="en-GB"/>
        </w:rPr>
        <w:t xml:space="preserve">This is a useful safeguard for the public in a situation where </w:t>
      </w:r>
      <w:r w:rsidR="00CB2AAB">
        <w:rPr>
          <w:rFonts w:eastAsia="Times New Roman" w:cs="Times New Roman"/>
          <w:szCs w:val="20"/>
          <w:lang w:val="en-GB" w:eastAsia="en-GB"/>
        </w:rPr>
        <w:t>government is the</w:t>
      </w:r>
      <w:r>
        <w:rPr>
          <w:rFonts w:eastAsia="Times New Roman" w:cs="Times New Roman"/>
          <w:szCs w:val="20"/>
          <w:lang w:val="en-GB" w:eastAsia="en-GB"/>
        </w:rPr>
        <w:t xml:space="preserve"> dominant employer.</w:t>
      </w:r>
    </w:p>
    <w:p w:rsidR="006638A8" w:rsidRDefault="006638A8" w:rsidP="005B5FC6">
      <w:pPr>
        <w:numPr>
          <w:ilvl w:val="1"/>
          <w:numId w:val="17"/>
        </w:numPr>
        <w:spacing w:before="120" w:line="240" w:lineRule="auto"/>
        <w:ind w:left="1134" w:hanging="425"/>
        <w:rPr>
          <w:rFonts w:eastAsia="Times New Roman" w:cs="Times New Roman"/>
          <w:szCs w:val="20"/>
          <w:lang w:val="en-GB" w:eastAsia="en-GB"/>
        </w:rPr>
      </w:pPr>
      <w:r w:rsidRPr="00E765E1">
        <w:rPr>
          <w:rFonts w:eastAsia="Times New Roman" w:cs="Times New Roman"/>
          <w:szCs w:val="20"/>
          <w:lang w:val="en-GB" w:eastAsia="en-GB"/>
        </w:rPr>
        <w:t xml:space="preserve">Registration supports practitioners who must exercise professional autonomy and judgement in their work.  The ready uptake of registration amongst social workers in the New Zealand health sector, where professional registration for occupations are widely required and valued, illustrates this. </w:t>
      </w:r>
    </w:p>
    <w:p w:rsidR="006638A8" w:rsidRPr="00853809" w:rsidRDefault="006638A8" w:rsidP="005B5FC6">
      <w:pPr>
        <w:numPr>
          <w:ilvl w:val="0"/>
          <w:numId w:val="23"/>
        </w:numPr>
        <w:spacing w:after="240" w:line="240" w:lineRule="auto"/>
        <w:ind w:left="567" w:hanging="567"/>
        <w:rPr>
          <w:rFonts w:eastAsia="Times New Roman" w:cs="Times New Roman"/>
          <w:szCs w:val="20"/>
          <w:lang w:val="en-GB" w:eastAsia="en-GB"/>
        </w:rPr>
      </w:pPr>
      <w:r w:rsidRPr="00853809">
        <w:rPr>
          <w:rFonts w:eastAsia="Times New Roman" w:cs="Times New Roman"/>
          <w:szCs w:val="20"/>
          <w:lang w:val="en-GB" w:eastAsia="en-GB"/>
        </w:rPr>
        <w:t xml:space="preserve">Making this system mandatory was considered when the SWR Act was being developed in 2003 but, given the proportion of practicing social workers at that time who would not have met the requirements, a system of voluntary registration was instituted.  This </w:t>
      </w:r>
      <w:r>
        <w:rPr>
          <w:rFonts w:eastAsia="Times New Roman" w:cs="Times New Roman"/>
          <w:szCs w:val="20"/>
          <w:lang w:val="en-GB" w:eastAsia="en-GB"/>
        </w:rPr>
        <w:t xml:space="preserve">voluntary </w:t>
      </w:r>
      <w:r w:rsidRPr="00853809">
        <w:rPr>
          <w:rFonts w:eastAsia="Times New Roman" w:cs="Times New Roman"/>
          <w:szCs w:val="20"/>
          <w:lang w:val="en-GB" w:eastAsia="en-GB"/>
        </w:rPr>
        <w:t xml:space="preserve">approach allowed for the social work sector to adapt gradually to increased standards over time.  The number of training places increased, and agencies supported their existing staff to gain qualifications.  </w:t>
      </w:r>
      <w:r>
        <w:rPr>
          <w:rFonts w:eastAsia="Times New Roman" w:cs="Times New Roman"/>
          <w:szCs w:val="20"/>
          <w:lang w:val="en-GB" w:eastAsia="en-GB"/>
        </w:rPr>
        <w:t>R</w:t>
      </w:r>
      <w:r w:rsidRPr="00853809">
        <w:rPr>
          <w:rFonts w:eastAsia="Times New Roman" w:cs="Times New Roman"/>
          <w:szCs w:val="20"/>
          <w:lang w:val="en-GB" w:eastAsia="en-GB"/>
        </w:rPr>
        <w:t>egistration is substantially encouraged by employment requirements, especially in the government sector</w:t>
      </w:r>
      <w:r w:rsidR="00CB2AAB">
        <w:rPr>
          <w:rFonts w:eastAsia="Times New Roman" w:cs="Times New Roman"/>
          <w:szCs w:val="20"/>
          <w:lang w:val="en-GB" w:eastAsia="en-GB"/>
        </w:rPr>
        <w:t xml:space="preserve"> and by major NGO employers</w:t>
      </w:r>
      <w:r w:rsidRPr="00853809">
        <w:rPr>
          <w:rFonts w:eastAsia="Times New Roman" w:cs="Times New Roman"/>
          <w:szCs w:val="20"/>
          <w:lang w:val="en-GB" w:eastAsia="en-GB"/>
        </w:rPr>
        <w:t xml:space="preserve">. </w:t>
      </w:r>
    </w:p>
    <w:p w:rsidR="006638A8" w:rsidRPr="002A5D5B" w:rsidRDefault="006638A8" w:rsidP="00177E1D">
      <w:pPr>
        <w:spacing w:after="240" w:line="240" w:lineRule="auto"/>
        <w:rPr>
          <w:rFonts w:eastAsia="Times New Roman" w:cs="Times New Roman"/>
          <w:i/>
          <w:szCs w:val="20"/>
          <w:lang w:val="en-GB" w:eastAsia="en-GB"/>
        </w:rPr>
      </w:pPr>
      <w:r w:rsidRPr="002A5D5B">
        <w:rPr>
          <w:rFonts w:eastAsia="Times New Roman" w:cs="Times New Roman"/>
          <w:i/>
          <w:szCs w:val="20"/>
          <w:lang w:val="en-GB" w:eastAsia="en-GB"/>
        </w:rPr>
        <w:t>What effect has the current system of voluntary registration had</w:t>
      </w:r>
      <w:r>
        <w:rPr>
          <w:rFonts w:eastAsia="Times New Roman" w:cs="Times New Roman"/>
          <w:i/>
          <w:szCs w:val="20"/>
          <w:lang w:val="en-GB" w:eastAsia="en-GB"/>
        </w:rPr>
        <w:t xml:space="preserve"> in New Zealand</w:t>
      </w:r>
      <w:r w:rsidRPr="002A5D5B">
        <w:rPr>
          <w:rFonts w:eastAsia="Times New Roman" w:cs="Times New Roman"/>
          <w:i/>
          <w:szCs w:val="20"/>
          <w:lang w:val="en-GB" w:eastAsia="en-GB"/>
        </w:rPr>
        <w:t>?</w:t>
      </w:r>
    </w:p>
    <w:p w:rsidR="00617D20" w:rsidRDefault="006638A8" w:rsidP="005B5FC6">
      <w:pPr>
        <w:numPr>
          <w:ilvl w:val="0"/>
          <w:numId w:val="23"/>
        </w:numPr>
        <w:spacing w:after="240" w:line="240" w:lineRule="auto"/>
        <w:ind w:left="567" w:hanging="567"/>
        <w:rPr>
          <w:rFonts w:eastAsia="Times New Roman" w:cs="Times New Roman"/>
          <w:szCs w:val="20"/>
          <w:lang w:val="en-GB" w:eastAsia="en-GB"/>
        </w:rPr>
      </w:pPr>
      <w:r w:rsidRPr="00E765E1">
        <w:rPr>
          <w:rFonts w:eastAsia="Times New Roman" w:cs="Times New Roman"/>
          <w:szCs w:val="20"/>
          <w:lang w:val="en-GB" w:eastAsia="en-GB"/>
        </w:rPr>
        <w:t xml:space="preserve">In 2000, it was estimated approximately 80% of social workers would not be </w:t>
      </w:r>
      <w:r w:rsidR="005E562D">
        <w:rPr>
          <w:rFonts w:eastAsia="Times New Roman" w:cs="Times New Roman"/>
          <w:szCs w:val="20"/>
          <w:lang w:val="en-GB" w:eastAsia="en-GB"/>
        </w:rPr>
        <w:t>registrable</w:t>
      </w:r>
      <w:r w:rsidRPr="00E765E1">
        <w:rPr>
          <w:rFonts w:eastAsia="Times New Roman" w:cs="Times New Roman"/>
          <w:szCs w:val="20"/>
          <w:lang w:val="en-GB" w:eastAsia="en-GB"/>
        </w:rPr>
        <w:t xml:space="preserve"> (</w:t>
      </w:r>
      <w:r w:rsidR="00340B40">
        <w:rPr>
          <w:rFonts w:eastAsia="Times New Roman" w:cs="Times New Roman"/>
          <w:szCs w:val="20"/>
          <w:lang w:val="en-GB" w:eastAsia="en-GB"/>
        </w:rPr>
        <w:t>ie</w:t>
      </w:r>
      <w:r w:rsidRPr="00E765E1">
        <w:rPr>
          <w:rFonts w:eastAsia="Times New Roman" w:cs="Times New Roman"/>
          <w:szCs w:val="20"/>
          <w:lang w:val="en-GB" w:eastAsia="en-GB"/>
        </w:rPr>
        <w:t xml:space="preserve"> hold social work qualifications or have otherwise been formally assessed as competent).</w:t>
      </w:r>
      <w:r>
        <w:rPr>
          <w:rStyle w:val="FootnoteReference"/>
          <w:rFonts w:eastAsia="Times New Roman" w:cs="Times New Roman"/>
          <w:szCs w:val="20"/>
          <w:lang w:val="en-GB" w:eastAsia="en-GB"/>
        </w:rPr>
        <w:footnoteReference w:id="16"/>
      </w:r>
      <w:r w:rsidRPr="00E765E1">
        <w:rPr>
          <w:rFonts w:eastAsia="Times New Roman" w:cs="Times New Roman"/>
          <w:szCs w:val="20"/>
          <w:lang w:val="en-GB" w:eastAsia="en-GB"/>
        </w:rPr>
        <w:t xml:space="preserve">  </w:t>
      </w:r>
      <w:r w:rsidR="00340B40">
        <w:rPr>
          <w:rFonts w:eastAsia="Times New Roman" w:cs="Times New Roman"/>
          <w:szCs w:val="20"/>
          <w:lang w:val="en-GB" w:eastAsia="en-GB"/>
        </w:rPr>
        <w:t>Sixteen</w:t>
      </w:r>
      <w:r w:rsidRPr="00E765E1">
        <w:rPr>
          <w:rFonts w:eastAsia="Times New Roman" w:cs="Times New Roman"/>
          <w:szCs w:val="20"/>
          <w:lang w:val="en-GB" w:eastAsia="en-GB"/>
        </w:rPr>
        <w:t xml:space="preserve"> years later, an estimat</w:t>
      </w:r>
      <w:r w:rsidR="00340B40">
        <w:rPr>
          <w:rFonts w:eastAsia="Times New Roman" w:cs="Times New Roman"/>
          <w:szCs w:val="20"/>
          <w:lang w:val="en-GB" w:eastAsia="en-GB"/>
        </w:rPr>
        <w:t>ed 75% of the profession have m</w:t>
      </w:r>
      <w:r w:rsidRPr="00E765E1">
        <w:rPr>
          <w:rFonts w:eastAsia="Times New Roman" w:cs="Times New Roman"/>
          <w:szCs w:val="20"/>
          <w:lang w:val="en-GB" w:eastAsia="en-GB"/>
        </w:rPr>
        <w:t xml:space="preserve">et that standard and are now registered.  Estimates are that 2,000 social workers remain outside the system, but a majority of them are thought to be able to be </w:t>
      </w:r>
      <w:r w:rsidR="005E562D">
        <w:rPr>
          <w:rFonts w:eastAsia="Times New Roman" w:cs="Times New Roman"/>
          <w:szCs w:val="20"/>
          <w:lang w:val="en-GB" w:eastAsia="en-GB"/>
        </w:rPr>
        <w:t>regist</w:t>
      </w:r>
      <w:r w:rsidR="00340B40">
        <w:rPr>
          <w:rFonts w:eastAsia="Times New Roman" w:cs="Times New Roman"/>
          <w:szCs w:val="20"/>
          <w:lang w:val="en-GB" w:eastAsia="en-GB"/>
        </w:rPr>
        <w:t>ered</w:t>
      </w:r>
      <w:r w:rsidRPr="00E765E1">
        <w:rPr>
          <w:rFonts w:eastAsia="Times New Roman" w:cs="Times New Roman"/>
          <w:szCs w:val="20"/>
          <w:lang w:val="en-GB" w:eastAsia="en-GB"/>
        </w:rPr>
        <w:t xml:space="preserve">.  So a number of initiatives, including the significant efforts of the Board, have brought about a dramatic increase in the proportion of social workers who have formal qualifications, and can be expected to have a better base of social work skills and knowledge. </w:t>
      </w:r>
    </w:p>
    <w:p w:rsidR="006638A8" w:rsidRDefault="00617D20" w:rsidP="005B5FC6">
      <w:pPr>
        <w:numPr>
          <w:ilvl w:val="0"/>
          <w:numId w:val="23"/>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Ascer</w:t>
      </w:r>
      <w:r w:rsidR="00340B40">
        <w:rPr>
          <w:rFonts w:eastAsia="Times New Roman" w:cs="Times New Roman"/>
          <w:szCs w:val="20"/>
          <w:lang w:val="en-GB" w:eastAsia="en-GB"/>
        </w:rPr>
        <w:t>taining what benefits have arisen</w:t>
      </w:r>
      <w:r>
        <w:rPr>
          <w:rFonts w:eastAsia="Times New Roman" w:cs="Times New Roman"/>
          <w:szCs w:val="20"/>
          <w:lang w:val="en-GB" w:eastAsia="en-GB"/>
        </w:rPr>
        <w:t xml:space="preserve"> from the increasing proportion of registered social workers is challenging as many social workers continue to practice outside of the system and we have limited knowledge of what they are doing.  It is therefore not possible to properly compare registered versus unregistered social workers (see also the discussion of complaints below).  </w:t>
      </w:r>
    </w:p>
    <w:p w:rsidR="00617D20" w:rsidRDefault="00617D20" w:rsidP="005B5FC6">
      <w:pPr>
        <w:numPr>
          <w:ilvl w:val="0"/>
          <w:numId w:val="23"/>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A further difficulty in assessing the impact of the voluntary regime arises from</w:t>
      </w:r>
      <w:r w:rsidRPr="00E765E1">
        <w:rPr>
          <w:rFonts w:eastAsia="Times New Roman" w:cs="Times New Roman"/>
          <w:szCs w:val="20"/>
          <w:lang w:val="en-GB" w:eastAsia="en-GB"/>
        </w:rPr>
        <w:t xml:space="preserve"> </w:t>
      </w:r>
      <w:r>
        <w:rPr>
          <w:rFonts w:eastAsia="Times New Roman" w:cs="Times New Roman"/>
          <w:szCs w:val="20"/>
          <w:lang w:val="en-GB" w:eastAsia="en-GB"/>
        </w:rPr>
        <w:t>the many</w:t>
      </w:r>
      <w:r w:rsidRPr="00E765E1">
        <w:rPr>
          <w:rFonts w:eastAsia="Times New Roman" w:cs="Times New Roman"/>
          <w:szCs w:val="20"/>
          <w:lang w:val="en-GB" w:eastAsia="en-GB"/>
        </w:rPr>
        <w:t xml:space="preserve"> policy and resourcing changes in the sectors in which social workers operate</w:t>
      </w:r>
      <w:r w:rsidRPr="00162AF3">
        <w:rPr>
          <w:rFonts w:eastAsia="Times New Roman" w:cs="Times New Roman"/>
          <w:szCs w:val="20"/>
          <w:lang w:val="en-GB" w:eastAsia="en-GB"/>
        </w:rPr>
        <w:t xml:space="preserve"> </w:t>
      </w:r>
      <w:r>
        <w:rPr>
          <w:rFonts w:eastAsia="Times New Roman" w:cs="Times New Roman"/>
          <w:szCs w:val="20"/>
          <w:lang w:val="en-GB" w:eastAsia="en-GB"/>
        </w:rPr>
        <w:t xml:space="preserve">since 2003. </w:t>
      </w:r>
      <w:r w:rsidRPr="00E765E1">
        <w:rPr>
          <w:rFonts w:eastAsia="Times New Roman" w:cs="Times New Roman"/>
          <w:szCs w:val="20"/>
          <w:lang w:val="en-GB" w:eastAsia="en-GB"/>
        </w:rPr>
        <w:t xml:space="preserve"> </w:t>
      </w:r>
      <w:r>
        <w:rPr>
          <w:rFonts w:eastAsia="Times New Roman" w:cs="Times New Roman"/>
          <w:szCs w:val="20"/>
          <w:lang w:val="en-GB" w:eastAsia="en-GB"/>
        </w:rPr>
        <w:t>F</w:t>
      </w:r>
      <w:r w:rsidRPr="00E765E1">
        <w:rPr>
          <w:rFonts w:eastAsia="Times New Roman" w:cs="Times New Roman"/>
          <w:szCs w:val="20"/>
          <w:lang w:val="en-GB" w:eastAsia="en-GB"/>
        </w:rPr>
        <w:t>or example, justice sector responses to family violence and community based approaches to mental health needs.  And beyond this, changes in the social and economic environment</w:t>
      </w:r>
      <w:r>
        <w:rPr>
          <w:rFonts w:eastAsia="Times New Roman" w:cs="Times New Roman"/>
          <w:szCs w:val="20"/>
          <w:lang w:val="en-GB" w:eastAsia="en-GB"/>
        </w:rPr>
        <w:t>,</w:t>
      </w:r>
      <w:r w:rsidRPr="00E765E1">
        <w:rPr>
          <w:rFonts w:eastAsia="Times New Roman" w:cs="Times New Roman"/>
          <w:szCs w:val="20"/>
          <w:lang w:val="en-GB" w:eastAsia="en-GB"/>
        </w:rPr>
        <w:t xml:space="preserve"> such as housing need and availability of employment</w:t>
      </w:r>
      <w:r>
        <w:rPr>
          <w:rFonts w:eastAsia="Times New Roman" w:cs="Times New Roman"/>
          <w:szCs w:val="20"/>
          <w:lang w:val="en-GB" w:eastAsia="en-GB"/>
        </w:rPr>
        <w:t>,</w:t>
      </w:r>
      <w:r w:rsidRPr="00E765E1">
        <w:rPr>
          <w:rFonts w:eastAsia="Times New Roman" w:cs="Times New Roman"/>
          <w:szCs w:val="20"/>
          <w:lang w:val="en-GB" w:eastAsia="en-GB"/>
        </w:rPr>
        <w:t xml:space="preserve"> affect families and communities and, in turn, what is demanded and what can be expected from social workers. </w:t>
      </w:r>
    </w:p>
    <w:p w:rsidR="002A3937" w:rsidRDefault="002A3937">
      <w:pPr>
        <w:spacing w:after="0" w:line="240" w:lineRule="auto"/>
        <w:rPr>
          <w:rFonts w:eastAsia="Times New Roman" w:cs="Times New Roman"/>
          <w:szCs w:val="20"/>
          <w:lang w:val="en-GB" w:eastAsia="en-GB"/>
        </w:rPr>
      </w:pPr>
      <w:r>
        <w:rPr>
          <w:rFonts w:eastAsia="Times New Roman" w:cs="Times New Roman"/>
          <w:szCs w:val="20"/>
          <w:lang w:val="en-GB" w:eastAsia="en-GB"/>
        </w:rPr>
        <w:br w:type="page"/>
      </w:r>
    </w:p>
    <w:p w:rsidR="006E489F" w:rsidRPr="009A1C49" w:rsidRDefault="006E489F" w:rsidP="005B5FC6">
      <w:pPr>
        <w:numPr>
          <w:ilvl w:val="0"/>
          <w:numId w:val="23"/>
        </w:numPr>
        <w:spacing w:after="240" w:line="240" w:lineRule="auto"/>
        <w:ind w:left="567" w:hanging="567"/>
        <w:rPr>
          <w:rFonts w:eastAsia="Times New Roman" w:cs="Times New Roman"/>
          <w:szCs w:val="20"/>
          <w:lang w:val="en-GB" w:eastAsia="en-GB"/>
        </w:rPr>
      </w:pPr>
      <w:r w:rsidRPr="009A1C49">
        <w:rPr>
          <w:rFonts w:eastAsia="Times New Roman" w:cs="Times New Roman"/>
          <w:szCs w:val="20"/>
          <w:lang w:val="en-GB" w:eastAsia="en-GB"/>
        </w:rPr>
        <w:lastRenderedPageBreak/>
        <w:t>Expected benefits include:</w:t>
      </w:r>
    </w:p>
    <w:p w:rsidR="006E489F" w:rsidRPr="009A1C49" w:rsidRDefault="006E489F" w:rsidP="005B5FC6">
      <w:pPr>
        <w:pStyle w:val="ListParagraph"/>
        <w:numPr>
          <w:ilvl w:val="0"/>
          <w:numId w:val="28"/>
        </w:numPr>
        <w:spacing w:before="120" w:line="240" w:lineRule="auto"/>
        <w:ind w:left="1134" w:hanging="425"/>
        <w:contextualSpacing w:val="0"/>
        <w:rPr>
          <w:rFonts w:eastAsia="Times New Roman" w:cs="Times New Roman"/>
          <w:szCs w:val="20"/>
          <w:lang w:val="en-GB" w:eastAsia="en-GB"/>
        </w:rPr>
      </w:pPr>
      <w:r w:rsidRPr="009A1C49">
        <w:rPr>
          <w:rFonts w:eastAsia="Times New Roman" w:cs="Times New Roman"/>
          <w:szCs w:val="20"/>
          <w:lang w:val="en-GB" w:eastAsia="en-GB"/>
        </w:rPr>
        <w:t>a clear</w:t>
      </w:r>
      <w:r w:rsidR="009A1C49">
        <w:rPr>
          <w:rFonts w:eastAsia="Times New Roman" w:cs="Times New Roman"/>
          <w:szCs w:val="20"/>
          <w:lang w:val="en-GB" w:eastAsia="en-GB"/>
        </w:rPr>
        <w:t>,</w:t>
      </w:r>
      <w:r w:rsidRPr="009A1C49">
        <w:rPr>
          <w:rFonts w:eastAsia="Times New Roman" w:cs="Times New Roman"/>
          <w:szCs w:val="20"/>
          <w:lang w:val="en-GB" w:eastAsia="en-GB"/>
        </w:rPr>
        <w:t xml:space="preserve"> transparent and consistent complaints and disciplinary process for clients</w:t>
      </w:r>
    </w:p>
    <w:p w:rsidR="006E489F" w:rsidRPr="009A1C49" w:rsidRDefault="006E489F" w:rsidP="005B5FC6">
      <w:pPr>
        <w:pStyle w:val="ListParagraph"/>
        <w:numPr>
          <w:ilvl w:val="0"/>
          <w:numId w:val="28"/>
        </w:numPr>
        <w:spacing w:before="120" w:line="240" w:lineRule="auto"/>
        <w:ind w:left="1134" w:hanging="425"/>
        <w:contextualSpacing w:val="0"/>
        <w:rPr>
          <w:rFonts w:eastAsia="Times New Roman" w:cs="Times New Roman"/>
          <w:szCs w:val="20"/>
          <w:lang w:val="en-GB" w:eastAsia="en-GB"/>
        </w:rPr>
      </w:pPr>
      <w:r w:rsidRPr="009A1C49">
        <w:rPr>
          <w:rFonts w:eastAsia="Times New Roman" w:cs="Times New Roman"/>
          <w:szCs w:val="20"/>
          <w:lang w:val="en-GB" w:eastAsia="en-GB"/>
        </w:rPr>
        <w:t>those working with vulnerable people are suitabl</w:t>
      </w:r>
      <w:r w:rsidR="00340B40">
        <w:rPr>
          <w:rFonts w:eastAsia="Times New Roman" w:cs="Times New Roman"/>
          <w:szCs w:val="20"/>
          <w:lang w:val="en-GB" w:eastAsia="en-GB"/>
        </w:rPr>
        <w:t>y</w:t>
      </w:r>
      <w:r w:rsidRPr="009A1C49">
        <w:rPr>
          <w:rFonts w:eastAsia="Times New Roman" w:cs="Times New Roman"/>
          <w:szCs w:val="20"/>
          <w:lang w:val="en-GB" w:eastAsia="en-GB"/>
        </w:rPr>
        <w:t xml:space="preserve"> qualified and trained</w:t>
      </w:r>
      <w:r w:rsidR="007162B1" w:rsidRPr="009A1C49">
        <w:rPr>
          <w:rFonts w:eastAsia="Times New Roman" w:cs="Times New Roman"/>
          <w:szCs w:val="20"/>
          <w:lang w:val="en-GB" w:eastAsia="en-GB"/>
        </w:rPr>
        <w:t>, providing a consistency of practice</w:t>
      </w:r>
    </w:p>
    <w:p w:rsidR="006E489F" w:rsidRPr="009A1C49" w:rsidRDefault="006E489F" w:rsidP="005B5FC6">
      <w:pPr>
        <w:pStyle w:val="ListParagraph"/>
        <w:numPr>
          <w:ilvl w:val="0"/>
          <w:numId w:val="28"/>
        </w:numPr>
        <w:spacing w:before="120" w:line="240" w:lineRule="auto"/>
        <w:ind w:left="1134" w:hanging="425"/>
        <w:contextualSpacing w:val="0"/>
        <w:rPr>
          <w:rFonts w:eastAsia="Times New Roman" w:cs="Times New Roman"/>
          <w:szCs w:val="20"/>
          <w:lang w:val="en-GB" w:eastAsia="en-GB"/>
        </w:rPr>
      </w:pPr>
      <w:r w:rsidRPr="009A1C49">
        <w:rPr>
          <w:rFonts w:eastAsia="Times New Roman" w:cs="Times New Roman"/>
          <w:szCs w:val="20"/>
          <w:lang w:val="en-GB" w:eastAsia="en-GB"/>
        </w:rPr>
        <w:t>a mandatory regulation system shifts the burden from the NGO sector to individually assess and maintain profession</w:t>
      </w:r>
      <w:r w:rsidR="009A1C49">
        <w:rPr>
          <w:rFonts w:eastAsia="Times New Roman" w:cs="Times New Roman"/>
          <w:szCs w:val="20"/>
          <w:lang w:val="en-GB" w:eastAsia="en-GB"/>
        </w:rPr>
        <w:t>al</w:t>
      </w:r>
      <w:r w:rsidRPr="009A1C49">
        <w:rPr>
          <w:rFonts w:eastAsia="Times New Roman" w:cs="Times New Roman"/>
          <w:szCs w:val="20"/>
          <w:lang w:val="en-GB" w:eastAsia="en-GB"/>
        </w:rPr>
        <w:t xml:space="preserve"> competency of staff and manage complaints</w:t>
      </w:r>
    </w:p>
    <w:p w:rsidR="007162B1" w:rsidRPr="009A1C49" w:rsidRDefault="007162B1" w:rsidP="005B5FC6">
      <w:pPr>
        <w:pStyle w:val="ListParagraph"/>
        <w:numPr>
          <w:ilvl w:val="0"/>
          <w:numId w:val="28"/>
        </w:numPr>
        <w:spacing w:before="120" w:line="240" w:lineRule="auto"/>
        <w:ind w:left="1134" w:hanging="425"/>
        <w:contextualSpacing w:val="0"/>
        <w:rPr>
          <w:rFonts w:eastAsia="Times New Roman" w:cs="Times New Roman"/>
          <w:szCs w:val="20"/>
          <w:lang w:val="en-GB" w:eastAsia="en-GB"/>
        </w:rPr>
      </w:pPr>
      <w:r w:rsidRPr="009A1C49">
        <w:rPr>
          <w:rFonts w:eastAsia="Times New Roman" w:cs="Times New Roman"/>
          <w:szCs w:val="20"/>
          <w:lang w:val="en-GB" w:eastAsia="en-GB"/>
        </w:rPr>
        <w:t xml:space="preserve">a coherent framework for the social work profession that lifts its status </w:t>
      </w:r>
      <w:r w:rsidR="009A1C49">
        <w:rPr>
          <w:rFonts w:eastAsia="Times New Roman" w:cs="Times New Roman"/>
          <w:szCs w:val="20"/>
          <w:lang w:val="en-GB" w:eastAsia="en-GB"/>
        </w:rPr>
        <w:t xml:space="preserve">to a level </w:t>
      </w:r>
      <w:r w:rsidRPr="009A1C49">
        <w:rPr>
          <w:rFonts w:eastAsia="Times New Roman" w:cs="Times New Roman"/>
          <w:szCs w:val="20"/>
          <w:lang w:val="en-GB" w:eastAsia="en-GB"/>
        </w:rPr>
        <w:t>with comparable professions, supporting the shift to multidisciplinary working.</w:t>
      </w:r>
    </w:p>
    <w:p w:rsidR="006638A8" w:rsidRPr="002A5D5B" w:rsidRDefault="006638A8" w:rsidP="00177E1D">
      <w:pPr>
        <w:spacing w:after="240" w:line="240" w:lineRule="auto"/>
        <w:rPr>
          <w:rFonts w:eastAsia="Times New Roman" w:cs="Times New Roman"/>
          <w:i/>
          <w:szCs w:val="20"/>
          <w:lang w:val="en-GB" w:eastAsia="en-GB"/>
        </w:rPr>
      </w:pPr>
      <w:r w:rsidRPr="002A5D5B">
        <w:rPr>
          <w:rFonts w:eastAsia="Times New Roman" w:cs="Times New Roman"/>
          <w:i/>
          <w:szCs w:val="20"/>
          <w:lang w:val="en-GB" w:eastAsia="en-GB"/>
        </w:rPr>
        <w:t>Why is current system of voluntary registration insufficient?</w:t>
      </w:r>
    </w:p>
    <w:p w:rsidR="006638A8" w:rsidRPr="00E12AD0" w:rsidRDefault="006638A8" w:rsidP="005B5FC6">
      <w:pPr>
        <w:numPr>
          <w:ilvl w:val="0"/>
          <w:numId w:val="23"/>
        </w:numPr>
        <w:spacing w:after="240" w:line="240" w:lineRule="auto"/>
        <w:ind w:left="567" w:hanging="567"/>
        <w:rPr>
          <w:rFonts w:eastAsia="Times New Roman"/>
          <w:szCs w:val="20"/>
          <w:lang w:val="en-GB" w:eastAsia="en-GB"/>
        </w:rPr>
      </w:pPr>
      <w:r w:rsidRPr="002B6D20">
        <w:rPr>
          <w:rFonts w:eastAsia="Times New Roman"/>
          <w:szCs w:val="20"/>
          <w:lang w:val="en-GB" w:eastAsia="en-GB"/>
        </w:rPr>
        <w:t xml:space="preserve">Under the current voluntary regime, </w:t>
      </w:r>
      <w:r>
        <w:rPr>
          <w:rFonts w:eastAsia="Times New Roman"/>
          <w:szCs w:val="20"/>
          <w:lang w:val="en-GB" w:eastAsia="en-GB"/>
        </w:rPr>
        <w:t>i</w:t>
      </w:r>
      <w:r w:rsidRPr="002B6D20">
        <w:rPr>
          <w:rFonts w:eastAsia="Times New Roman"/>
          <w:szCs w:val="20"/>
          <w:lang w:val="en-GB" w:eastAsia="en-GB"/>
        </w:rPr>
        <w:t xml:space="preserve">t is possible to practice using the title </w:t>
      </w:r>
      <w:r w:rsidR="00DF4203">
        <w:rPr>
          <w:rFonts w:eastAsia="Times New Roman"/>
          <w:szCs w:val="20"/>
          <w:lang w:val="en-GB" w:eastAsia="en-GB"/>
        </w:rPr>
        <w:t>“</w:t>
      </w:r>
      <w:r w:rsidRPr="002B6D20">
        <w:rPr>
          <w:rFonts w:eastAsia="Times New Roman"/>
          <w:szCs w:val="20"/>
          <w:lang w:val="en-GB" w:eastAsia="en-GB"/>
        </w:rPr>
        <w:t>social worker</w:t>
      </w:r>
      <w:r w:rsidR="00DF4203">
        <w:rPr>
          <w:rFonts w:eastAsia="Times New Roman"/>
          <w:szCs w:val="20"/>
          <w:lang w:val="en-GB" w:eastAsia="en-GB"/>
        </w:rPr>
        <w:t>”</w:t>
      </w:r>
      <w:r w:rsidRPr="002B6D20">
        <w:rPr>
          <w:rFonts w:eastAsia="Times New Roman"/>
          <w:szCs w:val="20"/>
          <w:lang w:val="en-GB" w:eastAsia="en-GB"/>
        </w:rPr>
        <w:t xml:space="preserve"> without being registered.  The SWR Act’s competence and fitness requirements and the complaints and disciplinary processes do not apply to social workers who are not registered.  The Board and</w:t>
      </w:r>
      <w:r w:rsidR="00D9009E">
        <w:rPr>
          <w:rFonts w:eastAsia="Times New Roman"/>
          <w:szCs w:val="20"/>
          <w:lang w:val="en-GB" w:eastAsia="en-GB"/>
        </w:rPr>
        <w:t xml:space="preserve"> the </w:t>
      </w:r>
      <w:r w:rsidR="00D9009E">
        <w:rPr>
          <w:rFonts w:eastAsia="Times New Roman" w:cs="Times New Roman"/>
          <w:szCs w:val="20"/>
          <w:lang w:val="en-GB" w:eastAsia="en-GB"/>
        </w:rPr>
        <w:t xml:space="preserve">Social Workers Complaints and Disciplinary Tribunal </w:t>
      </w:r>
      <w:r w:rsidRPr="002B6D20">
        <w:rPr>
          <w:rFonts w:eastAsia="Times New Roman"/>
          <w:szCs w:val="20"/>
          <w:lang w:val="en-GB" w:eastAsia="en-GB"/>
        </w:rPr>
        <w:t>have no jurisdiction over un-registered social workers.  The</w:t>
      </w:r>
      <w:r w:rsidR="00404CC4">
        <w:rPr>
          <w:rFonts w:eastAsia="Times New Roman"/>
          <w:szCs w:val="20"/>
          <w:lang w:val="en-GB" w:eastAsia="en-GB"/>
        </w:rPr>
        <w:t xml:space="preserve"> Board’s 2015 Review of </w:t>
      </w:r>
      <w:r w:rsidR="00CC7880">
        <w:rPr>
          <w:rFonts w:eastAsia="Times New Roman"/>
          <w:szCs w:val="20"/>
          <w:lang w:val="en-GB" w:eastAsia="en-GB"/>
        </w:rPr>
        <w:t>the SWR Act</w:t>
      </w:r>
      <w:r w:rsidR="00404CC4">
        <w:rPr>
          <w:rFonts w:eastAsia="Times New Roman"/>
          <w:szCs w:val="20"/>
          <w:lang w:val="en-GB" w:eastAsia="en-GB"/>
        </w:rPr>
        <w:t xml:space="preserve"> concluded “… the</w:t>
      </w:r>
      <w:r w:rsidRPr="002B6D20">
        <w:rPr>
          <w:rFonts w:eastAsia="Times New Roman"/>
          <w:szCs w:val="20"/>
          <w:lang w:val="en-GB" w:eastAsia="en-GB"/>
        </w:rPr>
        <w:t xml:space="preserve">re are many substantiated examples of unregistered social workers, or alternatively, individuals using the title </w:t>
      </w:r>
      <w:r w:rsidR="00DF4203">
        <w:rPr>
          <w:rFonts w:eastAsia="Times New Roman"/>
          <w:szCs w:val="20"/>
          <w:lang w:val="en-GB" w:eastAsia="en-GB"/>
        </w:rPr>
        <w:t>“</w:t>
      </w:r>
      <w:r w:rsidRPr="002B6D20">
        <w:rPr>
          <w:rFonts w:eastAsia="Times New Roman"/>
          <w:szCs w:val="20"/>
          <w:lang w:val="en-GB" w:eastAsia="en-GB"/>
        </w:rPr>
        <w:t>social worker</w:t>
      </w:r>
      <w:r w:rsidR="00DF4203">
        <w:rPr>
          <w:rFonts w:eastAsia="Times New Roman"/>
          <w:szCs w:val="20"/>
          <w:lang w:val="en-GB" w:eastAsia="en-GB"/>
        </w:rPr>
        <w:t>”</w:t>
      </w:r>
      <w:r w:rsidRPr="002B6D20">
        <w:rPr>
          <w:rFonts w:eastAsia="Times New Roman"/>
          <w:szCs w:val="20"/>
          <w:lang w:val="en-GB" w:eastAsia="en-GB"/>
        </w:rPr>
        <w:t xml:space="preserve"> without qualifications or competence, who have been convicted of serious </w:t>
      </w:r>
      <w:r w:rsidR="005E562D">
        <w:rPr>
          <w:rFonts w:eastAsia="Times New Roman"/>
          <w:szCs w:val="20"/>
          <w:lang w:val="en-GB" w:eastAsia="en-GB"/>
        </w:rPr>
        <w:t xml:space="preserve">offences </w:t>
      </w:r>
      <w:r w:rsidRPr="002B6D20">
        <w:rPr>
          <w:rFonts w:eastAsia="Times New Roman"/>
          <w:szCs w:val="20"/>
          <w:lang w:val="en-GB" w:eastAsia="en-GB"/>
        </w:rPr>
        <w:t>or found responsible for the delivery of unethical, incompetent and often dangerous social work services.</w:t>
      </w:r>
      <w:r w:rsidR="00404CC4">
        <w:rPr>
          <w:rFonts w:eastAsia="Times New Roman"/>
          <w:szCs w:val="20"/>
          <w:lang w:val="en-GB" w:eastAsia="en-GB"/>
        </w:rPr>
        <w:t>”</w:t>
      </w:r>
      <w:r w:rsidR="00404CC4">
        <w:rPr>
          <w:rStyle w:val="FootnoteReference"/>
          <w:rFonts w:eastAsia="Times New Roman"/>
          <w:szCs w:val="20"/>
          <w:lang w:val="en-GB" w:eastAsia="en-GB"/>
        </w:rPr>
        <w:footnoteReference w:id="17"/>
      </w:r>
      <w:r w:rsidRPr="002B6D20">
        <w:rPr>
          <w:rFonts w:eastAsia="Times New Roman"/>
          <w:szCs w:val="20"/>
          <w:lang w:val="en-GB" w:eastAsia="en-GB"/>
        </w:rPr>
        <w:t xml:space="preserve"> </w:t>
      </w:r>
    </w:p>
    <w:p w:rsidR="006638A8" w:rsidRPr="007921C8" w:rsidRDefault="00CB2AAB" w:rsidP="005B5FC6">
      <w:pPr>
        <w:numPr>
          <w:ilvl w:val="0"/>
          <w:numId w:val="23"/>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Complaints may raise concerns about social workers conduct, competence or fitness to practice.  </w:t>
      </w:r>
      <w:r w:rsidR="006638A8">
        <w:rPr>
          <w:rFonts w:eastAsia="Times New Roman" w:cs="Times New Roman"/>
          <w:szCs w:val="20"/>
          <w:lang w:val="en-GB" w:eastAsia="en-GB"/>
        </w:rPr>
        <w:t>T</w:t>
      </w:r>
      <w:r w:rsidR="006638A8" w:rsidRPr="00CD205C">
        <w:rPr>
          <w:rFonts w:eastAsia="Times New Roman" w:cs="Times New Roman"/>
          <w:szCs w:val="20"/>
          <w:lang w:val="en-GB" w:eastAsia="en-GB"/>
        </w:rPr>
        <w:t xml:space="preserve">here is a lack of centralised information available about complaints raised about non-registered social workers, and any resultant disciplinary or employment outcomes.  The Board can only consider matters that fall within its statutory jurisdiction </w:t>
      </w:r>
      <w:r w:rsidR="006638A8">
        <w:rPr>
          <w:rFonts w:eastAsia="Times New Roman" w:cs="Times New Roman"/>
          <w:szCs w:val="20"/>
          <w:lang w:val="en-GB" w:eastAsia="en-GB"/>
        </w:rPr>
        <w:t xml:space="preserve">concerning registered social workers, </w:t>
      </w:r>
      <w:r w:rsidR="006638A8" w:rsidRPr="00CD205C">
        <w:rPr>
          <w:rFonts w:eastAsia="Times New Roman" w:cs="Times New Roman"/>
          <w:szCs w:val="20"/>
          <w:lang w:val="en-GB" w:eastAsia="en-GB"/>
        </w:rPr>
        <w:t xml:space="preserve">and does not have any power to award compensation.  </w:t>
      </w:r>
      <w:r>
        <w:rPr>
          <w:rFonts w:eastAsia="Times New Roman" w:cs="Times New Roman"/>
          <w:szCs w:val="20"/>
          <w:lang w:val="en-GB" w:eastAsia="en-GB"/>
        </w:rPr>
        <w:t xml:space="preserve">This means that unregistered social workers with criminal convections may go undetected. </w:t>
      </w:r>
    </w:p>
    <w:p w:rsidR="005970B3" w:rsidRPr="005970B3" w:rsidRDefault="006638A8" w:rsidP="005B5FC6">
      <w:pPr>
        <w:numPr>
          <w:ilvl w:val="0"/>
          <w:numId w:val="23"/>
        </w:numPr>
        <w:spacing w:after="240" w:line="240" w:lineRule="auto"/>
        <w:ind w:left="567" w:hanging="567"/>
        <w:rPr>
          <w:rFonts w:eastAsia="Times New Roman" w:cs="Times New Roman"/>
          <w:szCs w:val="20"/>
          <w:lang w:val="en-GB" w:eastAsia="en-GB"/>
        </w:rPr>
      </w:pPr>
      <w:r w:rsidRPr="007921C8">
        <w:rPr>
          <w:rFonts w:eastAsia="Times New Roman" w:cs="Times New Roman"/>
          <w:szCs w:val="20"/>
          <w:lang w:val="en-GB" w:eastAsia="en-GB"/>
        </w:rPr>
        <w:t xml:space="preserve">The Board receives a number of complaints about social workers who are not registered but is unable to act on the complaint. </w:t>
      </w:r>
      <w:r>
        <w:rPr>
          <w:rFonts w:eastAsia="Times New Roman" w:cs="Times New Roman"/>
          <w:szCs w:val="20"/>
          <w:lang w:val="en-GB" w:eastAsia="en-GB"/>
        </w:rPr>
        <w:t xml:space="preserve"> </w:t>
      </w:r>
      <w:r w:rsidRPr="007921C8">
        <w:rPr>
          <w:rFonts w:eastAsia="Times New Roman" w:cs="Times New Roman"/>
          <w:szCs w:val="20"/>
          <w:lang w:val="en-GB" w:eastAsia="en-GB"/>
        </w:rPr>
        <w:t>Identifying the number of these complaints is difficult as often complainants will call to ask if a particular social worker is registered and when told they are not, do not continue with the discussion or else they find out the social worker is not registered as they do not appear on the public register.</w:t>
      </w:r>
    </w:p>
    <w:tbl>
      <w:tblPr>
        <w:tblStyle w:val="TableGrid"/>
        <w:tblW w:w="0" w:type="auto"/>
        <w:jc w:val="center"/>
        <w:tblLook w:val="04A0" w:firstRow="1" w:lastRow="0" w:firstColumn="1" w:lastColumn="0" w:noHBand="0" w:noVBand="1"/>
      </w:tblPr>
      <w:tblGrid>
        <w:gridCol w:w="1843"/>
        <w:gridCol w:w="1134"/>
        <w:gridCol w:w="1134"/>
        <w:gridCol w:w="1134"/>
        <w:gridCol w:w="1134"/>
        <w:gridCol w:w="1134"/>
        <w:gridCol w:w="1054"/>
      </w:tblGrid>
      <w:tr w:rsidR="006638A8" w:rsidRPr="00A97C6A" w:rsidTr="00A97C6A">
        <w:trPr>
          <w:trHeight w:val="464"/>
          <w:jc w:val="center"/>
        </w:trPr>
        <w:tc>
          <w:tcPr>
            <w:tcW w:w="8567" w:type="dxa"/>
            <w:gridSpan w:val="7"/>
            <w:vAlign w:val="center"/>
          </w:tcPr>
          <w:p w:rsidR="006638A8" w:rsidRPr="00A97C6A" w:rsidRDefault="006638A8" w:rsidP="00177E1D">
            <w:pPr>
              <w:rPr>
                <w:szCs w:val="18"/>
              </w:rPr>
            </w:pPr>
            <w:r w:rsidRPr="00A97C6A">
              <w:rPr>
                <w:szCs w:val="18"/>
              </w:rPr>
              <w:t xml:space="preserve">Complaints received by the </w:t>
            </w:r>
            <w:r w:rsidR="00DC2521" w:rsidRPr="00A97C6A">
              <w:rPr>
                <w:szCs w:val="18"/>
              </w:rPr>
              <w:t>Board</w:t>
            </w:r>
            <w:r w:rsidRPr="00A97C6A">
              <w:rPr>
                <w:rStyle w:val="FootnoteReference"/>
                <w:sz w:val="18"/>
                <w:szCs w:val="18"/>
              </w:rPr>
              <w:footnoteReference w:id="18"/>
            </w:r>
          </w:p>
        </w:tc>
      </w:tr>
      <w:tr w:rsidR="006638A8" w:rsidRPr="00A97C6A" w:rsidTr="00A97C6A">
        <w:trPr>
          <w:trHeight w:val="841"/>
          <w:jc w:val="center"/>
        </w:trPr>
        <w:tc>
          <w:tcPr>
            <w:tcW w:w="1843" w:type="dxa"/>
            <w:vAlign w:val="center"/>
          </w:tcPr>
          <w:p w:rsidR="006638A8" w:rsidRPr="00A97C6A" w:rsidRDefault="006638A8" w:rsidP="00177E1D">
            <w:pPr>
              <w:rPr>
                <w:szCs w:val="18"/>
              </w:rPr>
            </w:pPr>
          </w:p>
        </w:tc>
        <w:tc>
          <w:tcPr>
            <w:tcW w:w="1134" w:type="dxa"/>
            <w:vAlign w:val="center"/>
          </w:tcPr>
          <w:p w:rsidR="006638A8" w:rsidRPr="00A97C6A" w:rsidRDefault="006638A8" w:rsidP="00177E1D">
            <w:pPr>
              <w:rPr>
                <w:szCs w:val="18"/>
              </w:rPr>
            </w:pPr>
            <w:r w:rsidRPr="00A97C6A">
              <w:rPr>
                <w:szCs w:val="18"/>
              </w:rPr>
              <w:t>2011</w:t>
            </w:r>
          </w:p>
        </w:tc>
        <w:tc>
          <w:tcPr>
            <w:tcW w:w="1134" w:type="dxa"/>
            <w:vAlign w:val="center"/>
          </w:tcPr>
          <w:p w:rsidR="006638A8" w:rsidRPr="00A97C6A" w:rsidRDefault="006638A8" w:rsidP="00177E1D">
            <w:pPr>
              <w:rPr>
                <w:szCs w:val="18"/>
              </w:rPr>
            </w:pPr>
            <w:r w:rsidRPr="00A97C6A">
              <w:rPr>
                <w:szCs w:val="18"/>
              </w:rPr>
              <w:t>2012</w:t>
            </w:r>
          </w:p>
        </w:tc>
        <w:tc>
          <w:tcPr>
            <w:tcW w:w="1134" w:type="dxa"/>
            <w:vAlign w:val="center"/>
          </w:tcPr>
          <w:p w:rsidR="006638A8" w:rsidRPr="00A97C6A" w:rsidRDefault="006638A8" w:rsidP="00177E1D">
            <w:pPr>
              <w:rPr>
                <w:szCs w:val="18"/>
              </w:rPr>
            </w:pPr>
            <w:r w:rsidRPr="00A97C6A">
              <w:rPr>
                <w:szCs w:val="18"/>
              </w:rPr>
              <w:t>2013</w:t>
            </w:r>
          </w:p>
        </w:tc>
        <w:tc>
          <w:tcPr>
            <w:tcW w:w="1134" w:type="dxa"/>
            <w:vAlign w:val="center"/>
          </w:tcPr>
          <w:p w:rsidR="006638A8" w:rsidRPr="00A97C6A" w:rsidRDefault="006638A8" w:rsidP="00177E1D">
            <w:pPr>
              <w:rPr>
                <w:szCs w:val="18"/>
              </w:rPr>
            </w:pPr>
            <w:r w:rsidRPr="00A97C6A">
              <w:rPr>
                <w:szCs w:val="18"/>
              </w:rPr>
              <w:t>2014</w:t>
            </w:r>
          </w:p>
        </w:tc>
        <w:tc>
          <w:tcPr>
            <w:tcW w:w="1134" w:type="dxa"/>
            <w:vAlign w:val="center"/>
          </w:tcPr>
          <w:p w:rsidR="006638A8" w:rsidRPr="00A97C6A" w:rsidRDefault="006638A8" w:rsidP="00177E1D">
            <w:pPr>
              <w:rPr>
                <w:szCs w:val="18"/>
              </w:rPr>
            </w:pPr>
            <w:r w:rsidRPr="00A97C6A">
              <w:rPr>
                <w:szCs w:val="18"/>
              </w:rPr>
              <w:t>2015</w:t>
            </w:r>
          </w:p>
        </w:tc>
        <w:tc>
          <w:tcPr>
            <w:tcW w:w="1054" w:type="dxa"/>
            <w:vAlign w:val="center"/>
          </w:tcPr>
          <w:p w:rsidR="006638A8" w:rsidRPr="00A97C6A" w:rsidRDefault="006638A8" w:rsidP="00177E1D">
            <w:pPr>
              <w:rPr>
                <w:szCs w:val="18"/>
              </w:rPr>
            </w:pPr>
            <w:r w:rsidRPr="00A97C6A">
              <w:rPr>
                <w:szCs w:val="18"/>
              </w:rPr>
              <w:t>2016</w:t>
            </w:r>
          </w:p>
        </w:tc>
      </w:tr>
      <w:tr w:rsidR="006638A8" w:rsidRPr="00A97C6A" w:rsidTr="00A97C6A">
        <w:trPr>
          <w:trHeight w:val="693"/>
          <w:jc w:val="center"/>
        </w:trPr>
        <w:tc>
          <w:tcPr>
            <w:tcW w:w="1843" w:type="dxa"/>
            <w:vAlign w:val="center"/>
          </w:tcPr>
          <w:p w:rsidR="006638A8" w:rsidRPr="00A97C6A" w:rsidRDefault="006638A8" w:rsidP="00177E1D">
            <w:pPr>
              <w:rPr>
                <w:szCs w:val="18"/>
              </w:rPr>
            </w:pPr>
            <w:r w:rsidRPr="00A97C6A">
              <w:rPr>
                <w:szCs w:val="18"/>
              </w:rPr>
              <w:t>Complaints about registered SW</w:t>
            </w:r>
          </w:p>
        </w:tc>
        <w:tc>
          <w:tcPr>
            <w:tcW w:w="1134" w:type="dxa"/>
            <w:vAlign w:val="center"/>
          </w:tcPr>
          <w:p w:rsidR="006638A8" w:rsidRPr="00A97C6A" w:rsidRDefault="006638A8" w:rsidP="00177E1D">
            <w:pPr>
              <w:rPr>
                <w:szCs w:val="18"/>
              </w:rPr>
            </w:pPr>
            <w:r w:rsidRPr="00A97C6A">
              <w:rPr>
                <w:szCs w:val="18"/>
              </w:rPr>
              <w:t>12</w:t>
            </w:r>
          </w:p>
        </w:tc>
        <w:tc>
          <w:tcPr>
            <w:tcW w:w="1134" w:type="dxa"/>
            <w:vAlign w:val="center"/>
          </w:tcPr>
          <w:p w:rsidR="006638A8" w:rsidRPr="00A97C6A" w:rsidRDefault="006638A8" w:rsidP="00177E1D">
            <w:pPr>
              <w:rPr>
                <w:szCs w:val="18"/>
              </w:rPr>
            </w:pPr>
            <w:r w:rsidRPr="00A97C6A">
              <w:rPr>
                <w:szCs w:val="18"/>
              </w:rPr>
              <w:t>29</w:t>
            </w:r>
          </w:p>
        </w:tc>
        <w:tc>
          <w:tcPr>
            <w:tcW w:w="1134" w:type="dxa"/>
            <w:vAlign w:val="center"/>
          </w:tcPr>
          <w:p w:rsidR="006638A8" w:rsidRPr="00A97C6A" w:rsidRDefault="006638A8" w:rsidP="00177E1D">
            <w:pPr>
              <w:rPr>
                <w:szCs w:val="18"/>
              </w:rPr>
            </w:pPr>
            <w:r w:rsidRPr="00A97C6A">
              <w:rPr>
                <w:szCs w:val="18"/>
              </w:rPr>
              <w:t>33</w:t>
            </w:r>
          </w:p>
        </w:tc>
        <w:tc>
          <w:tcPr>
            <w:tcW w:w="1134" w:type="dxa"/>
            <w:vAlign w:val="center"/>
          </w:tcPr>
          <w:p w:rsidR="006638A8" w:rsidRPr="00A97C6A" w:rsidRDefault="006638A8" w:rsidP="00177E1D">
            <w:pPr>
              <w:rPr>
                <w:szCs w:val="18"/>
              </w:rPr>
            </w:pPr>
            <w:r w:rsidRPr="00A97C6A">
              <w:rPr>
                <w:szCs w:val="18"/>
              </w:rPr>
              <w:t>36</w:t>
            </w:r>
          </w:p>
        </w:tc>
        <w:tc>
          <w:tcPr>
            <w:tcW w:w="1134" w:type="dxa"/>
            <w:vAlign w:val="center"/>
          </w:tcPr>
          <w:p w:rsidR="006638A8" w:rsidRPr="00A97C6A" w:rsidRDefault="006638A8" w:rsidP="00177E1D">
            <w:pPr>
              <w:rPr>
                <w:szCs w:val="18"/>
              </w:rPr>
            </w:pPr>
            <w:r w:rsidRPr="00A97C6A">
              <w:rPr>
                <w:szCs w:val="18"/>
              </w:rPr>
              <w:t>24</w:t>
            </w:r>
          </w:p>
        </w:tc>
        <w:tc>
          <w:tcPr>
            <w:tcW w:w="1054" w:type="dxa"/>
            <w:vAlign w:val="center"/>
          </w:tcPr>
          <w:p w:rsidR="006638A8" w:rsidRPr="00A97C6A" w:rsidRDefault="006638A8" w:rsidP="00177E1D">
            <w:pPr>
              <w:rPr>
                <w:szCs w:val="18"/>
              </w:rPr>
            </w:pPr>
            <w:r w:rsidRPr="00A97C6A">
              <w:rPr>
                <w:szCs w:val="18"/>
              </w:rPr>
              <w:t>58</w:t>
            </w:r>
          </w:p>
        </w:tc>
      </w:tr>
      <w:tr w:rsidR="006638A8" w:rsidRPr="00A97C6A" w:rsidTr="00A97C6A">
        <w:trPr>
          <w:trHeight w:val="407"/>
          <w:jc w:val="center"/>
        </w:trPr>
        <w:tc>
          <w:tcPr>
            <w:tcW w:w="1843" w:type="dxa"/>
            <w:vAlign w:val="center"/>
          </w:tcPr>
          <w:p w:rsidR="006638A8" w:rsidRPr="00A97C6A" w:rsidRDefault="006638A8" w:rsidP="00177E1D">
            <w:pPr>
              <w:rPr>
                <w:szCs w:val="18"/>
              </w:rPr>
            </w:pPr>
            <w:r w:rsidRPr="00A97C6A">
              <w:rPr>
                <w:szCs w:val="18"/>
              </w:rPr>
              <w:t>Complaints about unregistered SW</w:t>
            </w:r>
          </w:p>
        </w:tc>
        <w:tc>
          <w:tcPr>
            <w:tcW w:w="1134" w:type="dxa"/>
            <w:vAlign w:val="center"/>
          </w:tcPr>
          <w:p w:rsidR="006638A8" w:rsidRPr="00A97C6A" w:rsidRDefault="006638A8" w:rsidP="00177E1D">
            <w:pPr>
              <w:rPr>
                <w:szCs w:val="18"/>
              </w:rPr>
            </w:pPr>
            <w:r w:rsidRPr="00A97C6A">
              <w:rPr>
                <w:szCs w:val="18"/>
              </w:rPr>
              <w:t>5</w:t>
            </w:r>
          </w:p>
        </w:tc>
        <w:tc>
          <w:tcPr>
            <w:tcW w:w="1134" w:type="dxa"/>
            <w:vAlign w:val="center"/>
          </w:tcPr>
          <w:p w:rsidR="006638A8" w:rsidRPr="00A97C6A" w:rsidRDefault="006638A8" w:rsidP="00177E1D">
            <w:pPr>
              <w:rPr>
                <w:szCs w:val="18"/>
              </w:rPr>
            </w:pPr>
            <w:r w:rsidRPr="00A97C6A">
              <w:rPr>
                <w:szCs w:val="18"/>
              </w:rPr>
              <w:t>5</w:t>
            </w:r>
          </w:p>
        </w:tc>
        <w:tc>
          <w:tcPr>
            <w:tcW w:w="1134" w:type="dxa"/>
            <w:vAlign w:val="center"/>
          </w:tcPr>
          <w:p w:rsidR="006638A8" w:rsidRPr="00A97C6A" w:rsidRDefault="006638A8" w:rsidP="00177E1D">
            <w:pPr>
              <w:rPr>
                <w:szCs w:val="18"/>
              </w:rPr>
            </w:pPr>
            <w:r w:rsidRPr="00A97C6A">
              <w:rPr>
                <w:szCs w:val="18"/>
              </w:rPr>
              <w:t>23</w:t>
            </w:r>
          </w:p>
        </w:tc>
        <w:tc>
          <w:tcPr>
            <w:tcW w:w="1134" w:type="dxa"/>
            <w:vAlign w:val="center"/>
          </w:tcPr>
          <w:p w:rsidR="006638A8" w:rsidRPr="00A97C6A" w:rsidRDefault="006638A8" w:rsidP="00177E1D">
            <w:pPr>
              <w:rPr>
                <w:szCs w:val="18"/>
              </w:rPr>
            </w:pPr>
            <w:r w:rsidRPr="00A97C6A">
              <w:rPr>
                <w:szCs w:val="18"/>
              </w:rPr>
              <w:t>17</w:t>
            </w:r>
          </w:p>
        </w:tc>
        <w:tc>
          <w:tcPr>
            <w:tcW w:w="1134" w:type="dxa"/>
            <w:vAlign w:val="center"/>
          </w:tcPr>
          <w:p w:rsidR="006638A8" w:rsidRPr="00A97C6A" w:rsidRDefault="006638A8" w:rsidP="00177E1D">
            <w:pPr>
              <w:rPr>
                <w:szCs w:val="18"/>
              </w:rPr>
            </w:pPr>
            <w:r w:rsidRPr="00A97C6A">
              <w:rPr>
                <w:szCs w:val="18"/>
              </w:rPr>
              <w:t>4</w:t>
            </w:r>
          </w:p>
        </w:tc>
        <w:tc>
          <w:tcPr>
            <w:tcW w:w="1054" w:type="dxa"/>
            <w:vAlign w:val="center"/>
          </w:tcPr>
          <w:p w:rsidR="006638A8" w:rsidRPr="00A97C6A" w:rsidRDefault="006638A8" w:rsidP="00177E1D">
            <w:pPr>
              <w:rPr>
                <w:szCs w:val="18"/>
              </w:rPr>
            </w:pPr>
            <w:r w:rsidRPr="00A97C6A">
              <w:rPr>
                <w:szCs w:val="18"/>
              </w:rPr>
              <w:t>16</w:t>
            </w:r>
          </w:p>
        </w:tc>
      </w:tr>
    </w:tbl>
    <w:p w:rsidR="006638A8" w:rsidRPr="007921C8" w:rsidRDefault="006638A8" w:rsidP="00177E1D">
      <w:pPr>
        <w:spacing w:after="240" w:line="240" w:lineRule="auto"/>
        <w:rPr>
          <w:rFonts w:eastAsia="Times New Roman" w:cs="Times New Roman"/>
          <w:szCs w:val="20"/>
          <w:lang w:val="en-GB" w:eastAsia="en-GB"/>
        </w:rPr>
      </w:pPr>
    </w:p>
    <w:p w:rsidR="006638A8" w:rsidRDefault="006638A8" w:rsidP="005B5FC6">
      <w:pPr>
        <w:numPr>
          <w:ilvl w:val="0"/>
          <w:numId w:val="23"/>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There are a range of o</w:t>
      </w:r>
      <w:r w:rsidRPr="00CD205C">
        <w:rPr>
          <w:rFonts w:eastAsia="Times New Roman" w:cs="Times New Roman"/>
          <w:szCs w:val="20"/>
          <w:lang w:val="en-GB" w:eastAsia="en-GB"/>
        </w:rPr>
        <w:t xml:space="preserve">ther bodies which </w:t>
      </w:r>
      <w:r>
        <w:rPr>
          <w:rFonts w:eastAsia="Times New Roman" w:cs="Times New Roman"/>
          <w:szCs w:val="20"/>
          <w:lang w:val="en-GB" w:eastAsia="en-GB"/>
        </w:rPr>
        <w:t>receive c</w:t>
      </w:r>
      <w:r w:rsidRPr="00CD205C">
        <w:rPr>
          <w:rFonts w:eastAsia="Times New Roman" w:cs="Times New Roman"/>
          <w:szCs w:val="20"/>
          <w:lang w:val="en-GB" w:eastAsia="en-GB"/>
        </w:rPr>
        <w:t>omplaints about</w:t>
      </w:r>
      <w:r>
        <w:rPr>
          <w:rFonts w:eastAsia="Times New Roman" w:cs="Times New Roman"/>
          <w:szCs w:val="20"/>
          <w:lang w:val="en-GB" w:eastAsia="en-GB"/>
        </w:rPr>
        <w:t xml:space="preserve"> social workers: </w:t>
      </w:r>
      <w:r w:rsidR="001913C7" w:rsidRPr="00177E1D">
        <w:t>Aotearoa New Zealand Association of Social Workers (ANZASW)</w:t>
      </w:r>
      <w:r w:rsidR="001913C7">
        <w:rPr>
          <w:rFonts w:eastAsia="Times New Roman"/>
          <w:szCs w:val="20"/>
          <w:lang w:val="en-GB" w:eastAsia="en-GB"/>
        </w:rPr>
        <w:t>,</w:t>
      </w:r>
      <w:r>
        <w:rPr>
          <w:rFonts w:eastAsia="Times New Roman" w:cs="Times New Roman"/>
          <w:szCs w:val="20"/>
          <w:lang w:val="en-GB" w:eastAsia="en-GB"/>
        </w:rPr>
        <w:t xml:space="preserve"> </w:t>
      </w:r>
      <w:r w:rsidRPr="00CD205C">
        <w:rPr>
          <w:rFonts w:eastAsia="Times New Roman" w:cs="Times New Roman"/>
          <w:szCs w:val="20"/>
          <w:lang w:val="en-GB" w:eastAsia="en-GB"/>
        </w:rPr>
        <w:t xml:space="preserve">the </w:t>
      </w:r>
      <w:r w:rsidR="00D97D37">
        <w:rPr>
          <w:rFonts w:eastAsia="Times New Roman" w:cs="Times New Roman"/>
          <w:szCs w:val="20"/>
          <w:lang w:val="en-GB" w:eastAsia="en-GB"/>
        </w:rPr>
        <w:t>Health and Disability Commission</w:t>
      </w:r>
      <w:r w:rsidR="002F638D">
        <w:rPr>
          <w:rFonts w:eastAsia="Times New Roman" w:cs="Times New Roman"/>
          <w:szCs w:val="20"/>
          <w:lang w:val="en-GB" w:eastAsia="en-GB"/>
        </w:rPr>
        <w:t>er</w:t>
      </w:r>
      <w:r w:rsidR="00D97D37">
        <w:rPr>
          <w:rFonts w:eastAsia="Times New Roman" w:cs="Times New Roman"/>
          <w:szCs w:val="20"/>
          <w:lang w:val="en-GB" w:eastAsia="en-GB"/>
        </w:rPr>
        <w:t xml:space="preserve"> (</w:t>
      </w:r>
      <w:r>
        <w:rPr>
          <w:rFonts w:eastAsia="Times New Roman" w:cs="Times New Roman"/>
          <w:szCs w:val="20"/>
          <w:lang w:val="en-GB" w:eastAsia="en-GB"/>
        </w:rPr>
        <w:t>HDC</w:t>
      </w:r>
      <w:r w:rsidR="00D97D37">
        <w:rPr>
          <w:rFonts w:eastAsia="Times New Roman" w:cs="Times New Roman"/>
          <w:szCs w:val="20"/>
          <w:lang w:val="en-GB" w:eastAsia="en-GB"/>
        </w:rPr>
        <w:t>)</w:t>
      </w:r>
      <w:r w:rsidRPr="00CD205C">
        <w:rPr>
          <w:rFonts w:eastAsia="Times New Roman" w:cs="Times New Roman"/>
          <w:szCs w:val="20"/>
          <w:lang w:val="en-GB" w:eastAsia="en-GB"/>
        </w:rPr>
        <w:t xml:space="preserve">, the Children's Commissioner, </w:t>
      </w:r>
      <w:r>
        <w:rPr>
          <w:rFonts w:eastAsia="Times New Roman" w:cs="Times New Roman"/>
          <w:szCs w:val="20"/>
          <w:lang w:val="en-GB" w:eastAsia="en-GB"/>
        </w:rPr>
        <w:t xml:space="preserve">and </w:t>
      </w:r>
      <w:r w:rsidRPr="00CD205C">
        <w:rPr>
          <w:rFonts w:eastAsia="Times New Roman" w:cs="Times New Roman"/>
          <w:szCs w:val="20"/>
          <w:lang w:val="en-GB" w:eastAsia="en-GB"/>
        </w:rPr>
        <w:t>social workers</w:t>
      </w:r>
      <w:r>
        <w:rPr>
          <w:rFonts w:eastAsia="Times New Roman" w:cs="Times New Roman"/>
          <w:szCs w:val="20"/>
          <w:lang w:val="en-GB" w:eastAsia="en-GB"/>
        </w:rPr>
        <w:t>’</w:t>
      </w:r>
      <w:r w:rsidRPr="00CD205C">
        <w:rPr>
          <w:rFonts w:eastAsia="Times New Roman" w:cs="Times New Roman"/>
          <w:szCs w:val="20"/>
          <w:lang w:val="en-GB" w:eastAsia="en-GB"/>
        </w:rPr>
        <w:t xml:space="preserve"> employer</w:t>
      </w:r>
      <w:r>
        <w:rPr>
          <w:rFonts w:eastAsia="Times New Roman" w:cs="Times New Roman"/>
          <w:szCs w:val="20"/>
          <w:lang w:val="en-GB" w:eastAsia="en-GB"/>
        </w:rPr>
        <w:t>s</w:t>
      </w:r>
      <w:r w:rsidRPr="00CD205C">
        <w:rPr>
          <w:rFonts w:eastAsia="Times New Roman" w:cs="Times New Roman"/>
          <w:szCs w:val="20"/>
          <w:lang w:val="en-GB" w:eastAsia="en-GB"/>
        </w:rPr>
        <w:t xml:space="preserve"> </w:t>
      </w:r>
      <w:r>
        <w:rPr>
          <w:rFonts w:eastAsia="Times New Roman" w:cs="Times New Roman"/>
          <w:szCs w:val="20"/>
          <w:lang w:val="en-GB" w:eastAsia="en-GB"/>
        </w:rPr>
        <w:t>including</w:t>
      </w:r>
      <w:r w:rsidRPr="00CD205C">
        <w:rPr>
          <w:rFonts w:eastAsia="Times New Roman" w:cs="Times New Roman"/>
          <w:szCs w:val="20"/>
          <w:lang w:val="en-GB" w:eastAsia="en-GB"/>
        </w:rPr>
        <w:t xml:space="preserve"> Child, Youth and Family</w:t>
      </w:r>
      <w:r w:rsidR="00516758">
        <w:rPr>
          <w:rFonts w:eastAsia="Times New Roman" w:cs="Times New Roman"/>
          <w:szCs w:val="20"/>
          <w:lang w:val="en-GB" w:eastAsia="en-GB"/>
        </w:rPr>
        <w:t xml:space="preserve"> (</w:t>
      </w:r>
      <w:r w:rsidR="00C03D83">
        <w:rPr>
          <w:rFonts w:eastAsia="Times New Roman" w:cs="Times New Roman"/>
          <w:szCs w:val="20"/>
          <w:lang w:val="en-GB" w:eastAsia="en-GB"/>
        </w:rPr>
        <w:t>now MVCOT</w:t>
      </w:r>
      <w:r w:rsidR="00516758">
        <w:rPr>
          <w:rFonts w:eastAsia="Times New Roman" w:cs="Times New Roman"/>
          <w:szCs w:val="20"/>
          <w:lang w:val="en-GB" w:eastAsia="en-GB"/>
        </w:rPr>
        <w:t>)</w:t>
      </w:r>
      <w:r w:rsidRPr="00CD205C">
        <w:rPr>
          <w:rFonts w:eastAsia="Times New Roman" w:cs="Times New Roman"/>
          <w:szCs w:val="20"/>
          <w:lang w:val="en-GB" w:eastAsia="en-GB"/>
        </w:rPr>
        <w:t>, District Health Board</w:t>
      </w:r>
      <w:r>
        <w:rPr>
          <w:rFonts w:eastAsia="Times New Roman" w:cs="Times New Roman"/>
          <w:szCs w:val="20"/>
          <w:lang w:val="en-GB" w:eastAsia="en-GB"/>
        </w:rPr>
        <w:t>s, and a significant number of NGOs.</w:t>
      </w:r>
    </w:p>
    <w:p w:rsidR="006638A8" w:rsidRPr="00533196" w:rsidRDefault="000473EF" w:rsidP="005B5FC6">
      <w:pPr>
        <w:numPr>
          <w:ilvl w:val="0"/>
          <w:numId w:val="23"/>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The </w:t>
      </w:r>
      <w:r w:rsidR="006638A8" w:rsidRPr="00533196">
        <w:rPr>
          <w:rFonts w:eastAsia="Times New Roman" w:cs="Times New Roman"/>
          <w:szCs w:val="20"/>
          <w:lang w:val="en-GB" w:eastAsia="en-GB"/>
        </w:rPr>
        <w:t xml:space="preserve">HDC (which has jurisdiction where the complainant is receiving a health </w:t>
      </w:r>
      <w:r w:rsidR="00CB2AAB">
        <w:rPr>
          <w:rFonts w:eastAsia="Times New Roman" w:cs="Times New Roman"/>
          <w:szCs w:val="20"/>
          <w:lang w:val="en-GB" w:eastAsia="en-GB"/>
        </w:rPr>
        <w:t>or disability</w:t>
      </w:r>
      <w:r w:rsidR="006638A8" w:rsidRPr="00533196">
        <w:rPr>
          <w:rFonts w:eastAsia="Times New Roman" w:cs="Times New Roman"/>
          <w:szCs w:val="20"/>
          <w:lang w:val="en-GB" w:eastAsia="en-GB"/>
        </w:rPr>
        <w:t xml:space="preserve"> service) has dealt with complaints about 35 different social workers between 2012 and 2016.  The ANZASW investigates formal complaints about </w:t>
      </w:r>
      <w:r>
        <w:rPr>
          <w:rFonts w:eastAsia="Times New Roman" w:cs="Times New Roman"/>
          <w:szCs w:val="20"/>
          <w:lang w:val="en-GB" w:eastAsia="en-GB"/>
        </w:rPr>
        <w:t xml:space="preserve">its members </w:t>
      </w:r>
      <w:r w:rsidR="006638A8" w:rsidRPr="00533196">
        <w:rPr>
          <w:rFonts w:eastAsia="Times New Roman" w:cs="Times New Roman"/>
          <w:szCs w:val="20"/>
          <w:lang w:val="en-GB" w:eastAsia="en-GB"/>
        </w:rPr>
        <w:t>who</w:t>
      </w:r>
      <w:r w:rsidR="00CB2909">
        <w:rPr>
          <w:rFonts w:eastAsia="Times New Roman" w:cs="Times New Roman"/>
          <w:szCs w:val="20"/>
          <w:lang w:val="en-GB" w:eastAsia="en-GB"/>
        </w:rPr>
        <w:t xml:space="preserve"> are not registered (they refer</w:t>
      </w:r>
      <w:r w:rsidR="006638A8" w:rsidRPr="00533196">
        <w:rPr>
          <w:rFonts w:eastAsia="Times New Roman" w:cs="Times New Roman"/>
          <w:szCs w:val="20"/>
          <w:lang w:val="en-GB" w:eastAsia="en-GB"/>
        </w:rPr>
        <w:t xml:space="preserve"> complaints about registered social workers to the Board). </w:t>
      </w:r>
      <w:r w:rsidR="006638A8">
        <w:rPr>
          <w:rFonts w:eastAsia="Times New Roman" w:cs="Times New Roman"/>
          <w:szCs w:val="20"/>
          <w:lang w:val="en-GB" w:eastAsia="en-GB"/>
        </w:rPr>
        <w:t xml:space="preserve"> </w:t>
      </w:r>
      <w:r w:rsidR="006638A8" w:rsidRPr="00533196">
        <w:rPr>
          <w:rFonts w:eastAsia="Times New Roman" w:cs="Times New Roman"/>
          <w:szCs w:val="20"/>
          <w:lang w:val="en-GB" w:eastAsia="en-GB"/>
        </w:rPr>
        <w:t xml:space="preserve">Since 2009 there have been 12 such complaints that have been upheld. </w:t>
      </w:r>
    </w:p>
    <w:p w:rsidR="006638A8" w:rsidRDefault="006638A8" w:rsidP="005B5FC6">
      <w:pPr>
        <w:numPr>
          <w:ilvl w:val="0"/>
          <w:numId w:val="23"/>
        </w:numPr>
        <w:spacing w:after="240" w:line="240" w:lineRule="auto"/>
        <w:ind w:left="567" w:hanging="567"/>
        <w:rPr>
          <w:rFonts w:eastAsia="Times New Roman"/>
          <w:szCs w:val="20"/>
          <w:lang w:val="en-GB" w:eastAsia="en-GB"/>
        </w:rPr>
      </w:pPr>
      <w:r w:rsidRPr="002B6D20">
        <w:rPr>
          <w:rFonts w:eastAsia="Times New Roman"/>
          <w:szCs w:val="20"/>
          <w:lang w:val="en-GB" w:eastAsia="en-GB"/>
        </w:rPr>
        <w:t>Unregistered social workers who are not subject to the HDC may only be disciplined via employment law, which is a crude instrument for these purposes and may not stop them working elsewhere</w:t>
      </w:r>
      <w:r>
        <w:rPr>
          <w:rFonts w:eastAsia="Times New Roman"/>
          <w:szCs w:val="20"/>
          <w:lang w:val="en-GB" w:eastAsia="en-GB"/>
        </w:rPr>
        <w:t>.  Small employers especially may not be in a position to adequately discipline staff.  W</w:t>
      </w:r>
      <w:r w:rsidRPr="002B6D20">
        <w:rPr>
          <w:rFonts w:eastAsia="Times New Roman"/>
          <w:szCs w:val="20"/>
          <w:lang w:val="en-GB" w:eastAsia="en-GB"/>
        </w:rPr>
        <w:t xml:space="preserve">hile </w:t>
      </w:r>
      <w:r w:rsidR="000B5EC5">
        <w:rPr>
          <w:rFonts w:eastAsia="Times New Roman"/>
          <w:szCs w:val="20"/>
          <w:lang w:val="en-GB" w:eastAsia="en-GB"/>
        </w:rPr>
        <w:t>misconduct</w:t>
      </w:r>
      <w:r w:rsidRPr="002B6D20">
        <w:rPr>
          <w:rFonts w:eastAsia="Times New Roman"/>
          <w:szCs w:val="20"/>
          <w:lang w:val="en-GB" w:eastAsia="en-GB"/>
        </w:rPr>
        <w:t xml:space="preserve"> or poor performance of a social worker may be dealt with by their employer, some of these situations may be so serious that there is a wider public interest in the person not being allowed to practice elsewhere, and this is not able to be reliably enforced under a voluntary registration system.</w:t>
      </w:r>
    </w:p>
    <w:p w:rsidR="006638A8" w:rsidRPr="002B6D20" w:rsidRDefault="006638A8"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Police can bring criminal charges</w:t>
      </w:r>
      <w:r w:rsidRPr="002B6D20">
        <w:rPr>
          <w:rFonts w:eastAsia="Times New Roman"/>
          <w:szCs w:val="20"/>
          <w:lang w:val="en-GB" w:eastAsia="en-GB"/>
        </w:rPr>
        <w:t xml:space="preserve"> if the nature of the misconduct is a criminal offence.  However even a criminal conviction may not prevent someone recommencing social work practice if their new employer does not undertake police checks or decides to disregard the offence.</w:t>
      </w:r>
    </w:p>
    <w:p w:rsidR="006638A8" w:rsidRDefault="006638A8"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 xml:space="preserve">In practice, it is possible for a non-registered social worker with serious complaints lodged against them to continue to practice if they change employment and do not disclose that complaints have been raised.  </w:t>
      </w:r>
      <w:r w:rsidRPr="002B6D20">
        <w:rPr>
          <w:rFonts w:eastAsia="Times New Roman"/>
          <w:szCs w:val="20"/>
          <w:lang w:val="en-GB" w:eastAsia="en-GB"/>
        </w:rPr>
        <w:t xml:space="preserve">Significant concerns continue as to the safety of clients from inadequate or dangerous social work practice, and the voluntary regime can do little address this.  Requiring all social workers to be registered </w:t>
      </w:r>
      <w:r>
        <w:rPr>
          <w:rFonts w:eastAsia="Times New Roman"/>
          <w:szCs w:val="20"/>
          <w:lang w:val="en-GB" w:eastAsia="en-GB"/>
        </w:rPr>
        <w:t xml:space="preserve">would </w:t>
      </w:r>
      <w:r w:rsidRPr="002B6D20">
        <w:rPr>
          <w:rFonts w:eastAsia="Times New Roman"/>
          <w:szCs w:val="20"/>
          <w:lang w:val="en-GB" w:eastAsia="en-GB"/>
        </w:rPr>
        <w:t xml:space="preserve">provide a </w:t>
      </w:r>
      <w:r>
        <w:rPr>
          <w:rFonts w:eastAsia="Times New Roman"/>
          <w:szCs w:val="20"/>
          <w:lang w:val="en-GB" w:eastAsia="en-GB"/>
        </w:rPr>
        <w:t xml:space="preserve">comprehensive </w:t>
      </w:r>
      <w:r w:rsidRPr="002B6D20">
        <w:rPr>
          <w:rFonts w:eastAsia="Times New Roman"/>
          <w:szCs w:val="20"/>
          <w:lang w:val="en-GB" w:eastAsia="en-GB"/>
        </w:rPr>
        <w:t xml:space="preserve">mechanism for employers to check the </w:t>
      </w:r>
      <w:r w:rsidR="00CB2AAB">
        <w:rPr>
          <w:rFonts w:eastAsia="Times New Roman"/>
          <w:szCs w:val="20"/>
          <w:lang w:val="en-GB" w:eastAsia="en-GB"/>
        </w:rPr>
        <w:t xml:space="preserve">registration </w:t>
      </w:r>
      <w:r w:rsidRPr="002B6D20">
        <w:rPr>
          <w:rFonts w:eastAsia="Times New Roman"/>
          <w:szCs w:val="20"/>
          <w:lang w:val="en-GB" w:eastAsia="en-GB"/>
        </w:rPr>
        <w:t>status of any potential new employee.</w:t>
      </w:r>
    </w:p>
    <w:p w:rsidR="006638A8" w:rsidRPr="004C30BB" w:rsidRDefault="006638A8"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Even sanction</w:t>
      </w:r>
      <w:r w:rsidR="00652262">
        <w:rPr>
          <w:rFonts w:eastAsia="Times New Roman"/>
          <w:szCs w:val="20"/>
          <w:lang w:val="en-GB" w:eastAsia="en-GB"/>
        </w:rPr>
        <w:t>s</w:t>
      </w:r>
      <w:r>
        <w:rPr>
          <w:rFonts w:eastAsia="Times New Roman"/>
          <w:szCs w:val="20"/>
          <w:lang w:val="en-GB" w:eastAsia="en-GB"/>
        </w:rPr>
        <w:t xml:space="preserve"> against registered social workers </w:t>
      </w:r>
      <w:r w:rsidRPr="002B6D20">
        <w:rPr>
          <w:rFonts w:eastAsia="Times New Roman"/>
          <w:szCs w:val="20"/>
          <w:lang w:val="en-GB" w:eastAsia="en-GB"/>
        </w:rPr>
        <w:t xml:space="preserve">do not </w:t>
      </w:r>
      <w:r>
        <w:rPr>
          <w:rFonts w:eastAsia="Times New Roman"/>
          <w:szCs w:val="20"/>
          <w:lang w:val="en-GB" w:eastAsia="en-GB"/>
        </w:rPr>
        <w:t xml:space="preserve">necessarily </w:t>
      </w:r>
      <w:r w:rsidRPr="002B6D20">
        <w:rPr>
          <w:rFonts w:eastAsia="Times New Roman"/>
          <w:szCs w:val="20"/>
          <w:lang w:val="en-GB" w:eastAsia="en-GB"/>
        </w:rPr>
        <w:t xml:space="preserve">have the impact they should because they cannot be reliably enforced, since deregistration may have little impact on someone’s career under the voluntary system.  </w:t>
      </w:r>
      <w:r w:rsidR="00652262">
        <w:rPr>
          <w:rFonts w:eastAsia="Times New Roman"/>
          <w:szCs w:val="20"/>
          <w:lang w:val="en-GB" w:eastAsia="en-GB"/>
        </w:rPr>
        <w:t>T</w:t>
      </w:r>
      <w:r>
        <w:rPr>
          <w:rFonts w:eastAsia="Times New Roman"/>
          <w:szCs w:val="20"/>
          <w:lang w:val="en-GB" w:eastAsia="en-GB"/>
        </w:rPr>
        <w:t xml:space="preserve">he possibility of facing disciplinary or </w:t>
      </w:r>
      <w:r w:rsidRPr="002B6D20">
        <w:rPr>
          <w:rFonts w:eastAsia="Times New Roman"/>
          <w:szCs w:val="20"/>
          <w:lang w:val="en-GB" w:eastAsia="en-GB"/>
        </w:rPr>
        <w:t>accountability systems</w:t>
      </w:r>
      <w:r w:rsidR="00652262">
        <w:rPr>
          <w:rFonts w:eastAsia="Times New Roman"/>
          <w:szCs w:val="20"/>
          <w:lang w:val="en-GB" w:eastAsia="en-GB"/>
        </w:rPr>
        <w:t xml:space="preserve"> currently</w:t>
      </w:r>
      <w:r w:rsidRPr="002B6D20">
        <w:rPr>
          <w:rFonts w:eastAsia="Times New Roman"/>
          <w:szCs w:val="20"/>
          <w:lang w:val="en-GB" w:eastAsia="en-GB"/>
        </w:rPr>
        <w:t xml:space="preserve"> provide</w:t>
      </w:r>
      <w:r>
        <w:rPr>
          <w:rFonts w:eastAsia="Times New Roman"/>
          <w:szCs w:val="20"/>
          <w:lang w:val="en-GB" w:eastAsia="en-GB"/>
        </w:rPr>
        <w:t>s</w:t>
      </w:r>
      <w:r w:rsidRPr="002B6D20">
        <w:rPr>
          <w:rFonts w:eastAsia="Times New Roman"/>
          <w:szCs w:val="20"/>
          <w:lang w:val="en-GB" w:eastAsia="en-GB"/>
        </w:rPr>
        <w:t xml:space="preserve"> an incentive not to register in the first place.</w:t>
      </w:r>
    </w:p>
    <w:p w:rsidR="006638A8" w:rsidRDefault="006638A8"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Two other concerns arise from the current system:</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 xml:space="preserve">an equity and efficiency concern in that the cost of registration is higher than it should be because </w:t>
      </w:r>
      <w:r w:rsidRPr="004B74CF">
        <w:rPr>
          <w:rFonts w:eastAsia="Times New Roman" w:cs="Times New Roman"/>
          <w:szCs w:val="20"/>
          <w:lang w:val="en-GB" w:eastAsia="en-GB"/>
        </w:rPr>
        <w:t>up to 2</w:t>
      </w:r>
      <w:r w:rsidR="004B74CF" w:rsidRPr="004B74CF">
        <w:rPr>
          <w:rFonts w:eastAsia="Times New Roman" w:cs="Times New Roman"/>
          <w:szCs w:val="20"/>
          <w:lang w:val="en-GB" w:eastAsia="en-GB"/>
        </w:rPr>
        <w:t>5</w:t>
      </w:r>
      <w:r w:rsidRPr="004B74CF">
        <w:rPr>
          <w:rFonts w:eastAsia="Times New Roman" w:cs="Times New Roman"/>
          <w:szCs w:val="20"/>
          <w:lang w:val="en-GB" w:eastAsia="en-GB"/>
        </w:rPr>
        <w:t>% of the workforce are not registered.  This</w:t>
      </w:r>
      <w:r w:rsidRPr="00791494">
        <w:rPr>
          <w:rFonts w:eastAsia="Times New Roman" w:cs="Times New Roman"/>
          <w:szCs w:val="20"/>
          <w:lang w:val="en-GB" w:eastAsia="en-GB"/>
        </w:rPr>
        <w:t xml:space="preserve"> allows “free riding” by employers and social workers who take advantage of the Board’s work by using the concept of “</w:t>
      </w:r>
      <w:r w:rsidR="005E562D">
        <w:rPr>
          <w:rFonts w:eastAsia="Times New Roman" w:cs="Times New Roman"/>
          <w:szCs w:val="20"/>
          <w:lang w:val="en-GB" w:eastAsia="en-GB"/>
        </w:rPr>
        <w:t>registrable</w:t>
      </w:r>
      <w:r w:rsidRPr="00791494">
        <w:rPr>
          <w:rFonts w:eastAsia="Times New Roman" w:cs="Times New Roman"/>
          <w:szCs w:val="20"/>
          <w:lang w:val="en-GB" w:eastAsia="en-GB"/>
        </w:rPr>
        <w:t>”</w:t>
      </w:r>
      <w:r w:rsidR="00652262">
        <w:rPr>
          <w:rFonts w:eastAsia="Times New Roman" w:cs="Times New Roman"/>
          <w:szCs w:val="20"/>
          <w:lang w:val="en-GB" w:eastAsia="en-GB"/>
        </w:rPr>
        <w:t xml:space="preserve"> (</w:t>
      </w:r>
      <w:r w:rsidR="00340B40">
        <w:rPr>
          <w:rFonts w:eastAsia="Times New Roman" w:cs="Times New Roman"/>
          <w:szCs w:val="20"/>
          <w:lang w:val="en-GB" w:eastAsia="en-GB"/>
        </w:rPr>
        <w:t>ie</w:t>
      </w:r>
      <w:r w:rsidR="00652262">
        <w:rPr>
          <w:rFonts w:eastAsia="Times New Roman" w:cs="Times New Roman"/>
          <w:szCs w:val="20"/>
          <w:lang w:val="en-GB" w:eastAsia="en-GB"/>
        </w:rPr>
        <w:t xml:space="preserve"> could register but choose not to)</w:t>
      </w:r>
      <w:r w:rsidRPr="00791494">
        <w:rPr>
          <w:rFonts w:eastAsia="Times New Roman" w:cs="Times New Roman"/>
          <w:szCs w:val="20"/>
          <w:lang w:val="en-GB" w:eastAsia="en-GB"/>
        </w:rPr>
        <w:t xml:space="preserve"> to provide assurance of a certain level of quality practice, but do not </w:t>
      </w:r>
      <w:r w:rsidR="00C03D83">
        <w:rPr>
          <w:rFonts w:eastAsia="Times New Roman" w:cs="Times New Roman"/>
          <w:szCs w:val="20"/>
          <w:lang w:val="en-GB" w:eastAsia="en-GB"/>
        </w:rPr>
        <w:t xml:space="preserve">contribute to the cost.  </w:t>
      </w:r>
      <w:r w:rsidR="003E3527" w:rsidRPr="00791494">
        <w:rPr>
          <w:rFonts w:eastAsia="Times New Roman" w:cs="Times New Roman"/>
          <w:szCs w:val="20"/>
          <w:lang w:val="en-GB" w:eastAsia="en-GB"/>
        </w:rPr>
        <w:t xml:space="preserve">The Board is self-funding, and receives no </w:t>
      </w:r>
      <w:r w:rsidR="00C03D83">
        <w:rPr>
          <w:rFonts w:eastAsia="Times New Roman" w:cs="Times New Roman"/>
          <w:szCs w:val="20"/>
          <w:lang w:val="en-GB" w:eastAsia="en-GB"/>
        </w:rPr>
        <w:t>direct support from government.</w:t>
      </w:r>
      <w:r w:rsidRPr="00791494">
        <w:rPr>
          <w:rFonts w:eastAsia="Times New Roman" w:cs="Times New Roman"/>
          <w:szCs w:val="20"/>
          <w:lang w:val="en-GB" w:eastAsia="en-GB"/>
        </w:rPr>
        <w:t xml:space="preserve">  </w:t>
      </w:r>
    </w:p>
    <w:p w:rsidR="006638A8" w:rsidRPr="00791494" w:rsidRDefault="00C03D83"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g</w:t>
      </w:r>
      <w:r w:rsidR="006638A8" w:rsidRPr="00791494">
        <w:rPr>
          <w:rFonts w:eastAsia="Times New Roman" w:cs="Times New Roman"/>
          <w:szCs w:val="20"/>
          <w:lang w:val="en-GB" w:eastAsia="en-GB"/>
        </w:rPr>
        <w:t>iven the high proportion of social workers who are registered, clients and the public may wrongly assume that all social workers are</w:t>
      </w:r>
      <w:r w:rsidR="00A5636E">
        <w:rPr>
          <w:rFonts w:eastAsia="Times New Roman" w:cs="Times New Roman"/>
          <w:szCs w:val="20"/>
          <w:lang w:val="en-GB" w:eastAsia="en-GB"/>
        </w:rPr>
        <w:t xml:space="preserve"> and</w:t>
      </w:r>
      <w:r w:rsidR="00A5636E" w:rsidRPr="00A5636E">
        <w:rPr>
          <w:rFonts w:eastAsia="Times New Roman" w:cs="Times New Roman"/>
          <w:szCs w:val="20"/>
          <w:lang w:val="en-GB" w:eastAsia="en-GB"/>
        </w:rPr>
        <w:t xml:space="preserve"> </w:t>
      </w:r>
      <w:r w:rsidR="00A5636E">
        <w:rPr>
          <w:rFonts w:eastAsia="Times New Roman" w:cs="Times New Roman"/>
          <w:szCs w:val="20"/>
          <w:lang w:val="en-GB" w:eastAsia="en-GB"/>
        </w:rPr>
        <w:t>unfairly discredit</w:t>
      </w:r>
      <w:r w:rsidR="000B1E7C" w:rsidRPr="00791494">
        <w:rPr>
          <w:rFonts w:eastAsia="Times New Roman" w:cs="Times New Roman"/>
          <w:szCs w:val="20"/>
          <w:lang w:val="en-GB" w:eastAsia="en-GB"/>
        </w:rPr>
        <w:t xml:space="preserve"> the </w:t>
      </w:r>
      <w:r w:rsidR="00A5636E">
        <w:rPr>
          <w:rFonts w:eastAsia="Times New Roman" w:cs="Times New Roman"/>
          <w:szCs w:val="20"/>
          <w:lang w:val="en-GB" w:eastAsia="en-GB"/>
        </w:rPr>
        <w:t>value</w:t>
      </w:r>
      <w:r w:rsidR="00650DE0" w:rsidRPr="00791494">
        <w:rPr>
          <w:rFonts w:eastAsia="Times New Roman" w:cs="Times New Roman"/>
          <w:szCs w:val="20"/>
          <w:lang w:val="en-GB" w:eastAsia="en-GB"/>
        </w:rPr>
        <w:t xml:space="preserve"> </w:t>
      </w:r>
      <w:r w:rsidR="000B1E7C" w:rsidRPr="00791494">
        <w:rPr>
          <w:rFonts w:eastAsia="Times New Roman" w:cs="Times New Roman"/>
          <w:szCs w:val="20"/>
          <w:lang w:val="en-GB" w:eastAsia="en-GB"/>
        </w:rPr>
        <w:t>of the</w:t>
      </w:r>
      <w:r w:rsidR="00650DE0">
        <w:rPr>
          <w:rFonts w:eastAsia="Times New Roman" w:cs="Times New Roman"/>
          <w:szCs w:val="20"/>
          <w:lang w:val="en-GB" w:eastAsia="en-GB"/>
        </w:rPr>
        <w:t xml:space="preserve"> </w:t>
      </w:r>
      <w:r w:rsidR="000B1E7C" w:rsidRPr="00791494">
        <w:rPr>
          <w:rFonts w:eastAsia="Times New Roman" w:cs="Times New Roman"/>
          <w:szCs w:val="20"/>
          <w:lang w:val="en-GB" w:eastAsia="en-GB"/>
        </w:rPr>
        <w:t>registration system</w:t>
      </w:r>
      <w:r w:rsidR="00A5636E">
        <w:rPr>
          <w:rFonts w:eastAsia="Times New Roman" w:cs="Times New Roman"/>
          <w:szCs w:val="20"/>
          <w:lang w:val="en-GB" w:eastAsia="en-GB"/>
        </w:rPr>
        <w:t xml:space="preserve"> on the basis of the behaviour of unregistered social workers</w:t>
      </w:r>
      <w:r w:rsidR="006638A8" w:rsidRPr="00791494">
        <w:rPr>
          <w:rFonts w:eastAsia="Times New Roman" w:cs="Times New Roman"/>
          <w:szCs w:val="20"/>
          <w:lang w:val="en-GB" w:eastAsia="en-GB"/>
        </w:rPr>
        <w:t>.</w:t>
      </w:r>
    </w:p>
    <w:p w:rsidR="006638A8" w:rsidRDefault="006638A8" w:rsidP="005B5FC6">
      <w:pPr>
        <w:numPr>
          <w:ilvl w:val="0"/>
          <w:numId w:val="23"/>
        </w:numPr>
        <w:spacing w:after="240" w:line="240" w:lineRule="auto"/>
        <w:ind w:left="567" w:hanging="567"/>
        <w:rPr>
          <w:rFonts w:eastAsia="Times New Roman"/>
          <w:szCs w:val="20"/>
          <w:lang w:val="en-GB" w:eastAsia="en-GB"/>
        </w:rPr>
      </w:pPr>
      <w:r w:rsidRPr="00715C5E">
        <w:rPr>
          <w:rFonts w:eastAsia="Times New Roman"/>
          <w:szCs w:val="20"/>
          <w:lang w:val="en-GB" w:eastAsia="en-GB"/>
        </w:rPr>
        <w:lastRenderedPageBreak/>
        <w:t xml:space="preserve">The voluntary approach began the transition to a more professional workforce but nearly 14 years later it is time to move to a stronger footing.  A voluntary system is no longer adequate to ensure the level of professionalism now needed in the social work sector.  </w:t>
      </w:r>
      <w:r w:rsidRPr="002B6D20">
        <w:rPr>
          <w:rFonts w:eastAsia="Times New Roman"/>
          <w:szCs w:val="20"/>
          <w:lang w:val="en-GB" w:eastAsia="en-GB"/>
        </w:rPr>
        <w:t xml:space="preserve">Bringing the remaining practicing social workers into the regime, along with all new entrants, will ensure that the regime is better able to provide assurance to employers and clients, as well as promoting a positive professional identity to support high quality social work practice.  </w:t>
      </w:r>
      <w:r w:rsidRPr="00715C5E">
        <w:rPr>
          <w:rFonts w:eastAsia="Times New Roman"/>
          <w:szCs w:val="20"/>
          <w:lang w:val="en-GB" w:eastAsia="en-GB"/>
        </w:rPr>
        <w:t>As noted previously, having a competent, effective social work workforce is also a core component of the Government’s social investment approach.</w:t>
      </w:r>
    </w:p>
    <w:p w:rsidR="00D76064" w:rsidRPr="00CF1C3E" w:rsidRDefault="00D76064" w:rsidP="00D76064">
      <w:pPr>
        <w:spacing w:after="240" w:line="240" w:lineRule="auto"/>
        <w:rPr>
          <w:rFonts w:eastAsia="Times New Roman" w:cs="Times New Roman"/>
          <w:i/>
          <w:szCs w:val="20"/>
          <w:lang w:val="en-GB" w:eastAsia="en-GB"/>
        </w:rPr>
      </w:pPr>
      <w:r w:rsidRPr="00CF1C3E">
        <w:rPr>
          <w:rFonts w:eastAsia="Times New Roman" w:cs="Times New Roman"/>
          <w:i/>
          <w:szCs w:val="20"/>
          <w:lang w:val="en-GB" w:eastAsia="en-GB"/>
        </w:rPr>
        <w:t>Why do social workers choose not to register?</w:t>
      </w:r>
    </w:p>
    <w:p w:rsidR="00D76064" w:rsidRPr="00FD00D1" w:rsidRDefault="00D76064" w:rsidP="005B5FC6">
      <w:pPr>
        <w:numPr>
          <w:ilvl w:val="0"/>
          <w:numId w:val="23"/>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We have identified a range </w:t>
      </w:r>
      <w:r w:rsidR="00C03D83">
        <w:rPr>
          <w:rFonts w:eastAsia="Times New Roman" w:cs="Times New Roman"/>
          <w:szCs w:val="20"/>
          <w:lang w:val="en-GB" w:eastAsia="en-GB"/>
        </w:rPr>
        <w:t xml:space="preserve">of </w:t>
      </w:r>
      <w:r>
        <w:rPr>
          <w:rFonts w:eastAsia="Times New Roman" w:cs="Times New Roman"/>
          <w:szCs w:val="20"/>
          <w:lang w:val="en-GB" w:eastAsia="en-GB"/>
        </w:rPr>
        <w:t>reasons w</w:t>
      </w:r>
      <w:r w:rsidR="00C03D83">
        <w:rPr>
          <w:rFonts w:eastAsia="Times New Roman" w:cs="Times New Roman"/>
          <w:szCs w:val="20"/>
          <w:lang w:val="en-GB" w:eastAsia="en-GB"/>
        </w:rPr>
        <w:t>hy social workers do no</w:t>
      </w:r>
      <w:r w:rsidRPr="00FD00D1">
        <w:rPr>
          <w:rFonts w:eastAsia="Times New Roman" w:cs="Times New Roman"/>
          <w:szCs w:val="20"/>
          <w:lang w:val="en-GB" w:eastAsia="en-GB"/>
        </w:rPr>
        <w:t>t register</w:t>
      </w:r>
      <w:r>
        <w:rPr>
          <w:rFonts w:eastAsia="Times New Roman" w:cs="Times New Roman"/>
          <w:szCs w:val="20"/>
          <w:lang w:val="en-GB" w:eastAsia="en-GB"/>
        </w:rPr>
        <w:t>, based on an analysis of possible disincentives as well as information from various observers.  Some of these reasons may be a cause for concern about the practise of unregistered social workers, while others reflect on the system as it is operating currently.</w:t>
      </w:r>
    </w:p>
    <w:p w:rsidR="00D76064" w:rsidRDefault="00D76064" w:rsidP="005B5FC6">
      <w:pPr>
        <w:numPr>
          <w:ilvl w:val="0"/>
          <w:numId w:val="26"/>
        </w:numPr>
        <w:spacing w:after="240" w:line="240" w:lineRule="auto"/>
        <w:rPr>
          <w:rFonts w:eastAsia="Times New Roman" w:cs="Times New Roman"/>
          <w:szCs w:val="20"/>
          <w:lang w:val="en-GB" w:eastAsia="en-GB"/>
        </w:rPr>
      </w:pPr>
      <w:r>
        <w:rPr>
          <w:rFonts w:eastAsia="Times New Roman" w:cs="Times New Roman"/>
          <w:szCs w:val="20"/>
          <w:lang w:val="en-GB" w:eastAsia="en-GB"/>
        </w:rPr>
        <w:t xml:space="preserve">Avoiding accountability: Some individuals prefer not to be accountable if they can avoid it.  </w:t>
      </w:r>
      <w:r w:rsidRPr="00DC37B7">
        <w:rPr>
          <w:rFonts w:eastAsia="Times New Roman" w:cs="Times New Roman"/>
          <w:szCs w:val="20"/>
          <w:lang w:val="en-GB" w:eastAsia="en-GB"/>
        </w:rPr>
        <w:t xml:space="preserve">The system can be seen as complex and punitive, and </w:t>
      </w:r>
      <w:r>
        <w:rPr>
          <w:rFonts w:eastAsia="Times New Roman" w:cs="Times New Roman"/>
          <w:szCs w:val="20"/>
          <w:lang w:val="en-GB" w:eastAsia="en-GB"/>
        </w:rPr>
        <w:t>not</w:t>
      </w:r>
      <w:r w:rsidRPr="00DC37B7">
        <w:rPr>
          <w:rFonts w:eastAsia="Times New Roman" w:cs="Times New Roman"/>
          <w:szCs w:val="20"/>
          <w:lang w:val="en-GB" w:eastAsia="en-GB"/>
        </w:rPr>
        <w:t xml:space="preserve"> support</w:t>
      </w:r>
      <w:r>
        <w:rPr>
          <w:rFonts w:eastAsia="Times New Roman" w:cs="Times New Roman"/>
          <w:szCs w:val="20"/>
          <w:lang w:val="en-GB" w:eastAsia="en-GB"/>
        </w:rPr>
        <w:t>ive of</w:t>
      </w:r>
      <w:r w:rsidRPr="00DC37B7">
        <w:rPr>
          <w:rFonts w:eastAsia="Times New Roman" w:cs="Times New Roman"/>
          <w:szCs w:val="20"/>
          <w:lang w:val="en-GB" w:eastAsia="en-GB"/>
        </w:rPr>
        <w:t xml:space="preserve"> individuals or their employers.</w:t>
      </w:r>
    </w:p>
    <w:p w:rsidR="00D76064" w:rsidRPr="00FD00D1" w:rsidRDefault="00D76064" w:rsidP="005B5FC6">
      <w:pPr>
        <w:numPr>
          <w:ilvl w:val="0"/>
          <w:numId w:val="26"/>
        </w:numPr>
        <w:spacing w:after="240" w:line="240" w:lineRule="auto"/>
        <w:rPr>
          <w:rFonts w:eastAsia="Times New Roman" w:cs="Times New Roman"/>
          <w:szCs w:val="20"/>
          <w:lang w:val="en-GB" w:eastAsia="en-GB"/>
        </w:rPr>
      </w:pPr>
      <w:r>
        <w:rPr>
          <w:rFonts w:eastAsia="Times New Roman" w:cs="Times New Roman"/>
          <w:szCs w:val="20"/>
          <w:lang w:val="en-GB" w:eastAsia="en-GB"/>
        </w:rPr>
        <w:t>Inability or unwillingness to undertake training: This may be because of a lack of academic ability; the cost of training (direct cost and loss of income); a lack of interest or the nearness of retirement.</w:t>
      </w:r>
    </w:p>
    <w:p w:rsidR="00D76064" w:rsidRPr="00193FB8" w:rsidRDefault="00D76064" w:rsidP="005B5FC6">
      <w:pPr>
        <w:numPr>
          <w:ilvl w:val="0"/>
          <w:numId w:val="26"/>
        </w:numPr>
        <w:spacing w:after="240" w:line="240" w:lineRule="auto"/>
        <w:rPr>
          <w:rFonts w:eastAsia="Times New Roman" w:cs="Times New Roman"/>
          <w:szCs w:val="20"/>
          <w:lang w:val="en-GB" w:eastAsia="en-GB"/>
        </w:rPr>
      </w:pPr>
      <w:r>
        <w:rPr>
          <w:rFonts w:eastAsia="Times New Roman" w:cs="Times New Roman"/>
          <w:szCs w:val="20"/>
          <w:lang w:val="en-GB" w:eastAsia="en-GB"/>
        </w:rPr>
        <w:t>Lack of b</w:t>
      </w:r>
      <w:r w:rsidRPr="00924FB1">
        <w:rPr>
          <w:rFonts w:eastAsia="Times New Roman" w:cs="Times New Roman"/>
          <w:szCs w:val="20"/>
          <w:lang w:val="en-GB" w:eastAsia="en-GB"/>
        </w:rPr>
        <w:t>enefit</w:t>
      </w:r>
      <w:r>
        <w:rPr>
          <w:rFonts w:eastAsia="Times New Roman" w:cs="Times New Roman"/>
          <w:szCs w:val="20"/>
          <w:lang w:val="en-GB" w:eastAsia="en-GB"/>
        </w:rPr>
        <w:t xml:space="preserve"> from registration</w:t>
      </w:r>
      <w:r w:rsidRPr="00924FB1">
        <w:rPr>
          <w:rFonts w:eastAsia="Times New Roman" w:cs="Times New Roman"/>
          <w:szCs w:val="20"/>
          <w:lang w:val="en-GB" w:eastAsia="en-GB"/>
        </w:rPr>
        <w:t xml:space="preserve">: </w:t>
      </w:r>
      <w:r>
        <w:rPr>
          <w:rFonts w:eastAsia="Times New Roman" w:cs="Times New Roman"/>
          <w:szCs w:val="20"/>
          <w:lang w:val="en-GB" w:eastAsia="en-GB"/>
        </w:rPr>
        <w:t xml:space="preserve">Social workers are able to be employed without being registered, and </w:t>
      </w:r>
      <w:r w:rsidRPr="00193FB8">
        <w:rPr>
          <w:rFonts w:eastAsia="Times New Roman" w:cs="Times New Roman"/>
          <w:szCs w:val="20"/>
          <w:lang w:val="en-GB" w:eastAsia="en-GB"/>
        </w:rPr>
        <w:t>the salary premium for registration is modest and not paid by all employers.</w:t>
      </w:r>
    </w:p>
    <w:p w:rsidR="00D76064" w:rsidRPr="00FD00D1" w:rsidRDefault="00D76064" w:rsidP="005B5FC6">
      <w:pPr>
        <w:numPr>
          <w:ilvl w:val="0"/>
          <w:numId w:val="26"/>
        </w:numPr>
        <w:spacing w:after="240" w:line="240" w:lineRule="auto"/>
        <w:rPr>
          <w:rFonts w:eastAsia="Times New Roman" w:cs="Times New Roman"/>
          <w:szCs w:val="20"/>
          <w:lang w:val="en-GB" w:eastAsia="en-GB"/>
        </w:rPr>
      </w:pPr>
      <w:r>
        <w:rPr>
          <w:rFonts w:eastAsia="Times New Roman" w:cs="Times New Roman"/>
          <w:szCs w:val="20"/>
          <w:lang w:val="en-GB" w:eastAsia="en-GB"/>
        </w:rPr>
        <w:t>C</w:t>
      </w:r>
      <w:r w:rsidRPr="00FD00D1">
        <w:rPr>
          <w:rFonts w:eastAsia="Times New Roman" w:cs="Times New Roman"/>
          <w:szCs w:val="20"/>
          <w:lang w:val="en-GB" w:eastAsia="en-GB"/>
        </w:rPr>
        <w:t xml:space="preserve">ost: </w:t>
      </w:r>
      <w:r>
        <w:rPr>
          <w:rFonts w:eastAsia="Times New Roman" w:cs="Times New Roman"/>
          <w:szCs w:val="20"/>
          <w:lang w:val="en-GB" w:eastAsia="en-GB"/>
        </w:rPr>
        <w:t xml:space="preserve">Although the Board have succeeded in reducing fees, </w:t>
      </w:r>
      <w:r w:rsidR="006371A0">
        <w:rPr>
          <w:rFonts w:eastAsia="Times New Roman" w:cs="Times New Roman"/>
          <w:szCs w:val="20"/>
          <w:lang w:val="en-GB" w:eastAsia="en-GB"/>
        </w:rPr>
        <w:t>the</w:t>
      </w:r>
      <w:r w:rsidR="006371A0" w:rsidRPr="00FD00D1">
        <w:rPr>
          <w:rFonts w:eastAsia="Times New Roman" w:cs="Times New Roman"/>
          <w:szCs w:val="20"/>
          <w:lang w:val="en-GB" w:eastAsia="en-GB"/>
        </w:rPr>
        <w:t xml:space="preserve"> current cost of applying for </w:t>
      </w:r>
      <w:r w:rsidR="006371A0" w:rsidRPr="006371A0">
        <w:rPr>
          <w:rFonts w:eastAsia="Times New Roman" w:cs="Times New Roman"/>
          <w:szCs w:val="20"/>
          <w:lang w:val="en-GB" w:eastAsia="en-GB"/>
        </w:rPr>
        <w:t xml:space="preserve">registration </w:t>
      </w:r>
      <w:r w:rsidR="006371A0" w:rsidRPr="009873C6">
        <w:rPr>
          <w:lang w:val="en-GB" w:eastAsia="en-GB"/>
        </w:rPr>
        <w:t xml:space="preserve">($345) as well as on-going fees ($368 for the annual practising certificate and $255 </w:t>
      </w:r>
      <w:r w:rsidR="009873C6">
        <w:rPr>
          <w:lang w:val="en-GB" w:eastAsia="en-GB"/>
        </w:rPr>
        <w:t xml:space="preserve">for the </w:t>
      </w:r>
      <w:r w:rsidR="006371A0" w:rsidRPr="009873C6">
        <w:rPr>
          <w:lang w:val="en-GB" w:eastAsia="en-GB"/>
        </w:rPr>
        <w:t xml:space="preserve">five </w:t>
      </w:r>
      <w:r w:rsidR="009873C6">
        <w:rPr>
          <w:lang w:val="en-GB" w:eastAsia="en-GB"/>
        </w:rPr>
        <w:t>yearly competence assessment</w:t>
      </w:r>
      <w:r w:rsidR="006371A0" w:rsidRPr="006371A0">
        <w:rPr>
          <w:lang w:val="en-GB" w:eastAsia="en-GB"/>
        </w:rPr>
        <w:t xml:space="preserve">) </w:t>
      </w:r>
      <w:r w:rsidRPr="006371A0">
        <w:rPr>
          <w:rFonts w:eastAsia="Times New Roman" w:cs="Times New Roman"/>
          <w:szCs w:val="20"/>
          <w:lang w:val="en-GB" w:eastAsia="en-GB"/>
        </w:rPr>
        <w:t>can be unaffordable, particularly for NGOs</w:t>
      </w:r>
      <w:r w:rsidRPr="00FD00D1">
        <w:rPr>
          <w:rFonts w:eastAsia="Times New Roman" w:cs="Times New Roman"/>
          <w:szCs w:val="20"/>
          <w:lang w:val="en-GB" w:eastAsia="en-GB"/>
        </w:rPr>
        <w:t xml:space="preserve"> and individuals</w:t>
      </w:r>
      <w:r>
        <w:rPr>
          <w:rFonts w:eastAsia="Times New Roman" w:cs="Times New Roman"/>
          <w:szCs w:val="20"/>
          <w:lang w:val="en-GB" w:eastAsia="en-GB"/>
        </w:rPr>
        <w:t>.</w:t>
      </w:r>
    </w:p>
    <w:p w:rsidR="00D76064" w:rsidRPr="004A75EE" w:rsidRDefault="00D76064" w:rsidP="005B5FC6">
      <w:pPr>
        <w:numPr>
          <w:ilvl w:val="0"/>
          <w:numId w:val="26"/>
        </w:numPr>
        <w:spacing w:after="240" w:line="240" w:lineRule="auto"/>
        <w:rPr>
          <w:rFonts w:eastAsia="Times New Roman" w:cs="Times New Roman"/>
          <w:szCs w:val="20"/>
          <w:lang w:val="en-GB" w:eastAsia="en-GB"/>
        </w:rPr>
      </w:pPr>
      <w:r w:rsidRPr="004A75EE">
        <w:rPr>
          <w:rFonts w:eastAsia="Times New Roman" w:cs="Times New Roman"/>
          <w:szCs w:val="20"/>
          <w:lang w:val="en-GB" w:eastAsia="en-GB"/>
        </w:rPr>
        <w:t xml:space="preserve">Length of process: Competency must be assessed </w:t>
      </w:r>
      <w:r>
        <w:rPr>
          <w:rFonts w:eastAsia="Times New Roman" w:cs="Times New Roman"/>
          <w:szCs w:val="20"/>
          <w:lang w:val="en-GB" w:eastAsia="en-GB"/>
        </w:rPr>
        <w:t>within two years of</w:t>
      </w:r>
      <w:r w:rsidRPr="004A75EE">
        <w:rPr>
          <w:rFonts w:eastAsia="Times New Roman" w:cs="Times New Roman"/>
          <w:szCs w:val="20"/>
          <w:lang w:val="en-GB" w:eastAsia="en-GB"/>
        </w:rPr>
        <w:t xml:space="preserve"> registration and then at five-yearly intervals in order to retain a practising certificate. </w:t>
      </w:r>
      <w:r>
        <w:rPr>
          <w:rFonts w:eastAsia="Times New Roman" w:cs="Times New Roman"/>
          <w:szCs w:val="20"/>
          <w:lang w:val="en-GB" w:eastAsia="en-GB"/>
        </w:rPr>
        <w:t xml:space="preserve"> </w:t>
      </w:r>
      <w:r w:rsidRPr="004A75EE">
        <w:rPr>
          <w:rFonts w:eastAsia="Times New Roman" w:cs="Times New Roman"/>
          <w:szCs w:val="20"/>
          <w:lang w:val="en-GB" w:eastAsia="en-GB"/>
        </w:rPr>
        <w:t xml:space="preserve">This </w:t>
      </w:r>
      <w:r>
        <w:rPr>
          <w:rFonts w:eastAsia="Times New Roman" w:cs="Times New Roman"/>
          <w:szCs w:val="20"/>
          <w:lang w:val="en-GB" w:eastAsia="en-GB"/>
        </w:rPr>
        <w:t>is perceived by some as</w:t>
      </w:r>
      <w:r w:rsidRPr="004A75EE">
        <w:rPr>
          <w:rFonts w:eastAsia="Times New Roman" w:cs="Times New Roman"/>
          <w:szCs w:val="20"/>
          <w:lang w:val="en-GB" w:eastAsia="en-GB"/>
        </w:rPr>
        <w:t xml:space="preserve"> a lengthy and burdensome process.</w:t>
      </w:r>
    </w:p>
    <w:p w:rsidR="00F51DD6" w:rsidRDefault="002E4C8F" w:rsidP="005B5FC6">
      <w:pPr>
        <w:numPr>
          <w:ilvl w:val="0"/>
          <w:numId w:val="26"/>
        </w:numPr>
        <w:spacing w:after="240" w:line="240" w:lineRule="auto"/>
        <w:rPr>
          <w:rFonts w:eastAsia="Times New Roman" w:cs="Times New Roman"/>
          <w:szCs w:val="20"/>
          <w:lang w:val="en-GB" w:eastAsia="en-GB"/>
        </w:rPr>
      </w:pPr>
      <w:r w:rsidRPr="002E4C8F">
        <w:rPr>
          <w:rFonts w:eastAsia="Times New Roman" w:cs="Times New Roman"/>
          <w:szCs w:val="20"/>
          <w:lang w:val="en-GB" w:eastAsia="en-GB"/>
        </w:rPr>
        <w:t>Difficulty in “opting out”: Once registered, individuals are required to maintain a current practicing certificate if they are “employed or engaged as a social worker”.</w:t>
      </w:r>
      <w:r>
        <w:rPr>
          <w:rFonts w:eastAsia="Times New Roman" w:cs="Times New Roman"/>
          <w:szCs w:val="20"/>
          <w:lang w:val="en-GB" w:eastAsia="en-GB"/>
        </w:rPr>
        <w:t xml:space="preserve"> </w:t>
      </w:r>
      <w:r w:rsidRPr="002E4C8F">
        <w:rPr>
          <w:rFonts w:eastAsia="Times New Roman" w:cs="Times New Roman"/>
          <w:szCs w:val="20"/>
          <w:lang w:val="en-GB" w:eastAsia="en-GB"/>
        </w:rPr>
        <w:t xml:space="preserve"> Disputes have arisen between the Board and individuals, and the Board and employers as to whether a registered social worker who has changed roles should be maintainin</w:t>
      </w:r>
      <w:r>
        <w:rPr>
          <w:rFonts w:eastAsia="Times New Roman" w:cs="Times New Roman"/>
          <w:szCs w:val="20"/>
          <w:lang w:val="en-GB" w:eastAsia="en-GB"/>
        </w:rPr>
        <w:t xml:space="preserve">g their practicing certificate. </w:t>
      </w:r>
      <w:r w:rsidRPr="002E4C8F">
        <w:rPr>
          <w:rFonts w:eastAsia="Times New Roman" w:cs="Times New Roman"/>
          <w:szCs w:val="20"/>
          <w:lang w:val="en-GB" w:eastAsia="en-GB"/>
        </w:rPr>
        <w:t xml:space="preserve"> These include situations where registered social workers have moved into management or supervisory roles, or moved </w:t>
      </w:r>
      <w:r>
        <w:rPr>
          <w:rFonts w:eastAsia="Times New Roman" w:cs="Times New Roman"/>
          <w:szCs w:val="20"/>
          <w:lang w:val="en-GB" w:eastAsia="en-GB"/>
        </w:rPr>
        <w:t xml:space="preserve">to </w:t>
      </w:r>
      <w:r w:rsidRPr="002E4C8F">
        <w:rPr>
          <w:rFonts w:eastAsia="Times New Roman" w:cs="Times New Roman"/>
          <w:szCs w:val="20"/>
          <w:lang w:val="en-GB" w:eastAsia="en-GB"/>
        </w:rPr>
        <w:t>other roles such as probation officer, youth worker, or a social work education role.</w:t>
      </w:r>
      <w:r w:rsidR="00CA7299">
        <w:rPr>
          <w:rFonts w:eastAsia="Times New Roman" w:cs="Times New Roman"/>
          <w:szCs w:val="20"/>
          <w:lang w:val="en-GB" w:eastAsia="en-GB"/>
        </w:rPr>
        <w:t xml:space="preserve"> </w:t>
      </w:r>
      <w:r w:rsidRPr="002E4C8F">
        <w:rPr>
          <w:rFonts w:eastAsia="Times New Roman" w:cs="Times New Roman"/>
          <w:szCs w:val="20"/>
          <w:lang w:val="en-GB" w:eastAsia="en-GB"/>
        </w:rPr>
        <w:t xml:space="preserve"> A Crown Law opinion in 2013 provided guidance to the Board and the </w:t>
      </w:r>
      <w:r w:rsidR="00D9009E">
        <w:rPr>
          <w:rFonts w:eastAsia="Times New Roman" w:cs="Times New Roman"/>
          <w:szCs w:val="20"/>
          <w:lang w:val="en-GB" w:eastAsia="en-GB"/>
        </w:rPr>
        <w:t>Social Workers Complaints and Disciplinary Tribunal</w:t>
      </w:r>
      <w:r w:rsidRPr="002E4C8F">
        <w:rPr>
          <w:rFonts w:eastAsia="Times New Roman" w:cs="Times New Roman"/>
          <w:szCs w:val="20"/>
          <w:lang w:val="en-GB" w:eastAsia="en-GB"/>
        </w:rPr>
        <w:t xml:space="preserve"> relating to managers and supervisors of social workers, but noted “the section is somewhat opaque and it is not possible to state with any certainty the approach that a court </w:t>
      </w:r>
      <w:r w:rsidR="00CA7299">
        <w:rPr>
          <w:rFonts w:eastAsia="Times New Roman" w:cs="Times New Roman"/>
          <w:szCs w:val="20"/>
          <w:lang w:val="en-GB" w:eastAsia="en-GB"/>
        </w:rPr>
        <w:t xml:space="preserve">would take in interpreting it.” </w:t>
      </w:r>
      <w:r w:rsidRPr="002E4C8F">
        <w:rPr>
          <w:rFonts w:eastAsia="Times New Roman" w:cs="Times New Roman"/>
          <w:szCs w:val="20"/>
          <w:lang w:val="en-GB" w:eastAsia="en-GB"/>
        </w:rPr>
        <w:t xml:space="preserve"> There is concern from some individuals and employers that registered social workers face difficulties “opting out” after making career changes to roles that are not social work roles but may include tasks and skills common to social work.</w:t>
      </w:r>
    </w:p>
    <w:p w:rsidR="00F51DD6" w:rsidRPr="00F51DD6" w:rsidRDefault="00D76064" w:rsidP="005B5FC6">
      <w:pPr>
        <w:numPr>
          <w:ilvl w:val="0"/>
          <w:numId w:val="26"/>
        </w:numPr>
        <w:spacing w:after="240" w:line="240" w:lineRule="auto"/>
        <w:rPr>
          <w:rFonts w:eastAsia="Times New Roman" w:cs="Times New Roman"/>
          <w:szCs w:val="20"/>
          <w:lang w:val="en-GB" w:eastAsia="en-GB"/>
        </w:rPr>
      </w:pPr>
      <w:r w:rsidRPr="00F51DD6">
        <w:rPr>
          <w:rFonts w:eastAsia="Times New Roman" w:cs="Times New Roman"/>
          <w:szCs w:val="20"/>
          <w:lang w:val="en-GB" w:eastAsia="en-GB"/>
        </w:rPr>
        <w:t xml:space="preserve">Ideological objections: </w:t>
      </w:r>
      <w:r w:rsidR="000B5EC5">
        <w:rPr>
          <w:rFonts w:eastAsia="Times New Roman" w:cs="Times New Roman"/>
          <w:szCs w:val="20"/>
          <w:lang w:val="en-GB" w:eastAsia="en-GB"/>
        </w:rPr>
        <w:t>s</w:t>
      </w:r>
      <w:r w:rsidR="00F51DD6" w:rsidRPr="00F51DD6">
        <w:rPr>
          <w:rFonts w:eastAsia="Times New Roman" w:cs="Times New Roman"/>
          <w:szCs w:val="20"/>
          <w:lang w:val="en-GB" w:eastAsia="en-GB"/>
        </w:rPr>
        <w:t xml:space="preserve">ome social workers refuse to register as a matter of personal and political principle. </w:t>
      </w:r>
      <w:r w:rsidR="000B5EC5">
        <w:rPr>
          <w:rFonts w:eastAsia="Times New Roman" w:cs="Times New Roman"/>
          <w:szCs w:val="20"/>
          <w:lang w:val="en-GB" w:eastAsia="en-GB"/>
        </w:rPr>
        <w:t xml:space="preserve"> </w:t>
      </w:r>
      <w:r w:rsidRPr="00F51DD6">
        <w:rPr>
          <w:rFonts w:eastAsia="Times New Roman" w:cs="Times New Roman"/>
          <w:szCs w:val="20"/>
          <w:lang w:val="en-GB" w:eastAsia="en-GB"/>
        </w:rPr>
        <w:t>There are also reports of individuals who are clear they will not register until they have to.</w:t>
      </w:r>
    </w:p>
    <w:p w:rsidR="006638A8" w:rsidRPr="00562D43" w:rsidRDefault="006638A8" w:rsidP="00177E1D">
      <w:pPr>
        <w:spacing w:after="240"/>
        <w:outlineLvl w:val="2"/>
        <w:rPr>
          <w:rFonts w:eastAsia="Times New Roman" w:cs="Times New Roman"/>
          <w:b/>
          <w:sz w:val="24"/>
          <w:szCs w:val="24"/>
          <w:lang w:val="en-GB" w:eastAsia="en-GB"/>
        </w:rPr>
      </w:pPr>
      <w:bookmarkStart w:id="46" w:name="_Toc520457888"/>
      <w:r>
        <w:rPr>
          <w:rFonts w:eastAsia="Times New Roman" w:cs="Times New Roman"/>
          <w:b/>
          <w:sz w:val="24"/>
          <w:szCs w:val="24"/>
          <w:lang w:val="en-GB" w:eastAsia="en-GB"/>
        </w:rPr>
        <w:lastRenderedPageBreak/>
        <w:t>O</w:t>
      </w:r>
      <w:r w:rsidRPr="00562D43">
        <w:rPr>
          <w:rFonts w:eastAsia="Times New Roman" w:cs="Times New Roman"/>
          <w:b/>
          <w:sz w:val="24"/>
          <w:szCs w:val="24"/>
          <w:lang w:val="en-GB" w:eastAsia="en-GB"/>
        </w:rPr>
        <w:t>ptions</w:t>
      </w:r>
      <w:r>
        <w:rPr>
          <w:rFonts w:eastAsia="Times New Roman" w:cs="Times New Roman"/>
          <w:b/>
          <w:sz w:val="24"/>
          <w:szCs w:val="24"/>
          <w:lang w:val="en-GB" w:eastAsia="en-GB"/>
        </w:rPr>
        <w:t xml:space="preserve"> for the registration system</w:t>
      </w:r>
      <w:bookmarkEnd w:id="46"/>
    </w:p>
    <w:p w:rsidR="006638A8" w:rsidRPr="002C76E5" w:rsidRDefault="006638A8" w:rsidP="005B5FC6">
      <w:pPr>
        <w:numPr>
          <w:ilvl w:val="0"/>
          <w:numId w:val="23"/>
        </w:numPr>
        <w:spacing w:after="240" w:line="240" w:lineRule="auto"/>
        <w:ind w:left="567" w:hanging="567"/>
        <w:rPr>
          <w:rFonts w:eastAsia="Times New Roman"/>
          <w:color w:val="000000"/>
          <w:kern w:val="22"/>
          <w:szCs w:val="20"/>
          <w:lang w:eastAsia="en-NZ"/>
        </w:rPr>
      </w:pPr>
      <w:r w:rsidRPr="002C76E5">
        <w:rPr>
          <w:rFonts w:eastAsia="Times New Roman"/>
          <w:color w:val="000000"/>
          <w:kern w:val="22"/>
          <w:szCs w:val="20"/>
          <w:lang w:eastAsia="en-NZ"/>
        </w:rPr>
        <w:t>We have identified and investigated four options:</w:t>
      </w:r>
    </w:p>
    <w:p w:rsidR="006638A8" w:rsidRPr="002C76E5" w:rsidRDefault="006638A8" w:rsidP="005B5FC6">
      <w:pPr>
        <w:numPr>
          <w:ilvl w:val="0"/>
          <w:numId w:val="24"/>
        </w:numPr>
        <w:spacing w:after="240" w:line="240" w:lineRule="auto"/>
        <w:ind w:left="1134" w:hanging="567"/>
        <w:contextualSpacing/>
      </w:pPr>
      <w:r w:rsidRPr="002C76E5">
        <w:t xml:space="preserve">No change to the Status Quo </w:t>
      </w:r>
    </w:p>
    <w:p w:rsidR="006638A8" w:rsidRPr="002C76E5" w:rsidRDefault="006638A8" w:rsidP="005B5FC6">
      <w:pPr>
        <w:numPr>
          <w:ilvl w:val="0"/>
          <w:numId w:val="24"/>
        </w:numPr>
        <w:spacing w:after="240" w:line="240" w:lineRule="auto"/>
        <w:ind w:left="1134" w:hanging="567"/>
        <w:contextualSpacing/>
      </w:pPr>
      <w:r w:rsidRPr="002C76E5">
        <w:t>Non regulatory change</w:t>
      </w:r>
    </w:p>
    <w:p w:rsidR="006638A8" w:rsidRPr="002C76E5" w:rsidRDefault="006638A8" w:rsidP="005B5FC6">
      <w:pPr>
        <w:numPr>
          <w:ilvl w:val="0"/>
          <w:numId w:val="24"/>
        </w:numPr>
        <w:spacing w:after="240" w:line="240" w:lineRule="auto"/>
        <w:ind w:left="1134" w:hanging="567"/>
        <w:contextualSpacing/>
      </w:pPr>
      <w:r>
        <w:t>L</w:t>
      </w:r>
      <w:r w:rsidRPr="002C76E5">
        <w:t>egislative “tidy up” but no change to the coverage of the regulatory regime</w:t>
      </w:r>
    </w:p>
    <w:p w:rsidR="006638A8" w:rsidRPr="002C76E5" w:rsidRDefault="006638A8" w:rsidP="005B5FC6">
      <w:pPr>
        <w:numPr>
          <w:ilvl w:val="0"/>
          <w:numId w:val="24"/>
        </w:numPr>
        <w:spacing w:after="240" w:line="240" w:lineRule="auto"/>
        <w:ind w:left="1134" w:hanging="567"/>
        <w:contextualSpacing/>
      </w:pPr>
      <w:r w:rsidRPr="002C76E5">
        <w:t>Extension of the coverage of the regulatory regime.</w:t>
      </w:r>
    </w:p>
    <w:p w:rsidR="006638A8" w:rsidRPr="00AE21CC" w:rsidRDefault="006638A8" w:rsidP="00177E1D">
      <w:pPr>
        <w:spacing w:line="280" w:lineRule="atLeast"/>
        <w:rPr>
          <w:rFonts w:ascii="Arial" w:eastAsia="Times New Roman" w:hAnsi="Arial"/>
          <w:b/>
          <w:bCs/>
          <w:sz w:val="18"/>
          <w:szCs w:val="18"/>
          <w:lang w:val="en-GB" w:eastAsia="en-GB"/>
        </w:rPr>
      </w:pPr>
    </w:p>
    <w:p w:rsidR="006638A8" w:rsidRPr="002C76E5" w:rsidRDefault="006638A8" w:rsidP="00177E1D">
      <w:pPr>
        <w:spacing w:after="240" w:line="240" w:lineRule="auto"/>
        <w:rPr>
          <w:rFonts w:eastAsia="Times New Roman" w:cs="Times New Roman"/>
          <w:i/>
          <w:szCs w:val="20"/>
          <w:lang w:val="en-GB" w:eastAsia="en-GB"/>
        </w:rPr>
      </w:pPr>
      <w:r>
        <w:rPr>
          <w:rFonts w:eastAsia="Times New Roman" w:cs="Times New Roman"/>
          <w:i/>
          <w:szCs w:val="20"/>
          <w:lang w:val="en-GB" w:eastAsia="en-GB"/>
        </w:rPr>
        <w:t xml:space="preserve">Option 1: </w:t>
      </w:r>
      <w:r w:rsidRPr="002C76E5">
        <w:rPr>
          <w:rFonts w:eastAsia="Times New Roman" w:cs="Times New Roman"/>
          <w:i/>
          <w:szCs w:val="20"/>
          <w:lang w:val="en-GB" w:eastAsia="en-GB"/>
        </w:rPr>
        <w:t xml:space="preserve">No change to the Status Quo </w:t>
      </w:r>
    </w:p>
    <w:p w:rsidR="006638A8" w:rsidRPr="002C76E5" w:rsidRDefault="006638A8" w:rsidP="005B5FC6">
      <w:pPr>
        <w:numPr>
          <w:ilvl w:val="0"/>
          <w:numId w:val="23"/>
        </w:numPr>
        <w:spacing w:after="240" w:line="240" w:lineRule="auto"/>
        <w:ind w:left="567" w:hanging="567"/>
        <w:rPr>
          <w:rFonts w:eastAsia="Times New Roman"/>
          <w:color w:val="000000"/>
          <w:kern w:val="22"/>
          <w:szCs w:val="20"/>
          <w:lang w:eastAsia="en-NZ"/>
        </w:rPr>
      </w:pPr>
      <w:r w:rsidRPr="002C76E5">
        <w:rPr>
          <w:rFonts w:eastAsia="Times New Roman"/>
          <w:color w:val="000000"/>
          <w:kern w:val="22"/>
          <w:szCs w:val="20"/>
          <w:lang w:eastAsia="en-NZ"/>
        </w:rPr>
        <w:t xml:space="preserve">As detailed above, the Status Quo is not meeting the </w:t>
      </w:r>
      <w:r w:rsidR="00436602">
        <w:rPr>
          <w:rFonts w:eastAsia="Times New Roman"/>
          <w:color w:val="000000"/>
          <w:kern w:val="22"/>
          <w:szCs w:val="20"/>
          <w:lang w:eastAsia="en-NZ"/>
        </w:rPr>
        <w:t xml:space="preserve">immediate objective of registering all practising social workers.  Nor is it meeting the underlying </w:t>
      </w:r>
      <w:r w:rsidRPr="002C76E5">
        <w:rPr>
          <w:rFonts w:eastAsia="Times New Roman"/>
          <w:color w:val="000000"/>
          <w:kern w:val="22"/>
          <w:szCs w:val="20"/>
          <w:lang w:eastAsia="en-NZ"/>
        </w:rPr>
        <w:t>objective</w:t>
      </w:r>
      <w:r w:rsidR="00436602">
        <w:rPr>
          <w:rFonts w:eastAsia="Times New Roman"/>
          <w:color w:val="000000"/>
          <w:kern w:val="22"/>
          <w:szCs w:val="20"/>
          <w:lang w:eastAsia="en-NZ"/>
        </w:rPr>
        <w:t>s of</w:t>
      </w:r>
      <w:r w:rsidRPr="002C76E5">
        <w:rPr>
          <w:rFonts w:eastAsia="Times New Roman"/>
          <w:color w:val="000000"/>
          <w:kern w:val="22"/>
          <w:szCs w:val="20"/>
          <w:lang w:eastAsia="en-NZ"/>
        </w:rPr>
        <w:t xml:space="preserve"> increasing the professionalism of the social work workforce in order to </w:t>
      </w:r>
      <w:r w:rsidR="00436602">
        <w:rPr>
          <w:rFonts w:eastAsia="Times New Roman"/>
          <w:color w:val="000000"/>
          <w:kern w:val="22"/>
          <w:szCs w:val="20"/>
          <w:lang w:eastAsia="en-NZ"/>
        </w:rPr>
        <w:t xml:space="preserve">increase public confidence in the profession and </w:t>
      </w:r>
      <w:r w:rsidRPr="002C76E5">
        <w:rPr>
          <w:rFonts w:eastAsia="Times New Roman"/>
          <w:color w:val="000000"/>
          <w:kern w:val="22"/>
          <w:szCs w:val="20"/>
          <w:lang w:eastAsia="en-NZ"/>
        </w:rPr>
        <w:t>protect the public from harm</w:t>
      </w:r>
      <w:r w:rsidR="00436602">
        <w:rPr>
          <w:rFonts w:eastAsia="Times New Roman"/>
          <w:color w:val="000000"/>
          <w:kern w:val="22"/>
          <w:szCs w:val="20"/>
          <w:lang w:eastAsia="en-NZ"/>
        </w:rPr>
        <w:t>, or</w:t>
      </w:r>
      <w:r w:rsidRPr="002C76E5">
        <w:rPr>
          <w:rFonts w:eastAsia="Times New Roman"/>
          <w:color w:val="000000"/>
          <w:kern w:val="22"/>
          <w:szCs w:val="20"/>
          <w:lang w:eastAsia="en-NZ"/>
        </w:rPr>
        <w:t xml:space="preserve"> contribute to the Government’s goals for </w:t>
      </w:r>
      <w:r>
        <w:rPr>
          <w:rFonts w:eastAsia="Times New Roman"/>
          <w:color w:val="000000"/>
          <w:kern w:val="22"/>
          <w:szCs w:val="20"/>
          <w:lang w:eastAsia="en-NZ"/>
        </w:rPr>
        <w:t>the social investment approach.</w:t>
      </w:r>
    </w:p>
    <w:p w:rsidR="006638A8" w:rsidRPr="002C76E5" w:rsidRDefault="006638A8" w:rsidP="00177E1D">
      <w:pPr>
        <w:spacing w:after="240" w:line="240" w:lineRule="auto"/>
        <w:rPr>
          <w:rFonts w:eastAsia="Times New Roman" w:cs="Times New Roman"/>
          <w:i/>
          <w:szCs w:val="20"/>
          <w:lang w:val="en-GB" w:eastAsia="en-GB"/>
        </w:rPr>
      </w:pPr>
      <w:r>
        <w:rPr>
          <w:rFonts w:eastAsia="Times New Roman" w:cs="Times New Roman"/>
          <w:i/>
          <w:szCs w:val="20"/>
          <w:lang w:val="en-GB" w:eastAsia="en-GB"/>
        </w:rPr>
        <w:t xml:space="preserve">Option 2: </w:t>
      </w:r>
      <w:r w:rsidRPr="002C76E5">
        <w:rPr>
          <w:rFonts w:eastAsia="Times New Roman" w:cs="Times New Roman"/>
          <w:i/>
          <w:szCs w:val="20"/>
          <w:lang w:val="en-GB" w:eastAsia="en-GB"/>
        </w:rPr>
        <w:t>Non regulatory change</w:t>
      </w:r>
    </w:p>
    <w:p w:rsidR="006638A8" w:rsidRPr="006F47A3" w:rsidRDefault="006638A8" w:rsidP="005B5FC6">
      <w:pPr>
        <w:numPr>
          <w:ilvl w:val="0"/>
          <w:numId w:val="23"/>
        </w:numPr>
        <w:spacing w:after="240" w:line="240" w:lineRule="auto"/>
        <w:ind w:left="567" w:hanging="567"/>
        <w:rPr>
          <w:rFonts w:eastAsia="Times New Roman"/>
          <w:szCs w:val="20"/>
          <w:lang w:val="en-GB" w:eastAsia="en-GB"/>
        </w:rPr>
      </w:pPr>
      <w:r w:rsidRPr="00646B3E">
        <w:rPr>
          <w:rFonts w:eastAsia="Times New Roman"/>
          <w:szCs w:val="20"/>
          <w:lang w:val="en-GB" w:eastAsia="en-GB"/>
        </w:rPr>
        <w:t>There are various non-regulatory initiatives that meet the immediate objective of bringing more social workers under the registration regime, and address the underlying concerns of improving the quality of social work in New Zealand.</w:t>
      </w:r>
      <w:r w:rsidRPr="006F47A3">
        <w:rPr>
          <w:rFonts w:eastAsia="Times New Roman"/>
          <w:szCs w:val="20"/>
          <w:lang w:val="en-GB" w:eastAsia="en-GB"/>
        </w:rPr>
        <w:t xml:space="preserve"> </w:t>
      </w:r>
      <w:r>
        <w:rPr>
          <w:rFonts w:eastAsia="Times New Roman"/>
          <w:szCs w:val="20"/>
          <w:lang w:val="en-GB" w:eastAsia="en-GB"/>
        </w:rPr>
        <w:t xml:space="preserve"> The following are grouped into initiatives that are within the mandate of the Board, and things that can be done b</w:t>
      </w:r>
      <w:r w:rsidR="00EF3C04">
        <w:rPr>
          <w:rFonts w:eastAsia="Times New Roman"/>
          <w:szCs w:val="20"/>
          <w:lang w:val="en-GB" w:eastAsia="en-GB"/>
        </w:rPr>
        <w:t>y</w:t>
      </w:r>
      <w:r>
        <w:rPr>
          <w:rFonts w:eastAsia="Times New Roman"/>
          <w:szCs w:val="20"/>
          <w:lang w:val="en-GB" w:eastAsia="en-GB"/>
        </w:rPr>
        <w:t xml:space="preserve"> government, as a major employer and funder of social work services.</w:t>
      </w:r>
      <w:r w:rsidRPr="002B141A">
        <w:rPr>
          <w:rFonts w:eastAsia="Times New Roman"/>
          <w:szCs w:val="20"/>
          <w:lang w:val="en-GB" w:eastAsia="en-GB"/>
        </w:rPr>
        <w:t xml:space="preserve"> </w:t>
      </w:r>
      <w:r>
        <w:rPr>
          <w:rFonts w:eastAsia="Times New Roman"/>
          <w:szCs w:val="20"/>
          <w:lang w:val="en-GB" w:eastAsia="en-GB"/>
        </w:rPr>
        <w:t xml:space="preserve"> </w:t>
      </w:r>
      <w:r w:rsidRPr="00646B3E">
        <w:rPr>
          <w:rFonts w:eastAsia="Times New Roman"/>
          <w:szCs w:val="20"/>
          <w:lang w:val="en-GB" w:eastAsia="en-GB"/>
        </w:rPr>
        <w:t>All of these approaches are underway</w:t>
      </w:r>
      <w:r>
        <w:rPr>
          <w:rFonts w:eastAsia="Times New Roman"/>
          <w:szCs w:val="20"/>
          <w:lang w:val="en-GB" w:eastAsia="en-GB"/>
        </w:rPr>
        <w:t xml:space="preserve"> to varying extent</w:t>
      </w:r>
      <w:r w:rsidR="000B5EC5">
        <w:rPr>
          <w:rFonts w:eastAsia="Times New Roman"/>
          <w:szCs w:val="20"/>
          <w:lang w:val="en-GB" w:eastAsia="en-GB"/>
        </w:rPr>
        <w:t>s</w:t>
      </w:r>
      <w:r w:rsidRPr="00646B3E">
        <w:rPr>
          <w:rFonts w:eastAsia="Times New Roman"/>
          <w:szCs w:val="20"/>
          <w:lang w:val="en-GB" w:eastAsia="en-GB"/>
        </w:rPr>
        <w:t xml:space="preserve">, either as part of normal business-as–usual by the </w:t>
      </w:r>
      <w:r w:rsidR="00DC2521">
        <w:rPr>
          <w:rFonts w:eastAsia="Times New Roman"/>
          <w:szCs w:val="20"/>
          <w:lang w:val="en-GB" w:eastAsia="en-GB"/>
        </w:rPr>
        <w:t>Board</w:t>
      </w:r>
      <w:r w:rsidRPr="00646B3E">
        <w:rPr>
          <w:rFonts w:eastAsia="Times New Roman"/>
          <w:szCs w:val="20"/>
          <w:lang w:val="en-GB" w:eastAsia="en-GB"/>
        </w:rPr>
        <w:t xml:space="preserve"> and various government agencies, or are being substantially </w:t>
      </w:r>
      <w:r>
        <w:rPr>
          <w:rFonts w:eastAsia="Times New Roman"/>
          <w:szCs w:val="20"/>
          <w:lang w:val="en-GB" w:eastAsia="en-GB"/>
        </w:rPr>
        <w:t>reformed</w:t>
      </w:r>
      <w:r w:rsidR="00DC2521">
        <w:rPr>
          <w:rFonts w:eastAsia="Times New Roman"/>
          <w:szCs w:val="20"/>
          <w:lang w:val="en-GB" w:eastAsia="en-GB"/>
        </w:rPr>
        <w:t xml:space="preserve"> in the case of </w:t>
      </w:r>
      <w:r w:rsidR="00D17A08">
        <w:rPr>
          <w:rFonts w:eastAsia="Times New Roman"/>
          <w:szCs w:val="20"/>
          <w:lang w:val="en-GB" w:eastAsia="en-GB"/>
        </w:rPr>
        <w:t>CYF</w:t>
      </w:r>
      <w:r w:rsidRPr="00646B3E">
        <w:rPr>
          <w:rFonts w:eastAsia="Times New Roman"/>
          <w:szCs w:val="20"/>
          <w:lang w:val="en-GB" w:eastAsia="en-GB"/>
        </w:rPr>
        <w:t xml:space="preserve"> moving to </w:t>
      </w:r>
      <w:r w:rsidR="001913C7">
        <w:rPr>
          <w:rFonts w:eastAsia="Times New Roman"/>
          <w:szCs w:val="20"/>
          <w:lang w:val="en-GB" w:eastAsia="en-GB"/>
        </w:rPr>
        <w:t xml:space="preserve">become the </w:t>
      </w:r>
      <w:r w:rsidR="001913C7" w:rsidRPr="007A6992">
        <w:rPr>
          <w:rFonts w:eastAsia="Times New Roman"/>
          <w:szCs w:val="20"/>
          <w:lang w:val="en-GB" w:eastAsia="en-GB"/>
        </w:rPr>
        <w:t>Ministry for Vulne</w:t>
      </w:r>
      <w:r w:rsidR="001913C7">
        <w:rPr>
          <w:rFonts w:eastAsia="Times New Roman"/>
          <w:szCs w:val="20"/>
          <w:lang w:val="en-GB" w:eastAsia="en-GB"/>
        </w:rPr>
        <w:t>rable Children, Oranga Tamariki</w:t>
      </w:r>
      <w:r w:rsidR="003560CF">
        <w:rPr>
          <w:rFonts w:eastAsia="Times New Roman"/>
          <w:szCs w:val="20"/>
          <w:lang w:val="en-GB" w:eastAsia="en-GB"/>
        </w:rPr>
        <w:t>.</w:t>
      </w:r>
    </w:p>
    <w:p w:rsidR="006638A8" w:rsidRPr="00CB438D" w:rsidRDefault="00DC2521" w:rsidP="00177E1D">
      <w:pPr>
        <w:spacing w:after="240"/>
        <w:contextualSpacing/>
        <w:rPr>
          <w:i/>
        </w:rPr>
      </w:pPr>
      <w:r>
        <w:rPr>
          <w:i/>
        </w:rPr>
        <w:t>Actions by the Board</w:t>
      </w:r>
    </w:p>
    <w:p w:rsidR="006638A8" w:rsidRPr="00791494" w:rsidRDefault="00DC2521"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Active marketing by the Board</w:t>
      </w:r>
      <w:r w:rsidR="006638A8" w:rsidRPr="00791494">
        <w:rPr>
          <w:rFonts w:eastAsia="Times New Roman" w:cs="Times New Roman"/>
          <w:szCs w:val="20"/>
          <w:lang w:val="en-GB" w:eastAsia="en-GB"/>
        </w:rPr>
        <w:t xml:space="preserve"> to promote themselves to non-registered social workers</w:t>
      </w:r>
      <w:r w:rsidR="009873C6">
        <w:rPr>
          <w:rFonts w:eastAsia="Times New Roman" w:cs="Times New Roman"/>
          <w:szCs w:val="20"/>
          <w:lang w:val="en-GB" w:eastAsia="en-GB"/>
        </w:rPr>
        <w:t>.</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Increased information and promotion to the public and clients about standards to be expected and ways to complain</w:t>
      </w:r>
      <w:r w:rsidR="009873C6">
        <w:rPr>
          <w:rFonts w:eastAsia="Times New Roman" w:cs="Times New Roman"/>
          <w:szCs w:val="20"/>
          <w:lang w:val="en-GB" w:eastAsia="en-GB"/>
        </w:rPr>
        <w:t>.</w:t>
      </w:r>
      <w:r w:rsidRPr="00791494">
        <w:rPr>
          <w:rFonts w:eastAsia="Times New Roman" w:cs="Times New Roman"/>
          <w:szCs w:val="20"/>
          <w:lang w:val="en-GB" w:eastAsia="en-GB"/>
        </w:rPr>
        <w:t xml:space="preserve"> </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 xml:space="preserve">Investigating and promoting the quality of training to improve the skills and knowledge social workers gain from their initial qualifications and from on-going </w:t>
      </w:r>
      <w:r w:rsidR="00D13570">
        <w:rPr>
          <w:rFonts w:eastAsia="Times New Roman" w:cs="Times New Roman"/>
          <w:szCs w:val="20"/>
          <w:lang w:val="en-GB" w:eastAsia="en-GB"/>
        </w:rPr>
        <w:t xml:space="preserve">continuing professional development </w:t>
      </w:r>
      <w:r w:rsidRPr="00791494">
        <w:rPr>
          <w:rFonts w:eastAsia="Times New Roman" w:cs="Times New Roman"/>
          <w:szCs w:val="20"/>
          <w:lang w:val="en-GB" w:eastAsia="en-GB"/>
        </w:rPr>
        <w:t>(government also has a role here via the Tertiary Education Commission and the Ministry of Education who fund and monitor tertiary training</w:t>
      </w:r>
      <w:r w:rsidR="00D13570">
        <w:rPr>
          <w:rFonts w:eastAsia="Times New Roman" w:cs="Times New Roman"/>
          <w:szCs w:val="20"/>
          <w:lang w:val="en-GB" w:eastAsia="en-GB"/>
        </w:rPr>
        <w:t>)</w:t>
      </w:r>
      <w:r w:rsidR="009873C6">
        <w:rPr>
          <w:rFonts w:eastAsia="Times New Roman" w:cs="Times New Roman"/>
          <w:szCs w:val="20"/>
          <w:lang w:val="en-GB" w:eastAsia="en-GB"/>
        </w:rPr>
        <w:t>.</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Investigating and p</w:t>
      </w:r>
      <w:r w:rsidR="009873C6">
        <w:rPr>
          <w:rFonts w:eastAsia="Times New Roman" w:cs="Times New Roman"/>
          <w:szCs w:val="20"/>
          <w:lang w:val="en-GB" w:eastAsia="en-GB"/>
        </w:rPr>
        <w:t>romoting training pathways for social w</w:t>
      </w:r>
      <w:r w:rsidRPr="00791494">
        <w:rPr>
          <w:rFonts w:eastAsia="Times New Roman" w:cs="Times New Roman"/>
          <w:szCs w:val="20"/>
          <w:lang w:val="en-GB" w:eastAsia="en-GB"/>
        </w:rPr>
        <w:t xml:space="preserve">orkers with </w:t>
      </w:r>
      <w:r w:rsidR="006B345A" w:rsidRPr="00791494">
        <w:rPr>
          <w:rFonts w:eastAsia="Times New Roman" w:cs="Times New Roman"/>
          <w:szCs w:val="20"/>
          <w:lang w:val="en-GB" w:eastAsia="en-GB"/>
        </w:rPr>
        <w:t>fewer qualifications</w:t>
      </w:r>
      <w:r w:rsidRPr="00791494">
        <w:rPr>
          <w:rFonts w:eastAsia="Times New Roman" w:cs="Times New Roman"/>
          <w:szCs w:val="20"/>
          <w:lang w:val="en-GB" w:eastAsia="en-GB"/>
        </w:rPr>
        <w:t>.</w:t>
      </w:r>
    </w:p>
    <w:p w:rsidR="006638A8" w:rsidRDefault="006638A8" w:rsidP="00177E1D">
      <w:pPr>
        <w:spacing w:after="240" w:line="240" w:lineRule="auto"/>
        <w:ind w:left="360"/>
        <w:contextualSpacing/>
      </w:pPr>
    </w:p>
    <w:p w:rsidR="006638A8" w:rsidRPr="00CB438D" w:rsidRDefault="006638A8" w:rsidP="00177E1D">
      <w:pPr>
        <w:spacing w:after="240"/>
        <w:contextualSpacing/>
        <w:rPr>
          <w:i/>
        </w:rPr>
      </w:pPr>
      <w:r w:rsidRPr="00CB438D">
        <w:rPr>
          <w:i/>
        </w:rPr>
        <w:t xml:space="preserve">Actions by the </w:t>
      </w:r>
      <w:r>
        <w:rPr>
          <w:i/>
        </w:rPr>
        <w:t>Government as employer and funder of social services</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Increased information and promotion to the public and clients about standards to be expected and ways to complain</w:t>
      </w:r>
      <w:r w:rsidR="009873C6">
        <w:rPr>
          <w:rFonts w:eastAsia="Times New Roman" w:cs="Times New Roman"/>
          <w:szCs w:val="20"/>
          <w:lang w:val="en-GB" w:eastAsia="en-GB"/>
        </w:rPr>
        <w:t>.</w:t>
      </w:r>
      <w:r w:rsidRPr="00791494">
        <w:rPr>
          <w:rFonts w:eastAsia="Times New Roman" w:cs="Times New Roman"/>
          <w:szCs w:val="20"/>
          <w:lang w:val="en-GB" w:eastAsia="en-GB"/>
        </w:rPr>
        <w:t xml:space="preserve"> </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Additional specification by Government about the standards it requires of social workers working in Government agencies</w:t>
      </w:r>
      <w:r w:rsidR="009873C6">
        <w:rPr>
          <w:rFonts w:eastAsia="Times New Roman" w:cs="Times New Roman"/>
          <w:szCs w:val="20"/>
          <w:lang w:val="en-GB" w:eastAsia="en-GB"/>
        </w:rPr>
        <w:t>.</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Ensuring the requirements in Government contracts for registered social workers</w:t>
      </w:r>
      <w:r w:rsidR="009873C6">
        <w:rPr>
          <w:rFonts w:eastAsia="Times New Roman" w:cs="Times New Roman"/>
          <w:szCs w:val="20"/>
          <w:lang w:val="en-GB" w:eastAsia="en-GB"/>
        </w:rPr>
        <w:t>.</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 xml:space="preserve">Reviewing the working conditions for social workers, </w:t>
      </w:r>
      <w:r w:rsidR="00340B40">
        <w:rPr>
          <w:rFonts w:eastAsia="Times New Roman" w:cs="Times New Roman"/>
          <w:szCs w:val="20"/>
          <w:lang w:val="en-GB" w:eastAsia="en-GB"/>
        </w:rPr>
        <w:t>eg</w:t>
      </w:r>
      <w:r w:rsidRPr="00791494">
        <w:rPr>
          <w:rFonts w:eastAsia="Times New Roman" w:cs="Times New Roman"/>
          <w:szCs w:val="20"/>
          <w:lang w:val="en-GB" w:eastAsia="en-GB"/>
        </w:rPr>
        <w:t xml:space="preserve"> raising salary levels for better qualified and registered </w:t>
      </w:r>
      <w:r w:rsidR="00650DE0">
        <w:rPr>
          <w:rFonts w:eastAsia="Times New Roman" w:cs="Times New Roman"/>
          <w:szCs w:val="20"/>
          <w:lang w:val="en-GB" w:eastAsia="en-GB"/>
        </w:rPr>
        <w:t>social workers</w:t>
      </w:r>
      <w:r w:rsidRPr="00791494">
        <w:rPr>
          <w:rFonts w:eastAsia="Times New Roman" w:cs="Times New Roman"/>
          <w:szCs w:val="20"/>
          <w:lang w:val="en-GB" w:eastAsia="en-GB"/>
        </w:rPr>
        <w:t xml:space="preserve">, and ensuring appropriate supervision and caseloads.  </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lastRenderedPageBreak/>
        <w:t>Several other initiatives are also addressing workforce capability</w:t>
      </w:r>
      <w:r w:rsidR="000B5EC5">
        <w:rPr>
          <w:rFonts w:eastAsia="Times New Roman" w:cs="Times New Roman"/>
          <w:szCs w:val="20"/>
          <w:lang w:val="en-GB" w:eastAsia="en-GB"/>
        </w:rPr>
        <w:t>, for example</w:t>
      </w:r>
      <w:r w:rsidRPr="00791494">
        <w:rPr>
          <w:rFonts w:eastAsia="Times New Roman" w:cs="Times New Roman"/>
          <w:szCs w:val="20"/>
          <w:lang w:val="en-GB" w:eastAsia="en-GB"/>
        </w:rPr>
        <w:t xml:space="preserve"> Family Violence </w:t>
      </w:r>
      <w:r w:rsidR="000B5EC5">
        <w:rPr>
          <w:rFonts w:eastAsia="Times New Roman" w:cs="Times New Roman"/>
          <w:szCs w:val="20"/>
          <w:lang w:val="en-GB" w:eastAsia="en-GB"/>
        </w:rPr>
        <w:t xml:space="preserve">initiatives </w:t>
      </w:r>
      <w:r w:rsidRPr="00791494">
        <w:rPr>
          <w:rFonts w:eastAsia="Times New Roman" w:cs="Times New Roman"/>
          <w:szCs w:val="20"/>
          <w:lang w:val="en-GB" w:eastAsia="en-GB"/>
        </w:rPr>
        <w:t xml:space="preserve">and Children’s Action Plans.  </w:t>
      </w:r>
    </w:p>
    <w:p w:rsidR="006638A8" w:rsidRDefault="006638A8" w:rsidP="00177E1D">
      <w:pPr>
        <w:spacing w:after="240" w:line="240" w:lineRule="auto"/>
        <w:contextualSpacing/>
      </w:pPr>
    </w:p>
    <w:p w:rsidR="006638A8" w:rsidRPr="00646B3E" w:rsidRDefault="006638A8" w:rsidP="005B5FC6">
      <w:pPr>
        <w:numPr>
          <w:ilvl w:val="0"/>
          <w:numId w:val="23"/>
        </w:numPr>
        <w:spacing w:after="240" w:line="240" w:lineRule="auto"/>
        <w:ind w:left="567" w:hanging="567"/>
        <w:rPr>
          <w:rFonts w:eastAsia="Times New Roman"/>
          <w:szCs w:val="20"/>
          <w:lang w:val="en-GB" w:eastAsia="en-GB"/>
        </w:rPr>
      </w:pPr>
      <w:r w:rsidRPr="00646B3E">
        <w:rPr>
          <w:rFonts w:eastAsia="Times New Roman"/>
          <w:szCs w:val="20"/>
          <w:lang w:val="en-GB" w:eastAsia="en-GB"/>
        </w:rPr>
        <w:t xml:space="preserve">All of these </w:t>
      </w:r>
      <w:r>
        <w:rPr>
          <w:rFonts w:eastAsia="Times New Roman"/>
          <w:szCs w:val="20"/>
          <w:lang w:val="en-GB" w:eastAsia="en-GB"/>
        </w:rPr>
        <w:t>initiatives</w:t>
      </w:r>
      <w:r w:rsidRPr="00646B3E">
        <w:rPr>
          <w:rFonts w:eastAsia="Times New Roman"/>
          <w:szCs w:val="20"/>
          <w:lang w:val="en-GB" w:eastAsia="en-GB"/>
        </w:rPr>
        <w:t xml:space="preserve"> will be positive steps in meeting the primary objective of improving the skill and quality of the profession, to varying degrees, but they would be complementary to a mandatory regime rather than alternatives.  Some of these options would be easier to implement or enforce under a mandatory regime.</w:t>
      </w:r>
    </w:p>
    <w:p w:rsidR="006638A8" w:rsidRPr="000A1682" w:rsidRDefault="006638A8" w:rsidP="005B5FC6">
      <w:pPr>
        <w:numPr>
          <w:ilvl w:val="0"/>
          <w:numId w:val="23"/>
        </w:numPr>
        <w:spacing w:after="240" w:line="240" w:lineRule="auto"/>
        <w:ind w:left="567" w:hanging="567"/>
        <w:rPr>
          <w:rFonts w:eastAsia="Times New Roman"/>
          <w:szCs w:val="20"/>
          <w:lang w:val="en-GB" w:eastAsia="en-GB"/>
        </w:rPr>
      </w:pPr>
      <w:r w:rsidRPr="000A1682">
        <w:rPr>
          <w:rFonts w:eastAsia="Times New Roman"/>
          <w:szCs w:val="20"/>
          <w:lang w:val="en-GB" w:eastAsia="en-GB"/>
        </w:rPr>
        <w:t>None of these options would improv</w:t>
      </w:r>
      <w:r w:rsidR="00650DE0">
        <w:rPr>
          <w:rFonts w:eastAsia="Times New Roman"/>
          <w:szCs w:val="20"/>
          <w:lang w:val="en-GB" w:eastAsia="en-GB"/>
        </w:rPr>
        <w:t>e</w:t>
      </w:r>
      <w:r w:rsidRPr="000A1682">
        <w:rPr>
          <w:rFonts w:eastAsia="Times New Roman"/>
          <w:szCs w:val="20"/>
          <w:lang w:val="en-GB" w:eastAsia="en-GB"/>
        </w:rPr>
        <w:t xml:space="preserve"> the functioning of the </w:t>
      </w:r>
      <w:r w:rsidR="00650DE0">
        <w:rPr>
          <w:rFonts w:eastAsia="Times New Roman"/>
          <w:szCs w:val="20"/>
          <w:lang w:val="en-GB" w:eastAsia="en-GB"/>
        </w:rPr>
        <w:t xml:space="preserve">SWR </w:t>
      </w:r>
      <w:r w:rsidRPr="000A1682">
        <w:rPr>
          <w:rFonts w:eastAsia="Times New Roman"/>
          <w:szCs w:val="20"/>
          <w:lang w:val="en-GB" w:eastAsia="en-GB"/>
        </w:rPr>
        <w:t xml:space="preserve">Act.  Trying to manage and improve the quality of social workers operating outside the registration regime would continue to be more difficult than under a mandatory regime.  This is particularly the case for small NGOs for whom the registration system fulfils the roles of certification and ongoing assurance that larger employers could potentially undertake for themselves.  The fact that all government agencies, and the largest NGOs, have policies that support or require </w:t>
      </w:r>
      <w:r>
        <w:rPr>
          <w:rFonts w:eastAsia="Times New Roman"/>
          <w:szCs w:val="20"/>
          <w:lang w:val="en-GB" w:eastAsia="en-GB"/>
        </w:rPr>
        <w:t>social workers to be registered</w:t>
      </w:r>
      <w:r w:rsidRPr="000A1682">
        <w:rPr>
          <w:rFonts w:eastAsia="Times New Roman"/>
          <w:szCs w:val="20"/>
          <w:lang w:val="en-GB" w:eastAsia="en-GB"/>
        </w:rPr>
        <w:t xml:space="preserve"> – and all have a majority of their social workers registered - shows that the sector/industry accepts registration as being of value.</w:t>
      </w:r>
    </w:p>
    <w:p w:rsidR="006638A8" w:rsidRPr="002C76E5" w:rsidRDefault="006638A8" w:rsidP="00177E1D">
      <w:pPr>
        <w:spacing w:after="240" w:line="240" w:lineRule="auto"/>
        <w:rPr>
          <w:rFonts w:eastAsia="Times New Roman" w:cs="Times New Roman"/>
          <w:i/>
          <w:szCs w:val="20"/>
          <w:lang w:val="en-GB" w:eastAsia="en-GB"/>
        </w:rPr>
      </w:pPr>
      <w:r>
        <w:rPr>
          <w:rFonts w:eastAsia="Times New Roman" w:cs="Times New Roman"/>
          <w:i/>
          <w:szCs w:val="20"/>
          <w:lang w:val="en-GB" w:eastAsia="en-GB"/>
        </w:rPr>
        <w:t>Option 3: L</w:t>
      </w:r>
      <w:r w:rsidRPr="002C76E5">
        <w:rPr>
          <w:rFonts w:eastAsia="Times New Roman" w:cs="Times New Roman"/>
          <w:i/>
          <w:szCs w:val="20"/>
          <w:lang w:val="en-GB" w:eastAsia="en-GB"/>
        </w:rPr>
        <w:t>egislative “tidy up” but no change to the coverage of the regulatory regime</w:t>
      </w:r>
    </w:p>
    <w:p w:rsidR="006638A8" w:rsidRPr="0069299A" w:rsidRDefault="006638A8" w:rsidP="005B5FC6">
      <w:pPr>
        <w:numPr>
          <w:ilvl w:val="0"/>
          <w:numId w:val="23"/>
        </w:numPr>
        <w:spacing w:after="240" w:line="240" w:lineRule="auto"/>
        <w:ind w:left="567" w:hanging="567"/>
        <w:rPr>
          <w:rFonts w:eastAsia="Times New Roman"/>
          <w:szCs w:val="20"/>
          <w:lang w:val="en-GB" w:eastAsia="en-GB"/>
        </w:rPr>
      </w:pPr>
      <w:r w:rsidRPr="0069299A">
        <w:rPr>
          <w:rFonts w:eastAsia="Times New Roman"/>
          <w:szCs w:val="20"/>
          <w:lang w:val="en-GB" w:eastAsia="en-GB"/>
        </w:rPr>
        <w:t xml:space="preserve">This </w:t>
      </w:r>
      <w:r>
        <w:rPr>
          <w:rFonts w:eastAsia="Times New Roman"/>
          <w:szCs w:val="20"/>
          <w:lang w:val="en-GB" w:eastAsia="en-GB"/>
        </w:rPr>
        <w:t xml:space="preserve">option </w:t>
      </w:r>
      <w:r w:rsidRPr="0069299A">
        <w:rPr>
          <w:rFonts w:eastAsia="Times New Roman"/>
          <w:szCs w:val="20"/>
          <w:lang w:val="en-GB" w:eastAsia="en-GB"/>
        </w:rPr>
        <w:t xml:space="preserve">would entail implementing the </w:t>
      </w:r>
      <w:r w:rsidR="00101F12">
        <w:rPr>
          <w:rFonts w:eastAsia="Times New Roman"/>
          <w:szCs w:val="20"/>
          <w:lang w:val="en-GB" w:eastAsia="en-GB"/>
        </w:rPr>
        <w:t xml:space="preserve">Select </w:t>
      </w:r>
      <w:r w:rsidRPr="0069299A">
        <w:rPr>
          <w:rFonts w:eastAsia="Times New Roman"/>
          <w:szCs w:val="20"/>
          <w:lang w:val="en-GB" w:eastAsia="en-GB"/>
        </w:rPr>
        <w:t xml:space="preserve">Committee’s recommendations, except for the shift from voluntary system to a mandatory regime </w:t>
      </w:r>
      <w:r>
        <w:rPr>
          <w:rFonts w:eastAsia="Times New Roman"/>
          <w:szCs w:val="20"/>
          <w:lang w:val="en-GB" w:eastAsia="en-GB"/>
        </w:rPr>
        <w:t>(t</w:t>
      </w:r>
      <w:r w:rsidRPr="0069299A">
        <w:rPr>
          <w:rFonts w:eastAsia="Times New Roman"/>
          <w:szCs w:val="20"/>
          <w:lang w:val="en-GB" w:eastAsia="en-GB"/>
        </w:rPr>
        <w:t>hese recommendations are described in detail below</w:t>
      </w:r>
      <w:r>
        <w:rPr>
          <w:rFonts w:eastAsia="Times New Roman"/>
          <w:szCs w:val="20"/>
          <w:lang w:val="en-GB" w:eastAsia="en-GB"/>
        </w:rPr>
        <w:t>)</w:t>
      </w:r>
      <w:r w:rsidRPr="0069299A">
        <w:rPr>
          <w:rFonts w:eastAsia="Times New Roman"/>
          <w:szCs w:val="20"/>
          <w:lang w:val="en-GB" w:eastAsia="en-GB"/>
        </w:rPr>
        <w:t xml:space="preserve">.  It would entail minor legislative change, and is expected to improve the cost-effectiveness of the functioning of </w:t>
      </w:r>
      <w:r w:rsidR="00CC7880">
        <w:rPr>
          <w:rFonts w:eastAsia="Times New Roman"/>
          <w:szCs w:val="20"/>
          <w:lang w:val="en-GB" w:eastAsia="en-GB"/>
        </w:rPr>
        <w:t>the SWR Act</w:t>
      </w:r>
      <w:r>
        <w:rPr>
          <w:rFonts w:eastAsia="Times New Roman"/>
          <w:szCs w:val="20"/>
          <w:lang w:val="en-GB" w:eastAsia="en-GB"/>
        </w:rPr>
        <w:t xml:space="preserve"> which </w:t>
      </w:r>
      <w:r w:rsidRPr="0069299A">
        <w:rPr>
          <w:rFonts w:eastAsia="Times New Roman"/>
          <w:szCs w:val="20"/>
          <w:lang w:val="en-GB" w:eastAsia="en-GB"/>
        </w:rPr>
        <w:t xml:space="preserve">could be expected to reduce the costs of registration.  </w:t>
      </w:r>
      <w:r>
        <w:rPr>
          <w:rFonts w:eastAsia="Times New Roman"/>
          <w:szCs w:val="20"/>
          <w:lang w:val="en-GB" w:eastAsia="en-GB"/>
        </w:rPr>
        <w:t xml:space="preserve">It might also provide a boost to the voluntary uptake of registration, given reduced costs and a less cumbersome system of competency assessment. </w:t>
      </w:r>
    </w:p>
    <w:p w:rsidR="006638A8" w:rsidRPr="00C66A09" w:rsidRDefault="006638A8" w:rsidP="005B5FC6">
      <w:pPr>
        <w:numPr>
          <w:ilvl w:val="0"/>
          <w:numId w:val="23"/>
        </w:numPr>
        <w:spacing w:after="240" w:line="240" w:lineRule="auto"/>
        <w:ind w:left="567" w:hanging="567"/>
        <w:rPr>
          <w:rFonts w:eastAsia="Times New Roman"/>
          <w:szCs w:val="20"/>
          <w:lang w:val="en-GB" w:eastAsia="en-GB"/>
        </w:rPr>
      </w:pPr>
      <w:r w:rsidRPr="0069299A">
        <w:rPr>
          <w:rFonts w:eastAsia="Times New Roman"/>
          <w:szCs w:val="20"/>
          <w:lang w:val="en-GB" w:eastAsia="en-GB"/>
        </w:rPr>
        <w:t xml:space="preserve">This option would </w:t>
      </w:r>
      <w:r>
        <w:rPr>
          <w:rFonts w:eastAsia="Times New Roman"/>
          <w:szCs w:val="20"/>
          <w:lang w:val="en-GB" w:eastAsia="en-GB"/>
        </w:rPr>
        <w:t xml:space="preserve">also </w:t>
      </w:r>
      <w:r w:rsidRPr="0069299A">
        <w:rPr>
          <w:rFonts w:eastAsia="Times New Roman"/>
          <w:szCs w:val="20"/>
          <w:lang w:val="en-GB" w:eastAsia="en-GB"/>
        </w:rPr>
        <w:t xml:space="preserve">go some way to achieving the </w:t>
      </w:r>
      <w:r>
        <w:rPr>
          <w:rFonts w:eastAsia="Times New Roman"/>
          <w:szCs w:val="20"/>
          <w:lang w:val="en-GB" w:eastAsia="en-GB"/>
        </w:rPr>
        <w:t>subsidiary</w:t>
      </w:r>
      <w:r w:rsidRPr="000A1682">
        <w:rPr>
          <w:rFonts w:eastAsia="Times New Roman"/>
          <w:szCs w:val="20"/>
          <w:lang w:val="en-GB" w:eastAsia="en-GB"/>
        </w:rPr>
        <w:t xml:space="preserve"> </w:t>
      </w:r>
      <w:r w:rsidRPr="0069299A">
        <w:rPr>
          <w:rFonts w:eastAsia="Times New Roman"/>
          <w:szCs w:val="20"/>
          <w:lang w:val="en-GB" w:eastAsia="en-GB"/>
        </w:rPr>
        <w:t xml:space="preserve">objective of improving the functioning of </w:t>
      </w:r>
      <w:r w:rsidR="00CC7880">
        <w:rPr>
          <w:rFonts w:eastAsia="Times New Roman"/>
          <w:szCs w:val="20"/>
          <w:lang w:val="en-GB" w:eastAsia="en-GB"/>
        </w:rPr>
        <w:t>the SWR Act</w:t>
      </w:r>
      <w:r w:rsidRPr="0069299A">
        <w:rPr>
          <w:rFonts w:eastAsia="Times New Roman"/>
          <w:szCs w:val="20"/>
          <w:lang w:val="en-GB" w:eastAsia="en-GB"/>
        </w:rPr>
        <w:t xml:space="preserve">, but </w:t>
      </w:r>
      <w:r>
        <w:rPr>
          <w:rFonts w:eastAsia="Times New Roman"/>
          <w:szCs w:val="20"/>
          <w:lang w:val="en-GB" w:eastAsia="en-GB"/>
        </w:rPr>
        <w:t>does not address the undermining of</w:t>
      </w:r>
      <w:r w:rsidRPr="0069299A">
        <w:rPr>
          <w:rFonts w:eastAsia="Times New Roman"/>
          <w:szCs w:val="20"/>
          <w:lang w:val="en-GB" w:eastAsia="en-GB"/>
        </w:rPr>
        <w:t xml:space="preserve"> its effectiveness </w:t>
      </w:r>
      <w:r>
        <w:rPr>
          <w:rFonts w:eastAsia="Times New Roman"/>
          <w:szCs w:val="20"/>
          <w:lang w:val="en-GB" w:eastAsia="en-GB"/>
        </w:rPr>
        <w:t>because</w:t>
      </w:r>
      <w:r w:rsidRPr="0069299A">
        <w:rPr>
          <w:rFonts w:eastAsia="Times New Roman"/>
          <w:szCs w:val="20"/>
          <w:lang w:val="en-GB" w:eastAsia="en-GB"/>
        </w:rPr>
        <w:t xml:space="preserve"> social workers </w:t>
      </w:r>
      <w:r>
        <w:rPr>
          <w:rFonts w:eastAsia="Times New Roman"/>
          <w:szCs w:val="20"/>
          <w:lang w:val="en-GB" w:eastAsia="en-GB"/>
        </w:rPr>
        <w:t xml:space="preserve">could still continue </w:t>
      </w:r>
      <w:r w:rsidRPr="0069299A">
        <w:rPr>
          <w:rFonts w:eastAsia="Times New Roman"/>
          <w:szCs w:val="20"/>
          <w:lang w:val="en-GB" w:eastAsia="en-GB"/>
        </w:rPr>
        <w:t>to practice outside the regime.</w:t>
      </w:r>
      <w:r>
        <w:rPr>
          <w:rFonts w:eastAsia="Times New Roman"/>
          <w:szCs w:val="20"/>
          <w:lang w:val="en-GB" w:eastAsia="en-GB"/>
        </w:rPr>
        <w:t xml:space="preserve">  It is possible that the improvement gains may not be worth the cost of legislative change.  It would certainly be regarded as a missed opportunity by the </w:t>
      </w:r>
      <w:r w:rsidRPr="00C66A09">
        <w:rPr>
          <w:rFonts w:eastAsia="Times New Roman"/>
          <w:szCs w:val="20"/>
          <w:lang w:val="en-GB" w:eastAsia="en-GB"/>
        </w:rPr>
        <w:t>sector.</w:t>
      </w:r>
      <w:r w:rsidR="009D4A62">
        <w:rPr>
          <w:rFonts w:eastAsia="Times New Roman"/>
          <w:szCs w:val="20"/>
          <w:lang w:val="en-GB" w:eastAsia="en-GB"/>
        </w:rPr>
        <w:t xml:space="preserve"> It also does not resolve the disconnect between the public perception of all persons claiming to be social workers as certified professionals and the reality, that any person can practice as a “social worker” at present.</w:t>
      </w:r>
    </w:p>
    <w:p w:rsidR="006638A8" w:rsidRPr="00C66A09" w:rsidRDefault="006638A8" w:rsidP="00177E1D">
      <w:pPr>
        <w:spacing w:after="240" w:line="240" w:lineRule="auto"/>
        <w:rPr>
          <w:rFonts w:eastAsia="Times New Roman" w:cs="Times New Roman"/>
          <w:i/>
          <w:szCs w:val="20"/>
          <w:lang w:val="en-GB" w:eastAsia="en-GB"/>
        </w:rPr>
      </w:pPr>
      <w:r w:rsidRPr="00C66A09">
        <w:rPr>
          <w:rFonts w:eastAsia="Times New Roman" w:cs="Times New Roman"/>
          <w:i/>
          <w:szCs w:val="20"/>
          <w:lang w:val="en-GB" w:eastAsia="en-GB"/>
        </w:rPr>
        <w:t>Option 4: Extension of the coverage of the regulatory regime</w:t>
      </w:r>
    </w:p>
    <w:p w:rsidR="006638A8" w:rsidRPr="00C66A09" w:rsidRDefault="006638A8" w:rsidP="005B5FC6">
      <w:pPr>
        <w:numPr>
          <w:ilvl w:val="0"/>
          <w:numId w:val="23"/>
        </w:numPr>
        <w:spacing w:after="240" w:line="240" w:lineRule="auto"/>
        <w:ind w:left="567" w:hanging="567"/>
        <w:rPr>
          <w:rFonts w:eastAsia="Times New Roman"/>
          <w:szCs w:val="20"/>
          <w:lang w:val="en-GB" w:eastAsia="en-GB"/>
        </w:rPr>
      </w:pPr>
      <w:r w:rsidRPr="00C66A09">
        <w:rPr>
          <w:rFonts w:eastAsia="Times New Roman"/>
          <w:szCs w:val="20"/>
          <w:lang w:val="en-GB" w:eastAsia="en-GB"/>
        </w:rPr>
        <w:t xml:space="preserve">Under Option 4 we have considered three levels of regulation which would progressively extend the current regime.  These are linked to levels </w:t>
      </w:r>
      <w:r w:rsidR="005517FA">
        <w:rPr>
          <w:rFonts w:eastAsia="Times New Roman"/>
          <w:szCs w:val="20"/>
          <w:lang w:val="en-GB" w:eastAsia="en-GB"/>
        </w:rPr>
        <w:t>three</w:t>
      </w:r>
      <w:r w:rsidRPr="00C66A09">
        <w:rPr>
          <w:rFonts w:eastAsia="Times New Roman"/>
          <w:szCs w:val="20"/>
          <w:lang w:val="en-GB" w:eastAsia="en-GB"/>
        </w:rPr>
        <w:t xml:space="preserve"> to </w:t>
      </w:r>
      <w:r w:rsidR="005517FA">
        <w:rPr>
          <w:rFonts w:eastAsia="Times New Roman"/>
          <w:szCs w:val="20"/>
          <w:lang w:val="en-GB" w:eastAsia="en-GB"/>
        </w:rPr>
        <w:t>five</w:t>
      </w:r>
      <w:r w:rsidRPr="00C66A09">
        <w:rPr>
          <w:rFonts w:eastAsia="Times New Roman"/>
          <w:szCs w:val="20"/>
          <w:lang w:val="en-GB" w:eastAsia="en-GB"/>
        </w:rPr>
        <w:t xml:space="preserve"> of the Policy Framework for Occupational Regulation (the Policy Framework) [Cabinet Office Circular (99) 6 refers] which sets the following five levels of statutory occupational regulation:</w:t>
      </w:r>
    </w:p>
    <w:p w:rsidR="006638A8" w:rsidRPr="00C66A09" w:rsidRDefault="006638A8" w:rsidP="005B5FC6">
      <w:pPr>
        <w:pStyle w:val="ListParagraph"/>
        <w:numPr>
          <w:ilvl w:val="0"/>
          <w:numId w:val="19"/>
        </w:numPr>
        <w:spacing w:after="240" w:line="240" w:lineRule="auto"/>
        <w:ind w:left="1134" w:hanging="567"/>
        <w:rPr>
          <w:rFonts w:eastAsia="Times New Roman" w:cs="Times New Roman"/>
          <w:szCs w:val="20"/>
          <w:lang w:val="en-GB" w:eastAsia="en-GB"/>
        </w:rPr>
      </w:pPr>
      <w:r w:rsidRPr="00C66A09">
        <w:rPr>
          <w:rFonts w:eastAsia="Times New Roman" w:cs="Times New Roman"/>
          <w:i/>
          <w:szCs w:val="20"/>
          <w:lang w:val="en-GB" w:eastAsia="en-GB"/>
        </w:rPr>
        <w:t>Disclosure:</w:t>
      </w:r>
      <w:r w:rsidRPr="00C66A09">
        <w:rPr>
          <w:rFonts w:eastAsia="Times New Roman" w:cs="Times New Roman"/>
          <w:szCs w:val="20"/>
          <w:lang w:val="en-GB" w:eastAsia="en-GB"/>
        </w:rPr>
        <w:t xml:space="preserve"> Providers of a service are required to disclose specified information to prospective users of the service</w:t>
      </w:r>
    </w:p>
    <w:p w:rsidR="006638A8" w:rsidRPr="00C66A09" w:rsidRDefault="006638A8" w:rsidP="005B5FC6">
      <w:pPr>
        <w:pStyle w:val="ListParagraph"/>
        <w:numPr>
          <w:ilvl w:val="0"/>
          <w:numId w:val="19"/>
        </w:numPr>
        <w:spacing w:after="240" w:line="240" w:lineRule="auto"/>
        <w:ind w:left="1134" w:hanging="567"/>
        <w:rPr>
          <w:rFonts w:eastAsia="Times New Roman" w:cs="Times New Roman"/>
          <w:szCs w:val="20"/>
          <w:lang w:val="en-GB" w:eastAsia="en-GB"/>
        </w:rPr>
      </w:pPr>
      <w:r w:rsidRPr="00C66A09">
        <w:rPr>
          <w:rFonts w:eastAsia="Times New Roman" w:cs="Times New Roman"/>
          <w:i/>
          <w:szCs w:val="20"/>
          <w:lang w:val="en-GB" w:eastAsia="en-GB"/>
        </w:rPr>
        <w:t>Registration:</w:t>
      </w:r>
      <w:r w:rsidRPr="00C66A09">
        <w:rPr>
          <w:rFonts w:eastAsia="Times New Roman" w:cs="Times New Roman"/>
          <w:szCs w:val="20"/>
          <w:lang w:val="en-GB" w:eastAsia="en-GB"/>
        </w:rPr>
        <w:t xml:space="preserve"> There are no restrictions to entry to the occupation apart from the requirement to be on the register if a person wishes to enter, or continue to practise, a particular occupation</w:t>
      </w:r>
    </w:p>
    <w:p w:rsidR="006638A8" w:rsidRPr="00C66A09" w:rsidRDefault="006638A8" w:rsidP="005B5FC6">
      <w:pPr>
        <w:pStyle w:val="ListParagraph"/>
        <w:numPr>
          <w:ilvl w:val="0"/>
          <w:numId w:val="19"/>
        </w:numPr>
        <w:spacing w:after="240" w:line="240" w:lineRule="auto"/>
        <w:ind w:left="1134" w:hanging="567"/>
        <w:rPr>
          <w:rFonts w:eastAsia="Times New Roman" w:cs="Times New Roman"/>
          <w:szCs w:val="20"/>
          <w:lang w:val="en-GB" w:eastAsia="en-GB"/>
        </w:rPr>
      </w:pPr>
      <w:r w:rsidRPr="00C66A09">
        <w:rPr>
          <w:rFonts w:eastAsia="Times New Roman" w:cs="Times New Roman"/>
          <w:i/>
          <w:szCs w:val="20"/>
          <w:lang w:val="en-GB" w:eastAsia="en-GB"/>
        </w:rPr>
        <w:t>Certification</w:t>
      </w:r>
      <w:r w:rsidRPr="00C66A09">
        <w:rPr>
          <w:rFonts w:eastAsia="Times New Roman" w:cs="Times New Roman"/>
          <w:szCs w:val="20"/>
          <w:lang w:val="en-GB" w:eastAsia="en-GB"/>
        </w:rPr>
        <w:t xml:space="preserve">: an agency is given the power to legally certify that certain people are competent and professional practitioners of a given profession, having satisfied particular requirements that indicate their competence in a particular field.  Certified practitioners have an exclusive right to use a protected title – non-certified people can still practice in the field but may not call themselves by that title </w:t>
      </w:r>
    </w:p>
    <w:p w:rsidR="006638A8" w:rsidRPr="00C66A09" w:rsidRDefault="006638A8" w:rsidP="005B5FC6">
      <w:pPr>
        <w:pStyle w:val="ListParagraph"/>
        <w:numPr>
          <w:ilvl w:val="0"/>
          <w:numId w:val="19"/>
        </w:numPr>
        <w:spacing w:after="240" w:line="240" w:lineRule="auto"/>
        <w:ind w:left="1134" w:hanging="567"/>
        <w:rPr>
          <w:rFonts w:eastAsia="Times New Roman" w:cs="Times New Roman"/>
          <w:szCs w:val="20"/>
          <w:lang w:val="en-GB" w:eastAsia="en-GB"/>
        </w:rPr>
      </w:pPr>
      <w:r w:rsidRPr="00C66A09">
        <w:rPr>
          <w:rFonts w:eastAsia="Times New Roman" w:cs="Times New Roman"/>
          <w:i/>
          <w:szCs w:val="20"/>
          <w:lang w:val="en-GB" w:eastAsia="en-GB"/>
        </w:rPr>
        <w:lastRenderedPageBreak/>
        <w:t>Licensing tasks:</w:t>
      </w:r>
      <w:r w:rsidRPr="00C66A09">
        <w:rPr>
          <w:rFonts w:eastAsia="Times New Roman" w:cs="Times New Roman"/>
          <w:szCs w:val="20"/>
          <w:lang w:val="en-GB" w:eastAsia="en-GB"/>
        </w:rPr>
        <w:t xml:space="preserve"> This involves enacting legislation to grant an exclusive right to perform certain tasks to defined groups of people, such as statutory social work tasks</w:t>
      </w:r>
    </w:p>
    <w:p w:rsidR="006638A8" w:rsidRPr="00C66A09" w:rsidRDefault="006638A8" w:rsidP="005B5FC6">
      <w:pPr>
        <w:pStyle w:val="ListParagraph"/>
        <w:numPr>
          <w:ilvl w:val="0"/>
          <w:numId w:val="19"/>
        </w:numPr>
        <w:spacing w:after="240" w:line="240" w:lineRule="auto"/>
        <w:ind w:left="1134" w:hanging="567"/>
        <w:rPr>
          <w:rFonts w:eastAsia="Times New Roman" w:cs="Times New Roman"/>
          <w:szCs w:val="20"/>
          <w:lang w:val="en-GB" w:eastAsia="en-GB"/>
        </w:rPr>
      </w:pPr>
      <w:r w:rsidRPr="00C66A09">
        <w:rPr>
          <w:rFonts w:eastAsia="Times New Roman" w:cs="Times New Roman"/>
          <w:i/>
          <w:szCs w:val="20"/>
          <w:lang w:val="en-GB" w:eastAsia="en-GB"/>
        </w:rPr>
        <w:t>Licensing workers in an occupation:</w:t>
      </w:r>
      <w:r w:rsidRPr="00C66A09">
        <w:rPr>
          <w:rFonts w:eastAsia="Times New Roman" w:cs="Times New Roman"/>
          <w:szCs w:val="20"/>
          <w:lang w:val="en-GB" w:eastAsia="en-GB"/>
        </w:rPr>
        <w:t xml:space="preserve"> This regime explicitly prohibits all but licensed persons from offering certain services, and practicing in the specified field.</w:t>
      </w:r>
    </w:p>
    <w:p w:rsidR="006638A8" w:rsidRPr="00C66A09" w:rsidRDefault="006638A8" w:rsidP="00177E1D">
      <w:pPr>
        <w:spacing w:after="240" w:line="240" w:lineRule="auto"/>
        <w:rPr>
          <w:rFonts w:eastAsia="Times New Roman" w:cs="Times New Roman"/>
          <w:i/>
          <w:szCs w:val="20"/>
          <w:u w:val="single"/>
          <w:lang w:val="en-GB" w:eastAsia="en-GB"/>
        </w:rPr>
      </w:pPr>
      <w:r w:rsidRPr="00C66A09">
        <w:rPr>
          <w:rFonts w:eastAsia="Times New Roman" w:cs="Times New Roman"/>
          <w:i/>
          <w:szCs w:val="20"/>
          <w:u w:val="single"/>
          <w:lang w:val="en-GB" w:eastAsia="en-GB"/>
        </w:rPr>
        <w:t xml:space="preserve">Extension to Level </w:t>
      </w:r>
      <w:r w:rsidR="005517FA">
        <w:rPr>
          <w:rFonts w:eastAsia="Times New Roman" w:cs="Times New Roman"/>
          <w:i/>
          <w:szCs w:val="20"/>
          <w:u w:val="single"/>
          <w:lang w:val="en-GB" w:eastAsia="en-GB"/>
        </w:rPr>
        <w:t>Three</w:t>
      </w:r>
      <w:r w:rsidRPr="00C66A09">
        <w:rPr>
          <w:rFonts w:eastAsia="Times New Roman" w:cs="Times New Roman"/>
          <w:i/>
          <w:szCs w:val="20"/>
          <w:u w:val="single"/>
          <w:lang w:val="en-GB" w:eastAsia="en-GB"/>
        </w:rPr>
        <w:t>: Certification and title protection</w:t>
      </w:r>
    </w:p>
    <w:p w:rsidR="00865323" w:rsidRDefault="006638A8" w:rsidP="005B5FC6">
      <w:pPr>
        <w:pStyle w:val="ListParagraph"/>
        <w:numPr>
          <w:ilvl w:val="0"/>
          <w:numId w:val="23"/>
        </w:numPr>
        <w:spacing w:after="240" w:line="240" w:lineRule="auto"/>
        <w:ind w:left="567" w:hanging="567"/>
        <w:contextualSpacing w:val="0"/>
        <w:rPr>
          <w:rFonts w:eastAsia="Times New Roman"/>
          <w:szCs w:val="20"/>
          <w:lang w:val="en-GB" w:eastAsia="en-GB"/>
        </w:rPr>
      </w:pPr>
      <w:r w:rsidRPr="00177E1D">
        <w:rPr>
          <w:rFonts w:eastAsia="Times New Roman"/>
          <w:szCs w:val="20"/>
          <w:lang w:val="en-GB" w:eastAsia="en-GB"/>
        </w:rPr>
        <w:t xml:space="preserve">This </w:t>
      </w:r>
      <w:r w:rsidR="00C66A09" w:rsidRPr="00177E1D">
        <w:rPr>
          <w:rFonts w:eastAsia="Times New Roman"/>
          <w:szCs w:val="20"/>
          <w:lang w:val="en-GB" w:eastAsia="en-GB"/>
        </w:rPr>
        <w:t xml:space="preserve">change </w:t>
      </w:r>
      <w:r w:rsidRPr="00177E1D">
        <w:rPr>
          <w:rFonts w:eastAsia="Times New Roman"/>
          <w:szCs w:val="20"/>
          <w:lang w:val="en-GB" w:eastAsia="en-GB"/>
        </w:rPr>
        <w:t xml:space="preserve">would </w:t>
      </w:r>
      <w:r w:rsidR="00C66A09" w:rsidRPr="00177E1D">
        <w:rPr>
          <w:rFonts w:eastAsia="Times New Roman"/>
          <w:szCs w:val="20"/>
          <w:lang w:val="en-GB" w:eastAsia="en-GB"/>
        </w:rPr>
        <w:t>move to title protection of the</w:t>
      </w:r>
      <w:r w:rsidRPr="00177E1D">
        <w:rPr>
          <w:rFonts w:eastAsia="Times New Roman"/>
          <w:szCs w:val="20"/>
          <w:lang w:val="en-GB" w:eastAsia="en-GB"/>
        </w:rPr>
        <w:t xml:space="preserve"> wider </w:t>
      </w:r>
      <w:r w:rsidR="00C66A09" w:rsidRPr="00177E1D">
        <w:rPr>
          <w:rFonts w:eastAsia="Times New Roman"/>
          <w:szCs w:val="20"/>
          <w:lang w:val="en-GB" w:eastAsia="en-GB"/>
        </w:rPr>
        <w:t>title “social w</w:t>
      </w:r>
      <w:r w:rsidRPr="00177E1D">
        <w:rPr>
          <w:rFonts w:eastAsia="Times New Roman"/>
          <w:szCs w:val="20"/>
          <w:lang w:val="en-GB" w:eastAsia="en-GB"/>
        </w:rPr>
        <w:t>orker</w:t>
      </w:r>
      <w:r w:rsidR="00C66A09" w:rsidRPr="00177E1D">
        <w:rPr>
          <w:rFonts w:eastAsia="Times New Roman"/>
          <w:szCs w:val="20"/>
          <w:lang w:val="en-GB" w:eastAsia="en-GB"/>
        </w:rPr>
        <w:t>”</w:t>
      </w:r>
      <w:r w:rsidR="00AC1FE2" w:rsidRPr="00177E1D">
        <w:rPr>
          <w:rFonts w:eastAsia="Times New Roman"/>
          <w:szCs w:val="20"/>
          <w:lang w:val="en-GB" w:eastAsia="en-GB"/>
        </w:rPr>
        <w:t>, rather than the present protection of “registered social worker”</w:t>
      </w:r>
      <w:r w:rsidRPr="00177E1D">
        <w:rPr>
          <w:rFonts w:eastAsia="Times New Roman"/>
          <w:szCs w:val="20"/>
          <w:lang w:val="en-GB" w:eastAsia="en-GB"/>
        </w:rPr>
        <w:t xml:space="preserve">.  This is </w:t>
      </w:r>
      <w:r w:rsidR="00650DE0">
        <w:rPr>
          <w:rFonts w:eastAsia="Times New Roman"/>
          <w:szCs w:val="20"/>
          <w:lang w:val="en-GB" w:eastAsia="en-GB"/>
        </w:rPr>
        <w:t xml:space="preserve">primarily </w:t>
      </w:r>
      <w:r w:rsidRPr="00310CD2">
        <w:rPr>
          <w:rFonts w:eastAsia="Times New Roman"/>
          <w:szCs w:val="20"/>
          <w:lang w:val="en-GB" w:eastAsia="en-GB"/>
        </w:rPr>
        <w:t xml:space="preserve">the same level of regulation </w:t>
      </w:r>
      <w:r w:rsidR="00AC1FE2" w:rsidRPr="00310CD2">
        <w:rPr>
          <w:rFonts w:eastAsia="Times New Roman"/>
          <w:szCs w:val="20"/>
          <w:lang w:val="en-GB" w:eastAsia="en-GB"/>
        </w:rPr>
        <w:t>that applies</w:t>
      </w:r>
      <w:r w:rsidRPr="00310CD2">
        <w:rPr>
          <w:rFonts w:eastAsia="Times New Roman"/>
          <w:szCs w:val="20"/>
          <w:lang w:val="en-GB" w:eastAsia="en-GB"/>
        </w:rPr>
        <w:t xml:space="preserve"> to </w:t>
      </w:r>
      <w:r w:rsidR="005F11AA" w:rsidRPr="00310CD2">
        <w:rPr>
          <w:rFonts w:eastAsia="Times New Roman"/>
          <w:szCs w:val="20"/>
          <w:lang w:val="en-GB" w:eastAsia="en-GB"/>
        </w:rPr>
        <w:t xml:space="preserve">health practitioners who are registered under the </w:t>
      </w:r>
      <w:r w:rsidR="001913C7" w:rsidRPr="002A5D5B">
        <w:rPr>
          <w:rFonts w:eastAsia="Times New Roman" w:cs="Times New Roman"/>
          <w:szCs w:val="20"/>
          <w:lang w:val="en-GB" w:eastAsia="en-GB"/>
        </w:rPr>
        <w:t xml:space="preserve">Health Practitioners Competence Assurance Act </w:t>
      </w:r>
      <w:r w:rsidR="001913C7">
        <w:rPr>
          <w:rFonts w:eastAsia="Times New Roman" w:cs="Times New Roman"/>
          <w:szCs w:val="20"/>
          <w:lang w:val="en-GB" w:eastAsia="en-GB"/>
        </w:rPr>
        <w:t>2003 (</w:t>
      </w:r>
      <w:r w:rsidR="001913C7">
        <w:rPr>
          <w:rFonts w:eastAsia="Times New Roman"/>
          <w:szCs w:val="20"/>
          <w:lang w:val="en-GB" w:eastAsia="en-GB"/>
        </w:rPr>
        <w:t>HPCA Act)</w:t>
      </w:r>
      <w:r w:rsidR="005F11AA" w:rsidRPr="00310CD2">
        <w:rPr>
          <w:rFonts w:eastAsia="Times New Roman"/>
          <w:szCs w:val="20"/>
          <w:lang w:val="en-GB" w:eastAsia="en-GB"/>
        </w:rPr>
        <w:t>.  Only</w:t>
      </w:r>
      <w:r w:rsidR="005F11AA">
        <w:rPr>
          <w:rFonts w:eastAsia="Times New Roman"/>
          <w:szCs w:val="20"/>
          <w:lang w:val="en-GB" w:eastAsia="en-GB"/>
        </w:rPr>
        <w:t xml:space="preserve"> they</w:t>
      </w:r>
      <w:r w:rsidR="005F11AA" w:rsidRPr="00177E1D">
        <w:rPr>
          <w:rFonts w:eastAsia="Times New Roman"/>
          <w:szCs w:val="20"/>
          <w:lang w:val="en-GB" w:eastAsia="en-GB"/>
        </w:rPr>
        <w:t xml:space="preserve"> are able to use the titles protected by the </w:t>
      </w:r>
      <w:r w:rsidR="00CC7880">
        <w:rPr>
          <w:rFonts w:eastAsia="Times New Roman"/>
          <w:szCs w:val="20"/>
          <w:lang w:val="en-GB" w:eastAsia="en-GB"/>
        </w:rPr>
        <w:t xml:space="preserve">HPCA </w:t>
      </w:r>
      <w:r w:rsidR="005F11AA" w:rsidRPr="00177E1D">
        <w:rPr>
          <w:rFonts w:eastAsia="Times New Roman"/>
          <w:szCs w:val="20"/>
          <w:lang w:val="en-GB" w:eastAsia="en-GB"/>
        </w:rPr>
        <w:t xml:space="preserve">Act </w:t>
      </w:r>
      <w:r w:rsidR="00340B40">
        <w:rPr>
          <w:rFonts w:eastAsia="Times New Roman"/>
          <w:szCs w:val="20"/>
          <w:lang w:val="en-GB" w:eastAsia="en-GB"/>
        </w:rPr>
        <w:t>eg</w:t>
      </w:r>
      <w:r w:rsidR="00865323">
        <w:rPr>
          <w:rFonts w:eastAsia="Times New Roman"/>
          <w:szCs w:val="20"/>
          <w:lang w:val="en-GB" w:eastAsia="en-GB"/>
        </w:rPr>
        <w:t xml:space="preserve"> “Nurse” </w:t>
      </w:r>
      <w:r w:rsidR="005F11AA" w:rsidRPr="00177E1D">
        <w:rPr>
          <w:rFonts w:eastAsia="Times New Roman"/>
          <w:szCs w:val="20"/>
          <w:lang w:val="en-GB" w:eastAsia="en-GB"/>
        </w:rPr>
        <w:t xml:space="preserve">or claim to be practising a profession that is regulated by the </w:t>
      </w:r>
      <w:r w:rsidR="00D13570">
        <w:rPr>
          <w:rFonts w:eastAsia="Times New Roman"/>
          <w:szCs w:val="20"/>
          <w:lang w:val="en-GB" w:eastAsia="en-GB"/>
        </w:rPr>
        <w:t xml:space="preserve">HPCA </w:t>
      </w:r>
      <w:r w:rsidR="005F11AA" w:rsidRPr="00177E1D">
        <w:rPr>
          <w:rFonts w:eastAsia="Times New Roman"/>
          <w:szCs w:val="20"/>
          <w:lang w:val="en-GB" w:eastAsia="en-GB"/>
        </w:rPr>
        <w:t>Act</w:t>
      </w:r>
      <w:r w:rsidRPr="00177E1D">
        <w:rPr>
          <w:rFonts w:eastAsia="Times New Roman"/>
          <w:szCs w:val="20"/>
          <w:lang w:val="en-GB" w:eastAsia="en-GB"/>
        </w:rPr>
        <w:t xml:space="preserve">.  </w:t>
      </w:r>
      <w:r w:rsidR="00EF1FBA" w:rsidRPr="00EB09AA">
        <w:rPr>
          <w:rFonts w:eastAsia="Times New Roman"/>
          <w:szCs w:val="20"/>
          <w:lang w:val="en-GB" w:eastAsia="en-GB"/>
        </w:rPr>
        <w:t>However, any non-registered person may carry out those activities as long as they do not use the protected titles.</w:t>
      </w:r>
      <w:r w:rsidR="00EF1FBA">
        <w:rPr>
          <w:rFonts w:eastAsia="Times New Roman"/>
          <w:szCs w:val="20"/>
          <w:lang w:val="en-GB" w:eastAsia="en-GB"/>
        </w:rPr>
        <w:t xml:space="preserve">  </w:t>
      </w:r>
      <w:r w:rsidR="005F11AA">
        <w:rPr>
          <w:rFonts w:eastAsia="Times New Roman"/>
          <w:szCs w:val="20"/>
          <w:lang w:val="en-GB" w:eastAsia="en-GB"/>
        </w:rPr>
        <w:t>O</w:t>
      </w:r>
      <w:r w:rsidR="005F11AA" w:rsidRPr="00177E1D">
        <w:rPr>
          <w:rFonts w:eastAsia="Times New Roman"/>
          <w:szCs w:val="20"/>
          <w:lang w:val="en-GB" w:eastAsia="en-GB"/>
        </w:rPr>
        <w:t>nce registered, a registered health practitioner must operate within an approved scope of practice.</w:t>
      </w:r>
      <w:r w:rsidR="005F11AA">
        <w:rPr>
          <w:rFonts w:eastAsia="Times New Roman"/>
          <w:szCs w:val="20"/>
          <w:lang w:val="en-GB" w:eastAsia="en-GB"/>
        </w:rPr>
        <w:t xml:space="preserve"> </w:t>
      </w:r>
      <w:r w:rsidR="005F11AA" w:rsidRPr="00177E1D">
        <w:rPr>
          <w:rFonts w:eastAsia="Times New Roman"/>
          <w:szCs w:val="20"/>
          <w:lang w:val="en-GB" w:eastAsia="en-GB"/>
        </w:rPr>
        <w:t xml:space="preserve"> </w:t>
      </w:r>
      <w:r w:rsidR="003560CF">
        <w:rPr>
          <w:rFonts w:eastAsia="Times New Roman"/>
          <w:szCs w:val="20"/>
          <w:lang w:val="en-GB" w:eastAsia="en-GB"/>
        </w:rPr>
        <w:t xml:space="preserve">Scopes of practice are </w:t>
      </w:r>
      <w:r w:rsidR="005F11AA">
        <w:rPr>
          <w:rFonts w:eastAsia="Times New Roman"/>
          <w:szCs w:val="20"/>
          <w:lang w:val="en-GB" w:eastAsia="en-GB"/>
        </w:rPr>
        <w:t xml:space="preserve">not </w:t>
      </w:r>
      <w:r w:rsidR="005F11AA" w:rsidRPr="00177E1D">
        <w:rPr>
          <w:rFonts w:eastAsia="Times New Roman"/>
          <w:szCs w:val="20"/>
          <w:lang w:val="en-GB" w:eastAsia="en-GB"/>
        </w:rPr>
        <w:t>specifically outlined in the Cabinet framework</w:t>
      </w:r>
      <w:r w:rsidR="005F11AA">
        <w:rPr>
          <w:rFonts w:eastAsia="Times New Roman"/>
          <w:szCs w:val="20"/>
          <w:lang w:val="en-GB" w:eastAsia="en-GB"/>
        </w:rPr>
        <w:t xml:space="preserve">, but </w:t>
      </w:r>
      <w:r w:rsidR="00865323">
        <w:rPr>
          <w:rFonts w:eastAsia="Times New Roman"/>
          <w:szCs w:val="20"/>
          <w:lang w:val="en-GB" w:eastAsia="en-GB"/>
        </w:rPr>
        <w:t xml:space="preserve">developing </w:t>
      </w:r>
      <w:r w:rsidR="003560CF">
        <w:rPr>
          <w:rFonts w:eastAsia="Times New Roman"/>
          <w:szCs w:val="20"/>
          <w:lang w:val="en-GB" w:eastAsia="en-GB"/>
        </w:rPr>
        <w:t xml:space="preserve">them </w:t>
      </w:r>
      <w:r w:rsidR="00865323">
        <w:rPr>
          <w:rFonts w:eastAsia="Times New Roman"/>
          <w:szCs w:val="20"/>
          <w:lang w:val="en-GB" w:eastAsia="en-GB"/>
        </w:rPr>
        <w:t xml:space="preserve">allows the regulating authority to develop more detailed requirements for specialist practitioners, and to stop practitioners working in a field they are not qualified in </w:t>
      </w:r>
      <w:r w:rsidR="00340B40">
        <w:rPr>
          <w:rFonts w:eastAsia="Times New Roman"/>
          <w:szCs w:val="20"/>
          <w:lang w:val="en-GB" w:eastAsia="en-GB"/>
        </w:rPr>
        <w:t>eg</w:t>
      </w:r>
      <w:r w:rsidR="00865323">
        <w:rPr>
          <w:rFonts w:eastAsia="Times New Roman"/>
          <w:szCs w:val="20"/>
          <w:lang w:val="en-GB" w:eastAsia="en-GB"/>
        </w:rPr>
        <w:t xml:space="preserve"> a </w:t>
      </w:r>
      <w:r w:rsidR="006D44F9">
        <w:rPr>
          <w:rFonts w:eastAsia="Times New Roman"/>
          <w:szCs w:val="20"/>
          <w:lang w:val="en-GB" w:eastAsia="en-GB"/>
        </w:rPr>
        <w:t>neuro</w:t>
      </w:r>
      <w:r w:rsidR="00865323">
        <w:rPr>
          <w:rFonts w:eastAsia="Times New Roman"/>
          <w:szCs w:val="20"/>
          <w:lang w:val="en-GB" w:eastAsia="en-GB"/>
        </w:rPr>
        <w:t xml:space="preserve">surgeon practicing </w:t>
      </w:r>
      <w:r w:rsidR="006D44F9">
        <w:rPr>
          <w:rFonts w:eastAsia="Times New Roman"/>
          <w:szCs w:val="20"/>
          <w:lang w:val="en-GB" w:eastAsia="en-GB"/>
        </w:rPr>
        <w:t>cardiothoracic surgery</w:t>
      </w:r>
      <w:r w:rsidR="00865323">
        <w:rPr>
          <w:rFonts w:eastAsia="Times New Roman"/>
          <w:szCs w:val="20"/>
          <w:lang w:val="en-GB" w:eastAsia="en-GB"/>
        </w:rPr>
        <w:t>.</w:t>
      </w:r>
    </w:p>
    <w:p w:rsidR="00EF1FBA" w:rsidRPr="00C66A09" w:rsidRDefault="003560CF"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Making s</w:t>
      </w:r>
      <w:r w:rsidR="00EF1FBA">
        <w:rPr>
          <w:rFonts w:eastAsia="Times New Roman"/>
          <w:szCs w:val="20"/>
          <w:lang w:val="en-GB" w:eastAsia="en-GB"/>
        </w:rPr>
        <w:t>uch a</w:t>
      </w:r>
      <w:r w:rsidR="00EF1FBA" w:rsidRPr="00C66A09">
        <w:rPr>
          <w:rFonts w:eastAsia="Times New Roman"/>
          <w:szCs w:val="20"/>
          <w:lang w:val="en-GB" w:eastAsia="en-GB"/>
        </w:rPr>
        <w:t xml:space="preserve"> change </w:t>
      </w:r>
      <w:r w:rsidR="00EF1FBA">
        <w:rPr>
          <w:rFonts w:eastAsia="Times New Roman"/>
          <w:szCs w:val="20"/>
          <w:lang w:val="en-GB" w:eastAsia="en-GB"/>
        </w:rPr>
        <w:t xml:space="preserve">to the SWR Act </w:t>
      </w:r>
      <w:r w:rsidR="00EF1FBA" w:rsidRPr="00C66A09">
        <w:rPr>
          <w:rFonts w:eastAsia="Times New Roman"/>
          <w:szCs w:val="20"/>
          <w:lang w:val="en-GB" w:eastAsia="en-GB"/>
        </w:rPr>
        <w:t>would be expected to bring in most</w:t>
      </w:r>
      <w:r w:rsidR="00C82B1A">
        <w:rPr>
          <w:rFonts w:eastAsia="Times New Roman"/>
          <w:szCs w:val="20"/>
          <w:lang w:val="en-GB" w:eastAsia="en-GB"/>
        </w:rPr>
        <w:t xml:space="preserve"> </w:t>
      </w:r>
      <w:r w:rsidR="00EF1FBA" w:rsidRPr="00C66A09">
        <w:rPr>
          <w:rFonts w:eastAsia="Times New Roman"/>
          <w:szCs w:val="20"/>
          <w:lang w:val="en-GB" w:eastAsia="en-GB"/>
        </w:rPr>
        <w:t xml:space="preserve">of the estimated 2,000 currently practicing social workers who are choosing not to </w:t>
      </w:r>
      <w:r w:rsidR="00EF1FBA">
        <w:rPr>
          <w:rFonts w:eastAsia="Times New Roman"/>
          <w:szCs w:val="20"/>
          <w:lang w:val="en-GB" w:eastAsia="en-GB"/>
        </w:rPr>
        <w:t xml:space="preserve">register.  </w:t>
      </w:r>
      <w:r w:rsidR="00C82B1A">
        <w:rPr>
          <w:rFonts w:eastAsia="Times New Roman"/>
          <w:szCs w:val="20"/>
          <w:lang w:val="en-GB" w:eastAsia="en-GB"/>
        </w:rPr>
        <w:t>(</w:t>
      </w:r>
      <w:r w:rsidR="00C82B1A">
        <w:t xml:space="preserve">At least 1,200 are thought to be immediately able to meet current registration requirements, and there are ways forward for most others.) </w:t>
      </w:r>
      <w:r w:rsidR="00C82B1A">
        <w:rPr>
          <w:rFonts w:eastAsia="Times New Roman"/>
          <w:szCs w:val="20"/>
          <w:lang w:val="en-GB" w:eastAsia="en-GB"/>
        </w:rPr>
        <w:t xml:space="preserve"> </w:t>
      </w:r>
      <w:r w:rsidR="00AD30A2">
        <w:rPr>
          <w:rFonts w:eastAsia="Times New Roman"/>
          <w:szCs w:val="20"/>
          <w:lang w:val="en-GB" w:eastAsia="en-GB"/>
        </w:rPr>
        <w:t xml:space="preserve">The primary mechanism </w:t>
      </w:r>
      <w:r w:rsidR="00D255A3">
        <w:rPr>
          <w:rFonts w:eastAsia="Times New Roman"/>
          <w:szCs w:val="20"/>
          <w:lang w:val="en-GB" w:eastAsia="en-GB"/>
        </w:rPr>
        <w:t xml:space="preserve">would </w:t>
      </w:r>
      <w:r w:rsidR="00AD30A2">
        <w:rPr>
          <w:rFonts w:eastAsia="Times New Roman"/>
          <w:szCs w:val="20"/>
          <w:lang w:val="en-GB" w:eastAsia="en-GB"/>
        </w:rPr>
        <w:t>be the requirement arising from</w:t>
      </w:r>
      <w:r w:rsidR="00D13570">
        <w:rPr>
          <w:rFonts w:eastAsia="Times New Roman"/>
          <w:szCs w:val="20"/>
          <w:lang w:val="en-GB" w:eastAsia="en-GB"/>
        </w:rPr>
        <w:t xml:space="preserve"> </w:t>
      </w:r>
      <w:r w:rsidR="00EF1FBA">
        <w:rPr>
          <w:rFonts w:eastAsia="Times New Roman"/>
          <w:szCs w:val="20"/>
          <w:lang w:val="en-GB" w:eastAsia="en-GB"/>
        </w:rPr>
        <w:t>current</w:t>
      </w:r>
      <w:r w:rsidR="00EF1FBA" w:rsidRPr="00C66A09">
        <w:rPr>
          <w:rFonts w:eastAsia="Times New Roman"/>
          <w:szCs w:val="20"/>
          <w:lang w:val="en-GB" w:eastAsia="en-GB"/>
        </w:rPr>
        <w:t xml:space="preserve"> job titles and </w:t>
      </w:r>
      <w:r w:rsidR="00D255A3">
        <w:rPr>
          <w:rFonts w:eastAsia="Times New Roman"/>
          <w:szCs w:val="20"/>
          <w:lang w:val="en-GB" w:eastAsia="en-GB"/>
        </w:rPr>
        <w:t>contracts</w:t>
      </w:r>
      <w:r w:rsidR="00AD30A2">
        <w:rPr>
          <w:rFonts w:eastAsia="Times New Roman"/>
          <w:szCs w:val="20"/>
          <w:lang w:val="en-GB" w:eastAsia="en-GB"/>
        </w:rPr>
        <w:t>, as well as</w:t>
      </w:r>
      <w:r w:rsidR="00D255A3">
        <w:rPr>
          <w:rFonts w:eastAsia="Times New Roman"/>
          <w:szCs w:val="20"/>
          <w:lang w:val="en-GB" w:eastAsia="en-GB"/>
        </w:rPr>
        <w:t xml:space="preserve"> </w:t>
      </w:r>
      <w:r w:rsidR="00EF1FBA">
        <w:rPr>
          <w:rFonts w:eastAsia="Times New Roman"/>
          <w:szCs w:val="20"/>
          <w:lang w:val="en-GB" w:eastAsia="en-GB"/>
        </w:rPr>
        <w:t xml:space="preserve">any </w:t>
      </w:r>
      <w:r w:rsidR="00EF1FBA" w:rsidRPr="00C66A09">
        <w:rPr>
          <w:rFonts w:eastAsia="Times New Roman"/>
          <w:szCs w:val="20"/>
          <w:lang w:val="en-GB" w:eastAsia="en-GB"/>
        </w:rPr>
        <w:t>statutory references</w:t>
      </w:r>
      <w:r w:rsidR="00AD30A2">
        <w:rPr>
          <w:rFonts w:eastAsia="Times New Roman"/>
          <w:szCs w:val="20"/>
          <w:lang w:val="en-GB" w:eastAsia="en-GB"/>
        </w:rPr>
        <w:t xml:space="preserve"> to “social workers”</w:t>
      </w:r>
      <w:r w:rsidR="00EF1FBA" w:rsidRPr="00C66A09">
        <w:rPr>
          <w:rFonts w:eastAsia="Times New Roman"/>
          <w:szCs w:val="20"/>
          <w:lang w:val="en-GB" w:eastAsia="en-GB"/>
        </w:rPr>
        <w:t>.</w:t>
      </w:r>
      <w:r w:rsidR="00EF1FBA">
        <w:rPr>
          <w:rFonts w:eastAsia="Times New Roman"/>
          <w:szCs w:val="20"/>
          <w:lang w:val="en-GB" w:eastAsia="en-GB"/>
        </w:rPr>
        <w:t xml:space="preserve"> </w:t>
      </w:r>
      <w:r w:rsidR="00EF1FBA" w:rsidRPr="00AC1FE2">
        <w:rPr>
          <w:rFonts w:eastAsia="Times New Roman"/>
          <w:szCs w:val="20"/>
          <w:lang w:val="en-GB" w:eastAsia="en-GB"/>
        </w:rPr>
        <w:t xml:space="preserve"> </w:t>
      </w:r>
      <w:r w:rsidR="00EF1FBA">
        <w:rPr>
          <w:rFonts w:eastAsia="Times New Roman"/>
          <w:szCs w:val="20"/>
          <w:lang w:val="en-GB" w:eastAsia="en-GB"/>
        </w:rPr>
        <w:t xml:space="preserve">The only people who could call themselves social workers, or undertake a role with the job title “social worker”, would be people who were registered with the Board.  </w:t>
      </w:r>
      <w:r w:rsidR="00C703A4" w:rsidRPr="004F4A36">
        <w:rPr>
          <w:rFonts w:eastAsia="Times New Roman"/>
          <w:szCs w:val="20"/>
          <w:lang w:val="en-GB" w:eastAsia="en-GB"/>
        </w:rPr>
        <w:t>It would be an offence to represent oneself as a social worker unless registered with the Board.</w:t>
      </w:r>
      <w:r w:rsidR="00C703A4">
        <w:rPr>
          <w:rFonts w:eastAsia="Times New Roman"/>
          <w:szCs w:val="20"/>
          <w:lang w:val="en-GB" w:eastAsia="en-GB"/>
        </w:rPr>
        <w:t xml:space="preserve">  </w:t>
      </w:r>
      <w:r w:rsidR="00EF1FBA">
        <w:rPr>
          <w:rFonts w:eastAsia="Times New Roman"/>
          <w:szCs w:val="20"/>
          <w:lang w:val="en-GB" w:eastAsia="en-GB"/>
        </w:rPr>
        <w:t>No l</w:t>
      </w:r>
      <w:r w:rsidR="00EF1FBA" w:rsidRPr="00C66A09">
        <w:rPr>
          <w:rFonts w:eastAsia="Times New Roman"/>
          <w:szCs w:val="20"/>
          <w:lang w:val="en-GB" w:eastAsia="en-GB"/>
        </w:rPr>
        <w:t>egislative definition of the term “social work”</w:t>
      </w:r>
      <w:r w:rsidR="00EF1FBA">
        <w:rPr>
          <w:rFonts w:eastAsia="Times New Roman"/>
          <w:szCs w:val="20"/>
          <w:lang w:val="en-GB" w:eastAsia="en-GB"/>
        </w:rPr>
        <w:t xml:space="preserve"> would be required</w:t>
      </w:r>
      <w:r w:rsidR="00E64BBC">
        <w:rPr>
          <w:rFonts w:eastAsia="Times New Roman"/>
          <w:szCs w:val="20"/>
          <w:lang w:val="en-GB" w:eastAsia="en-GB"/>
        </w:rPr>
        <w:t xml:space="preserve">, but the Board could establish scopes of practice which allow for specialised social work roles with different training requirements </w:t>
      </w:r>
      <w:r w:rsidR="00340B40">
        <w:rPr>
          <w:rFonts w:eastAsia="Times New Roman"/>
          <w:szCs w:val="20"/>
          <w:lang w:val="en-GB" w:eastAsia="en-GB"/>
        </w:rPr>
        <w:t>eg</w:t>
      </w:r>
      <w:r w:rsidR="00E64BBC">
        <w:rPr>
          <w:rFonts w:eastAsia="Times New Roman"/>
          <w:szCs w:val="20"/>
          <w:lang w:val="en-GB" w:eastAsia="en-GB"/>
        </w:rPr>
        <w:t xml:space="preserve"> </w:t>
      </w:r>
      <w:r w:rsidR="00AD30A2">
        <w:rPr>
          <w:rFonts w:eastAsia="Times New Roman"/>
          <w:szCs w:val="20"/>
          <w:lang w:val="en-GB" w:eastAsia="en-GB"/>
        </w:rPr>
        <w:t xml:space="preserve">for </w:t>
      </w:r>
      <w:r w:rsidR="00E64BBC">
        <w:rPr>
          <w:rFonts w:eastAsia="Times New Roman"/>
          <w:szCs w:val="20"/>
          <w:lang w:val="en-GB" w:eastAsia="en-GB"/>
        </w:rPr>
        <w:t xml:space="preserve">child and </w:t>
      </w:r>
      <w:r w:rsidR="00E64BBC" w:rsidRPr="004B74CF">
        <w:rPr>
          <w:rFonts w:eastAsia="Times New Roman"/>
          <w:szCs w:val="20"/>
          <w:lang w:val="en-GB" w:eastAsia="en-GB"/>
        </w:rPr>
        <w:t xml:space="preserve">family </w:t>
      </w:r>
      <w:r w:rsidR="00650DE0" w:rsidRPr="004B74CF">
        <w:rPr>
          <w:rFonts w:eastAsia="Times New Roman"/>
          <w:szCs w:val="20"/>
          <w:lang w:val="en-GB" w:eastAsia="en-GB"/>
        </w:rPr>
        <w:t xml:space="preserve">social </w:t>
      </w:r>
      <w:r w:rsidR="00E64BBC" w:rsidRPr="004B74CF">
        <w:rPr>
          <w:rFonts w:eastAsia="Times New Roman"/>
          <w:szCs w:val="20"/>
          <w:lang w:val="en-GB" w:eastAsia="en-GB"/>
        </w:rPr>
        <w:t>workers</w:t>
      </w:r>
      <w:r w:rsidR="004B74CF" w:rsidRPr="004B74CF">
        <w:rPr>
          <w:rFonts w:eastAsia="Times New Roman"/>
          <w:szCs w:val="20"/>
          <w:lang w:val="en-GB" w:eastAsia="en-GB"/>
        </w:rPr>
        <w:t>.</w:t>
      </w:r>
    </w:p>
    <w:p w:rsidR="006638A8" w:rsidRPr="00C66A09" w:rsidRDefault="006638A8" w:rsidP="005B5FC6">
      <w:pPr>
        <w:numPr>
          <w:ilvl w:val="0"/>
          <w:numId w:val="23"/>
        </w:numPr>
        <w:spacing w:after="240" w:line="240" w:lineRule="auto"/>
        <w:ind w:left="567" w:hanging="567"/>
        <w:rPr>
          <w:rFonts w:eastAsia="Times New Roman"/>
          <w:szCs w:val="20"/>
          <w:lang w:val="en-GB" w:eastAsia="en-GB"/>
        </w:rPr>
      </w:pPr>
      <w:r w:rsidRPr="00C66A09">
        <w:rPr>
          <w:rFonts w:eastAsia="Times New Roman"/>
          <w:szCs w:val="20"/>
          <w:lang w:val="en-GB" w:eastAsia="en-GB"/>
        </w:rPr>
        <w:t>An immediate efficiency gain would occur for the Board in terms of economies of scale, allowing for lower costs for currently registered individual social workers or their employers where they cover employees professional fees.  This would be an equity improvement in that the costs of administering the regime would be shared across all social workers, with no more free-riding by social workers or their employers using the term “</w:t>
      </w:r>
      <w:r w:rsidR="005E562D">
        <w:rPr>
          <w:rFonts w:eastAsia="Times New Roman"/>
          <w:szCs w:val="20"/>
          <w:lang w:val="en-GB" w:eastAsia="en-GB"/>
        </w:rPr>
        <w:t>registrable</w:t>
      </w:r>
      <w:r w:rsidRPr="00C66A09">
        <w:rPr>
          <w:rFonts w:eastAsia="Times New Roman"/>
          <w:szCs w:val="20"/>
          <w:lang w:val="en-GB" w:eastAsia="en-GB"/>
        </w:rPr>
        <w:t>” as a proxy, without actually being registered.</w:t>
      </w:r>
    </w:p>
    <w:p w:rsidR="006638A8" w:rsidRPr="00AC1FE2" w:rsidRDefault="006638A8" w:rsidP="005B5FC6">
      <w:pPr>
        <w:numPr>
          <w:ilvl w:val="0"/>
          <w:numId w:val="23"/>
        </w:numPr>
        <w:spacing w:after="240" w:line="240" w:lineRule="auto"/>
        <w:ind w:left="567" w:hanging="567"/>
        <w:rPr>
          <w:rFonts w:eastAsia="Times New Roman"/>
          <w:szCs w:val="20"/>
          <w:lang w:val="en-GB" w:eastAsia="en-GB"/>
        </w:rPr>
      </w:pPr>
      <w:r w:rsidRPr="00AC1FE2">
        <w:rPr>
          <w:rFonts w:eastAsia="Times New Roman"/>
          <w:szCs w:val="20"/>
          <w:lang w:val="en-GB" w:eastAsia="en-GB"/>
        </w:rPr>
        <w:t xml:space="preserve">This change would lead </w:t>
      </w:r>
      <w:r w:rsidRPr="00D65D14">
        <w:rPr>
          <w:rFonts w:eastAsia="Times New Roman"/>
          <w:szCs w:val="20"/>
          <w:lang w:val="en-GB" w:eastAsia="en-GB"/>
        </w:rPr>
        <w:t xml:space="preserve">to </w:t>
      </w:r>
      <w:r w:rsidR="007162B1" w:rsidRPr="00D65D14">
        <w:rPr>
          <w:rFonts w:eastAsia="Times New Roman"/>
          <w:szCs w:val="20"/>
          <w:lang w:val="en-GB" w:eastAsia="en-GB"/>
        </w:rPr>
        <w:t>an</w:t>
      </w:r>
      <w:r w:rsidRPr="00D65D14">
        <w:rPr>
          <w:rFonts w:eastAsia="Times New Roman"/>
          <w:szCs w:val="20"/>
          <w:lang w:val="en-GB" w:eastAsia="en-GB"/>
        </w:rPr>
        <w:t xml:space="preserve"> increase</w:t>
      </w:r>
      <w:r w:rsidRPr="00AC1FE2">
        <w:rPr>
          <w:rFonts w:eastAsia="Times New Roman"/>
          <w:szCs w:val="20"/>
          <w:lang w:val="en-GB" w:eastAsia="en-GB"/>
        </w:rPr>
        <w:t xml:space="preserve"> in the standing of the profession, and an improvement in transparency, given it would be clear that anyone calling themselves a social worker had actually met certain standards and was subject to professional disciplines.  This would accord with public understanding – currently members of the public are unlikely to realise the distinction between a social worker, and a registered social worker, and may well assume that any”social worker” is a properly qualified professional. </w:t>
      </w:r>
    </w:p>
    <w:p w:rsidR="004B74CF" w:rsidRDefault="006638A8" w:rsidP="005B5FC6">
      <w:pPr>
        <w:numPr>
          <w:ilvl w:val="0"/>
          <w:numId w:val="23"/>
        </w:numPr>
        <w:spacing w:after="240" w:line="240" w:lineRule="auto"/>
        <w:ind w:left="567" w:hanging="567"/>
        <w:rPr>
          <w:rFonts w:eastAsia="Times New Roman"/>
          <w:szCs w:val="20"/>
          <w:lang w:val="en-GB" w:eastAsia="en-GB"/>
        </w:rPr>
      </w:pPr>
      <w:r w:rsidRPr="004B74CF">
        <w:rPr>
          <w:rFonts w:eastAsia="Times New Roman"/>
          <w:szCs w:val="20"/>
          <w:lang w:val="en-GB" w:eastAsia="en-GB"/>
        </w:rPr>
        <w:t xml:space="preserve">Current social workers who were still unwilling to register could lose their livelihoods.  They may </w:t>
      </w:r>
      <w:r w:rsidR="00AC1FE2" w:rsidRPr="004B74CF">
        <w:rPr>
          <w:rFonts w:eastAsia="Times New Roman"/>
          <w:szCs w:val="20"/>
          <w:lang w:val="en-GB" w:eastAsia="en-GB"/>
        </w:rPr>
        <w:t xml:space="preserve">choose to </w:t>
      </w:r>
      <w:r w:rsidRPr="004B74CF">
        <w:rPr>
          <w:rFonts w:eastAsia="Times New Roman"/>
          <w:szCs w:val="20"/>
          <w:lang w:val="en-GB" w:eastAsia="en-GB"/>
        </w:rPr>
        <w:t xml:space="preserve">respond by changing their title </w:t>
      </w:r>
      <w:r w:rsidR="00340B40">
        <w:rPr>
          <w:rFonts w:eastAsia="Times New Roman"/>
          <w:szCs w:val="20"/>
          <w:lang w:val="en-GB" w:eastAsia="en-GB"/>
        </w:rPr>
        <w:t>eg</w:t>
      </w:r>
      <w:r w:rsidRPr="004B74CF">
        <w:rPr>
          <w:rFonts w:eastAsia="Times New Roman"/>
          <w:szCs w:val="20"/>
          <w:lang w:val="en-GB" w:eastAsia="en-GB"/>
        </w:rPr>
        <w:t xml:space="preserve"> to community worker, and likewise employers may choose to change job titles to retain non-registered staff.  Some social workers and employers might also do this in order to avoid the costs of registration, but indications from the sector (based on submissions made to the Select Committee) are that employers and social workers </w:t>
      </w:r>
      <w:r w:rsidRPr="004B74CF">
        <w:rPr>
          <w:rFonts w:eastAsia="Times New Roman"/>
          <w:szCs w:val="20"/>
          <w:lang w:val="en-GB" w:eastAsia="en-GB"/>
        </w:rPr>
        <w:lastRenderedPageBreak/>
        <w:t xml:space="preserve">want to become part of the proposed regime but would need financial support from government to do that.  In the case of the many NGOs with government contracts they </w:t>
      </w:r>
      <w:r w:rsidR="00BC0491" w:rsidRPr="004B74CF">
        <w:rPr>
          <w:rFonts w:eastAsia="Times New Roman"/>
          <w:szCs w:val="20"/>
          <w:lang w:val="en-GB" w:eastAsia="en-GB"/>
        </w:rPr>
        <w:t>are likely to</w:t>
      </w:r>
      <w:r w:rsidRPr="004B74CF">
        <w:rPr>
          <w:rFonts w:eastAsia="Times New Roman"/>
          <w:szCs w:val="20"/>
          <w:lang w:val="en-GB" w:eastAsia="en-GB"/>
        </w:rPr>
        <w:t xml:space="preserve"> seek to add the extra cost to their existing contracts</w:t>
      </w:r>
    </w:p>
    <w:p w:rsidR="006638A8" w:rsidRPr="004B74CF" w:rsidRDefault="006638A8" w:rsidP="005B5FC6">
      <w:pPr>
        <w:numPr>
          <w:ilvl w:val="0"/>
          <w:numId w:val="23"/>
        </w:numPr>
        <w:spacing w:after="240" w:line="240" w:lineRule="auto"/>
        <w:ind w:left="567" w:hanging="567"/>
        <w:rPr>
          <w:rFonts w:eastAsia="Times New Roman"/>
          <w:szCs w:val="20"/>
          <w:lang w:val="en-GB" w:eastAsia="en-GB"/>
        </w:rPr>
      </w:pPr>
      <w:r w:rsidRPr="004B74CF">
        <w:rPr>
          <w:rFonts w:eastAsia="Times New Roman"/>
          <w:szCs w:val="20"/>
          <w:lang w:val="en-GB" w:eastAsia="en-GB"/>
        </w:rPr>
        <w:t xml:space="preserve">There is a possible risk of unfair loss of livelihood for currently competent but unqualified social workers – this possibility can be covered by appropriate transitional provisions discussed below under the heading of </w:t>
      </w:r>
      <w:r w:rsidR="00AC1FE2" w:rsidRPr="004B74CF">
        <w:rPr>
          <w:rFonts w:eastAsia="Times New Roman"/>
          <w:szCs w:val="20"/>
          <w:lang w:val="en-GB" w:eastAsia="en-GB"/>
        </w:rPr>
        <w:t>“</w:t>
      </w:r>
      <w:r w:rsidRPr="004B74CF">
        <w:rPr>
          <w:rFonts w:eastAsia="Times New Roman"/>
          <w:szCs w:val="20"/>
          <w:lang w:val="en-GB" w:eastAsia="en-GB"/>
        </w:rPr>
        <w:t>Experience based pathways to Registration</w:t>
      </w:r>
      <w:r w:rsidR="00AC1FE2" w:rsidRPr="004B74CF">
        <w:rPr>
          <w:rFonts w:eastAsia="Times New Roman"/>
          <w:szCs w:val="20"/>
          <w:lang w:val="en-GB" w:eastAsia="en-GB"/>
        </w:rPr>
        <w:t>”</w:t>
      </w:r>
      <w:r w:rsidRPr="004B74CF">
        <w:rPr>
          <w:rFonts w:eastAsia="Times New Roman"/>
          <w:szCs w:val="20"/>
          <w:lang w:val="en-GB" w:eastAsia="en-GB"/>
        </w:rPr>
        <w:t>.  Under such a regime it is also important to ensure that entry to th</w:t>
      </w:r>
      <w:r w:rsidR="00AC1FE2" w:rsidRPr="004B74CF">
        <w:rPr>
          <w:rFonts w:eastAsia="Times New Roman"/>
          <w:szCs w:val="20"/>
          <w:lang w:val="en-GB" w:eastAsia="en-GB"/>
        </w:rPr>
        <w:t>e profession is not unreasonably</w:t>
      </w:r>
      <w:r w:rsidRPr="004B74CF">
        <w:rPr>
          <w:rFonts w:eastAsia="Times New Roman"/>
          <w:szCs w:val="20"/>
          <w:lang w:val="en-GB" w:eastAsia="en-GB"/>
        </w:rPr>
        <w:t xml:space="preserve"> restricted: strategies to address this possibility are </w:t>
      </w:r>
      <w:r w:rsidR="00AC1FE2" w:rsidRPr="004B74CF">
        <w:rPr>
          <w:rFonts w:eastAsia="Times New Roman"/>
          <w:szCs w:val="20"/>
          <w:lang w:val="en-GB" w:eastAsia="en-GB"/>
        </w:rPr>
        <w:t>also discussed</w:t>
      </w:r>
      <w:r w:rsidRPr="004B74CF">
        <w:rPr>
          <w:rFonts w:eastAsia="Times New Roman"/>
          <w:szCs w:val="20"/>
          <w:lang w:val="en-GB" w:eastAsia="en-GB"/>
        </w:rPr>
        <w:t xml:space="preserve"> below.</w:t>
      </w:r>
    </w:p>
    <w:p w:rsidR="006638A8" w:rsidRDefault="006638A8" w:rsidP="005B5FC6">
      <w:pPr>
        <w:numPr>
          <w:ilvl w:val="0"/>
          <w:numId w:val="23"/>
        </w:numPr>
        <w:spacing w:after="240" w:line="240" w:lineRule="auto"/>
        <w:ind w:left="567" w:hanging="567"/>
        <w:rPr>
          <w:rFonts w:eastAsia="Times New Roman"/>
          <w:szCs w:val="20"/>
          <w:lang w:val="en-GB" w:eastAsia="en-GB"/>
        </w:rPr>
      </w:pPr>
      <w:r w:rsidRPr="00AC1FE2">
        <w:rPr>
          <w:rFonts w:eastAsia="Times New Roman"/>
          <w:szCs w:val="20"/>
          <w:lang w:val="en-GB" w:eastAsia="en-GB"/>
        </w:rPr>
        <w:t>The effect</w:t>
      </w:r>
      <w:r w:rsidR="00516758">
        <w:rPr>
          <w:rFonts w:eastAsia="Times New Roman"/>
          <w:szCs w:val="20"/>
          <w:lang w:val="en-GB" w:eastAsia="en-GB"/>
        </w:rPr>
        <w:t>iveness</w:t>
      </w:r>
      <w:r w:rsidRPr="00AC1FE2">
        <w:rPr>
          <w:rFonts w:eastAsia="Times New Roman"/>
          <w:szCs w:val="20"/>
          <w:lang w:val="en-GB" w:eastAsia="en-GB"/>
        </w:rPr>
        <w:t xml:space="preserve"> of this regime would depend on the specification of a requirement for a “social worker” in job titles, contracts or in tasks specified in legislation or regulations.  It is on this basis that we expect that this option would achieve the immediate objective of ensuring </w:t>
      </w:r>
      <w:r w:rsidR="00BC0491">
        <w:rPr>
          <w:rFonts w:eastAsia="Times New Roman"/>
          <w:szCs w:val="20"/>
          <w:lang w:val="en-GB" w:eastAsia="en-GB"/>
        </w:rPr>
        <w:t xml:space="preserve">that </w:t>
      </w:r>
      <w:r w:rsidRPr="00AC1FE2">
        <w:rPr>
          <w:rFonts w:eastAsia="Times New Roman"/>
          <w:szCs w:val="20"/>
          <w:lang w:val="en-GB" w:eastAsia="en-GB"/>
        </w:rPr>
        <w:t>all current practicing social workers would have to become registered.</w:t>
      </w:r>
      <w:r w:rsidR="00516758">
        <w:rPr>
          <w:rFonts w:eastAsia="Times New Roman"/>
          <w:szCs w:val="20"/>
          <w:lang w:val="en-GB" w:eastAsia="en-GB"/>
        </w:rPr>
        <w:t xml:space="preserve"> </w:t>
      </w:r>
    </w:p>
    <w:p w:rsidR="00516758" w:rsidRDefault="00516758"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 xml:space="preserve">This is our preferred option for regulatory reform. </w:t>
      </w:r>
    </w:p>
    <w:p w:rsidR="006638A8" w:rsidRPr="00AC1FE2" w:rsidRDefault="006638A8" w:rsidP="00177E1D">
      <w:pPr>
        <w:spacing w:after="240" w:line="240" w:lineRule="auto"/>
        <w:rPr>
          <w:rFonts w:eastAsia="Times New Roman" w:cs="Times New Roman"/>
          <w:i/>
          <w:szCs w:val="20"/>
          <w:lang w:val="en-GB" w:eastAsia="en-GB"/>
        </w:rPr>
      </w:pPr>
      <w:r w:rsidRPr="00AC1FE2">
        <w:rPr>
          <w:rFonts w:eastAsia="Times New Roman" w:cs="Times New Roman"/>
          <w:i/>
          <w:szCs w:val="20"/>
          <w:u w:val="single"/>
          <w:lang w:val="en-GB" w:eastAsia="en-GB"/>
        </w:rPr>
        <w:t xml:space="preserve">Extension to Level </w:t>
      </w:r>
      <w:r w:rsidR="005517FA">
        <w:rPr>
          <w:rFonts w:eastAsia="Times New Roman" w:cs="Times New Roman"/>
          <w:i/>
          <w:szCs w:val="20"/>
          <w:u w:val="single"/>
          <w:lang w:val="en-GB" w:eastAsia="en-GB"/>
        </w:rPr>
        <w:t>Four</w:t>
      </w:r>
      <w:r w:rsidRPr="00AC1FE2">
        <w:rPr>
          <w:rFonts w:eastAsia="Times New Roman" w:cs="Times New Roman"/>
          <w:i/>
          <w:szCs w:val="20"/>
          <w:u w:val="single"/>
          <w:lang w:val="en-GB" w:eastAsia="en-GB"/>
        </w:rPr>
        <w:t>: Task Licencing</w:t>
      </w:r>
    </w:p>
    <w:p w:rsidR="00BC0491" w:rsidRPr="00AC1FE2" w:rsidRDefault="00BC0491" w:rsidP="005B5FC6">
      <w:pPr>
        <w:numPr>
          <w:ilvl w:val="0"/>
          <w:numId w:val="23"/>
        </w:numPr>
        <w:spacing w:after="240" w:line="240" w:lineRule="auto"/>
        <w:ind w:left="567" w:hanging="567"/>
        <w:rPr>
          <w:rFonts w:eastAsia="Times New Roman"/>
          <w:szCs w:val="20"/>
          <w:lang w:val="en-GB" w:eastAsia="en-GB"/>
        </w:rPr>
      </w:pPr>
      <w:r w:rsidRPr="00AC1FE2">
        <w:rPr>
          <w:rFonts w:eastAsia="Times New Roman"/>
          <w:szCs w:val="20"/>
          <w:lang w:val="en-GB" w:eastAsia="en-GB"/>
        </w:rPr>
        <w:t xml:space="preserve">The major concern with </w:t>
      </w:r>
      <w:r>
        <w:rPr>
          <w:rFonts w:eastAsia="Times New Roman"/>
          <w:szCs w:val="20"/>
          <w:lang w:val="en-GB" w:eastAsia="en-GB"/>
        </w:rPr>
        <w:t>simply extending title protection to “social worker”</w:t>
      </w:r>
      <w:r w:rsidRPr="00AC1FE2">
        <w:rPr>
          <w:rFonts w:eastAsia="Times New Roman"/>
          <w:szCs w:val="20"/>
          <w:lang w:val="en-GB" w:eastAsia="en-GB"/>
        </w:rPr>
        <w:t xml:space="preserve"> is whether it goes far enough.  While it offers a substantial improvement in clarity on the question of who is a social worker, it </w:t>
      </w:r>
      <w:r>
        <w:rPr>
          <w:rFonts w:eastAsia="Times New Roman"/>
          <w:szCs w:val="20"/>
          <w:lang w:val="en-GB" w:eastAsia="en-GB"/>
        </w:rPr>
        <w:t>does not specify</w:t>
      </w:r>
      <w:r w:rsidRPr="00AC1FE2">
        <w:rPr>
          <w:rFonts w:eastAsia="Times New Roman"/>
          <w:szCs w:val="20"/>
          <w:lang w:val="en-GB" w:eastAsia="en-GB"/>
        </w:rPr>
        <w:t xml:space="preserve"> what particular tasks should be undertaken by a social worker</w:t>
      </w:r>
      <w:r>
        <w:rPr>
          <w:rFonts w:eastAsia="Times New Roman"/>
          <w:szCs w:val="20"/>
          <w:lang w:val="en-GB" w:eastAsia="en-GB"/>
        </w:rPr>
        <w:t xml:space="preserve"> (outside of specific provisions in other </w:t>
      </w:r>
      <w:r w:rsidR="002B178F">
        <w:rPr>
          <w:rFonts w:eastAsia="Times New Roman"/>
          <w:szCs w:val="20"/>
          <w:lang w:val="en-GB" w:eastAsia="en-GB"/>
        </w:rPr>
        <w:t>statutes</w:t>
      </w:r>
      <w:r>
        <w:rPr>
          <w:rFonts w:eastAsia="Times New Roman"/>
          <w:szCs w:val="20"/>
          <w:lang w:val="en-GB" w:eastAsia="en-GB"/>
        </w:rPr>
        <w:t>), which was something the Select Committee supported</w:t>
      </w:r>
      <w:r w:rsidRPr="00AC1FE2">
        <w:rPr>
          <w:rFonts w:eastAsia="Times New Roman"/>
          <w:szCs w:val="20"/>
          <w:lang w:val="en-GB" w:eastAsia="en-GB"/>
        </w:rPr>
        <w:t xml:space="preserve">.  </w:t>
      </w:r>
    </w:p>
    <w:p w:rsidR="006638A8" w:rsidRPr="00AC1FE2" w:rsidRDefault="006638A8" w:rsidP="005B5FC6">
      <w:pPr>
        <w:numPr>
          <w:ilvl w:val="0"/>
          <w:numId w:val="23"/>
        </w:numPr>
        <w:spacing w:after="240" w:line="240" w:lineRule="auto"/>
        <w:ind w:left="567" w:hanging="567"/>
        <w:rPr>
          <w:rFonts w:eastAsia="Times New Roman"/>
          <w:szCs w:val="20"/>
          <w:lang w:val="en-GB" w:eastAsia="en-GB"/>
        </w:rPr>
      </w:pPr>
      <w:r w:rsidRPr="00AC1FE2">
        <w:rPr>
          <w:rFonts w:eastAsia="Times New Roman"/>
          <w:szCs w:val="20"/>
          <w:lang w:val="en-GB" w:eastAsia="en-GB"/>
        </w:rPr>
        <w:t xml:space="preserve">A move to the level of Task Licencing </w:t>
      </w:r>
      <w:r w:rsidR="00AC1FE2">
        <w:rPr>
          <w:rFonts w:eastAsia="Times New Roman"/>
          <w:szCs w:val="20"/>
          <w:lang w:val="en-GB" w:eastAsia="en-GB"/>
        </w:rPr>
        <w:t>requires</w:t>
      </w:r>
      <w:r w:rsidRPr="00AC1FE2">
        <w:rPr>
          <w:rFonts w:eastAsia="Times New Roman"/>
          <w:szCs w:val="20"/>
          <w:lang w:val="en-GB" w:eastAsia="en-GB"/>
        </w:rPr>
        <w:t xml:space="preserve"> specification of what constitutes social work tasks, </w:t>
      </w:r>
      <w:r w:rsidR="002B178F">
        <w:rPr>
          <w:rFonts w:eastAsia="Times New Roman"/>
          <w:szCs w:val="20"/>
          <w:lang w:val="en-GB" w:eastAsia="en-GB"/>
        </w:rPr>
        <w:t>and excludes anyone other than Social W</w:t>
      </w:r>
      <w:r w:rsidRPr="00AC1FE2">
        <w:rPr>
          <w:rFonts w:eastAsia="Times New Roman"/>
          <w:szCs w:val="20"/>
          <w:lang w:val="en-GB" w:eastAsia="en-GB"/>
        </w:rPr>
        <w:t xml:space="preserve">orkers being allowed to undertake those tasks.  </w:t>
      </w:r>
      <w:r w:rsidR="00CA6DA7">
        <w:rPr>
          <w:rFonts w:eastAsia="Times New Roman"/>
          <w:szCs w:val="20"/>
          <w:lang w:val="en-GB" w:eastAsia="en-GB"/>
        </w:rPr>
        <w:t>P</w:t>
      </w:r>
      <w:r w:rsidRPr="00310CD2">
        <w:rPr>
          <w:rFonts w:eastAsia="Times New Roman"/>
          <w:szCs w:val="20"/>
          <w:lang w:val="en-GB" w:eastAsia="en-GB"/>
        </w:rPr>
        <w:t xml:space="preserve">rofessions </w:t>
      </w:r>
      <w:r w:rsidR="00CA6DA7">
        <w:rPr>
          <w:rFonts w:eastAsia="Times New Roman"/>
          <w:szCs w:val="20"/>
          <w:lang w:val="en-GB" w:eastAsia="en-GB"/>
        </w:rPr>
        <w:t>which use this approach by means of specified tasks</w:t>
      </w:r>
      <w:r w:rsidR="00CA6DA7" w:rsidRPr="00310CD2">
        <w:rPr>
          <w:rFonts w:eastAsia="Times New Roman"/>
          <w:szCs w:val="20"/>
          <w:lang w:val="en-GB" w:eastAsia="en-GB"/>
        </w:rPr>
        <w:t xml:space="preserve"> </w:t>
      </w:r>
      <w:r w:rsidR="00CA6DA7">
        <w:rPr>
          <w:rFonts w:eastAsia="Times New Roman"/>
          <w:szCs w:val="20"/>
          <w:lang w:val="en-GB" w:eastAsia="en-GB"/>
        </w:rPr>
        <w:t>include</w:t>
      </w:r>
      <w:r w:rsidRPr="00310CD2">
        <w:rPr>
          <w:rFonts w:eastAsia="Times New Roman"/>
          <w:szCs w:val="20"/>
          <w:lang w:val="en-GB" w:eastAsia="en-GB"/>
        </w:rPr>
        <w:t xml:space="preserve"> </w:t>
      </w:r>
      <w:r w:rsidRPr="00AC1FE2">
        <w:rPr>
          <w:rFonts w:eastAsia="Times New Roman"/>
          <w:szCs w:val="20"/>
          <w:lang w:val="en-GB" w:eastAsia="en-GB"/>
        </w:rPr>
        <w:t xml:space="preserve">Electricians, and Plumbers. </w:t>
      </w:r>
      <w:r w:rsidR="00734ED0">
        <w:rPr>
          <w:rFonts w:eastAsia="Times New Roman"/>
          <w:szCs w:val="20"/>
          <w:lang w:val="en-GB" w:eastAsia="en-GB"/>
        </w:rPr>
        <w:t xml:space="preserve"> </w:t>
      </w:r>
    </w:p>
    <w:p w:rsidR="00650DE0" w:rsidRPr="00AD30A2" w:rsidRDefault="00650DE0" w:rsidP="005B5FC6">
      <w:pPr>
        <w:numPr>
          <w:ilvl w:val="0"/>
          <w:numId w:val="23"/>
        </w:numPr>
        <w:spacing w:after="240" w:line="240" w:lineRule="auto"/>
        <w:ind w:left="567" w:hanging="567"/>
        <w:rPr>
          <w:rFonts w:eastAsia="Times New Roman"/>
          <w:szCs w:val="20"/>
          <w:lang w:val="en-GB" w:eastAsia="en-GB"/>
        </w:rPr>
      </w:pPr>
      <w:r w:rsidRPr="00AD30A2">
        <w:rPr>
          <w:rFonts w:eastAsia="Times New Roman"/>
          <w:szCs w:val="20"/>
          <w:lang w:val="en-GB" w:eastAsia="en-GB"/>
        </w:rPr>
        <w:t xml:space="preserve">Public protection for any particularly high risk activity can be addressed under such a regime, by having certain tasks deemed as </w:t>
      </w:r>
      <w:r w:rsidR="0050024D" w:rsidRPr="00AD30A2">
        <w:rPr>
          <w:rFonts w:eastAsia="Times New Roman"/>
          <w:szCs w:val="20"/>
          <w:lang w:val="en-GB" w:eastAsia="en-GB"/>
        </w:rPr>
        <w:t>“</w:t>
      </w:r>
      <w:hyperlink r:id="rId10" w:history="1">
        <w:r w:rsidRPr="00AD30A2">
          <w:rPr>
            <w:rFonts w:eastAsia="Times New Roman"/>
            <w:szCs w:val="20"/>
            <w:lang w:val="en-GB" w:eastAsia="en-GB"/>
          </w:rPr>
          <w:t>restricted activities</w:t>
        </w:r>
      </w:hyperlink>
      <w:r w:rsidR="0050024D" w:rsidRPr="00AD30A2">
        <w:rPr>
          <w:rFonts w:eastAsia="Times New Roman"/>
          <w:szCs w:val="20"/>
          <w:lang w:val="en-GB" w:eastAsia="en-GB"/>
        </w:rPr>
        <w:t>”</w:t>
      </w:r>
      <w:r w:rsidRPr="00AD30A2">
        <w:rPr>
          <w:rFonts w:eastAsia="Times New Roman"/>
          <w:szCs w:val="20"/>
          <w:lang w:val="en-GB" w:eastAsia="en-GB"/>
        </w:rPr>
        <w:t xml:space="preserve">.  Under the HPCA Act these restricted activities may only be carried out by specified health practitioners who specifically have those tasks identified within their scopes of practice.  No unregistered person or registered person who does not have that activity included within their scope of practice may carry out these tasks.  </w:t>
      </w:r>
    </w:p>
    <w:p w:rsidR="00650DE0" w:rsidRPr="0050024D" w:rsidRDefault="0050024D"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T</w:t>
      </w:r>
      <w:r w:rsidRPr="00177E1D">
        <w:rPr>
          <w:rFonts w:eastAsia="Times New Roman"/>
          <w:szCs w:val="20"/>
          <w:lang w:val="en-GB" w:eastAsia="en-GB"/>
        </w:rPr>
        <w:t xml:space="preserve">he title “social worker” </w:t>
      </w:r>
      <w:r>
        <w:rPr>
          <w:rFonts w:eastAsia="Times New Roman"/>
          <w:szCs w:val="20"/>
          <w:lang w:val="en-GB" w:eastAsia="en-GB"/>
        </w:rPr>
        <w:t>is already used in in</w:t>
      </w:r>
      <w:r w:rsidRPr="00177E1D">
        <w:rPr>
          <w:rFonts w:eastAsia="Times New Roman"/>
          <w:szCs w:val="20"/>
          <w:lang w:val="en-GB" w:eastAsia="en-GB"/>
        </w:rPr>
        <w:t xml:space="preserve"> other legislation which specifically defines tasks for “social workers”</w:t>
      </w:r>
      <w:r>
        <w:rPr>
          <w:rFonts w:eastAsia="Times New Roman"/>
          <w:szCs w:val="20"/>
          <w:lang w:val="en-GB" w:eastAsia="en-GB"/>
        </w:rPr>
        <w:t>.</w:t>
      </w:r>
      <w:r w:rsidRPr="00177E1D">
        <w:rPr>
          <w:rFonts w:eastAsia="Times New Roman"/>
          <w:szCs w:val="20"/>
          <w:lang w:val="en-GB" w:eastAsia="en-GB"/>
        </w:rPr>
        <w:t xml:space="preserve"> </w:t>
      </w:r>
      <w:r>
        <w:rPr>
          <w:rFonts w:eastAsia="Times New Roman"/>
          <w:szCs w:val="20"/>
          <w:lang w:val="en-GB" w:eastAsia="en-GB"/>
        </w:rPr>
        <w:t xml:space="preserve"> </w:t>
      </w:r>
      <w:r w:rsidRPr="00177E1D">
        <w:rPr>
          <w:rFonts w:eastAsia="Times New Roman"/>
          <w:szCs w:val="20"/>
          <w:lang w:val="en-GB" w:eastAsia="en-GB"/>
        </w:rPr>
        <w:t>For example</w:t>
      </w:r>
      <w:r>
        <w:rPr>
          <w:rFonts w:eastAsia="Times New Roman"/>
          <w:szCs w:val="20"/>
          <w:lang w:val="en-GB" w:eastAsia="en-GB"/>
        </w:rPr>
        <w:t>:</w:t>
      </w:r>
      <w:r w:rsidRPr="00177E1D">
        <w:rPr>
          <w:rFonts w:eastAsia="Times New Roman"/>
          <w:szCs w:val="20"/>
          <w:lang w:val="en-GB" w:eastAsia="en-GB"/>
        </w:rPr>
        <w:t xml:space="preserve"> the Contraception, Sterilisation, and Abortion Act 1977; the Victims’ Rights Act 2002; the Family Proceedings Act 1980; and the Adoption Act 1955.</w:t>
      </w:r>
      <w:r>
        <w:rPr>
          <w:rFonts w:eastAsia="Times New Roman"/>
          <w:szCs w:val="20"/>
          <w:lang w:val="en-GB" w:eastAsia="en-GB"/>
        </w:rPr>
        <w:t xml:space="preserve"> </w:t>
      </w:r>
      <w:r w:rsidRPr="00177E1D">
        <w:rPr>
          <w:rFonts w:eastAsia="Times New Roman"/>
          <w:szCs w:val="20"/>
          <w:lang w:val="en-GB" w:eastAsia="en-GB"/>
        </w:rPr>
        <w:t xml:space="preserve"> If left unamended, these </w:t>
      </w:r>
      <w:r>
        <w:rPr>
          <w:rFonts w:eastAsia="Times New Roman"/>
          <w:szCs w:val="20"/>
          <w:lang w:val="en-GB" w:eastAsia="en-GB"/>
        </w:rPr>
        <w:t>statutory references</w:t>
      </w:r>
      <w:r w:rsidRPr="00177E1D">
        <w:rPr>
          <w:rFonts w:eastAsia="Times New Roman"/>
          <w:szCs w:val="20"/>
          <w:lang w:val="en-GB" w:eastAsia="en-GB"/>
        </w:rPr>
        <w:t xml:space="preserve"> </w:t>
      </w:r>
      <w:r>
        <w:rPr>
          <w:rFonts w:eastAsia="Times New Roman"/>
          <w:szCs w:val="20"/>
          <w:lang w:val="en-GB" w:eastAsia="en-GB"/>
        </w:rPr>
        <w:t>w</w:t>
      </w:r>
      <w:r w:rsidRPr="00177E1D">
        <w:rPr>
          <w:rFonts w:eastAsia="Times New Roman"/>
          <w:szCs w:val="20"/>
          <w:lang w:val="en-GB" w:eastAsia="en-GB"/>
        </w:rPr>
        <w:t xml:space="preserve">ould </w:t>
      </w:r>
      <w:r>
        <w:rPr>
          <w:rFonts w:eastAsia="Times New Roman"/>
          <w:szCs w:val="20"/>
          <w:lang w:val="en-GB" w:eastAsia="en-GB"/>
        </w:rPr>
        <w:t>become</w:t>
      </w:r>
      <w:r w:rsidRPr="00177E1D">
        <w:rPr>
          <w:rFonts w:eastAsia="Times New Roman"/>
          <w:szCs w:val="20"/>
          <w:lang w:val="en-GB" w:eastAsia="en-GB"/>
        </w:rPr>
        <w:t xml:space="preserve"> </w:t>
      </w:r>
      <w:r>
        <w:rPr>
          <w:rFonts w:eastAsia="Times New Roman"/>
          <w:szCs w:val="20"/>
          <w:lang w:val="en-GB" w:eastAsia="en-GB"/>
        </w:rPr>
        <w:t>“</w:t>
      </w:r>
      <w:r w:rsidRPr="00177E1D">
        <w:rPr>
          <w:rFonts w:eastAsia="Times New Roman"/>
          <w:szCs w:val="20"/>
          <w:lang w:val="en-GB" w:eastAsia="en-GB"/>
        </w:rPr>
        <w:t>restricted activities</w:t>
      </w:r>
      <w:r>
        <w:rPr>
          <w:rFonts w:eastAsia="Times New Roman"/>
          <w:szCs w:val="20"/>
          <w:lang w:val="en-GB" w:eastAsia="en-GB"/>
        </w:rPr>
        <w:t>”</w:t>
      </w:r>
      <w:r w:rsidRPr="00177E1D">
        <w:rPr>
          <w:rFonts w:eastAsia="Times New Roman"/>
          <w:szCs w:val="20"/>
          <w:lang w:val="en-GB" w:eastAsia="en-GB"/>
        </w:rPr>
        <w:t xml:space="preserve"> </w:t>
      </w:r>
      <w:r>
        <w:rPr>
          <w:rFonts w:eastAsia="Times New Roman"/>
          <w:szCs w:val="20"/>
          <w:lang w:val="en-GB" w:eastAsia="en-GB"/>
        </w:rPr>
        <w:t xml:space="preserve">which could only be undertaken by a social worker, </w:t>
      </w:r>
      <w:r w:rsidRPr="00177E1D">
        <w:rPr>
          <w:rFonts w:eastAsia="Times New Roman"/>
          <w:szCs w:val="20"/>
          <w:lang w:val="en-GB" w:eastAsia="en-GB"/>
        </w:rPr>
        <w:t xml:space="preserve">and </w:t>
      </w:r>
      <w:r>
        <w:rPr>
          <w:rFonts w:eastAsia="Times New Roman"/>
          <w:szCs w:val="20"/>
          <w:lang w:val="en-GB" w:eastAsia="en-GB"/>
        </w:rPr>
        <w:t xml:space="preserve">thereby </w:t>
      </w:r>
      <w:r w:rsidRPr="00177E1D">
        <w:rPr>
          <w:rFonts w:eastAsia="Times New Roman"/>
          <w:szCs w:val="20"/>
          <w:lang w:val="en-GB" w:eastAsia="en-GB"/>
        </w:rPr>
        <w:t xml:space="preserve">operate as a </w:t>
      </w:r>
      <w:r>
        <w:rPr>
          <w:rFonts w:eastAsia="Times New Roman"/>
          <w:szCs w:val="20"/>
          <w:lang w:val="en-GB" w:eastAsia="en-GB"/>
        </w:rPr>
        <w:t>form of task licencing</w:t>
      </w:r>
      <w:r w:rsidRPr="00177E1D">
        <w:rPr>
          <w:rFonts w:eastAsia="Times New Roman"/>
          <w:szCs w:val="20"/>
          <w:lang w:val="en-GB" w:eastAsia="en-GB"/>
        </w:rPr>
        <w:t>.</w:t>
      </w:r>
      <w:r>
        <w:rPr>
          <w:rFonts w:eastAsia="Times New Roman"/>
          <w:szCs w:val="20"/>
          <w:lang w:val="en-GB" w:eastAsia="en-GB"/>
        </w:rPr>
        <w:t xml:space="preserve">  These references will each need to be assessed by the government agencies which administer these Acts. </w:t>
      </w:r>
    </w:p>
    <w:p w:rsidR="006638A8" w:rsidRPr="00AC1FE2" w:rsidRDefault="006638A8" w:rsidP="00177E1D">
      <w:pPr>
        <w:spacing w:after="240" w:line="240" w:lineRule="auto"/>
        <w:rPr>
          <w:rFonts w:eastAsia="Times New Roman" w:cs="Times New Roman"/>
          <w:i/>
          <w:szCs w:val="20"/>
          <w:lang w:val="en-GB" w:eastAsia="en-GB"/>
        </w:rPr>
      </w:pPr>
      <w:r w:rsidRPr="00AC1FE2">
        <w:rPr>
          <w:rFonts w:eastAsia="Times New Roman" w:cs="Times New Roman"/>
          <w:i/>
          <w:szCs w:val="20"/>
          <w:lang w:val="en-GB" w:eastAsia="en-GB"/>
        </w:rPr>
        <w:t>The challenge of defining Social Work and Social Workers</w:t>
      </w:r>
    </w:p>
    <w:p w:rsidR="006638A8" w:rsidRPr="00AC1FE2" w:rsidRDefault="006638A8" w:rsidP="005B5FC6">
      <w:pPr>
        <w:numPr>
          <w:ilvl w:val="0"/>
          <w:numId w:val="23"/>
        </w:numPr>
        <w:spacing w:after="240" w:line="240" w:lineRule="auto"/>
        <w:ind w:left="567" w:hanging="567"/>
        <w:rPr>
          <w:rFonts w:eastAsia="Times New Roman" w:cs="Times New Roman"/>
          <w:szCs w:val="20"/>
          <w:lang w:eastAsia="en-GB"/>
        </w:rPr>
      </w:pPr>
      <w:r w:rsidRPr="00AC1FE2">
        <w:rPr>
          <w:rFonts w:eastAsia="Times New Roman"/>
          <w:color w:val="000000"/>
          <w:kern w:val="22"/>
          <w:szCs w:val="20"/>
          <w:lang w:eastAsia="en-NZ"/>
        </w:rPr>
        <w:t xml:space="preserve">Social work </w:t>
      </w:r>
      <w:r w:rsidR="0062656E">
        <w:rPr>
          <w:rFonts w:eastAsia="Times New Roman"/>
          <w:color w:val="000000"/>
          <w:kern w:val="22"/>
          <w:szCs w:val="20"/>
          <w:lang w:eastAsia="en-NZ"/>
        </w:rPr>
        <w:t xml:space="preserve">and social work tasks are </w:t>
      </w:r>
      <w:r w:rsidRPr="00AC1FE2">
        <w:rPr>
          <w:rFonts w:eastAsia="Times New Roman"/>
          <w:color w:val="000000"/>
          <w:kern w:val="22"/>
          <w:szCs w:val="20"/>
          <w:lang w:eastAsia="en-NZ"/>
        </w:rPr>
        <w:t xml:space="preserve">particularly difficult to define in an exclusive way.  </w:t>
      </w:r>
      <w:r w:rsidRPr="00AC1FE2">
        <w:rPr>
          <w:rFonts w:eastAsia="Times New Roman" w:cs="Times New Roman"/>
          <w:szCs w:val="20"/>
          <w:lang w:eastAsia="en-GB"/>
        </w:rPr>
        <w:t xml:space="preserve">In 2014, the two bodies representing international social work </w:t>
      </w:r>
      <w:r w:rsidRPr="00AC1FE2">
        <w:rPr>
          <w:rFonts w:ascii="Cambria Math" w:eastAsia="Times New Roman" w:hAnsi="Cambria Math" w:cs="Cambria Math"/>
          <w:szCs w:val="20"/>
          <w:lang w:eastAsia="en-GB"/>
        </w:rPr>
        <w:t>‐</w:t>
      </w:r>
      <w:r w:rsidRPr="00AC1FE2">
        <w:rPr>
          <w:rFonts w:eastAsia="Times New Roman" w:cs="Times New Roman"/>
          <w:szCs w:val="20"/>
          <w:lang w:eastAsia="en-GB"/>
        </w:rPr>
        <w:t xml:space="preserve"> the International Federation of Social Workers (IFSW) and the International Association of Schools of Social Work (IASSW) </w:t>
      </w:r>
      <w:r w:rsidRPr="00AC1FE2">
        <w:rPr>
          <w:rFonts w:ascii="Cambria Math" w:eastAsia="Times New Roman" w:hAnsi="Cambria Math" w:cs="Cambria Math"/>
          <w:szCs w:val="20"/>
          <w:lang w:eastAsia="en-GB"/>
        </w:rPr>
        <w:t>‐</w:t>
      </w:r>
      <w:r w:rsidRPr="00AC1FE2">
        <w:rPr>
          <w:rFonts w:eastAsia="Times New Roman" w:cs="Times New Roman"/>
          <w:szCs w:val="20"/>
          <w:lang w:eastAsia="en-GB"/>
        </w:rPr>
        <w:t xml:space="preserve"> agreed the following global definition: </w:t>
      </w:r>
    </w:p>
    <w:p w:rsidR="006638A8" w:rsidRPr="00AC1FE2" w:rsidRDefault="006638A8" w:rsidP="00177E1D">
      <w:pPr>
        <w:spacing w:after="240" w:line="240" w:lineRule="auto"/>
        <w:ind w:left="1080"/>
        <w:rPr>
          <w:rFonts w:eastAsia="Times New Roman" w:cs="Times New Roman"/>
          <w:szCs w:val="20"/>
          <w:lang w:eastAsia="en-GB"/>
        </w:rPr>
      </w:pPr>
      <w:r w:rsidRPr="00AC1FE2">
        <w:rPr>
          <w:rFonts w:eastAsia="Times New Roman" w:cs="Times New Roman"/>
          <w:szCs w:val="20"/>
          <w:lang w:eastAsia="en-GB"/>
        </w:rPr>
        <w:t>Social work is a practice</w:t>
      </w:r>
      <w:r w:rsidRPr="00AC1FE2">
        <w:rPr>
          <w:rFonts w:ascii="Cambria Math" w:eastAsia="Times New Roman" w:hAnsi="Cambria Math" w:cs="Cambria Math"/>
          <w:szCs w:val="20"/>
          <w:lang w:eastAsia="en-GB"/>
        </w:rPr>
        <w:t>‐</w:t>
      </w:r>
      <w:r w:rsidRPr="00AC1FE2">
        <w:rPr>
          <w:rFonts w:eastAsia="Times New Roman" w:cs="Times New Roman"/>
          <w:szCs w:val="20"/>
          <w:lang w:eastAsia="en-GB"/>
        </w:rPr>
        <w:t xml:space="preserve">based profession and an academic discipline that promotes social change and development, social cohesion, and the empowerment and liberation of people. </w:t>
      </w:r>
      <w:r w:rsidR="00AC1FE2">
        <w:rPr>
          <w:rFonts w:eastAsia="Times New Roman" w:cs="Times New Roman"/>
          <w:szCs w:val="20"/>
          <w:lang w:eastAsia="en-GB"/>
        </w:rPr>
        <w:t xml:space="preserve"> </w:t>
      </w:r>
      <w:r w:rsidRPr="00AC1FE2">
        <w:rPr>
          <w:rFonts w:eastAsia="Times New Roman" w:cs="Times New Roman"/>
          <w:szCs w:val="20"/>
          <w:lang w:eastAsia="en-GB"/>
        </w:rPr>
        <w:t xml:space="preserve">Principles of social justice, human rights, collective responsibility and respect for diversities are central to social </w:t>
      </w:r>
      <w:r w:rsidRPr="00AC1FE2">
        <w:rPr>
          <w:rFonts w:eastAsia="Times New Roman" w:cs="Times New Roman"/>
          <w:szCs w:val="20"/>
          <w:lang w:eastAsia="en-GB"/>
        </w:rPr>
        <w:lastRenderedPageBreak/>
        <w:t xml:space="preserve">work. </w:t>
      </w:r>
      <w:r w:rsidR="00AC1FE2">
        <w:rPr>
          <w:rFonts w:eastAsia="Times New Roman" w:cs="Times New Roman"/>
          <w:szCs w:val="20"/>
          <w:lang w:eastAsia="en-GB"/>
        </w:rPr>
        <w:t xml:space="preserve"> </w:t>
      </w:r>
      <w:r w:rsidRPr="00AC1FE2">
        <w:rPr>
          <w:rFonts w:eastAsia="Times New Roman" w:cs="Times New Roman"/>
          <w:szCs w:val="20"/>
          <w:lang w:eastAsia="en-GB"/>
        </w:rPr>
        <w:t>Underpinned by theories of social work, social sciences, humanities and indigenous knowledge, social work engages people and structures to address life challenges and enhance wellbeing.</w:t>
      </w:r>
      <w:r w:rsidRPr="00AC1FE2">
        <w:rPr>
          <w:rStyle w:val="FootnoteReference"/>
          <w:rFonts w:eastAsia="Times New Roman" w:cs="Times New Roman"/>
          <w:szCs w:val="20"/>
          <w:lang w:eastAsia="en-GB"/>
        </w:rPr>
        <w:footnoteReference w:id="19"/>
      </w:r>
    </w:p>
    <w:p w:rsidR="006638A8" w:rsidRPr="00AC1FE2" w:rsidRDefault="006638A8" w:rsidP="005B5FC6">
      <w:pPr>
        <w:numPr>
          <w:ilvl w:val="0"/>
          <w:numId w:val="23"/>
        </w:numPr>
        <w:spacing w:after="240" w:line="240" w:lineRule="auto"/>
        <w:ind w:left="567" w:hanging="567"/>
        <w:rPr>
          <w:rFonts w:eastAsia="Times New Roman" w:cs="Times New Roman"/>
          <w:szCs w:val="20"/>
          <w:lang w:val="en-GB" w:eastAsia="en-GB"/>
        </w:rPr>
      </w:pPr>
      <w:r w:rsidRPr="00AC1FE2">
        <w:rPr>
          <w:rFonts w:eastAsia="Times New Roman" w:cs="Times New Roman"/>
          <w:szCs w:val="20"/>
          <w:lang w:val="en-GB" w:eastAsia="en-GB"/>
        </w:rPr>
        <w:t>The same report also concludes “</w:t>
      </w:r>
      <w:r w:rsidR="00AC1FE2" w:rsidRPr="00AC1FE2">
        <w:rPr>
          <w:rFonts w:eastAsia="Times New Roman" w:cs="Times New Roman"/>
          <w:szCs w:val="20"/>
          <w:lang w:val="en-GB" w:eastAsia="en-GB"/>
        </w:rPr>
        <w:t>It is particularly difficult to distinguish social work from related professions in terms of task.</w:t>
      </w:r>
      <w:r w:rsidR="00AC1FE2">
        <w:rPr>
          <w:rFonts w:eastAsia="Times New Roman" w:cs="Times New Roman"/>
          <w:szCs w:val="20"/>
          <w:lang w:val="en-GB" w:eastAsia="en-GB"/>
        </w:rPr>
        <w:t xml:space="preserve"> ….. </w:t>
      </w:r>
      <w:r w:rsidRPr="00AC1FE2">
        <w:rPr>
          <w:rFonts w:eastAsia="Times New Roman" w:cs="Times New Roman"/>
          <w:szCs w:val="20"/>
          <w:lang w:val="en-GB" w:eastAsia="en-GB"/>
        </w:rPr>
        <w:t>Definitions of social work are contested and evolving; while the tasks that social workers undertake vary across different countries and different types of welfare regime.”</w:t>
      </w:r>
      <w:r w:rsidRPr="0062656E">
        <w:rPr>
          <w:rFonts w:eastAsia="Times New Roman" w:cs="Times New Roman"/>
          <w:szCs w:val="20"/>
          <w:vertAlign w:val="superscript"/>
          <w:lang w:val="en-GB" w:eastAsia="en-GB"/>
        </w:rPr>
        <w:footnoteReference w:id="20"/>
      </w:r>
      <w:r w:rsidRPr="00AC1FE2">
        <w:rPr>
          <w:rFonts w:eastAsia="Times New Roman" w:cs="Times New Roman"/>
          <w:szCs w:val="20"/>
          <w:lang w:val="en-GB" w:eastAsia="en-GB"/>
        </w:rPr>
        <w:t xml:space="preserve">  </w:t>
      </w:r>
      <w:r w:rsidR="003E79E5">
        <w:rPr>
          <w:rFonts w:eastAsia="Times New Roman" w:cs="Times New Roman"/>
          <w:szCs w:val="20"/>
          <w:lang w:val="en-GB" w:eastAsia="en-GB"/>
        </w:rPr>
        <w:t>Other professions</w:t>
      </w:r>
      <w:r w:rsidR="0062656E">
        <w:rPr>
          <w:rFonts w:eastAsia="Times New Roman" w:cs="Times New Roman"/>
          <w:szCs w:val="20"/>
          <w:lang w:val="en-GB" w:eastAsia="en-GB"/>
        </w:rPr>
        <w:t>,</w:t>
      </w:r>
      <w:r w:rsidR="003E79E5">
        <w:rPr>
          <w:rFonts w:eastAsia="Times New Roman" w:cs="Times New Roman"/>
          <w:szCs w:val="20"/>
          <w:lang w:val="en-GB" w:eastAsia="en-GB"/>
        </w:rPr>
        <w:t xml:space="preserve"> </w:t>
      </w:r>
      <w:r w:rsidR="00471974">
        <w:rPr>
          <w:rFonts w:eastAsia="Times New Roman" w:cs="Times New Roman"/>
          <w:szCs w:val="20"/>
          <w:lang w:val="en-GB" w:eastAsia="en-GB"/>
        </w:rPr>
        <w:t xml:space="preserve">for example nursing and various health professionals, </w:t>
      </w:r>
      <w:r w:rsidR="003E79E5">
        <w:rPr>
          <w:rFonts w:eastAsia="Times New Roman" w:cs="Times New Roman"/>
          <w:szCs w:val="20"/>
          <w:lang w:val="en-GB" w:eastAsia="en-GB"/>
        </w:rPr>
        <w:t xml:space="preserve">which use </w:t>
      </w:r>
      <w:r w:rsidR="00471974">
        <w:rPr>
          <w:rFonts w:eastAsia="Times New Roman" w:cs="Times New Roman"/>
          <w:szCs w:val="20"/>
          <w:lang w:val="en-GB" w:eastAsia="en-GB"/>
        </w:rPr>
        <w:t>the task licencing</w:t>
      </w:r>
      <w:r w:rsidR="003E79E5">
        <w:rPr>
          <w:rFonts w:eastAsia="Times New Roman" w:cs="Times New Roman"/>
          <w:szCs w:val="20"/>
          <w:lang w:val="en-GB" w:eastAsia="en-GB"/>
        </w:rPr>
        <w:t xml:space="preserve"> approach are generally able to more clearly define their reserved tasks</w:t>
      </w:r>
      <w:r w:rsidR="00BE1A5E">
        <w:rPr>
          <w:rFonts w:eastAsia="Times New Roman" w:cs="Times New Roman"/>
          <w:szCs w:val="20"/>
          <w:lang w:val="en-GB" w:eastAsia="en-GB"/>
        </w:rPr>
        <w:t>.</w:t>
      </w:r>
      <w:r w:rsidR="00471974">
        <w:rPr>
          <w:rFonts w:eastAsia="Times New Roman" w:cs="Times New Roman"/>
          <w:szCs w:val="20"/>
          <w:lang w:val="en-GB" w:eastAsia="en-GB"/>
        </w:rPr>
        <w:t xml:space="preserve">  </w:t>
      </w:r>
      <w:r w:rsidR="0062656E" w:rsidRPr="00AD30A2">
        <w:rPr>
          <w:rFonts w:eastAsia="Times New Roman"/>
          <w:szCs w:val="20"/>
          <w:lang w:val="en-GB" w:eastAsia="en-GB"/>
        </w:rPr>
        <w:t>An example under</w:t>
      </w:r>
      <w:r w:rsidR="001913C7">
        <w:rPr>
          <w:rFonts w:eastAsia="Times New Roman"/>
          <w:szCs w:val="20"/>
          <w:lang w:val="en-GB" w:eastAsia="en-GB"/>
        </w:rPr>
        <w:t xml:space="preserve"> regulations made under</w:t>
      </w:r>
      <w:r w:rsidR="0062656E" w:rsidRPr="00AD30A2">
        <w:rPr>
          <w:rFonts w:eastAsia="Times New Roman"/>
          <w:szCs w:val="20"/>
          <w:lang w:val="en-GB" w:eastAsia="en-GB"/>
        </w:rPr>
        <w:t xml:space="preserve"> the HPCA Act is </w:t>
      </w:r>
      <w:r w:rsidR="00DF4203">
        <w:rPr>
          <w:rFonts w:eastAsia="Times New Roman"/>
          <w:szCs w:val="20"/>
          <w:lang w:val="en-GB" w:eastAsia="en-GB"/>
        </w:rPr>
        <w:t>“</w:t>
      </w:r>
      <w:r w:rsidR="0062656E" w:rsidRPr="00AD30A2">
        <w:rPr>
          <w:rFonts w:eastAsia="Times New Roman"/>
          <w:szCs w:val="20"/>
          <w:lang w:val="en-GB" w:eastAsia="en-GB"/>
        </w:rPr>
        <w:t>surgical or operative procedures below the gingival margin or the surface of the skin, mucous membranes or teeth</w:t>
      </w:r>
      <w:r w:rsidR="00DF4203">
        <w:rPr>
          <w:rFonts w:eastAsia="Times New Roman"/>
          <w:szCs w:val="20"/>
          <w:lang w:val="en-GB" w:eastAsia="en-GB"/>
        </w:rPr>
        <w:t>”</w:t>
      </w:r>
      <w:r w:rsidR="0062656E">
        <w:rPr>
          <w:rFonts w:eastAsia="Times New Roman"/>
          <w:szCs w:val="20"/>
          <w:lang w:val="en-GB" w:eastAsia="en-GB"/>
        </w:rPr>
        <w:t>, which provides a boundary between non-invasive cosmetic treatments, and those which can only be undertaken by an appropriately registered person</w:t>
      </w:r>
      <w:r w:rsidR="0062656E" w:rsidRPr="00AD30A2">
        <w:rPr>
          <w:rFonts w:eastAsia="Times New Roman"/>
          <w:szCs w:val="20"/>
          <w:lang w:val="en-GB" w:eastAsia="en-GB"/>
        </w:rPr>
        <w:t>.</w:t>
      </w:r>
      <w:r w:rsidR="0062656E">
        <w:rPr>
          <w:rFonts w:eastAsia="Times New Roman"/>
          <w:szCs w:val="20"/>
          <w:lang w:val="en-GB" w:eastAsia="en-GB"/>
        </w:rPr>
        <w:t xml:space="preserve">  </w:t>
      </w:r>
      <w:r w:rsidR="00471974">
        <w:rPr>
          <w:rFonts w:eastAsia="Times New Roman" w:cs="Times New Roman"/>
          <w:szCs w:val="20"/>
          <w:lang w:val="en-GB" w:eastAsia="en-GB"/>
        </w:rPr>
        <w:t xml:space="preserve">Finding equivalent clear boundaries that distinguish social work tasks from related professional tasks is difficult on a generic basis. </w:t>
      </w:r>
      <w:r w:rsidR="00CA6DA7">
        <w:rPr>
          <w:rFonts w:eastAsia="Times New Roman" w:cs="Times New Roman"/>
          <w:szCs w:val="20"/>
          <w:lang w:val="en-GB" w:eastAsia="en-GB"/>
        </w:rPr>
        <w:t xml:space="preserve"> </w:t>
      </w:r>
      <w:r w:rsidR="00CA6DA7" w:rsidRPr="003E79E5">
        <w:rPr>
          <w:rFonts w:eastAsia="Times New Roman"/>
          <w:szCs w:val="20"/>
          <w:lang w:val="en-GB" w:eastAsia="en-GB"/>
        </w:rPr>
        <w:t xml:space="preserve">We </w:t>
      </w:r>
      <w:r w:rsidR="00CA6DA7">
        <w:rPr>
          <w:rFonts w:eastAsia="Times New Roman"/>
          <w:szCs w:val="20"/>
          <w:lang w:val="en-GB" w:eastAsia="en-GB"/>
        </w:rPr>
        <w:t>therefore have</w:t>
      </w:r>
      <w:r w:rsidR="00CA6DA7" w:rsidRPr="003E79E5">
        <w:rPr>
          <w:rFonts w:eastAsia="Times New Roman"/>
          <w:szCs w:val="20"/>
          <w:lang w:val="en-GB" w:eastAsia="en-GB"/>
        </w:rPr>
        <w:t xml:space="preserve"> concerns with </w:t>
      </w:r>
      <w:r w:rsidR="00CA6DA7">
        <w:rPr>
          <w:rFonts w:eastAsia="Times New Roman"/>
          <w:szCs w:val="20"/>
          <w:lang w:val="en-GB" w:eastAsia="en-GB"/>
        </w:rPr>
        <w:t>taking a broad</w:t>
      </w:r>
      <w:r w:rsidR="00CA6DA7" w:rsidRPr="003E79E5">
        <w:rPr>
          <w:rFonts w:eastAsia="Times New Roman"/>
          <w:szCs w:val="20"/>
          <w:lang w:val="en-GB" w:eastAsia="en-GB"/>
        </w:rPr>
        <w:t xml:space="preserve"> approach</w:t>
      </w:r>
      <w:r w:rsidR="00CA6DA7">
        <w:rPr>
          <w:rFonts w:eastAsia="Times New Roman"/>
          <w:szCs w:val="20"/>
          <w:lang w:val="en-GB" w:eastAsia="en-GB"/>
        </w:rPr>
        <w:t xml:space="preserve"> to task licencing for social work.</w:t>
      </w:r>
    </w:p>
    <w:p w:rsidR="006638A8" w:rsidRPr="003E79E5" w:rsidRDefault="00CA6DA7"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Particular concerns about broader, more generic task licencing</w:t>
      </w:r>
      <w:r w:rsidR="006638A8" w:rsidRPr="003E79E5">
        <w:rPr>
          <w:rFonts w:eastAsia="Times New Roman"/>
          <w:szCs w:val="20"/>
          <w:lang w:val="en-GB" w:eastAsia="en-GB"/>
        </w:rPr>
        <w:t>, aris</w:t>
      </w:r>
      <w:r>
        <w:rPr>
          <w:rFonts w:eastAsia="Times New Roman"/>
          <w:szCs w:val="20"/>
          <w:lang w:val="en-GB" w:eastAsia="en-GB"/>
        </w:rPr>
        <w:t>e</w:t>
      </w:r>
      <w:r w:rsidR="006638A8" w:rsidRPr="003E79E5">
        <w:rPr>
          <w:rFonts w:eastAsia="Times New Roman"/>
          <w:szCs w:val="20"/>
          <w:lang w:val="en-GB" w:eastAsia="en-GB"/>
        </w:rPr>
        <w:t xml:space="preserve"> from legal advice</w:t>
      </w:r>
      <w:r>
        <w:rPr>
          <w:rFonts w:eastAsia="Times New Roman"/>
          <w:szCs w:val="20"/>
          <w:lang w:val="en-GB" w:eastAsia="en-GB"/>
        </w:rPr>
        <w:t xml:space="preserve"> about r</w:t>
      </w:r>
      <w:r w:rsidR="00471974">
        <w:rPr>
          <w:rFonts w:eastAsia="Times New Roman"/>
          <w:szCs w:val="20"/>
          <w:lang w:val="en-GB" w:eastAsia="en-GB"/>
        </w:rPr>
        <w:t>ecent</w:t>
      </w:r>
      <w:r w:rsidR="00C1110F">
        <w:rPr>
          <w:rFonts w:eastAsia="Times New Roman"/>
          <w:szCs w:val="20"/>
          <w:lang w:val="en-GB" w:eastAsia="en-GB"/>
        </w:rPr>
        <w:t xml:space="preserve"> changes made </w:t>
      </w:r>
      <w:r w:rsidR="0011220C">
        <w:rPr>
          <w:rFonts w:eastAsia="Times New Roman"/>
          <w:szCs w:val="20"/>
          <w:lang w:val="en-GB" w:eastAsia="en-GB"/>
        </w:rPr>
        <w:t>to</w:t>
      </w:r>
      <w:r w:rsidR="0011220C" w:rsidRPr="003E79E5">
        <w:rPr>
          <w:rFonts w:eastAsia="Times New Roman"/>
          <w:szCs w:val="20"/>
          <w:lang w:val="en-GB" w:eastAsia="en-GB"/>
        </w:rPr>
        <w:t xml:space="preserve"> </w:t>
      </w:r>
      <w:r w:rsidR="006638A8" w:rsidRPr="003E79E5">
        <w:rPr>
          <w:rFonts w:eastAsia="Times New Roman"/>
          <w:szCs w:val="20"/>
          <w:lang w:val="en-GB" w:eastAsia="en-GB"/>
        </w:rPr>
        <w:t>the</w:t>
      </w:r>
      <w:r w:rsidR="002F638D">
        <w:rPr>
          <w:rFonts w:eastAsia="Times New Roman"/>
          <w:szCs w:val="20"/>
          <w:lang w:val="en-GB" w:eastAsia="en-GB"/>
        </w:rPr>
        <w:t xml:space="preserve"> </w:t>
      </w:r>
      <w:r w:rsidR="000B5EC5">
        <w:rPr>
          <w:rFonts w:eastAsia="Times New Roman"/>
          <w:szCs w:val="20"/>
          <w:lang w:val="en-GB" w:eastAsia="en-GB"/>
        </w:rPr>
        <w:t>Children, Young Persons, and t</w:t>
      </w:r>
      <w:r w:rsidR="002F638D" w:rsidRPr="002F638D">
        <w:rPr>
          <w:rFonts w:eastAsia="Times New Roman"/>
          <w:szCs w:val="20"/>
          <w:lang w:val="en-GB" w:eastAsia="en-GB"/>
        </w:rPr>
        <w:t xml:space="preserve">heir Families Act </w:t>
      </w:r>
      <w:r w:rsidR="0011220C">
        <w:rPr>
          <w:rFonts w:eastAsia="Times New Roman"/>
          <w:szCs w:val="20"/>
          <w:lang w:val="en-GB" w:eastAsia="en-GB"/>
        </w:rPr>
        <w:t>1989</w:t>
      </w:r>
      <w:r w:rsidR="0011220C" w:rsidRPr="003E79E5">
        <w:rPr>
          <w:rFonts w:eastAsia="Times New Roman"/>
          <w:szCs w:val="20"/>
          <w:lang w:val="en-GB" w:eastAsia="en-GB"/>
        </w:rPr>
        <w:t xml:space="preserve"> </w:t>
      </w:r>
      <w:r w:rsidR="002F638D">
        <w:rPr>
          <w:rFonts w:eastAsia="Times New Roman"/>
          <w:szCs w:val="20"/>
          <w:lang w:val="en-GB" w:eastAsia="en-GB"/>
        </w:rPr>
        <w:t>(</w:t>
      </w:r>
      <w:r w:rsidR="006638A8" w:rsidRPr="003E79E5">
        <w:rPr>
          <w:rFonts w:eastAsia="Times New Roman"/>
          <w:szCs w:val="20"/>
          <w:lang w:val="en-GB" w:eastAsia="en-GB"/>
        </w:rPr>
        <w:t>CYPF Act</w:t>
      </w:r>
      <w:r w:rsidR="002F638D">
        <w:rPr>
          <w:rFonts w:eastAsia="Times New Roman"/>
          <w:szCs w:val="20"/>
          <w:lang w:val="en-GB" w:eastAsia="en-GB"/>
        </w:rPr>
        <w:t>)</w:t>
      </w:r>
      <w:r>
        <w:rPr>
          <w:rFonts w:eastAsia="Times New Roman"/>
          <w:szCs w:val="20"/>
          <w:lang w:val="en-GB" w:eastAsia="en-GB"/>
        </w:rPr>
        <w:t xml:space="preserve">. </w:t>
      </w:r>
      <w:r w:rsidR="006638A8" w:rsidRPr="003E79E5">
        <w:rPr>
          <w:rFonts w:eastAsia="Times New Roman"/>
          <w:szCs w:val="20"/>
          <w:lang w:val="en-GB" w:eastAsia="en-GB"/>
        </w:rPr>
        <w:t xml:space="preserve"> </w:t>
      </w:r>
      <w:r w:rsidR="00036AFB" w:rsidRPr="003E79E5">
        <w:rPr>
          <w:rFonts w:eastAsia="Times New Roman"/>
          <w:szCs w:val="20"/>
          <w:lang w:val="en-GB" w:eastAsia="en-GB"/>
        </w:rPr>
        <w:t xml:space="preserve">The </w:t>
      </w:r>
      <w:r w:rsidR="00CC7880">
        <w:rPr>
          <w:rFonts w:eastAsia="Times New Roman"/>
          <w:szCs w:val="20"/>
          <w:lang w:val="en-GB" w:eastAsia="en-GB"/>
        </w:rPr>
        <w:t xml:space="preserve">CYPF </w:t>
      </w:r>
      <w:r w:rsidR="00036AFB" w:rsidRPr="003E79E5">
        <w:rPr>
          <w:rFonts w:eastAsia="Times New Roman"/>
          <w:szCs w:val="20"/>
          <w:lang w:val="en-GB" w:eastAsia="en-GB"/>
        </w:rPr>
        <w:t>Act now allows the Chief Executive</w:t>
      </w:r>
      <w:r w:rsidR="002F638D">
        <w:rPr>
          <w:rFonts w:eastAsia="Times New Roman"/>
          <w:szCs w:val="20"/>
          <w:lang w:val="en-GB" w:eastAsia="en-GB"/>
        </w:rPr>
        <w:t xml:space="preserve"> </w:t>
      </w:r>
      <w:r w:rsidR="002B178F">
        <w:rPr>
          <w:rFonts w:eastAsia="Times New Roman"/>
          <w:szCs w:val="20"/>
          <w:lang w:val="en-GB" w:eastAsia="en-GB"/>
        </w:rPr>
        <w:t>of MVCOT</w:t>
      </w:r>
      <w:r w:rsidR="00036AFB" w:rsidRPr="003E79E5">
        <w:rPr>
          <w:rFonts w:eastAsia="Times New Roman"/>
          <w:szCs w:val="20"/>
          <w:lang w:val="en-GB" w:eastAsia="en-GB"/>
        </w:rPr>
        <w:t xml:space="preserve"> </w:t>
      </w:r>
      <w:r w:rsidR="002B178F">
        <w:rPr>
          <w:rFonts w:eastAsia="Times New Roman"/>
          <w:szCs w:val="20"/>
          <w:lang w:val="en-GB" w:eastAsia="en-GB"/>
        </w:rPr>
        <w:t xml:space="preserve">(CE) </w:t>
      </w:r>
      <w:r w:rsidR="00036AFB" w:rsidRPr="003E79E5">
        <w:rPr>
          <w:rFonts w:eastAsia="Times New Roman"/>
          <w:szCs w:val="20"/>
          <w:lang w:val="en-GB" w:eastAsia="en-GB"/>
        </w:rPr>
        <w:t xml:space="preserve">to delegate most of the functions and powers previously performed by social workers under the </w:t>
      </w:r>
      <w:r w:rsidR="00CC7880">
        <w:rPr>
          <w:rFonts w:eastAsia="Times New Roman"/>
          <w:szCs w:val="20"/>
          <w:lang w:val="en-GB" w:eastAsia="en-GB"/>
        </w:rPr>
        <w:t xml:space="preserve">CYPF </w:t>
      </w:r>
      <w:r w:rsidR="00036AFB" w:rsidRPr="003E79E5">
        <w:rPr>
          <w:rFonts w:eastAsia="Times New Roman"/>
          <w:szCs w:val="20"/>
          <w:lang w:val="en-GB" w:eastAsia="en-GB"/>
        </w:rPr>
        <w:t>Act to a broader range of appropriately qualified professionals, both inside and outside the state sector.  These delegations are likely to be to particular roles in organisations, not to named individuals or organisations.</w:t>
      </w:r>
      <w:r w:rsidR="00036AFB">
        <w:rPr>
          <w:rFonts w:eastAsia="Times New Roman"/>
          <w:szCs w:val="20"/>
          <w:lang w:val="en-GB" w:eastAsia="en-GB"/>
        </w:rPr>
        <w:t xml:space="preserve">  Amendments to the CYPF Act </w:t>
      </w:r>
      <w:r w:rsidR="006638A8" w:rsidRPr="003E79E5">
        <w:rPr>
          <w:rFonts w:eastAsia="Times New Roman"/>
          <w:szCs w:val="20"/>
          <w:lang w:val="en-GB" w:eastAsia="en-GB"/>
        </w:rPr>
        <w:t xml:space="preserve">are intended to enable flexibility for a multi-disciplinary approach to child protection work and decision-making, and to allow the new Ministry to deliver services via strategic partners rather than its own direct employees.  The changes were recommended by the Expert Panel that reviewed CYF, and are designed to enable a broader range of professionals to perform a wider set of functions under the </w:t>
      </w:r>
      <w:r w:rsidR="00CC7880">
        <w:rPr>
          <w:rFonts w:eastAsia="Times New Roman"/>
          <w:szCs w:val="20"/>
          <w:lang w:val="en-GB" w:eastAsia="en-GB"/>
        </w:rPr>
        <w:t xml:space="preserve">CYPF </w:t>
      </w:r>
      <w:r w:rsidR="006638A8" w:rsidRPr="003E79E5">
        <w:rPr>
          <w:rFonts w:eastAsia="Times New Roman"/>
          <w:szCs w:val="20"/>
          <w:lang w:val="en-GB" w:eastAsia="en-GB"/>
        </w:rPr>
        <w:t>Act to help identify and meet the needs of vulnerable children and young people.</w:t>
      </w:r>
    </w:p>
    <w:p w:rsidR="006638A8" w:rsidRPr="003E79E5" w:rsidRDefault="00036AFB"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 xml:space="preserve">Moves towards broader task licencing in the SWR Act would run counter to these changes.  </w:t>
      </w:r>
      <w:r w:rsidR="006638A8" w:rsidRPr="003E79E5">
        <w:rPr>
          <w:rFonts w:eastAsia="Times New Roman"/>
          <w:szCs w:val="20"/>
          <w:lang w:val="en-GB" w:eastAsia="en-GB"/>
        </w:rPr>
        <w:t xml:space="preserve">Many of the statutory functions previously vested in CYF social workers, are not specific to social work, and conversely many functions currently performed by </w:t>
      </w:r>
      <w:r w:rsidR="002B178F">
        <w:rPr>
          <w:rFonts w:eastAsia="Times New Roman"/>
          <w:szCs w:val="20"/>
          <w:lang w:val="en-GB" w:eastAsia="en-GB"/>
        </w:rPr>
        <w:t>MVCOT</w:t>
      </w:r>
      <w:r w:rsidR="006638A8" w:rsidRPr="003E79E5">
        <w:rPr>
          <w:rFonts w:eastAsia="Times New Roman"/>
          <w:szCs w:val="20"/>
          <w:lang w:val="en-GB" w:eastAsia="en-GB"/>
        </w:rPr>
        <w:t xml:space="preserve"> social workers are not currently limited to social workers for example, writing plans and reports for the court and acting on behalf of the CE as the person who has care of a child or young person.</w:t>
      </w:r>
    </w:p>
    <w:p w:rsidR="006638A8" w:rsidRPr="003E79E5" w:rsidRDefault="006638A8" w:rsidP="005B5FC6">
      <w:pPr>
        <w:numPr>
          <w:ilvl w:val="0"/>
          <w:numId w:val="23"/>
        </w:numPr>
        <w:spacing w:after="240" w:line="240" w:lineRule="auto"/>
        <w:ind w:left="567" w:hanging="567"/>
        <w:rPr>
          <w:rFonts w:eastAsia="Times New Roman"/>
          <w:szCs w:val="20"/>
          <w:lang w:val="en-GB" w:eastAsia="en-GB"/>
        </w:rPr>
      </w:pPr>
      <w:r w:rsidRPr="003E79E5">
        <w:rPr>
          <w:rFonts w:eastAsia="Times New Roman"/>
          <w:szCs w:val="20"/>
          <w:lang w:val="en-GB" w:eastAsia="en-GB"/>
        </w:rPr>
        <w:t xml:space="preserve">It is intended that social workers will continue to make up a key part of the workforce for vulnerable children, but the functions that may be delegated to other professionals under the </w:t>
      </w:r>
      <w:r w:rsidR="00AF4C07">
        <w:rPr>
          <w:rFonts w:eastAsia="Times New Roman"/>
          <w:szCs w:val="20"/>
          <w:lang w:val="en-GB" w:eastAsia="en-GB"/>
        </w:rPr>
        <w:t xml:space="preserve">CYPF </w:t>
      </w:r>
      <w:r w:rsidRPr="003E79E5">
        <w:rPr>
          <w:rFonts w:eastAsia="Times New Roman"/>
          <w:szCs w:val="20"/>
          <w:lang w:val="en-GB" w:eastAsia="en-GB"/>
        </w:rPr>
        <w:t xml:space="preserve">Act include receiving reports of concerns, initiating investigations and applying for warrants to remove children.  The </w:t>
      </w:r>
      <w:r w:rsidR="00CC7880">
        <w:rPr>
          <w:rFonts w:eastAsia="Times New Roman"/>
          <w:szCs w:val="20"/>
          <w:lang w:val="en-GB" w:eastAsia="en-GB"/>
        </w:rPr>
        <w:t xml:space="preserve">CYPF </w:t>
      </w:r>
      <w:r w:rsidRPr="003E79E5">
        <w:rPr>
          <w:rFonts w:eastAsia="Times New Roman"/>
          <w:szCs w:val="20"/>
          <w:lang w:val="en-GB" w:eastAsia="en-GB"/>
        </w:rPr>
        <w:t xml:space="preserve">Act </w:t>
      </w:r>
      <w:r w:rsidR="002B178F">
        <w:rPr>
          <w:rFonts w:eastAsia="Times New Roman"/>
          <w:szCs w:val="20"/>
          <w:lang w:val="en-GB" w:eastAsia="en-GB"/>
        </w:rPr>
        <w:t xml:space="preserve">had </w:t>
      </w:r>
      <w:r w:rsidRPr="003E79E5">
        <w:rPr>
          <w:rFonts w:eastAsia="Times New Roman"/>
          <w:szCs w:val="20"/>
          <w:lang w:val="en-GB" w:eastAsia="en-GB"/>
        </w:rPr>
        <w:t>already allow</w:t>
      </w:r>
      <w:r w:rsidR="002B178F">
        <w:rPr>
          <w:rFonts w:eastAsia="Times New Roman"/>
          <w:szCs w:val="20"/>
          <w:lang w:val="en-GB" w:eastAsia="en-GB"/>
        </w:rPr>
        <w:t>ed</w:t>
      </w:r>
      <w:r w:rsidRPr="003E79E5">
        <w:rPr>
          <w:rFonts w:eastAsia="Times New Roman"/>
          <w:szCs w:val="20"/>
          <w:lang w:val="en-GB" w:eastAsia="en-GB"/>
        </w:rPr>
        <w:t xml:space="preserve"> for a CYF social worker to arrange for another person to undertake an investigation.</w:t>
      </w:r>
    </w:p>
    <w:p w:rsidR="006638A8" w:rsidRPr="003E79E5" w:rsidRDefault="006638A8" w:rsidP="005B5FC6">
      <w:pPr>
        <w:numPr>
          <w:ilvl w:val="0"/>
          <w:numId w:val="23"/>
        </w:numPr>
        <w:spacing w:after="240" w:line="240" w:lineRule="auto"/>
        <w:ind w:left="567" w:hanging="567"/>
        <w:rPr>
          <w:rFonts w:eastAsia="Times New Roman" w:cs="Times New Roman"/>
          <w:szCs w:val="20"/>
          <w:u w:val="single"/>
          <w:lang w:val="en-GB" w:eastAsia="en-GB"/>
        </w:rPr>
      </w:pPr>
      <w:r w:rsidRPr="003E79E5">
        <w:rPr>
          <w:rFonts w:eastAsia="Times New Roman"/>
          <w:szCs w:val="20"/>
          <w:lang w:val="en-GB" w:eastAsia="en-GB"/>
        </w:rPr>
        <w:t>We anticipate this problem will be a</w:t>
      </w:r>
      <w:r w:rsidR="00516758">
        <w:rPr>
          <w:rFonts w:eastAsia="Times New Roman"/>
          <w:szCs w:val="20"/>
          <w:lang w:val="en-GB" w:eastAsia="en-GB"/>
        </w:rPr>
        <w:t xml:space="preserve"> wider</w:t>
      </w:r>
      <w:r w:rsidRPr="003E79E5">
        <w:rPr>
          <w:rFonts w:eastAsia="Times New Roman"/>
          <w:szCs w:val="20"/>
          <w:lang w:val="en-GB" w:eastAsia="en-GB"/>
        </w:rPr>
        <w:t xml:space="preserve"> issue than the immediate issue for </w:t>
      </w:r>
      <w:r w:rsidR="001913C7">
        <w:rPr>
          <w:rFonts w:eastAsia="Times New Roman"/>
          <w:szCs w:val="20"/>
          <w:lang w:val="en-GB" w:eastAsia="en-GB"/>
        </w:rPr>
        <w:t xml:space="preserve">the </w:t>
      </w:r>
      <w:r w:rsidR="001913C7" w:rsidRPr="007A6992">
        <w:rPr>
          <w:rFonts w:eastAsia="Times New Roman"/>
          <w:szCs w:val="20"/>
          <w:lang w:val="en-GB" w:eastAsia="en-GB"/>
        </w:rPr>
        <w:t>Ministry for Vulne</w:t>
      </w:r>
      <w:r w:rsidR="001913C7">
        <w:rPr>
          <w:rFonts w:eastAsia="Times New Roman"/>
          <w:szCs w:val="20"/>
          <w:lang w:val="en-GB" w:eastAsia="en-GB"/>
        </w:rPr>
        <w:t>rable Children, Oranga Tamariki</w:t>
      </w:r>
      <w:r w:rsidRPr="003E79E5">
        <w:rPr>
          <w:rFonts w:eastAsia="Times New Roman"/>
          <w:szCs w:val="20"/>
          <w:lang w:val="en-GB" w:eastAsia="en-GB"/>
        </w:rPr>
        <w:t>.  Multidisciplinary approaches are increasingly seen as more effective for complex personal, family and community situations where social work practice is undertaken</w:t>
      </w:r>
      <w:r w:rsidRPr="003E79E5">
        <w:rPr>
          <w:rFonts w:eastAsia="Times New Roman"/>
          <w:color w:val="000000"/>
          <w:kern w:val="22"/>
          <w:szCs w:val="20"/>
          <w:lang w:eastAsia="en-NZ"/>
        </w:rPr>
        <w:t xml:space="preserve">, and commonly used in the health and education sectors.  </w:t>
      </w:r>
      <w:r w:rsidR="00516758">
        <w:rPr>
          <w:rFonts w:eastAsia="Times New Roman"/>
          <w:color w:val="000000"/>
          <w:kern w:val="22"/>
          <w:szCs w:val="20"/>
          <w:lang w:eastAsia="en-NZ"/>
        </w:rPr>
        <w:t>A</w:t>
      </w:r>
      <w:r w:rsidR="00471974">
        <w:rPr>
          <w:rFonts w:eastAsia="Times New Roman"/>
          <w:color w:val="000000"/>
          <w:kern w:val="22"/>
          <w:szCs w:val="20"/>
          <w:lang w:eastAsia="en-NZ"/>
        </w:rPr>
        <w:t xml:space="preserve"> </w:t>
      </w:r>
      <w:r w:rsidRPr="003E79E5">
        <w:rPr>
          <w:rFonts w:eastAsia="Times New Roman"/>
          <w:color w:val="000000"/>
          <w:kern w:val="22"/>
          <w:szCs w:val="20"/>
          <w:lang w:eastAsia="en-NZ"/>
        </w:rPr>
        <w:t xml:space="preserve">generic </w:t>
      </w:r>
      <w:r w:rsidR="00471974">
        <w:rPr>
          <w:rFonts w:eastAsia="Times New Roman"/>
          <w:color w:val="000000"/>
          <w:kern w:val="22"/>
          <w:szCs w:val="20"/>
          <w:lang w:eastAsia="en-NZ"/>
        </w:rPr>
        <w:t xml:space="preserve">legal </w:t>
      </w:r>
      <w:r w:rsidRPr="003E79E5">
        <w:rPr>
          <w:rFonts w:eastAsia="Times New Roman"/>
          <w:color w:val="000000"/>
          <w:kern w:val="22"/>
          <w:szCs w:val="20"/>
          <w:lang w:eastAsia="en-NZ"/>
        </w:rPr>
        <w:t>specification based on tasks could cause significant problems</w:t>
      </w:r>
      <w:r w:rsidR="00471974">
        <w:rPr>
          <w:rFonts w:eastAsia="Times New Roman"/>
          <w:color w:val="000000"/>
          <w:kern w:val="22"/>
          <w:szCs w:val="20"/>
          <w:lang w:eastAsia="en-NZ"/>
        </w:rPr>
        <w:t xml:space="preserve">, in that it could inadvertently restrict the practice of other professions providing services to vulnerable clients in a social services or </w:t>
      </w:r>
      <w:r w:rsidR="00471974">
        <w:rPr>
          <w:rFonts w:eastAsia="Times New Roman"/>
          <w:color w:val="000000"/>
          <w:kern w:val="22"/>
          <w:szCs w:val="20"/>
          <w:lang w:eastAsia="en-NZ"/>
        </w:rPr>
        <w:lastRenderedPageBreak/>
        <w:t xml:space="preserve">health context. </w:t>
      </w:r>
      <w:r w:rsidR="00CA6DA7">
        <w:rPr>
          <w:rFonts w:eastAsia="Times New Roman"/>
          <w:color w:val="000000"/>
          <w:kern w:val="22"/>
          <w:szCs w:val="20"/>
          <w:lang w:eastAsia="en-NZ"/>
        </w:rPr>
        <w:t xml:space="preserve"> </w:t>
      </w:r>
      <w:r w:rsidR="00516758" w:rsidRPr="003E79E5">
        <w:rPr>
          <w:rFonts w:eastAsia="Times New Roman"/>
          <w:color w:val="000000"/>
          <w:kern w:val="22"/>
          <w:szCs w:val="20"/>
          <w:lang w:eastAsia="en-NZ"/>
        </w:rPr>
        <w:t>Allowing employers and operational policy managers to specify where social workers are required will facilitate collaborative approaches</w:t>
      </w:r>
      <w:r w:rsidR="009C24D3">
        <w:rPr>
          <w:rFonts w:eastAsia="Times New Roman"/>
          <w:color w:val="000000"/>
          <w:kern w:val="22"/>
          <w:szCs w:val="20"/>
          <w:lang w:eastAsia="en-NZ"/>
        </w:rPr>
        <w:t>.</w:t>
      </w:r>
    </w:p>
    <w:p w:rsidR="00C92689" w:rsidRDefault="006638A8" w:rsidP="005B5FC6">
      <w:pPr>
        <w:numPr>
          <w:ilvl w:val="0"/>
          <w:numId w:val="23"/>
        </w:numPr>
        <w:spacing w:after="240" w:line="240" w:lineRule="auto"/>
        <w:ind w:left="567" w:hanging="567"/>
        <w:rPr>
          <w:rFonts w:eastAsia="Times New Roman"/>
          <w:color w:val="000000"/>
          <w:kern w:val="22"/>
          <w:szCs w:val="20"/>
          <w:lang w:eastAsia="en-NZ"/>
        </w:rPr>
      </w:pPr>
      <w:r w:rsidRPr="003E79E5">
        <w:rPr>
          <w:rFonts w:eastAsia="Times New Roman"/>
          <w:color w:val="000000"/>
          <w:kern w:val="22"/>
          <w:szCs w:val="20"/>
          <w:lang w:eastAsia="en-NZ"/>
        </w:rPr>
        <w:t>Task based specification on a generic, statutory basis could result in people currently working in related areas being shut out because their work overlaps too much with tasks defined as Social Work Tasks</w:t>
      </w:r>
      <w:r w:rsidR="00C92689">
        <w:rPr>
          <w:rFonts w:eastAsia="Times New Roman"/>
          <w:color w:val="000000"/>
          <w:kern w:val="22"/>
          <w:szCs w:val="20"/>
          <w:lang w:eastAsia="en-NZ"/>
        </w:rPr>
        <w:t xml:space="preserve"> (for example probation officers or Whanau Ora navigators)</w:t>
      </w:r>
      <w:r w:rsidRPr="003E79E5">
        <w:rPr>
          <w:rFonts w:eastAsia="Times New Roman"/>
          <w:color w:val="000000"/>
          <w:kern w:val="22"/>
          <w:szCs w:val="20"/>
          <w:lang w:eastAsia="en-NZ"/>
        </w:rPr>
        <w:t xml:space="preserve">.  </w:t>
      </w:r>
      <w:r w:rsidRPr="009445E6">
        <w:rPr>
          <w:rFonts w:eastAsia="Times New Roman"/>
          <w:color w:val="000000"/>
          <w:kern w:val="22"/>
          <w:szCs w:val="20"/>
          <w:lang w:eastAsia="en-NZ"/>
        </w:rPr>
        <w:t xml:space="preserve">It could also result in having to use </w:t>
      </w:r>
      <w:r w:rsidR="00C92689" w:rsidRPr="009445E6">
        <w:rPr>
          <w:rFonts w:eastAsia="Times New Roman"/>
          <w:color w:val="000000"/>
          <w:kern w:val="22"/>
          <w:szCs w:val="20"/>
          <w:lang w:eastAsia="en-NZ"/>
        </w:rPr>
        <w:t>social workers</w:t>
      </w:r>
      <w:r w:rsidRPr="009445E6">
        <w:rPr>
          <w:rFonts w:eastAsia="Times New Roman"/>
          <w:color w:val="000000"/>
          <w:kern w:val="22"/>
          <w:szCs w:val="20"/>
          <w:lang w:eastAsia="en-NZ"/>
        </w:rPr>
        <w:t>, at greater cost, for ta</w:t>
      </w:r>
      <w:r w:rsidRPr="003E79E5">
        <w:rPr>
          <w:rFonts w:eastAsia="Times New Roman"/>
          <w:color w:val="000000"/>
          <w:kern w:val="22"/>
          <w:szCs w:val="20"/>
          <w:lang w:eastAsia="en-NZ"/>
        </w:rPr>
        <w:t>sks that could be undertaken by less specialised staff.</w:t>
      </w:r>
      <w:r w:rsidR="00124508">
        <w:rPr>
          <w:rFonts w:eastAsia="Times New Roman"/>
          <w:color w:val="000000"/>
          <w:kern w:val="22"/>
          <w:szCs w:val="20"/>
          <w:lang w:eastAsia="en-NZ"/>
        </w:rPr>
        <w:t xml:space="preserve">  </w:t>
      </w:r>
    </w:p>
    <w:p w:rsidR="006638A8" w:rsidRDefault="00C92689"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 xml:space="preserve">In the context of a regime of certification and title protection for social workers (as described above as </w:t>
      </w:r>
      <w:r w:rsidRPr="00C92689">
        <w:rPr>
          <w:rFonts w:eastAsia="Times New Roman"/>
          <w:i/>
          <w:color w:val="000000"/>
          <w:kern w:val="22"/>
          <w:szCs w:val="20"/>
          <w:lang w:eastAsia="en-NZ"/>
        </w:rPr>
        <w:t>Extension to Level 3</w:t>
      </w:r>
      <w:r>
        <w:rPr>
          <w:rFonts w:eastAsia="Times New Roman"/>
          <w:color w:val="000000"/>
          <w:kern w:val="22"/>
          <w:szCs w:val="20"/>
          <w:lang w:eastAsia="en-NZ"/>
        </w:rPr>
        <w:t>), e</w:t>
      </w:r>
      <w:r w:rsidR="00124508">
        <w:rPr>
          <w:rFonts w:eastAsia="Times New Roman"/>
          <w:color w:val="000000"/>
          <w:kern w:val="22"/>
          <w:szCs w:val="20"/>
          <w:lang w:eastAsia="en-NZ"/>
        </w:rPr>
        <w:t xml:space="preserve">mployers and funding agencies </w:t>
      </w:r>
      <w:r>
        <w:rPr>
          <w:rFonts w:eastAsia="Times New Roman"/>
          <w:color w:val="000000"/>
          <w:kern w:val="22"/>
          <w:szCs w:val="20"/>
          <w:lang w:eastAsia="en-NZ"/>
        </w:rPr>
        <w:t xml:space="preserve">could implement their own form of task licencing by specifying “social worker” in job titles and contracts. </w:t>
      </w:r>
      <w:r w:rsidR="00124508">
        <w:rPr>
          <w:rFonts w:eastAsia="Times New Roman"/>
          <w:color w:val="000000"/>
          <w:kern w:val="22"/>
          <w:szCs w:val="20"/>
          <w:lang w:eastAsia="en-NZ"/>
        </w:rPr>
        <w:t xml:space="preserve"> </w:t>
      </w:r>
      <w:r>
        <w:rPr>
          <w:rFonts w:eastAsia="Times New Roman"/>
          <w:color w:val="000000"/>
          <w:kern w:val="22"/>
          <w:szCs w:val="20"/>
          <w:lang w:eastAsia="en-NZ"/>
        </w:rPr>
        <w:t xml:space="preserve">They will </w:t>
      </w:r>
      <w:r w:rsidR="00124508">
        <w:rPr>
          <w:rFonts w:eastAsia="Times New Roman"/>
          <w:color w:val="000000"/>
          <w:kern w:val="22"/>
          <w:szCs w:val="20"/>
          <w:lang w:eastAsia="en-NZ"/>
        </w:rPr>
        <w:t xml:space="preserve">be able to </w:t>
      </w:r>
      <w:r>
        <w:rPr>
          <w:rFonts w:eastAsia="Times New Roman"/>
          <w:color w:val="000000"/>
          <w:kern w:val="22"/>
          <w:szCs w:val="20"/>
          <w:lang w:eastAsia="en-NZ"/>
        </w:rPr>
        <w:t>precisely</w:t>
      </w:r>
      <w:r w:rsidR="00124508">
        <w:rPr>
          <w:rFonts w:eastAsia="Times New Roman"/>
          <w:color w:val="000000"/>
          <w:kern w:val="22"/>
          <w:szCs w:val="20"/>
          <w:lang w:eastAsia="en-NZ"/>
        </w:rPr>
        <w:t xml:space="preserve"> identify where social workers are needed, and to enforce this via </w:t>
      </w:r>
      <w:r>
        <w:rPr>
          <w:rFonts w:eastAsia="Times New Roman"/>
          <w:color w:val="000000"/>
          <w:kern w:val="22"/>
          <w:szCs w:val="20"/>
          <w:lang w:eastAsia="en-NZ"/>
        </w:rPr>
        <w:t>their employment and contracting policies.</w:t>
      </w:r>
    </w:p>
    <w:p w:rsidR="000B1E7C" w:rsidRDefault="000B1E7C"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A move to task licensing is not expected to add significantly greater</w:t>
      </w:r>
      <w:r w:rsidR="00CF5FEF">
        <w:rPr>
          <w:rFonts w:eastAsia="Times New Roman"/>
          <w:color w:val="000000"/>
          <w:kern w:val="22"/>
          <w:szCs w:val="20"/>
          <w:lang w:eastAsia="en-NZ"/>
        </w:rPr>
        <w:t xml:space="preserve"> </w:t>
      </w:r>
      <w:r>
        <w:rPr>
          <w:rFonts w:eastAsia="Times New Roman"/>
          <w:color w:val="000000"/>
          <w:kern w:val="22"/>
          <w:szCs w:val="20"/>
          <w:lang w:eastAsia="en-NZ"/>
        </w:rPr>
        <w:t xml:space="preserve">costs than mandatory certification. </w:t>
      </w:r>
    </w:p>
    <w:p w:rsidR="00516758" w:rsidRPr="003E79E5" w:rsidRDefault="00516758"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 xml:space="preserve">We do not recommend this approach for regulatory reform. </w:t>
      </w:r>
    </w:p>
    <w:p w:rsidR="006638A8" w:rsidRPr="0071256C" w:rsidRDefault="006638A8" w:rsidP="00177E1D">
      <w:pPr>
        <w:spacing w:after="240" w:line="240" w:lineRule="auto"/>
        <w:rPr>
          <w:rFonts w:eastAsia="Times New Roman" w:cs="Times New Roman"/>
          <w:i/>
          <w:szCs w:val="20"/>
          <w:u w:val="single"/>
          <w:lang w:val="en-GB" w:eastAsia="en-GB"/>
        </w:rPr>
      </w:pPr>
      <w:r w:rsidRPr="0071256C">
        <w:rPr>
          <w:rFonts w:eastAsia="Times New Roman" w:cs="Times New Roman"/>
          <w:i/>
          <w:szCs w:val="20"/>
          <w:u w:val="single"/>
          <w:lang w:val="en-GB" w:eastAsia="en-GB"/>
        </w:rPr>
        <w:t xml:space="preserve">Extension to Level </w:t>
      </w:r>
      <w:r w:rsidR="002B178F">
        <w:rPr>
          <w:rFonts w:eastAsia="Times New Roman" w:cs="Times New Roman"/>
          <w:i/>
          <w:szCs w:val="20"/>
          <w:u w:val="single"/>
          <w:lang w:val="en-GB" w:eastAsia="en-GB"/>
        </w:rPr>
        <w:t>Five</w:t>
      </w:r>
      <w:r w:rsidRPr="0071256C">
        <w:rPr>
          <w:rFonts w:eastAsia="Times New Roman" w:cs="Times New Roman"/>
          <w:i/>
          <w:szCs w:val="20"/>
          <w:u w:val="single"/>
          <w:lang w:val="en-GB" w:eastAsia="en-GB"/>
        </w:rPr>
        <w:t>: Licencing of Occupation</w:t>
      </w:r>
    </w:p>
    <w:p w:rsidR="00C81B0E" w:rsidRDefault="00C81B0E"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Occupational licensing</w:t>
      </w:r>
      <w:r w:rsidRPr="003E05A4">
        <w:rPr>
          <w:rFonts w:eastAsia="Times New Roman"/>
          <w:color w:val="000000"/>
          <w:kern w:val="22"/>
          <w:szCs w:val="20"/>
          <w:lang w:eastAsia="en-NZ"/>
        </w:rPr>
        <w:t xml:space="preserve"> </w:t>
      </w:r>
      <w:r>
        <w:rPr>
          <w:rFonts w:eastAsia="Times New Roman"/>
          <w:color w:val="000000"/>
          <w:kern w:val="22"/>
          <w:szCs w:val="20"/>
          <w:lang w:eastAsia="en-NZ"/>
        </w:rPr>
        <w:t xml:space="preserve">is the most restrictive form of occupational regulation.  </w:t>
      </w:r>
      <w:r w:rsidRPr="0071256C">
        <w:rPr>
          <w:rFonts w:eastAsia="Times New Roman"/>
          <w:color w:val="000000"/>
          <w:kern w:val="22"/>
          <w:szCs w:val="20"/>
          <w:lang w:eastAsia="en-NZ"/>
        </w:rPr>
        <w:t xml:space="preserve">This is the type of regime applying to </w:t>
      </w:r>
      <w:r>
        <w:rPr>
          <w:rFonts w:eastAsia="Times New Roman"/>
          <w:color w:val="000000"/>
          <w:kern w:val="22"/>
          <w:szCs w:val="20"/>
          <w:lang w:eastAsia="en-NZ"/>
        </w:rPr>
        <w:t>t</w:t>
      </w:r>
      <w:r w:rsidRPr="0071256C">
        <w:rPr>
          <w:rFonts w:eastAsia="Times New Roman"/>
          <w:color w:val="000000"/>
          <w:kern w:val="22"/>
          <w:szCs w:val="20"/>
          <w:lang w:eastAsia="en-NZ"/>
        </w:rPr>
        <w:t xml:space="preserve">eachers and </w:t>
      </w:r>
      <w:r>
        <w:rPr>
          <w:rFonts w:eastAsia="Times New Roman"/>
          <w:color w:val="000000"/>
          <w:kern w:val="22"/>
          <w:szCs w:val="20"/>
          <w:lang w:eastAsia="en-NZ"/>
        </w:rPr>
        <w:t>r</w:t>
      </w:r>
      <w:r w:rsidRPr="0071256C">
        <w:rPr>
          <w:rFonts w:eastAsia="Times New Roman"/>
          <w:color w:val="000000"/>
          <w:kern w:val="22"/>
          <w:szCs w:val="20"/>
          <w:lang w:eastAsia="en-NZ"/>
        </w:rPr>
        <w:t xml:space="preserve">eal </w:t>
      </w:r>
      <w:r>
        <w:rPr>
          <w:rFonts w:eastAsia="Times New Roman"/>
          <w:color w:val="000000"/>
          <w:kern w:val="22"/>
          <w:szCs w:val="20"/>
          <w:lang w:eastAsia="en-NZ"/>
        </w:rPr>
        <w:t>e</w:t>
      </w:r>
      <w:r w:rsidRPr="0071256C">
        <w:rPr>
          <w:rFonts w:eastAsia="Times New Roman"/>
          <w:color w:val="000000"/>
          <w:kern w:val="22"/>
          <w:szCs w:val="20"/>
          <w:lang w:eastAsia="en-NZ"/>
        </w:rPr>
        <w:t xml:space="preserve">state </w:t>
      </w:r>
      <w:r>
        <w:rPr>
          <w:rFonts w:eastAsia="Times New Roman"/>
          <w:color w:val="000000"/>
          <w:kern w:val="22"/>
          <w:szCs w:val="20"/>
          <w:lang w:eastAsia="en-NZ"/>
        </w:rPr>
        <w:t>a</w:t>
      </w:r>
      <w:r w:rsidRPr="0071256C">
        <w:rPr>
          <w:rFonts w:eastAsia="Times New Roman"/>
          <w:color w:val="000000"/>
          <w:kern w:val="22"/>
          <w:szCs w:val="20"/>
          <w:lang w:eastAsia="en-NZ"/>
        </w:rPr>
        <w:t>gents.</w:t>
      </w:r>
      <w:r>
        <w:rPr>
          <w:rFonts w:eastAsia="Times New Roman"/>
          <w:color w:val="000000"/>
          <w:kern w:val="22"/>
          <w:szCs w:val="20"/>
          <w:lang w:eastAsia="en-NZ"/>
        </w:rPr>
        <w:t xml:space="preserve">  For social work, it would mean that only social workers were able to practise social work.  Although </w:t>
      </w:r>
      <w:r w:rsidRPr="003E05A4">
        <w:rPr>
          <w:rFonts w:eastAsia="Times New Roman"/>
          <w:color w:val="000000"/>
          <w:kern w:val="22"/>
          <w:szCs w:val="20"/>
          <w:lang w:eastAsia="en-NZ"/>
        </w:rPr>
        <w:t xml:space="preserve">the Select Committee Inquiry </w:t>
      </w:r>
      <w:r>
        <w:rPr>
          <w:rFonts w:eastAsia="Times New Roman"/>
          <w:color w:val="000000"/>
          <w:kern w:val="22"/>
          <w:szCs w:val="20"/>
          <w:lang w:eastAsia="en-NZ"/>
        </w:rPr>
        <w:t>did not describe its recommendations in the terms of the policy framework used in this RIS, it recommended that</w:t>
      </w:r>
      <w:r w:rsidRPr="00734ED0">
        <w:rPr>
          <w:rFonts w:eastAsia="Times New Roman"/>
          <w:color w:val="000000"/>
          <w:kern w:val="22"/>
          <w:szCs w:val="20"/>
          <w:lang w:eastAsia="en-NZ"/>
        </w:rPr>
        <w:t xml:space="preserve"> “Government permit only registered social workers to practise social work, as defined in a legislative instrument”. </w:t>
      </w:r>
      <w:r>
        <w:rPr>
          <w:rFonts w:eastAsia="Times New Roman"/>
          <w:color w:val="000000"/>
          <w:kern w:val="22"/>
          <w:szCs w:val="20"/>
          <w:lang w:eastAsia="en-NZ"/>
        </w:rPr>
        <w:t xml:space="preserve"> This is occupational licensing in terms of </w:t>
      </w:r>
      <w:r w:rsidR="002C47B6">
        <w:rPr>
          <w:rFonts w:eastAsia="Times New Roman"/>
          <w:color w:val="000000"/>
          <w:kern w:val="22"/>
          <w:szCs w:val="20"/>
          <w:lang w:eastAsia="en-NZ"/>
        </w:rPr>
        <w:t xml:space="preserve">the </w:t>
      </w:r>
      <w:r>
        <w:rPr>
          <w:rFonts w:eastAsia="Times New Roman"/>
          <w:color w:val="000000"/>
          <w:kern w:val="22"/>
          <w:szCs w:val="20"/>
          <w:lang w:eastAsia="en-NZ"/>
        </w:rPr>
        <w:t xml:space="preserve">policy framework.  </w:t>
      </w:r>
    </w:p>
    <w:p w:rsidR="00C81B0E" w:rsidRDefault="00C81B0E"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 xml:space="preserve">The difficulties described above with regard to task licencing would be greater under this option because implementing a definition of “social work” in generic, statutory terms would introduce ambiguity and likely overreach.  Additionally, the definition would have to be put into </w:t>
      </w:r>
      <w:r w:rsidR="00CC7880">
        <w:rPr>
          <w:rFonts w:eastAsia="Times New Roman"/>
          <w:color w:val="000000"/>
          <w:kern w:val="22"/>
          <w:szCs w:val="20"/>
          <w:lang w:eastAsia="en-NZ"/>
        </w:rPr>
        <w:t>the SWR Act</w:t>
      </w:r>
      <w:r>
        <w:rPr>
          <w:rFonts w:eastAsia="Times New Roman"/>
          <w:color w:val="000000"/>
          <w:kern w:val="22"/>
          <w:szCs w:val="20"/>
          <w:lang w:eastAsia="en-NZ"/>
        </w:rPr>
        <w:t xml:space="preserve">; it is not appropriate to delegate the power to define social work to the Board or another regulatory authority as this would contravene fundamental legal norms about the role of Parliament. </w:t>
      </w:r>
    </w:p>
    <w:p w:rsidR="00C81B0E" w:rsidRDefault="00C81B0E"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For the purposes of occupational regulation, teachers are people who hold “teaching positions” (positions involving instructing students in the general education system, as defined by the Education Act 1964).  Requirements to register as teachers and be certificated prior to employment apply only to teaching positions.  This is an example of an occupation being defined by the employer as well as the role.  Similarly, real estate agents are people, not being certificated lawyers or conveyancers, who work in trade for the purpose of effecting any of a specific list of transaction types listed in the Real Estate Agents Act 2008.  This is an example of a clearly delineated role that is defined by use of well-established legal terms.</w:t>
      </w:r>
    </w:p>
    <w:p w:rsidR="00C81B0E" w:rsidRDefault="00C81B0E"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Social work is like neither of these occupations.  It is a contestable field whose outer edges are hard to define, like teaching, but without an obvious way to limit the application of the regulatory regime (for example, by selecting on basis of the employer).  Social work, in addition to being ill-defined, is spread widely across government and non-government employers and across sectors like health, education, and justice.  On this basis, it is not possible to propose a workable definition of social work for the purposes of occupational licensing.</w:t>
      </w:r>
    </w:p>
    <w:p w:rsidR="00C81B0E" w:rsidRDefault="00C81B0E"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 xml:space="preserve">Lastly, this approach is out of step with the regulatory settings that apply to health professions, which have been identified as the most appropriate general comparator </w:t>
      </w:r>
      <w:r>
        <w:rPr>
          <w:rFonts w:eastAsia="Times New Roman"/>
          <w:color w:val="000000"/>
          <w:kern w:val="22"/>
          <w:szCs w:val="20"/>
          <w:lang w:eastAsia="en-NZ"/>
        </w:rPr>
        <w:lastRenderedPageBreak/>
        <w:t>for social work.  Health professions are regulated by a combination of certification (level three) and task licensing (level four).</w:t>
      </w:r>
    </w:p>
    <w:p w:rsidR="00B76A38" w:rsidRPr="00B76A38" w:rsidRDefault="00B76A38" w:rsidP="00177E1D">
      <w:pPr>
        <w:spacing w:after="240" w:line="240" w:lineRule="auto"/>
        <w:rPr>
          <w:rFonts w:eastAsia="Times New Roman" w:cs="Times New Roman"/>
          <w:i/>
          <w:szCs w:val="20"/>
          <w:u w:val="single"/>
          <w:lang w:val="en-GB" w:eastAsia="en-GB"/>
        </w:rPr>
      </w:pPr>
      <w:r w:rsidRPr="00B76A38">
        <w:rPr>
          <w:rFonts w:eastAsia="Times New Roman" w:cs="Times New Roman"/>
          <w:i/>
          <w:szCs w:val="20"/>
          <w:u w:val="single"/>
          <w:lang w:val="en-GB" w:eastAsia="en-GB"/>
        </w:rPr>
        <w:t>Summary and Conclusion</w:t>
      </w:r>
      <w:r w:rsidR="00DB4824">
        <w:rPr>
          <w:rFonts w:eastAsia="Times New Roman" w:cs="Times New Roman"/>
          <w:i/>
          <w:szCs w:val="20"/>
          <w:u w:val="single"/>
          <w:lang w:val="en-GB" w:eastAsia="en-GB"/>
        </w:rPr>
        <w:t xml:space="preserve"> about registration options</w:t>
      </w:r>
    </w:p>
    <w:tbl>
      <w:tblPr>
        <w:tblStyle w:val="TableGrid"/>
        <w:tblW w:w="0" w:type="auto"/>
        <w:jc w:val="center"/>
        <w:tblInd w:w="-1146" w:type="dxa"/>
        <w:tblLayout w:type="fixed"/>
        <w:tblLook w:val="04A0" w:firstRow="1" w:lastRow="0" w:firstColumn="1" w:lastColumn="0" w:noHBand="0" w:noVBand="1"/>
      </w:tblPr>
      <w:tblGrid>
        <w:gridCol w:w="1452"/>
        <w:gridCol w:w="970"/>
        <w:gridCol w:w="970"/>
        <w:gridCol w:w="993"/>
        <w:gridCol w:w="992"/>
        <w:gridCol w:w="1074"/>
        <w:gridCol w:w="952"/>
        <w:gridCol w:w="1092"/>
        <w:gridCol w:w="871"/>
        <w:gridCol w:w="982"/>
      </w:tblGrid>
      <w:tr w:rsidR="00DB4824" w:rsidRPr="00C05771" w:rsidTr="005517FA">
        <w:trPr>
          <w:jc w:val="center"/>
        </w:trPr>
        <w:tc>
          <w:tcPr>
            <w:tcW w:w="1452" w:type="dxa"/>
            <w:shd w:val="clear" w:color="auto" w:fill="D9D9D9" w:themeFill="background1" w:themeFillShade="D9"/>
          </w:tcPr>
          <w:p w:rsidR="00DB4824" w:rsidRPr="00C05771" w:rsidRDefault="00DB4824" w:rsidP="00177E1D">
            <w:pPr>
              <w:spacing w:after="0"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Options</w:t>
            </w:r>
          </w:p>
        </w:tc>
        <w:tc>
          <w:tcPr>
            <w:tcW w:w="970" w:type="dxa"/>
            <w:shd w:val="clear" w:color="auto" w:fill="D9D9D9" w:themeFill="background1" w:themeFillShade="D9"/>
          </w:tcPr>
          <w:p w:rsidR="005517FA" w:rsidRDefault="00490EDF" w:rsidP="00177E1D">
            <w:pPr>
              <w:spacing w:after="0" w:line="240" w:lineRule="auto"/>
              <w:rPr>
                <w:rFonts w:ascii="Arial" w:eastAsia="Times New Roman" w:hAnsi="Arial"/>
                <w:szCs w:val="20"/>
                <w:lang w:val="en-GB" w:eastAsia="en-GB"/>
              </w:rPr>
            </w:pPr>
            <w:r>
              <w:rPr>
                <w:rFonts w:ascii="Arial" w:eastAsia="Times New Roman" w:hAnsi="Arial"/>
                <w:szCs w:val="20"/>
                <w:lang w:val="en-GB" w:eastAsia="en-GB"/>
              </w:rPr>
              <w:t xml:space="preserve">Increase </w:t>
            </w:r>
            <w:r w:rsidR="00FF7DEE">
              <w:rPr>
                <w:rFonts w:ascii="Arial" w:eastAsia="Times New Roman" w:hAnsi="Arial"/>
                <w:szCs w:val="20"/>
                <w:lang w:val="en-GB" w:eastAsia="en-GB"/>
              </w:rPr>
              <w:t>registra</w:t>
            </w:r>
            <w:r w:rsidR="005517FA">
              <w:rPr>
                <w:rFonts w:ascii="Arial" w:eastAsia="Times New Roman" w:hAnsi="Arial"/>
                <w:szCs w:val="20"/>
                <w:lang w:val="en-GB" w:eastAsia="en-GB"/>
              </w:rPr>
              <w:t>-</w:t>
            </w:r>
          </w:p>
          <w:p w:rsidR="00DB4824" w:rsidRDefault="00FF7DEE" w:rsidP="005517FA">
            <w:pPr>
              <w:spacing w:after="0" w:line="240" w:lineRule="auto"/>
              <w:rPr>
                <w:rFonts w:ascii="Arial" w:eastAsia="Times New Roman" w:hAnsi="Arial"/>
                <w:szCs w:val="20"/>
                <w:lang w:val="en-GB" w:eastAsia="en-GB"/>
              </w:rPr>
            </w:pPr>
            <w:r>
              <w:rPr>
                <w:rFonts w:ascii="Arial" w:eastAsia="Times New Roman" w:hAnsi="Arial"/>
                <w:szCs w:val="20"/>
                <w:lang w:val="en-GB" w:eastAsia="en-GB"/>
              </w:rPr>
              <w:t>tion</w:t>
            </w:r>
          </w:p>
        </w:tc>
        <w:tc>
          <w:tcPr>
            <w:tcW w:w="970" w:type="dxa"/>
            <w:shd w:val="clear" w:color="auto" w:fill="D9D9D9" w:themeFill="background1" w:themeFillShade="D9"/>
          </w:tcPr>
          <w:p w:rsidR="00DB4824" w:rsidRDefault="00DB4824" w:rsidP="00177E1D">
            <w:pPr>
              <w:spacing w:after="0" w:line="240" w:lineRule="auto"/>
              <w:rPr>
                <w:rFonts w:ascii="Arial" w:eastAsia="Times New Roman" w:hAnsi="Arial"/>
                <w:sz w:val="20"/>
                <w:szCs w:val="20"/>
                <w:lang w:val="en-GB" w:eastAsia="en-GB"/>
              </w:rPr>
            </w:pPr>
            <w:r>
              <w:rPr>
                <w:rFonts w:ascii="Arial" w:eastAsia="Times New Roman" w:hAnsi="Arial"/>
                <w:sz w:val="20"/>
                <w:szCs w:val="20"/>
                <w:lang w:val="en-GB" w:eastAsia="en-GB"/>
              </w:rPr>
              <w:t>Profess-</w:t>
            </w:r>
          </w:p>
          <w:p w:rsidR="00DB4824" w:rsidRPr="00C05771"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sz w:val="20"/>
                <w:szCs w:val="20"/>
                <w:lang w:val="en-GB" w:eastAsia="en-GB"/>
              </w:rPr>
              <w:t>ionalism</w:t>
            </w:r>
          </w:p>
        </w:tc>
        <w:tc>
          <w:tcPr>
            <w:tcW w:w="993" w:type="dxa"/>
            <w:shd w:val="clear" w:color="auto" w:fill="D9D9D9" w:themeFill="background1" w:themeFillShade="D9"/>
          </w:tcPr>
          <w:p w:rsidR="00DB4824"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 xml:space="preserve">Public </w:t>
            </w:r>
          </w:p>
          <w:p w:rsidR="00DB4824" w:rsidRPr="00C05771"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Safety</w:t>
            </w:r>
          </w:p>
        </w:tc>
        <w:tc>
          <w:tcPr>
            <w:tcW w:w="992" w:type="dxa"/>
            <w:shd w:val="clear" w:color="auto" w:fill="D9D9D9" w:themeFill="background1" w:themeFillShade="D9"/>
          </w:tcPr>
          <w:p w:rsidR="00DB4824" w:rsidRPr="00C05771"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Effective-ness</w:t>
            </w:r>
          </w:p>
        </w:tc>
        <w:tc>
          <w:tcPr>
            <w:tcW w:w="1074" w:type="dxa"/>
            <w:shd w:val="clear" w:color="auto" w:fill="D9D9D9" w:themeFill="background1" w:themeFillShade="D9"/>
          </w:tcPr>
          <w:p w:rsidR="00DB4824" w:rsidRPr="00C05771"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Efficiency</w:t>
            </w:r>
          </w:p>
        </w:tc>
        <w:tc>
          <w:tcPr>
            <w:tcW w:w="952" w:type="dxa"/>
            <w:shd w:val="clear" w:color="auto" w:fill="D9D9D9" w:themeFill="background1" w:themeFillShade="D9"/>
          </w:tcPr>
          <w:p w:rsidR="00DB4824" w:rsidRPr="00C05771"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Equity</w:t>
            </w:r>
          </w:p>
        </w:tc>
        <w:tc>
          <w:tcPr>
            <w:tcW w:w="1092" w:type="dxa"/>
            <w:shd w:val="clear" w:color="auto" w:fill="D9D9D9" w:themeFill="background1" w:themeFillShade="D9"/>
          </w:tcPr>
          <w:p w:rsidR="00DB4824"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Trans-</w:t>
            </w:r>
          </w:p>
          <w:p w:rsidR="00DB4824" w:rsidRPr="00C05771"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parency</w:t>
            </w:r>
          </w:p>
        </w:tc>
        <w:tc>
          <w:tcPr>
            <w:tcW w:w="871" w:type="dxa"/>
            <w:shd w:val="clear" w:color="auto" w:fill="D9D9D9" w:themeFill="background1" w:themeFillShade="D9"/>
          </w:tcPr>
          <w:p w:rsidR="00DB4824" w:rsidRPr="001C2B79" w:rsidRDefault="00DB4824" w:rsidP="00177E1D">
            <w:pPr>
              <w:spacing w:after="0" w:line="240" w:lineRule="auto"/>
              <w:rPr>
                <w:rFonts w:ascii="Arial" w:eastAsia="Times New Roman" w:hAnsi="Arial" w:cs="Times New Roman"/>
                <w:sz w:val="20"/>
                <w:szCs w:val="20"/>
                <w:lang w:val="en-GB" w:eastAsia="en-GB"/>
              </w:rPr>
            </w:pPr>
            <w:r w:rsidRPr="001C2B79">
              <w:rPr>
                <w:rFonts w:ascii="Arial" w:eastAsia="Times New Roman" w:hAnsi="Arial" w:cs="Times New Roman"/>
                <w:sz w:val="20"/>
                <w:szCs w:val="20"/>
                <w:lang w:val="en-GB" w:eastAsia="en-GB"/>
              </w:rPr>
              <w:t>Clarity</w:t>
            </w:r>
          </w:p>
        </w:tc>
        <w:tc>
          <w:tcPr>
            <w:tcW w:w="982" w:type="dxa"/>
            <w:shd w:val="clear" w:color="auto" w:fill="D9D9D9" w:themeFill="background1" w:themeFillShade="D9"/>
          </w:tcPr>
          <w:p w:rsidR="00DB4824" w:rsidRPr="001C2B79"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Insitut-io</w:t>
            </w:r>
            <w:r w:rsidRPr="001C2B79">
              <w:rPr>
                <w:rFonts w:ascii="Arial" w:eastAsia="Times New Roman" w:hAnsi="Arial" w:cs="Times New Roman"/>
                <w:sz w:val="20"/>
                <w:szCs w:val="20"/>
                <w:lang w:val="en-GB" w:eastAsia="en-GB"/>
              </w:rPr>
              <w:t>nal</w:t>
            </w:r>
          </w:p>
        </w:tc>
      </w:tr>
      <w:tr w:rsidR="00DB4824" w:rsidRPr="00C05771" w:rsidTr="005517FA">
        <w:trPr>
          <w:jc w:val="center"/>
        </w:trPr>
        <w:tc>
          <w:tcPr>
            <w:tcW w:w="1452" w:type="dxa"/>
            <w:shd w:val="clear" w:color="auto" w:fill="auto"/>
          </w:tcPr>
          <w:p w:rsidR="00DB4824" w:rsidRPr="00C05771" w:rsidRDefault="00DB4824" w:rsidP="00CF2F69">
            <w:pPr>
              <w:spacing w:beforeLines="20" w:before="48" w:afterLines="20" w:after="48" w:line="240" w:lineRule="auto"/>
              <w:rPr>
                <w:rFonts w:ascii="Arial" w:eastAsia="Times New Roman" w:hAnsi="Arial" w:cs="Times New Roman"/>
                <w:sz w:val="20"/>
                <w:szCs w:val="20"/>
                <w:lang w:val="en-GB" w:eastAsia="en-GB"/>
              </w:rPr>
            </w:pPr>
            <w:r>
              <w:rPr>
                <w:rFonts w:eastAsia="Times New Roman" w:cs="Times New Roman"/>
                <w:i/>
                <w:szCs w:val="20"/>
                <w:lang w:val="en-GB" w:eastAsia="en-GB"/>
              </w:rPr>
              <w:t xml:space="preserve">Option 1: </w:t>
            </w:r>
            <w:r w:rsidRPr="002C76E5">
              <w:rPr>
                <w:rFonts w:eastAsia="Times New Roman" w:cs="Times New Roman"/>
                <w:i/>
                <w:szCs w:val="20"/>
                <w:lang w:val="en-GB" w:eastAsia="en-GB"/>
              </w:rPr>
              <w:t>No change to Status Q</w:t>
            </w:r>
            <w:r>
              <w:rPr>
                <w:rFonts w:eastAsia="Times New Roman" w:cs="Times New Roman"/>
                <w:i/>
                <w:szCs w:val="20"/>
                <w:lang w:val="en-GB" w:eastAsia="en-GB"/>
              </w:rPr>
              <w:t>uo</w:t>
            </w:r>
          </w:p>
        </w:tc>
        <w:tc>
          <w:tcPr>
            <w:tcW w:w="970" w:type="dxa"/>
          </w:tcPr>
          <w:p w:rsidR="00DB4824" w:rsidRDefault="00DB4824"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c>
          <w:tcPr>
            <w:tcW w:w="970"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0</w:t>
            </w:r>
          </w:p>
        </w:tc>
        <w:tc>
          <w:tcPr>
            <w:tcW w:w="993"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992"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074"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952"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092"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871" w:type="dxa"/>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c>
          <w:tcPr>
            <w:tcW w:w="982" w:type="dxa"/>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r>
      <w:tr w:rsidR="00DB4824" w:rsidRPr="00C05771" w:rsidTr="005517FA">
        <w:trPr>
          <w:jc w:val="center"/>
        </w:trPr>
        <w:tc>
          <w:tcPr>
            <w:tcW w:w="1452" w:type="dxa"/>
            <w:shd w:val="clear" w:color="auto" w:fill="auto"/>
          </w:tcPr>
          <w:p w:rsidR="00DB4824" w:rsidRPr="00C05771" w:rsidRDefault="00DB4824" w:rsidP="00CF2F69">
            <w:pPr>
              <w:spacing w:beforeLines="20" w:before="48" w:afterLines="20" w:after="48" w:line="240" w:lineRule="auto"/>
              <w:rPr>
                <w:rFonts w:ascii="Arial" w:eastAsia="Times New Roman" w:hAnsi="Arial" w:cs="Times New Roman"/>
                <w:sz w:val="20"/>
                <w:szCs w:val="20"/>
                <w:lang w:val="en-GB" w:eastAsia="en-GB"/>
              </w:rPr>
            </w:pPr>
            <w:r>
              <w:rPr>
                <w:rFonts w:eastAsia="Times New Roman" w:cs="Times New Roman"/>
                <w:i/>
                <w:szCs w:val="20"/>
                <w:lang w:val="en-GB" w:eastAsia="en-GB"/>
              </w:rPr>
              <w:t xml:space="preserve">Option 2: </w:t>
            </w:r>
            <w:r w:rsidRPr="002C76E5">
              <w:rPr>
                <w:rFonts w:eastAsia="Times New Roman" w:cs="Times New Roman"/>
                <w:i/>
                <w:szCs w:val="20"/>
                <w:lang w:val="en-GB" w:eastAsia="en-GB"/>
              </w:rPr>
              <w:t>Non regulatory chang</w:t>
            </w:r>
            <w:r>
              <w:rPr>
                <w:rFonts w:eastAsia="Times New Roman" w:cs="Times New Roman"/>
                <w:i/>
                <w:szCs w:val="20"/>
                <w:lang w:val="en-GB" w:eastAsia="en-GB"/>
              </w:rPr>
              <w:t>e</w:t>
            </w:r>
          </w:p>
        </w:tc>
        <w:tc>
          <w:tcPr>
            <w:tcW w:w="970"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70"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p>
        </w:tc>
        <w:tc>
          <w:tcPr>
            <w:tcW w:w="993" w:type="dxa"/>
            <w:shd w:val="clear" w:color="auto" w:fill="92D050"/>
          </w:tcPr>
          <w:p w:rsidR="00DB4824" w:rsidRPr="00532799"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92" w:type="dxa"/>
            <w:shd w:val="clear" w:color="auto" w:fill="00B050"/>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p>
        </w:tc>
        <w:tc>
          <w:tcPr>
            <w:tcW w:w="1074"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p>
        </w:tc>
        <w:tc>
          <w:tcPr>
            <w:tcW w:w="952" w:type="dxa"/>
            <w:shd w:val="clear" w:color="auto" w:fill="auto"/>
          </w:tcPr>
          <w:p w:rsidR="00DB4824" w:rsidRPr="00C05771" w:rsidRDefault="00C579F0" w:rsidP="00177E1D">
            <w:pPr>
              <w:spacing w:beforeLines="20" w:before="48" w:afterLines="20" w:after="48"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0</w:t>
            </w:r>
          </w:p>
        </w:tc>
        <w:tc>
          <w:tcPr>
            <w:tcW w:w="109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p>
        </w:tc>
        <w:tc>
          <w:tcPr>
            <w:tcW w:w="871" w:type="dxa"/>
            <w:shd w:val="clear" w:color="auto" w:fill="auto"/>
          </w:tcPr>
          <w:p w:rsidR="00DB4824" w:rsidRPr="00C05771" w:rsidRDefault="00C579F0"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c>
          <w:tcPr>
            <w:tcW w:w="98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r>
      <w:tr w:rsidR="00DB4824" w:rsidRPr="00C05771" w:rsidTr="005517FA">
        <w:trPr>
          <w:jc w:val="center"/>
        </w:trPr>
        <w:tc>
          <w:tcPr>
            <w:tcW w:w="1452" w:type="dxa"/>
            <w:shd w:val="clear" w:color="auto" w:fill="auto"/>
          </w:tcPr>
          <w:p w:rsidR="00DB4824" w:rsidRPr="00C05771" w:rsidRDefault="00DB4824" w:rsidP="00CF2F69">
            <w:pPr>
              <w:spacing w:beforeLines="20" w:before="48" w:afterLines="20" w:after="48" w:line="240" w:lineRule="auto"/>
              <w:rPr>
                <w:rFonts w:ascii="Arial" w:eastAsia="Times New Roman" w:hAnsi="Arial" w:cs="Times New Roman"/>
                <w:sz w:val="20"/>
                <w:szCs w:val="20"/>
                <w:lang w:val="en-GB" w:eastAsia="en-GB"/>
              </w:rPr>
            </w:pPr>
            <w:r>
              <w:rPr>
                <w:rFonts w:eastAsia="Times New Roman" w:cs="Times New Roman"/>
                <w:i/>
                <w:szCs w:val="20"/>
                <w:lang w:val="en-GB" w:eastAsia="en-GB"/>
              </w:rPr>
              <w:t>Option 3: L</w:t>
            </w:r>
            <w:r w:rsidRPr="002C76E5">
              <w:rPr>
                <w:rFonts w:eastAsia="Times New Roman" w:cs="Times New Roman"/>
                <w:i/>
                <w:szCs w:val="20"/>
                <w:lang w:val="en-GB" w:eastAsia="en-GB"/>
              </w:rPr>
              <w:t>egislative “tidy up”</w:t>
            </w:r>
          </w:p>
        </w:tc>
        <w:tc>
          <w:tcPr>
            <w:tcW w:w="970" w:type="dxa"/>
            <w:shd w:val="clear" w:color="auto" w:fill="92D050"/>
          </w:tcPr>
          <w:p w:rsidR="00DB4824" w:rsidRPr="00177E1D" w:rsidRDefault="00DB4824" w:rsidP="00177E1D">
            <w:pPr>
              <w:spacing w:beforeLines="20" w:before="48" w:afterLines="20" w:after="48" w:line="240" w:lineRule="auto"/>
              <w:rPr>
                <w:rFonts w:ascii="Arial" w:eastAsia="Times New Roman" w:hAnsi="Arial" w:cs="Times New Roman"/>
                <w:color w:val="92D050"/>
                <w:szCs w:val="20"/>
                <w:lang w:val="en-GB" w:eastAsia="en-GB"/>
              </w:rPr>
            </w:pPr>
          </w:p>
        </w:tc>
        <w:tc>
          <w:tcPr>
            <w:tcW w:w="970"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0</w:t>
            </w:r>
          </w:p>
        </w:tc>
        <w:tc>
          <w:tcPr>
            <w:tcW w:w="993"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0</w:t>
            </w:r>
          </w:p>
        </w:tc>
        <w:tc>
          <w:tcPr>
            <w:tcW w:w="992"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0</w:t>
            </w:r>
          </w:p>
        </w:tc>
        <w:tc>
          <w:tcPr>
            <w:tcW w:w="1074"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p>
        </w:tc>
        <w:tc>
          <w:tcPr>
            <w:tcW w:w="952"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0</w:t>
            </w:r>
          </w:p>
        </w:tc>
        <w:tc>
          <w:tcPr>
            <w:tcW w:w="109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p>
        </w:tc>
        <w:tc>
          <w:tcPr>
            <w:tcW w:w="871"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8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r>
      <w:tr w:rsidR="00DB4824" w:rsidRPr="00C05771" w:rsidTr="005517FA">
        <w:trPr>
          <w:jc w:val="center"/>
        </w:trPr>
        <w:tc>
          <w:tcPr>
            <w:tcW w:w="1452" w:type="dxa"/>
            <w:shd w:val="clear" w:color="auto" w:fill="FFFF00"/>
          </w:tcPr>
          <w:p w:rsidR="00DB4824" w:rsidRPr="00ED0469" w:rsidRDefault="00DB4824" w:rsidP="00CF2F69">
            <w:pPr>
              <w:spacing w:beforeLines="20" w:before="48" w:afterLines="20" w:after="48" w:line="240" w:lineRule="auto"/>
              <w:rPr>
                <w:rFonts w:ascii="Arial" w:eastAsia="Times New Roman" w:hAnsi="Arial" w:cs="Times New Roman"/>
                <w:i/>
                <w:szCs w:val="20"/>
                <w:highlight w:val="yellow"/>
                <w:lang w:val="en-GB" w:eastAsia="en-GB"/>
              </w:rPr>
            </w:pPr>
            <w:r>
              <w:rPr>
                <w:rFonts w:ascii="Arial" w:eastAsia="Times New Roman" w:hAnsi="Arial" w:cs="Times New Roman"/>
                <w:i/>
                <w:sz w:val="20"/>
                <w:szCs w:val="20"/>
                <w:highlight w:val="yellow"/>
                <w:lang w:val="en-GB" w:eastAsia="en-GB"/>
              </w:rPr>
              <w:t xml:space="preserve">Option 4: </w:t>
            </w:r>
            <w:r w:rsidR="005517FA">
              <w:rPr>
                <w:rFonts w:ascii="Arial" w:eastAsia="Times New Roman" w:hAnsi="Arial" w:cs="Times New Roman"/>
                <w:i/>
                <w:sz w:val="20"/>
                <w:szCs w:val="20"/>
                <w:highlight w:val="yellow"/>
                <w:lang w:val="en-GB" w:eastAsia="en-GB"/>
              </w:rPr>
              <w:t>Level three</w:t>
            </w:r>
            <w:r>
              <w:rPr>
                <w:rFonts w:ascii="Arial" w:eastAsia="Times New Roman" w:hAnsi="Arial" w:cs="Times New Roman"/>
                <w:i/>
                <w:sz w:val="20"/>
                <w:szCs w:val="20"/>
                <w:highlight w:val="yellow"/>
                <w:lang w:val="en-GB" w:eastAsia="en-GB"/>
              </w:rPr>
              <w:t xml:space="preserve"> </w:t>
            </w:r>
            <w:r w:rsidRPr="00ED0469">
              <w:rPr>
                <w:rFonts w:ascii="Arial" w:eastAsia="Times New Roman" w:hAnsi="Arial" w:cs="Times New Roman"/>
                <w:i/>
                <w:sz w:val="20"/>
                <w:szCs w:val="20"/>
                <w:highlight w:val="yellow"/>
                <w:lang w:val="en-GB" w:eastAsia="en-GB"/>
              </w:rPr>
              <w:t>Certification</w:t>
            </w:r>
          </w:p>
        </w:tc>
        <w:tc>
          <w:tcPr>
            <w:tcW w:w="970" w:type="dxa"/>
            <w:shd w:val="clear" w:color="auto" w:fill="00B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70"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93"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92" w:type="dxa"/>
            <w:shd w:val="clear" w:color="auto" w:fill="00B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1074" w:type="dxa"/>
            <w:shd w:val="clear" w:color="auto" w:fill="00B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5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109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871"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8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r>
      <w:tr w:rsidR="00DB4824" w:rsidRPr="00C05771" w:rsidTr="005517FA">
        <w:trPr>
          <w:jc w:val="center"/>
        </w:trPr>
        <w:tc>
          <w:tcPr>
            <w:tcW w:w="1452" w:type="dxa"/>
            <w:shd w:val="clear" w:color="auto" w:fill="auto"/>
          </w:tcPr>
          <w:p w:rsidR="00DB4824" w:rsidRPr="00ED0469" w:rsidRDefault="00DB4824" w:rsidP="00CF2F69">
            <w:pPr>
              <w:spacing w:beforeLines="20" w:before="48" w:afterLines="20" w:after="48" w:line="240" w:lineRule="auto"/>
              <w:rPr>
                <w:rFonts w:ascii="Arial" w:eastAsia="Times New Roman" w:hAnsi="Arial" w:cs="Times New Roman"/>
                <w:i/>
                <w:szCs w:val="20"/>
                <w:lang w:val="en-GB" w:eastAsia="en-GB"/>
              </w:rPr>
            </w:pPr>
            <w:r w:rsidRPr="00ED0469">
              <w:rPr>
                <w:rFonts w:ascii="Arial" w:eastAsia="Times New Roman" w:hAnsi="Arial" w:cs="Times New Roman"/>
                <w:i/>
                <w:sz w:val="20"/>
                <w:szCs w:val="20"/>
                <w:lang w:val="en-GB" w:eastAsia="en-GB"/>
              </w:rPr>
              <w:t>Option 4:</w:t>
            </w:r>
            <w:r>
              <w:rPr>
                <w:rFonts w:ascii="Arial" w:eastAsia="Times New Roman" w:hAnsi="Arial" w:cs="Times New Roman"/>
                <w:i/>
                <w:sz w:val="20"/>
                <w:szCs w:val="20"/>
                <w:highlight w:val="yellow"/>
                <w:lang w:val="en-GB" w:eastAsia="en-GB"/>
              </w:rPr>
              <w:t xml:space="preserve"> </w:t>
            </w:r>
            <w:r w:rsidR="005517FA">
              <w:rPr>
                <w:rFonts w:ascii="Arial" w:eastAsia="Times New Roman" w:hAnsi="Arial" w:cs="Times New Roman"/>
                <w:i/>
                <w:sz w:val="20"/>
                <w:szCs w:val="20"/>
                <w:lang w:val="en-GB" w:eastAsia="en-GB"/>
              </w:rPr>
              <w:t>Level four</w:t>
            </w:r>
            <w:r>
              <w:rPr>
                <w:rFonts w:ascii="Arial" w:eastAsia="Times New Roman" w:hAnsi="Arial" w:cs="Times New Roman"/>
                <w:i/>
                <w:sz w:val="20"/>
                <w:szCs w:val="20"/>
                <w:lang w:val="en-GB" w:eastAsia="en-GB"/>
              </w:rPr>
              <w:t xml:space="preserve"> </w:t>
            </w:r>
            <w:r w:rsidRPr="00ED0469">
              <w:rPr>
                <w:rFonts w:ascii="Arial" w:eastAsia="Times New Roman" w:hAnsi="Arial" w:cs="Times New Roman"/>
                <w:i/>
                <w:sz w:val="20"/>
                <w:szCs w:val="20"/>
                <w:lang w:val="en-GB" w:eastAsia="en-GB"/>
              </w:rPr>
              <w:t>Task Licencing</w:t>
            </w:r>
          </w:p>
        </w:tc>
        <w:tc>
          <w:tcPr>
            <w:tcW w:w="970" w:type="dxa"/>
            <w:shd w:val="clear" w:color="auto" w:fill="00B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70"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93"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92" w:type="dxa"/>
            <w:shd w:val="clear" w:color="auto" w:fill="00B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1074" w:type="dxa"/>
            <w:shd w:val="clear" w:color="auto" w:fill="FFC00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52"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c>
          <w:tcPr>
            <w:tcW w:w="109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871" w:type="dxa"/>
            <w:shd w:val="clear" w:color="auto" w:fill="FFC00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8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r>
      <w:tr w:rsidR="00DB4824" w:rsidRPr="00C05771" w:rsidTr="005517FA">
        <w:trPr>
          <w:trHeight w:val="666"/>
          <w:jc w:val="center"/>
        </w:trPr>
        <w:tc>
          <w:tcPr>
            <w:tcW w:w="1452" w:type="dxa"/>
            <w:shd w:val="clear" w:color="auto" w:fill="auto"/>
          </w:tcPr>
          <w:p w:rsidR="00DB4824" w:rsidRPr="00ED0469" w:rsidRDefault="00DB4824" w:rsidP="00CF2F69">
            <w:pPr>
              <w:spacing w:beforeLines="20" w:before="48" w:afterLines="20" w:after="48" w:line="240" w:lineRule="auto"/>
              <w:rPr>
                <w:rFonts w:ascii="Arial" w:eastAsia="Times New Roman" w:hAnsi="Arial" w:cs="Times New Roman"/>
                <w:i/>
                <w:szCs w:val="20"/>
                <w:lang w:val="en-GB" w:eastAsia="en-GB"/>
              </w:rPr>
            </w:pPr>
            <w:r w:rsidRPr="00ED0469">
              <w:rPr>
                <w:rFonts w:ascii="Arial" w:eastAsia="Times New Roman" w:hAnsi="Arial" w:cs="Times New Roman"/>
                <w:i/>
                <w:sz w:val="20"/>
                <w:szCs w:val="20"/>
                <w:lang w:val="en-GB" w:eastAsia="en-GB"/>
              </w:rPr>
              <w:t>Option 4:</w:t>
            </w:r>
            <w:r>
              <w:rPr>
                <w:rFonts w:ascii="Arial" w:eastAsia="Times New Roman" w:hAnsi="Arial" w:cs="Times New Roman"/>
                <w:i/>
                <w:sz w:val="20"/>
                <w:szCs w:val="20"/>
                <w:highlight w:val="yellow"/>
                <w:lang w:val="en-GB" w:eastAsia="en-GB"/>
              </w:rPr>
              <w:t xml:space="preserve"> </w:t>
            </w:r>
            <w:r w:rsidR="005517FA">
              <w:rPr>
                <w:rFonts w:ascii="Arial" w:eastAsia="Times New Roman" w:hAnsi="Arial" w:cs="Times New Roman"/>
                <w:i/>
                <w:sz w:val="20"/>
                <w:szCs w:val="20"/>
                <w:lang w:val="en-GB" w:eastAsia="en-GB"/>
              </w:rPr>
              <w:t>Level five</w:t>
            </w:r>
            <w:r>
              <w:rPr>
                <w:rFonts w:ascii="Arial" w:eastAsia="Times New Roman" w:hAnsi="Arial" w:cs="Times New Roman"/>
                <w:i/>
                <w:sz w:val="20"/>
                <w:szCs w:val="20"/>
                <w:lang w:val="en-GB" w:eastAsia="en-GB"/>
              </w:rPr>
              <w:t xml:space="preserve"> </w:t>
            </w:r>
            <w:r w:rsidRPr="00ED0469">
              <w:rPr>
                <w:rFonts w:ascii="Arial" w:eastAsia="Times New Roman" w:hAnsi="Arial" w:cs="Times New Roman"/>
                <w:i/>
                <w:sz w:val="20"/>
                <w:szCs w:val="20"/>
                <w:lang w:val="en-GB" w:eastAsia="en-GB"/>
              </w:rPr>
              <w:t>Occupational  Licencing</w:t>
            </w:r>
          </w:p>
        </w:tc>
        <w:tc>
          <w:tcPr>
            <w:tcW w:w="970" w:type="dxa"/>
            <w:shd w:val="clear" w:color="auto" w:fill="00B050"/>
          </w:tcPr>
          <w:p w:rsidR="00DB4824" w:rsidRPr="00835488" w:rsidRDefault="00DB4824" w:rsidP="00177E1D">
            <w:pPr>
              <w:spacing w:beforeLines="20" w:before="48" w:afterLines="20" w:after="48" w:line="240" w:lineRule="auto"/>
              <w:rPr>
                <w:rFonts w:ascii="Arial" w:eastAsia="Times New Roman" w:hAnsi="Arial" w:cs="Times New Roman"/>
                <w:color w:val="00B050"/>
                <w:szCs w:val="20"/>
                <w:lang w:val="en-GB" w:eastAsia="en-GB"/>
              </w:rPr>
            </w:pPr>
          </w:p>
        </w:tc>
        <w:tc>
          <w:tcPr>
            <w:tcW w:w="970" w:type="dxa"/>
            <w:shd w:val="clear" w:color="auto" w:fill="00B050"/>
          </w:tcPr>
          <w:p w:rsidR="00DB4824" w:rsidRPr="00835488" w:rsidRDefault="00DB4824" w:rsidP="00177E1D">
            <w:pPr>
              <w:spacing w:beforeLines="20" w:before="48" w:afterLines="20" w:after="48" w:line="240" w:lineRule="auto"/>
              <w:rPr>
                <w:rFonts w:ascii="Arial" w:eastAsia="Times New Roman" w:hAnsi="Arial" w:cs="Times New Roman"/>
                <w:color w:val="00B050"/>
                <w:szCs w:val="20"/>
                <w:lang w:val="en-GB" w:eastAsia="en-GB"/>
              </w:rPr>
            </w:pPr>
          </w:p>
        </w:tc>
        <w:tc>
          <w:tcPr>
            <w:tcW w:w="993" w:type="dxa"/>
            <w:shd w:val="clear" w:color="auto" w:fill="FFC00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c>
          <w:tcPr>
            <w:tcW w:w="992" w:type="dxa"/>
            <w:shd w:val="clear" w:color="auto" w:fill="FFC00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c>
          <w:tcPr>
            <w:tcW w:w="1074" w:type="dxa"/>
            <w:shd w:val="clear" w:color="auto" w:fill="FFC00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52" w:type="dxa"/>
            <w:shd w:val="clear" w:color="auto" w:fill="FFC00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1092"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c>
          <w:tcPr>
            <w:tcW w:w="871" w:type="dxa"/>
            <w:shd w:val="clear" w:color="auto" w:fill="FF000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82" w:type="dxa"/>
            <w:shd w:val="clear" w:color="auto" w:fill="FF0000"/>
          </w:tcPr>
          <w:p w:rsidR="00DB4824" w:rsidRPr="00C05771" w:rsidRDefault="00DB4824" w:rsidP="00CF2F69">
            <w:pPr>
              <w:spacing w:line="240" w:lineRule="auto"/>
              <w:rPr>
                <w:rFonts w:ascii="Arial" w:eastAsia="Times New Roman" w:hAnsi="Arial" w:cs="Times New Roman"/>
                <w:szCs w:val="20"/>
                <w:lang w:val="en-GB" w:eastAsia="en-GB"/>
              </w:rPr>
            </w:pPr>
          </w:p>
        </w:tc>
      </w:tr>
    </w:tbl>
    <w:p w:rsidR="007D3908" w:rsidRPr="0073154E" w:rsidRDefault="007D3908" w:rsidP="00CF2F69"/>
    <w:tbl>
      <w:tblPr>
        <w:tblStyle w:val="TableGrid"/>
        <w:tblW w:w="0" w:type="auto"/>
        <w:tblLook w:val="04A0" w:firstRow="1" w:lastRow="0" w:firstColumn="1" w:lastColumn="0" w:noHBand="0" w:noVBand="1"/>
      </w:tblPr>
      <w:tblGrid>
        <w:gridCol w:w="1868"/>
        <w:gridCol w:w="1870"/>
        <w:gridCol w:w="1871"/>
        <w:gridCol w:w="1870"/>
        <w:gridCol w:w="1763"/>
      </w:tblGrid>
      <w:tr w:rsidR="0073154E" w:rsidRPr="00C05771" w:rsidTr="00C81B0E">
        <w:tc>
          <w:tcPr>
            <w:tcW w:w="1868" w:type="dxa"/>
            <w:shd w:val="clear" w:color="auto" w:fill="FF0000"/>
          </w:tcPr>
          <w:p w:rsidR="0073154E" w:rsidRPr="00C05771" w:rsidRDefault="0073154E" w:rsidP="00177E1D">
            <w:pPr>
              <w:spacing w:line="240" w:lineRule="auto"/>
              <w:rPr>
                <w:rFonts w:eastAsia="Times New Roman" w:cs="Times New Roman"/>
                <w:sz w:val="16"/>
                <w:szCs w:val="16"/>
                <w:lang w:val="en-GB" w:eastAsia="en-GB"/>
              </w:rPr>
            </w:pPr>
            <w:r w:rsidRPr="00C05771">
              <w:rPr>
                <w:rFonts w:eastAsia="Times New Roman" w:cs="Times New Roman"/>
                <w:sz w:val="16"/>
                <w:szCs w:val="16"/>
                <w:lang w:val="en-GB" w:eastAsia="en-GB"/>
              </w:rPr>
              <w:t>[--] = Much worse</w:t>
            </w:r>
          </w:p>
        </w:tc>
        <w:tc>
          <w:tcPr>
            <w:tcW w:w="1870" w:type="dxa"/>
            <w:shd w:val="clear" w:color="auto" w:fill="FFC000"/>
          </w:tcPr>
          <w:p w:rsidR="0073154E" w:rsidRPr="00C05771" w:rsidRDefault="0073154E" w:rsidP="00177E1D">
            <w:pPr>
              <w:spacing w:line="240" w:lineRule="auto"/>
              <w:rPr>
                <w:rFonts w:eastAsia="Times New Roman" w:cs="Times New Roman"/>
                <w:sz w:val="16"/>
                <w:szCs w:val="16"/>
                <w:lang w:val="en-GB" w:eastAsia="en-GB"/>
              </w:rPr>
            </w:pPr>
            <w:r w:rsidRPr="00C05771">
              <w:rPr>
                <w:rFonts w:eastAsia="Times New Roman" w:cs="Times New Roman"/>
                <w:sz w:val="16"/>
                <w:szCs w:val="16"/>
                <w:lang w:val="en-GB" w:eastAsia="en-GB"/>
              </w:rPr>
              <w:t>[-] = Worse</w:t>
            </w:r>
          </w:p>
        </w:tc>
        <w:tc>
          <w:tcPr>
            <w:tcW w:w="1871" w:type="dxa"/>
            <w:shd w:val="clear" w:color="auto" w:fill="F2F2F2" w:themeFill="background1" w:themeFillShade="F2"/>
          </w:tcPr>
          <w:p w:rsidR="0073154E" w:rsidRPr="00C05771" w:rsidRDefault="0073154E" w:rsidP="00177E1D">
            <w:pPr>
              <w:spacing w:line="240" w:lineRule="auto"/>
              <w:rPr>
                <w:rFonts w:eastAsia="Times New Roman" w:cs="Times New Roman"/>
                <w:sz w:val="16"/>
                <w:szCs w:val="16"/>
                <w:lang w:val="en-GB" w:eastAsia="en-GB"/>
              </w:rPr>
            </w:pPr>
            <w:r w:rsidRPr="00C05771">
              <w:rPr>
                <w:rFonts w:eastAsia="Times New Roman" w:cs="Times New Roman"/>
                <w:sz w:val="16"/>
                <w:szCs w:val="16"/>
                <w:lang w:val="en-GB" w:eastAsia="en-GB"/>
              </w:rPr>
              <w:t>[0] = Neutral</w:t>
            </w:r>
          </w:p>
        </w:tc>
        <w:tc>
          <w:tcPr>
            <w:tcW w:w="1870" w:type="dxa"/>
            <w:shd w:val="clear" w:color="auto" w:fill="92D050"/>
          </w:tcPr>
          <w:p w:rsidR="0073154E" w:rsidRPr="00C05771" w:rsidRDefault="0073154E" w:rsidP="00177E1D">
            <w:pPr>
              <w:spacing w:line="240" w:lineRule="auto"/>
              <w:rPr>
                <w:rFonts w:eastAsia="Times New Roman" w:cs="Times New Roman"/>
                <w:sz w:val="16"/>
                <w:szCs w:val="16"/>
                <w:lang w:val="en-GB" w:eastAsia="en-GB"/>
              </w:rPr>
            </w:pPr>
            <w:r w:rsidRPr="00C05771">
              <w:rPr>
                <w:rFonts w:eastAsia="Times New Roman" w:cs="Times New Roman"/>
                <w:sz w:val="16"/>
                <w:szCs w:val="16"/>
                <w:lang w:val="en-GB" w:eastAsia="en-GB"/>
              </w:rPr>
              <w:t>[+] = Better</w:t>
            </w:r>
          </w:p>
        </w:tc>
        <w:tc>
          <w:tcPr>
            <w:tcW w:w="1763" w:type="dxa"/>
            <w:shd w:val="clear" w:color="auto" w:fill="00B050"/>
          </w:tcPr>
          <w:p w:rsidR="0073154E" w:rsidRPr="00C05771" w:rsidRDefault="0073154E" w:rsidP="00177E1D">
            <w:pPr>
              <w:spacing w:line="240" w:lineRule="auto"/>
              <w:ind w:right="-108"/>
              <w:rPr>
                <w:rFonts w:eastAsia="Times New Roman" w:cs="Times New Roman"/>
                <w:sz w:val="16"/>
                <w:szCs w:val="16"/>
                <w:lang w:val="en-GB" w:eastAsia="en-GB"/>
              </w:rPr>
            </w:pPr>
            <w:r w:rsidRPr="00C05771">
              <w:rPr>
                <w:rFonts w:eastAsia="Times New Roman" w:cs="Times New Roman"/>
                <w:sz w:val="16"/>
                <w:szCs w:val="16"/>
                <w:lang w:val="en-GB" w:eastAsia="en-GB"/>
              </w:rPr>
              <w:t>[++] = Much Better</w:t>
            </w:r>
          </w:p>
        </w:tc>
      </w:tr>
    </w:tbl>
    <w:p w:rsidR="005E562D" w:rsidRDefault="005E562D" w:rsidP="00CF2F69"/>
    <w:p w:rsidR="001D27E6" w:rsidRDefault="002B178F"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Level three</w:t>
      </w:r>
      <w:r w:rsidR="001D27E6">
        <w:rPr>
          <w:rFonts w:eastAsia="Times New Roman"/>
          <w:color w:val="000000"/>
          <w:kern w:val="22"/>
          <w:szCs w:val="20"/>
          <w:lang w:eastAsia="en-NZ"/>
        </w:rPr>
        <w:t xml:space="preserve"> </w:t>
      </w:r>
      <w:r w:rsidR="00C579F0" w:rsidRPr="00D059CF">
        <w:rPr>
          <w:rFonts w:eastAsia="Times New Roman"/>
          <w:color w:val="000000"/>
          <w:kern w:val="22"/>
          <w:szCs w:val="20"/>
          <w:lang w:eastAsia="en-NZ"/>
        </w:rPr>
        <w:t xml:space="preserve">certification </w:t>
      </w:r>
      <w:r w:rsidR="00E64BBC">
        <w:rPr>
          <w:rFonts w:eastAsia="Times New Roman"/>
          <w:color w:val="000000"/>
          <w:kern w:val="22"/>
          <w:szCs w:val="20"/>
          <w:lang w:eastAsia="en-NZ"/>
        </w:rPr>
        <w:t xml:space="preserve">(highlighted in yellow) </w:t>
      </w:r>
      <w:r w:rsidR="00C579F0">
        <w:rPr>
          <w:rFonts w:eastAsia="Times New Roman"/>
          <w:color w:val="000000"/>
          <w:kern w:val="22"/>
          <w:szCs w:val="20"/>
          <w:lang w:eastAsia="en-NZ"/>
        </w:rPr>
        <w:t xml:space="preserve">is the preferred option because it </w:t>
      </w:r>
      <w:r w:rsidR="001D27E6" w:rsidRPr="00177E1D">
        <w:rPr>
          <w:rFonts w:eastAsia="Times New Roman"/>
          <w:color w:val="000000"/>
          <w:kern w:val="22"/>
          <w:szCs w:val="20"/>
          <w:lang w:eastAsia="en-NZ"/>
        </w:rPr>
        <w:t xml:space="preserve">will avoid inadvertently affecting related occupations </w:t>
      </w:r>
      <w:r w:rsidR="00BA0C63">
        <w:rPr>
          <w:rFonts w:eastAsia="Times New Roman"/>
          <w:color w:val="000000"/>
          <w:kern w:val="22"/>
          <w:szCs w:val="20"/>
          <w:lang w:eastAsia="en-NZ"/>
        </w:rPr>
        <w:t>(for example</w:t>
      </w:r>
      <w:r w:rsidR="001D27E6" w:rsidRPr="00177E1D">
        <w:rPr>
          <w:rFonts w:eastAsia="Times New Roman"/>
          <w:color w:val="000000"/>
          <w:kern w:val="22"/>
          <w:szCs w:val="20"/>
          <w:lang w:eastAsia="en-NZ"/>
        </w:rPr>
        <w:t xml:space="preserve"> school guidance counsellors</w:t>
      </w:r>
      <w:r w:rsidR="001D27E6">
        <w:rPr>
          <w:rFonts w:eastAsia="Times New Roman"/>
          <w:color w:val="000000"/>
          <w:kern w:val="22"/>
          <w:szCs w:val="20"/>
          <w:lang w:eastAsia="en-NZ"/>
        </w:rPr>
        <w:t xml:space="preserve">, </w:t>
      </w:r>
      <w:r w:rsidR="00BA0C63">
        <w:rPr>
          <w:rFonts w:eastAsia="Times New Roman"/>
          <w:color w:val="000000"/>
          <w:kern w:val="22"/>
          <w:szCs w:val="20"/>
          <w:lang w:eastAsia="en-NZ"/>
        </w:rPr>
        <w:t xml:space="preserve">probation officers and Whanau Ora navigators) </w:t>
      </w:r>
      <w:r w:rsidR="001D27E6">
        <w:rPr>
          <w:rFonts w:eastAsia="Times New Roman"/>
          <w:color w:val="000000"/>
          <w:kern w:val="22"/>
          <w:szCs w:val="20"/>
          <w:lang w:eastAsia="en-NZ"/>
        </w:rPr>
        <w:t>by prote</w:t>
      </w:r>
      <w:r w:rsidR="001D27E6" w:rsidRPr="00177E1D">
        <w:rPr>
          <w:rFonts w:eastAsia="Times New Roman"/>
          <w:color w:val="000000"/>
          <w:kern w:val="22"/>
          <w:szCs w:val="20"/>
          <w:lang w:eastAsia="en-NZ"/>
        </w:rPr>
        <w:t>ct</w:t>
      </w:r>
      <w:r w:rsidR="001D27E6">
        <w:rPr>
          <w:rFonts w:eastAsia="Times New Roman"/>
          <w:color w:val="000000"/>
          <w:kern w:val="22"/>
          <w:szCs w:val="20"/>
          <w:lang w:eastAsia="en-NZ"/>
        </w:rPr>
        <w:t>ing</w:t>
      </w:r>
      <w:r w:rsidR="001D27E6" w:rsidRPr="00177E1D">
        <w:rPr>
          <w:rFonts w:eastAsia="Times New Roman"/>
          <w:color w:val="000000"/>
          <w:kern w:val="22"/>
          <w:szCs w:val="20"/>
          <w:lang w:eastAsia="en-NZ"/>
        </w:rPr>
        <w:t xml:space="preserve"> the title </w:t>
      </w:r>
      <w:r w:rsidR="00DF4203">
        <w:rPr>
          <w:rFonts w:eastAsia="Times New Roman"/>
          <w:color w:val="000000"/>
          <w:kern w:val="22"/>
          <w:szCs w:val="20"/>
          <w:lang w:eastAsia="en-NZ"/>
        </w:rPr>
        <w:t>“</w:t>
      </w:r>
      <w:r w:rsidR="001D27E6" w:rsidRPr="00177E1D">
        <w:rPr>
          <w:rFonts w:eastAsia="Times New Roman"/>
          <w:color w:val="000000"/>
          <w:kern w:val="22"/>
          <w:szCs w:val="20"/>
          <w:lang w:eastAsia="en-NZ"/>
        </w:rPr>
        <w:t>social worker</w:t>
      </w:r>
      <w:r w:rsidR="00DF4203">
        <w:rPr>
          <w:rFonts w:eastAsia="Times New Roman"/>
          <w:color w:val="000000"/>
          <w:kern w:val="22"/>
          <w:szCs w:val="20"/>
          <w:lang w:eastAsia="en-NZ"/>
        </w:rPr>
        <w:t>”</w:t>
      </w:r>
      <w:r w:rsidR="001D27E6" w:rsidRPr="00177E1D">
        <w:rPr>
          <w:rFonts w:eastAsia="Times New Roman"/>
          <w:color w:val="000000"/>
          <w:kern w:val="22"/>
          <w:szCs w:val="20"/>
          <w:lang w:eastAsia="en-NZ"/>
        </w:rPr>
        <w:t xml:space="preserve">. </w:t>
      </w:r>
      <w:r w:rsidR="001D27E6">
        <w:rPr>
          <w:rFonts w:eastAsia="Times New Roman"/>
          <w:color w:val="000000"/>
          <w:kern w:val="22"/>
          <w:szCs w:val="20"/>
          <w:lang w:eastAsia="en-NZ"/>
        </w:rPr>
        <w:t xml:space="preserve"> </w:t>
      </w:r>
      <w:r w:rsidR="001D27E6" w:rsidRPr="00177E1D">
        <w:rPr>
          <w:rFonts w:eastAsia="Times New Roman"/>
          <w:color w:val="000000"/>
          <w:kern w:val="22"/>
          <w:szCs w:val="20"/>
          <w:lang w:eastAsia="en-NZ"/>
        </w:rPr>
        <w:t xml:space="preserve">This will mean that for </w:t>
      </w:r>
      <w:r w:rsidR="00EA7B27">
        <w:rPr>
          <w:rFonts w:eastAsia="Times New Roman"/>
          <w:color w:val="000000"/>
          <w:kern w:val="22"/>
          <w:szCs w:val="20"/>
          <w:lang w:eastAsia="en-NZ"/>
        </w:rPr>
        <w:t xml:space="preserve">areas where there are various </w:t>
      </w:r>
      <w:r w:rsidR="001D27E6" w:rsidRPr="00177E1D">
        <w:rPr>
          <w:rFonts w:eastAsia="Times New Roman"/>
          <w:color w:val="000000"/>
          <w:kern w:val="22"/>
          <w:szCs w:val="20"/>
          <w:lang w:eastAsia="en-NZ"/>
        </w:rPr>
        <w:t xml:space="preserve">occupations </w:t>
      </w:r>
      <w:r w:rsidR="001D27E6">
        <w:rPr>
          <w:rFonts w:eastAsia="Times New Roman"/>
          <w:color w:val="000000"/>
          <w:kern w:val="22"/>
          <w:szCs w:val="20"/>
          <w:lang w:eastAsia="en-NZ"/>
        </w:rPr>
        <w:t>that are closely related to</w:t>
      </w:r>
      <w:r w:rsidR="001D27E6" w:rsidRPr="00177E1D">
        <w:rPr>
          <w:rFonts w:eastAsia="Times New Roman"/>
          <w:color w:val="000000"/>
          <w:kern w:val="22"/>
          <w:szCs w:val="20"/>
          <w:lang w:eastAsia="en-NZ"/>
        </w:rPr>
        <w:t xml:space="preserve"> social work, it will be for employers</w:t>
      </w:r>
      <w:r w:rsidR="00EA7B27">
        <w:rPr>
          <w:rFonts w:eastAsia="Times New Roman"/>
          <w:color w:val="000000"/>
          <w:kern w:val="22"/>
          <w:szCs w:val="20"/>
          <w:lang w:eastAsia="en-NZ"/>
        </w:rPr>
        <w:t xml:space="preserve"> (or contracting agencies) </w:t>
      </w:r>
      <w:r w:rsidR="001D27E6" w:rsidRPr="00177E1D">
        <w:rPr>
          <w:rFonts w:eastAsia="Times New Roman"/>
          <w:color w:val="000000"/>
          <w:kern w:val="22"/>
          <w:szCs w:val="20"/>
          <w:lang w:eastAsia="en-NZ"/>
        </w:rPr>
        <w:t xml:space="preserve">to make the call as to whether they will require employees to hold the title </w:t>
      </w:r>
      <w:r w:rsidR="00DF4203">
        <w:rPr>
          <w:rFonts w:eastAsia="Times New Roman"/>
          <w:color w:val="000000"/>
          <w:kern w:val="22"/>
          <w:szCs w:val="20"/>
          <w:lang w:eastAsia="en-NZ"/>
        </w:rPr>
        <w:t>“</w:t>
      </w:r>
      <w:r w:rsidR="001D27E6" w:rsidRPr="00177E1D">
        <w:rPr>
          <w:rFonts w:eastAsia="Times New Roman"/>
          <w:color w:val="000000"/>
          <w:kern w:val="22"/>
          <w:szCs w:val="20"/>
          <w:lang w:eastAsia="en-NZ"/>
        </w:rPr>
        <w:t>social worker</w:t>
      </w:r>
      <w:r w:rsidR="00DF4203">
        <w:rPr>
          <w:rFonts w:eastAsia="Times New Roman"/>
          <w:color w:val="000000"/>
          <w:kern w:val="22"/>
          <w:szCs w:val="20"/>
          <w:lang w:eastAsia="en-NZ"/>
        </w:rPr>
        <w:t>”</w:t>
      </w:r>
      <w:r w:rsidR="001D27E6" w:rsidRPr="00177E1D">
        <w:rPr>
          <w:rFonts w:eastAsia="Times New Roman"/>
          <w:color w:val="000000"/>
          <w:kern w:val="22"/>
          <w:szCs w:val="20"/>
          <w:lang w:eastAsia="en-NZ"/>
        </w:rPr>
        <w:t xml:space="preserve">. </w:t>
      </w:r>
      <w:r w:rsidR="001D27E6">
        <w:rPr>
          <w:rFonts w:eastAsia="Times New Roman"/>
          <w:color w:val="000000"/>
          <w:kern w:val="22"/>
          <w:szCs w:val="20"/>
          <w:lang w:eastAsia="en-NZ"/>
        </w:rPr>
        <w:t xml:space="preserve"> </w:t>
      </w:r>
      <w:r w:rsidR="001D27E6" w:rsidRPr="00177E1D">
        <w:rPr>
          <w:rFonts w:eastAsia="Times New Roman"/>
          <w:color w:val="000000"/>
          <w:kern w:val="22"/>
          <w:szCs w:val="20"/>
          <w:lang w:eastAsia="en-NZ"/>
        </w:rPr>
        <w:t xml:space="preserve">We think that this approach is preferable to imposing registration requirements for </w:t>
      </w:r>
      <w:r w:rsidR="00252861">
        <w:rPr>
          <w:rFonts w:eastAsia="Times New Roman"/>
          <w:color w:val="000000"/>
          <w:kern w:val="22"/>
          <w:szCs w:val="20"/>
          <w:lang w:eastAsia="en-NZ"/>
        </w:rPr>
        <w:t>types of</w:t>
      </w:r>
      <w:r w:rsidR="001D27E6" w:rsidRPr="00177E1D">
        <w:rPr>
          <w:rFonts w:eastAsia="Times New Roman"/>
          <w:color w:val="000000"/>
          <w:kern w:val="22"/>
          <w:szCs w:val="20"/>
          <w:lang w:eastAsia="en-NZ"/>
        </w:rPr>
        <w:t xml:space="preserve"> tasks</w:t>
      </w:r>
      <w:r w:rsidR="00252861">
        <w:rPr>
          <w:rFonts w:eastAsia="Times New Roman"/>
          <w:color w:val="000000"/>
          <w:kern w:val="22"/>
          <w:szCs w:val="20"/>
          <w:lang w:eastAsia="en-NZ"/>
        </w:rPr>
        <w:t>, which would reduce clarity and efficiency in the multidisciplinary environment where social workers practice</w:t>
      </w:r>
      <w:r w:rsidR="001D27E6" w:rsidRPr="00177E1D">
        <w:rPr>
          <w:rFonts w:eastAsia="Times New Roman"/>
          <w:color w:val="000000"/>
          <w:kern w:val="22"/>
          <w:szCs w:val="20"/>
          <w:lang w:eastAsia="en-NZ"/>
        </w:rPr>
        <w:t xml:space="preserve">. </w:t>
      </w:r>
      <w:r w:rsidR="001D27E6">
        <w:rPr>
          <w:rFonts w:eastAsia="Times New Roman"/>
          <w:color w:val="000000"/>
          <w:kern w:val="22"/>
          <w:szCs w:val="20"/>
          <w:lang w:eastAsia="en-NZ"/>
        </w:rPr>
        <w:t xml:space="preserve"> </w:t>
      </w:r>
      <w:r w:rsidR="00252861">
        <w:rPr>
          <w:rFonts w:eastAsia="Times New Roman"/>
          <w:color w:val="000000"/>
          <w:kern w:val="22"/>
          <w:szCs w:val="20"/>
          <w:lang w:eastAsia="en-NZ"/>
        </w:rPr>
        <w:t>It does allow for the</w:t>
      </w:r>
      <w:r w:rsidR="00252861" w:rsidRPr="00260024">
        <w:rPr>
          <w:rFonts w:eastAsia="Times New Roman"/>
          <w:color w:val="000000"/>
          <w:kern w:val="22"/>
          <w:szCs w:val="20"/>
          <w:lang w:eastAsia="en-NZ"/>
        </w:rPr>
        <w:t xml:space="preserve"> reserv</w:t>
      </w:r>
      <w:r w:rsidR="00252861">
        <w:rPr>
          <w:rFonts w:eastAsia="Times New Roman"/>
          <w:color w:val="000000"/>
          <w:kern w:val="22"/>
          <w:szCs w:val="20"/>
          <w:lang w:eastAsia="en-NZ"/>
        </w:rPr>
        <w:t>ation of</w:t>
      </w:r>
      <w:r w:rsidR="00252861" w:rsidRPr="00260024">
        <w:rPr>
          <w:rFonts w:eastAsia="Times New Roman"/>
          <w:color w:val="000000"/>
          <w:kern w:val="22"/>
          <w:szCs w:val="20"/>
          <w:lang w:eastAsia="en-NZ"/>
        </w:rPr>
        <w:t xml:space="preserve"> certain tasks</w:t>
      </w:r>
      <w:r w:rsidR="00252861">
        <w:rPr>
          <w:rFonts w:eastAsia="Times New Roman"/>
          <w:color w:val="000000"/>
          <w:kern w:val="22"/>
          <w:szCs w:val="20"/>
          <w:lang w:eastAsia="en-NZ"/>
        </w:rPr>
        <w:t xml:space="preserve"> where these can specified in legislation or contracts</w:t>
      </w:r>
      <w:r w:rsidR="007E247A">
        <w:rPr>
          <w:rFonts w:eastAsia="Times New Roman"/>
          <w:color w:val="000000"/>
          <w:kern w:val="22"/>
          <w:szCs w:val="20"/>
          <w:lang w:eastAsia="en-NZ"/>
        </w:rPr>
        <w:t xml:space="preserve">, </w:t>
      </w:r>
      <w:r w:rsidR="005F4B34">
        <w:rPr>
          <w:rFonts w:eastAsia="Times New Roman"/>
          <w:color w:val="000000"/>
          <w:kern w:val="22"/>
          <w:szCs w:val="20"/>
          <w:lang w:eastAsia="en-NZ"/>
        </w:rPr>
        <w:t>venturing into</w:t>
      </w:r>
      <w:r w:rsidR="007E247A">
        <w:rPr>
          <w:rFonts w:eastAsia="Times New Roman"/>
          <w:color w:val="000000"/>
          <w:kern w:val="22"/>
          <w:szCs w:val="20"/>
          <w:lang w:eastAsia="en-NZ"/>
        </w:rPr>
        <w:t xml:space="preserve"> level </w:t>
      </w:r>
      <w:r w:rsidR="00880C50">
        <w:rPr>
          <w:rFonts w:eastAsia="Times New Roman"/>
          <w:color w:val="000000"/>
          <w:kern w:val="22"/>
          <w:szCs w:val="20"/>
          <w:lang w:eastAsia="en-NZ"/>
        </w:rPr>
        <w:t>four</w:t>
      </w:r>
      <w:r w:rsidR="00BA0C63">
        <w:rPr>
          <w:rFonts w:eastAsia="Times New Roman"/>
          <w:color w:val="000000"/>
          <w:kern w:val="22"/>
          <w:szCs w:val="20"/>
          <w:lang w:eastAsia="en-NZ"/>
        </w:rPr>
        <w:t>, but</w:t>
      </w:r>
      <w:r w:rsidR="007E247A">
        <w:rPr>
          <w:rFonts w:eastAsia="Times New Roman"/>
          <w:color w:val="000000"/>
          <w:kern w:val="22"/>
          <w:szCs w:val="20"/>
          <w:lang w:eastAsia="en-NZ"/>
        </w:rPr>
        <w:t xml:space="preserve"> in a very precise way</w:t>
      </w:r>
      <w:r w:rsidR="00252861">
        <w:rPr>
          <w:rFonts w:eastAsia="Times New Roman"/>
          <w:color w:val="000000"/>
          <w:kern w:val="22"/>
          <w:szCs w:val="20"/>
          <w:lang w:eastAsia="en-NZ"/>
        </w:rPr>
        <w:t>.</w:t>
      </w:r>
      <w:r w:rsidR="00252861" w:rsidRPr="00CF2F69">
        <w:rPr>
          <w:rFonts w:eastAsia="Times New Roman"/>
          <w:color w:val="000000"/>
          <w:kern w:val="22"/>
          <w:szCs w:val="20"/>
          <w:lang w:eastAsia="en-NZ"/>
        </w:rPr>
        <w:t xml:space="preserve"> </w:t>
      </w:r>
      <w:r w:rsidR="00252861">
        <w:rPr>
          <w:rFonts w:eastAsia="Times New Roman"/>
          <w:color w:val="000000"/>
          <w:kern w:val="22"/>
          <w:szCs w:val="20"/>
          <w:lang w:eastAsia="en-NZ"/>
        </w:rPr>
        <w:t xml:space="preserve"> </w:t>
      </w:r>
      <w:r w:rsidR="00370308">
        <w:rPr>
          <w:rFonts w:eastAsia="Times New Roman"/>
          <w:color w:val="000000"/>
          <w:kern w:val="22"/>
          <w:szCs w:val="20"/>
          <w:lang w:eastAsia="en-NZ"/>
        </w:rPr>
        <w:t xml:space="preserve">A registration regime also allows for the development of scopes of practice covering specialist practice.  </w:t>
      </w:r>
      <w:r w:rsidR="001D27E6" w:rsidRPr="00177E1D">
        <w:rPr>
          <w:rFonts w:eastAsia="Times New Roman"/>
          <w:color w:val="000000"/>
          <w:kern w:val="22"/>
          <w:szCs w:val="20"/>
          <w:lang w:eastAsia="en-NZ"/>
        </w:rPr>
        <w:t xml:space="preserve">The implementation phase should </w:t>
      </w:r>
      <w:r w:rsidR="00C579F0" w:rsidRPr="00CF2F69">
        <w:rPr>
          <w:rFonts w:eastAsia="Times New Roman"/>
          <w:color w:val="000000"/>
          <w:kern w:val="22"/>
          <w:szCs w:val="20"/>
          <w:lang w:eastAsia="en-NZ"/>
        </w:rPr>
        <w:t>support</w:t>
      </w:r>
      <w:r w:rsidR="001D27E6" w:rsidRPr="00177E1D">
        <w:rPr>
          <w:rFonts w:eastAsia="Times New Roman"/>
          <w:color w:val="000000"/>
          <w:kern w:val="22"/>
          <w:szCs w:val="20"/>
          <w:lang w:eastAsia="en-NZ"/>
        </w:rPr>
        <w:t xml:space="preserve"> </w:t>
      </w:r>
      <w:r w:rsidR="00C579F0" w:rsidRPr="0088087A">
        <w:rPr>
          <w:rFonts w:eastAsia="Times New Roman"/>
          <w:color w:val="000000"/>
          <w:kern w:val="22"/>
          <w:szCs w:val="20"/>
          <w:lang w:eastAsia="en-NZ"/>
        </w:rPr>
        <w:t xml:space="preserve">employers </w:t>
      </w:r>
      <w:r w:rsidR="001D27E6" w:rsidRPr="00177E1D">
        <w:rPr>
          <w:rFonts w:eastAsia="Times New Roman"/>
          <w:color w:val="000000"/>
          <w:kern w:val="22"/>
          <w:szCs w:val="20"/>
          <w:lang w:eastAsia="en-NZ"/>
        </w:rPr>
        <w:t xml:space="preserve">to make good decisions about whether </w:t>
      </w:r>
      <w:r w:rsidR="00252861">
        <w:rPr>
          <w:rFonts w:eastAsia="Times New Roman"/>
          <w:color w:val="000000"/>
          <w:kern w:val="22"/>
          <w:szCs w:val="20"/>
          <w:lang w:eastAsia="en-NZ"/>
        </w:rPr>
        <w:t xml:space="preserve">and where </w:t>
      </w:r>
      <w:r w:rsidR="005E562D">
        <w:rPr>
          <w:rFonts w:eastAsia="Times New Roman"/>
          <w:color w:val="000000"/>
          <w:kern w:val="22"/>
          <w:szCs w:val="20"/>
          <w:lang w:eastAsia="en-NZ"/>
        </w:rPr>
        <w:t>they require a “social worker”</w:t>
      </w:r>
      <w:r w:rsidR="001D27E6" w:rsidRPr="00177E1D">
        <w:rPr>
          <w:rFonts w:eastAsia="Times New Roman"/>
          <w:color w:val="000000"/>
          <w:kern w:val="22"/>
          <w:szCs w:val="20"/>
          <w:lang w:eastAsia="en-NZ"/>
        </w:rPr>
        <w:t xml:space="preserve">. </w:t>
      </w:r>
      <w:r w:rsidR="00C579F0">
        <w:rPr>
          <w:rFonts w:eastAsia="Times New Roman"/>
          <w:color w:val="000000"/>
          <w:kern w:val="22"/>
          <w:szCs w:val="20"/>
          <w:lang w:eastAsia="en-NZ"/>
        </w:rPr>
        <w:t xml:space="preserve"> </w:t>
      </w:r>
    </w:p>
    <w:p w:rsidR="003D774A" w:rsidRDefault="00EA7B27"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As illustrated in the summary table, options 2 and 3 both offer gains across many objectives</w:t>
      </w:r>
      <w:r w:rsidR="00AA5BA4">
        <w:rPr>
          <w:rFonts w:eastAsia="Times New Roman"/>
          <w:color w:val="000000"/>
          <w:kern w:val="22"/>
          <w:szCs w:val="20"/>
          <w:lang w:eastAsia="en-NZ"/>
        </w:rPr>
        <w:t xml:space="preserve">.  </w:t>
      </w:r>
      <w:r w:rsidR="00490EDF">
        <w:rPr>
          <w:rFonts w:eastAsia="Times New Roman"/>
          <w:color w:val="000000"/>
          <w:kern w:val="22"/>
          <w:szCs w:val="20"/>
          <w:lang w:eastAsia="en-NZ"/>
        </w:rPr>
        <w:t>Amongst the non-regulatory</w:t>
      </w:r>
      <w:r w:rsidR="003D774A">
        <w:rPr>
          <w:rFonts w:eastAsia="Times New Roman"/>
          <w:color w:val="000000"/>
          <w:kern w:val="22"/>
          <w:szCs w:val="20"/>
          <w:lang w:eastAsia="en-NZ"/>
        </w:rPr>
        <w:t xml:space="preserve"> options </w:t>
      </w:r>
      <w:r w:rsidR="00490EDF">
        <w:rPr>
          <w:rFonts w:eastAsia="Times New Roman"/>
          <w:color w:val="000000"/>
          <w:kern w:val="22"/>
          <w:szCs w:val="20"/>
          <w:lang w:eastAsia="en-NZ"/>
        </w:rPr>
        <w:t>are various current initiatives which are expected to make a real difference in effectiveness</w:t>
      </w:r>
      <w:r w:rsidR="00802FE6">
        <w:rPr>
          <w:rFonts w:eastAsia="Times New Roman"/>
          <w:color w:val="000000"/>
          <w:kern w:val="22"/>
          <w:szCs w:val="20"/>
          <w:lang w:eastAsia="en-NZ"/>
        </w:rPr>
        <w:t xml:space="preserve">.  The quality of training seems to be an area of particular concern, along with working conditions. </w:t>
      </w:r>
      <w:r w:rsidR="00490EDF">
        <w:rPr>
          <w:rFonts w:eastAsia="Times New Roman"/>
          <w:color w:val="000000"/>
          <w:kern w:val="22"/>
          <w:szCs w:val="20"/>
          <w:lang w:eastAsia="en-NZ"/>
        </w:rPr>
        <w:t xml:space="preserve"> </w:t>
      </w:r>
      <w:r w:rsidR="00802FE6">
        <w:rPr>
          <w:rFonts w:eastAsia="Times New Roman"/>
          <w:color w:val="000000"/>
          <w:kern w:val="22"/>
          <w:szCs w:val="20"/>
          <w:lang w:eastAsia="en-NZ"/>
        </w:rPr>
        <w:t>Nevertheless,</w:t>
      </w:r>
      <w:r w:rsidR="00490EDF">
        <w:rPr>
          <w:rFonts w:eastAsia="Times New Roman"/>
          <w:color w:val="000000"/>
          <w:kern w:val="22"/>
          <w:szCs w:val="20"/>
          <w:lang w:eastAsia="en-NZ"/>
        </w:rPr>
        <w:t xml:space="preserve"> </w:t>
      </w:r>
      <w:r w:rsidR="00802FE6">
        <w:rPr>
          <w:rFonts w:eastAsia="Times New Roman"/>
          <w:color w:val="000000"/>
          <w:kern w:val="22"/>
          <w:szCs w:val="20"/>
          <w:lang w:eastAsia="en-NZ"/>
        </w:rPr>
        <w:t>making the registration regime work effectively and equitably will make a distinct and important contribution, particularly in ensuring that deregistration will be an effective sanction and that the public</w:t>
      </w:r>
      <w:r w:rsidR="00802FE6" w:rsidRPr="00802FE6">
        <w:rPr>
          <w:rFonts w:eastAsia="Times New Roman"/>
          <w:color w:val="000000"/>
          <w:kern w:val="22"/>
          <w:szCs w:val="20"/>
          <w:lang w:eastAsia="en-NZ"/>
        </w:rPr>
        <w:t xml:space="preserve"> </w:t>
      </w:r>
      <w:r w:rsidR="00802FE6">
        <w:rPr>
          <w:rFonts w:eastAsia="Times New Roman"/>
          <w:color w:val="000000"/>
          <w:kern w:val="22"/>
          <w:szCs w:val="20"/>
          <w:lang w:eastAsia="en-NZ"/>
        </w:rPr>
        <w:t>will be protected from social workers who have been found to be incompetent or unfit to practice</w:t>
      </w:r>
      <w:r w:rsidR="00490EDF">
        <w:rPr>
          <w:rFonts w:eastAsia="Times New Roman"/>
          <w:color w:val="000000"/>
          <w:kern w:val="22"/>
          <w:szCs w:val="20"/>
          <w:lang w:eastAsia="en-NZ"/>
        </w:rPr>
        <w:t xml:space="preserve">. </w:t>
      </w:r>
    </w:p>
    <w:p w:rsidR="00C579F0" w:rsidRDefault="00AA5BA4"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lastRenderedPageBreak/>
        <w:t xml:space="preserve">The benefits of </w:t>
      </w:r>
      <w:r w:rsidR="00880C50">
        <w:rPr>
          <w:rFonts w:eastAsia="Times New Roman"/>
          <w:color w:val="000000"/>
          <w:kern w:val="22"/>
          <w:szCs w:val="20"/>
          <w:lang w:eastAsia="en-NZ"/>
        </w:rPr>
        <w:t>Level three</w:t>
      </w:r>
      <w:r w:rsidR="00D17A08">
        <w:rPr>
          <w:rFonts w:eastAsia="Times New Roman"/>
          <w:color w:val="000000"/>
          <w:kern w:val="22"/>
          <w:szCs w:val="20"/>
          <w:lang w:eastAsia="en-NZ"/>
        </w:rPr>
        <w:t xml:space="preserve"> certification </w:t>
      </w:r>
      <w:r>
        <w:rPr>
          <w:rFonts w:eastAsia="Times New Roman"/>
          <w:color w:val="000000"/>
          <w:kern w:val="22"/>
          <w:szCs w:val="20"/>
          <w:lang w:eastAsia="en-NZ"/>
        </w:rPr>
        <w:t xml:space="preserve">can be gained </w:t>
      </w:r>
      <w:r w:rsidR="00141656">
        <w:rPr>
          <w:rFonts w:eastAsia="Times New Roman"/>
          <w:color w:val="000000"/>
          <w:kern w:val="22"/>
          <w:szCs w:val="20"/>
          <w:lang w:eastAsia="en-NZ"/>
        </w:rPr>
        <w:t xml:space="preserve">without the risks </w:t>
      </w:r>
      <w:r>
        <w:rPr>
          <w:rFonts w:eastAsia="Times New Roman"/>
          <w:color w:val="000000"/>
          <w:kern w:val="22"/>
          <w:szCs w:val="20"/>
          <w:lang w:eastAsia="en-NZ"/>
        </w:rPr>
        <w:t>by the specificati</w:t>
      </w:r>
      <w:r w:rsidR="00880C50">
        <w:rPr>
          <w:rFonts w:eastAsia="Times New Roman"/>
          <w:color w:val="000000"/>
          <w:kern w:val="22"/>
          <w:szCs w:val="20"/>
          <w:lang w:eastAsia="en-NZ"/>
        </w:rPr>
        <w:t>on of restricted tasks.  Level five</w:t>
      </w:r>
      <w:r>
        <w:rPr>
          <w:rFonts w:eastAsia="Times New Roman"/>
          <w:color w:val="000000"/>
          <w:kern w:val="22"/>
          <w:szCs w:val="20"/>
          <w:lang w:eastAsia="en-NZ"/>
        </w:rPr>
        <w:t>, occupational licencing</w:t>
      </w:r>
      <w:r w:rsidR="00325216">
        <w:rPr>
          <w:rFonts w:eastAsia="Times New Roman"/>
          <w:color w:val="000000"/>
          <w:kern w:val="22"/>
          <w:szCs w:val="20"/>
          <w:lang w:eastAsia="en-NZ"/>
        </w:rPr>
        <w:t>,</w:t>
      </w:r>
      <w:r>
        <w:rPr>
          <w:rFonts w:eastAsia="Times New Roman"/>
          <w:color w:val="000000"/>
          <w:kern w:val="22"/>
          <w:szCs w:val="20"/>
          <w:lang w:eastAsia="en-NZ"/>
        </w:rPr>
        <w:t xml:space="preserve"> offers few gains and many disadvantages.  It is likely to be highly disruptive within the sectors in which social workers operate</w:t>
      </w:r>
      <w:r w:rsidR="00325216">
        <w:rPr>
          <w:rFonts w:eastAsia="Times New Roman"/>
          <w:color w:val="000000"/>
          <w:kern w:val="22"/>
          <w:szCs w:val="20"/>
          <w:lang w:eastAsia="en-NZ"/>
        </w:rPr>
        <w:t xml:space="preserve">.  Legislating that only social workers can do social work when the field of social work cannot be clearly defined </w:t>
      </w:r>
      <w:r>
        <w:rPr>
          <w:rFonts w:eastAsia="Times New Roman"/>
          <w:color w:val="000000"/>
          <w:kern w:val="22"/>
          <w:szCs w:val="20"/>
          <w:lang w:eastAsia="en-NZ"/>
        </w:rPr>
        <w:t xml:space="preserve">risks reducing effectiveness and public safety by fencing off </w:t>
      </w:r>
      <w:r w:rsidR="00325216">
        <w:rPr>
          <w:rFonts w:eastAsia="Times New Roman"/>
          <w:color w:val="000000"/>
          <w:kern w:val="22"/>
          <w:szCs w:val="20"/>
          <w:lang w:eastAsia="en-NZ"/>
        </w:rPr>
        <w:t>areas of work which cannot be the exclusive practice of social workers.</w:t>
      </w:r>
      <w:r w:rsidR="00490EDF">
        <w:rPr>
          <w:rFonts w:eastAsia="Times New Roman"/>
          <w:color w:val="000000"/>
          <w:kern w:val="22"/>
          <w:szCs w:val="20"/>
          <w:lang w:eastAsia="en-NZ"/>
        </w:rPr>
        <w:t xml:space="preserve">  Effort is best directed to ensuring all workers in the social services sectors are properly qualified and competent in their field of practice, and subject to oversight and accountability mechanisms that protect the public.  </w:t>
      </w:r>
      <w:r w:rsidR="00370308">
        <w:rPr>
          <w:rFonts w:eastAsia="Times New Roman"/>
          <w:color w:val="000000"/>
          <w:kern w:val="22"/>
          <w:szCs w:val="20"/>
          <w:lang w:eastAsia="en-NZ"/>
        </w:rPr>
        <w:t xml:space="preserve">Trying to licence “social work” as an occupation runs the risk of effort going into </w:t>
      </w:r>
      <w:r w:rsidR="00193FB8">
        <w:rPr>
          <w:rFonts w:eastAsia="Times New Roman"/>
          <w:color w:val="000000"/>
          <w:kern w:val="22"/>
          <w:szCs w:val="20"/>
          <w:lang w:eastAsia="en-NZ"/>
        </w:rPr>
        <w:t xml:space="preserve">professional </w:t>
      </w:r>
      <w:r w:rsidR="00370308">
        <w:rPr>
          <w:rFonts w:eastAsia="Times New Roman"/>
          <w:color w:val="000000"/>
          <w:kern w:val="22"/>
          <w:szCs w:val="20"/>
          <w:lang w:eastAsia="en-NZ"/>
        </w:rPr>
        <w:t>patch protection and boundary disputes rather than multidisciplinary and collaborative practice.</w:t>
      </w:r>
    </w:p>
    <w:p w:rsidR="00657406" w:rsidRPr="009445E6" w:rsidRDefault="00657406" w:rsidP="009445E6">
      <w:pPr>
        <w:spacing w:after="240" w:line="240" w:lineRule="auto"/>
        <w:rPr>
          <w:rFonts w:eastAsia="Times New Roman" w:cs="Times New Roman"/>
          <w:i/>
          <w:szCs w:val="20"/>
          <w:lang w:val="en-GB" w:eastAsia="en-GB"/>
        </w:rPr>
      </w:pPr>
      <w:r w:rsidRPr="009445E6">
        <w:rPr>
          <w:rFonts w:eastAsia="Times New Roman" w:cs="Times New Roman"/>
          <w:i/>
          <w:szCs w:val="20"/>
          <w:lang w:val="en-GB" w:eastAsia="en-GB"/>
        </w:rPr>
        <w:t xml:space="preserve">Anticipated effect </w:t>
      </w:r>
      <w:r w:rsidR="00201FC0">
        <w:rPr>
          <w:rFonts w:eastAsia="Times New Roman" w:cs="Times New Roman"/>
          <w:i/>
          <w:szCs w:val="20"/>
          <w:lang w:val="en-GB" w:eastAsia="en-GB"/>
        </w:rPr>
        <w:t xml:space="preserve">of shift to mandatory certification </w:t>
      </w:r>
      <w:r w:rsidRPr="009445E6">
        <w:rPr>
          <w:rFonts w:eastAsia="Times New Roman" w:cs="Times New Roman"/>
          <w:i/>
          <w:szCs w:val="20"/>
          <w:lang w:val="en-GB" w:eastAsia="en-GB"/>
        </w:rPr>
        <w:t xml:space="preserve">on current reasons for not being </w:t>
      </w:r>
      <w:r w:rsidRPr="003560CF">
        <w:rPr>
          <w:rFonts w:eastAsia="Times New Roman" w:cs="Times New Roman"/>
          <w:i/>
          <w:szCs w:val="20"/>
          <w:lang w:val="en-GB" w:eastAsia="en-GB"/>
        </w:rPr>
        <w:t>registered</w:t>
      </w:r>
    </w:p>
    <w:p w:rsidR="00FA3AB7" w:rsidRDefault="00FA3AB7"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 xml:space="preserve">Returning to the reasons identified above for not being registered, we anticipate the follow effects from the </w:t>
      </w:r>
      <w:r w:rsidRPr="009A1C49">
        <w:rPr>
          <w:rFonts w:eastAsia="Times New Roman"/>
          <w:color w:val="000000"/>
          <w:kern w:val="22"/>
          <w:szCs w:val="20"/>
          <w:lang w:eastAsia="en-NZ"/>
        </w:rPr>
        <w:t xml:space="preserve">recommended </w:t>
      </w:r>
      <w:r w:rsidR="007162B1" w:rsidRPr="009A1C49">
        <w:rPr>
          <w:rFonts w:eastAsia="Times New Roman"/>
          <w:color w:val="000000"/>
          <w:kern w:val="22"/>
          <w:szCs w:val="20"/>
          <w:lang w:eastAsia="en-NZ"/>
        </w:rPr>
        <w:t>shift to mandatory certification</w:t>
      </w:r>
      <w:r w:rsidRPr="009A1C49">
        <w:rPr>
          <w:rFonts w:eastAsia="Times New Roman"/>
          <w:color w:val="000000"/>
          <w:kern w:val="22"/>
          <w:szCs w:val="20"/>
          <w:lang w:eastAsia="en-NZ"/>
        </w:rPr>
        <w:t>:</w:t>
      </w:r>
    </w:p>
    <w:tbl>
      <w:tblPr>
        <w:tblStyle w:val="TableGrid"/>
        <w:tblW w:w="0" w:type="auto"/>
        <w:tblInd w:w="426" w:type="dxa"/>
        <w:tblLook w:val="04A0" w:firstRow="1" w:lastRow="0" w:firstColumn="1" w:lastColumn="0" w:noHBand="0" w:noVBand="1"/>
      </w:tblPr>
      <w:tblGrid>
        <w:gridCol w:w="2517"/>
        <w:gridCol w:w="6344"/>
      </w:tblGrid>
      <w:tr w:rsidR="000233B0" w:rsidTr="00CA7299">
        <w:tc>
          <w:tcPr>
            <w:tcW w:w="2517" w:type="dxa"/>
          </w:tcPr>
          <w:p w:rsidR="000233B0" w:rsidRDefault="000233B0" w:rsidP="000233B0">
            <w:pPr>
              <w:spacing w:after="240" w:line="240" w:lineRule="auto"/>
              <w:rPr>
                <w:rFonts w:eastAsia="Times New Roman"/>
                <w:color w:val="000000"/>
                <w:kern w:val="22"/>
                <w:szCs w:val="20"/>
                <w:lang w:eastAsia="en-NZ"/>
              </w:rPr>
            </w:pPr>
            <w:r w:rsidRPr="009445E6">
              <w:rPr>
                <w:rFonts w:eastAsia="Times New Roman"/>
                <w:color w:val="000000"/>
                <w:kern w:val="22"/>
                <w:szCs w:val="20"/>
                <w:lang w:eastAsia="en-NZ"/>
              </w:rPr>
              <w:t>Avoiding accountability</w:t>
            </w:r>
          </w:p>
        </w:tc>
        <w:tc>
          <w:tcPr>
            <w:tcW w:w="6344" w:type="dxa"/>
          </w:tcPr>
          <w:p w:rsidR="000233B0" w:rsidRDefault="00FA3AB7" w:rsidP="00880C50">
            <w:pPr>
              <w:spacing w:after="240" w:line="240" w:lineRule="auto"/>
              <w:rPr>
                <w:rFonts w:eastAsia="Times New Roman"/>
                <w:color w:val="000000"/>
                <w:kern w:val="22"/>
                <w:szCs w:val="20"/>
                <w:lang w:eastAsia="en-NZ"/>
              </w:rPr>
            </w:pPr>
            <w:r>
              <w:rPr>
                <w:rFonts w:eastAsia="Times New Roman"/>
                <w:color w:val="000000"/>
                <w:kern w:val="22"/>
                <w:szCs w:val="20"/>
                <w:lang w:eastAsia="en-NZ"/>
              </w:rPr>
              <w:t>T</w:t>
            </w:r>
            <w:r w:rsidR="000233B0" w:rsidRPr="009445E6">
              <w:rPr>
                <w:rFonts w:eastAsia="Times New Roman"/>
                <w:color w:val="000000"/>
                <w:kern w:val="22"/>
                <w:szCs w:val="20"/>
                <w:lang w:eastAsia="en-NZ"/>
              </w:rPr>
              <w:t xml:space="preserve">his reason will </w:t>
            </w:r>
            <w:r>
              <w:rPr>
                <w:rFonts w:eastAsia="Times New Roman"/>
                <w:color w:val="000000"/>
                <w:kern w:val="22"/>
                <w:szCs w:val="20"/>
                <w:lang w:eastAsia="en-NZ"/>
              </w:rPr>
              <w:t>rightly</w:t>
            </w:r>
            <w:r w:rsidR="000233B0" w:rsidRPr="009445E6">
              <w:rPr>
                <w:rFonts w:eastAsia="Times New Roman"/>
                <w:color w:val="000000"/>
                <w:kern w:val="22"/>
                <w:szCs w:val="20"/>
                <w:lang w:eastAsia="en-NZ"/>
              </w:rPr>
              <w:t xml:space="preserve"> cease to be an option</w:t>
            </w:r>
            <w:r>
              <w:rPr>
                <w:rFonts w:eastAsia="Times New Roman"/>
                <w:color w:val="000000"/>
                <w:kern w:val="22"/>
                <w:szCs w:val="20"/>
                <w:lang w:eastAsia="en-NZ"/>
              </w:rPr>
              <w:t xml:space="preserve">.  In addition, </w:t>
            </w:r>
            <w:r w:rsidR="00880C50">
              <w:rPr>
                <w:rFonts w:eastAsia="Times New Roman"/>
                <w:color w:val="000000"/>
                <w:kern w:val="22"/>
                <w:szCs w:val="20"/>
                <w:lang w:eastAsia="en-NZ"/>
              </w:rPr>
              <w:t xml:space="preserve">changes set out in </w:t>
            </w:r>
            <w:r>
              <w:rPr>
                <w:rFonts w:eastAsia="Times New Roman"/>
                <w:color w:val="000000"/>
                <w:kern w:val="22"/>
                <w:szCs w:val="20"/>
                <w:lang w:eastAsia="en-NZ"/>
              </w:rPr>
              <w:t xml:space="preserve">Part Two </w:t>
            </w:r>
            <w:r w:rsidR="00880C50">
              <w:rPr>
                <w:rFonts w:eastAsia="Times New Roman"/>
                <w:color w:val="000000"/>
                <w:kern w:val="22"/>
                <w:szCs w:val="20"/>
                <w:lang w:eastAsia="en-NZ"/>
              </w:rPr>
              <w:t xml:space="preserve">below </w:t>
            </w:r>
            <w:r>
              <w:rPr>
                <w:rFonts w:eastAsia="Times New Roman"/>
                <w:color w:val="000000"/>
                <w:kern w:val="22"/>
                <w:szCs w:val="20"/>
                <w:lang w:eastAsia="en-NZ"/>
              </w:rPr>
              <w:t>will ensure</w:t>
            </w:r>
            <w:r w:rsidR="000233B0" w:rsidRPr="009445E6">
              <w:rPr>
                <w:rFonts w:eastAsia="Times New Roman"/>
                <w:color w:val="000000"/>
                <w:kern w:val="22"/>
                <w:szCs w:val="20"/>
                <w:lang w:eastAsia="en-NZ"/>
              </w:rPr>
              <w:t xml:space="preserve"> the accountability system will function more effectively</w:t>
            </w:r>
            <w:r>
              <w:rPr>
                <w:rFonts w:eastAsia="Times New Roman"/>
                <w:color w:val="000000"/>
                <w:kern w:val="22"/>
                <w:szCs w:val="20"/>
                <w:lang w:eastAsia="en-NZ"/>
              </w:rPr>
              <w:t xml:space="preserve"> and transparently.</w:t>
            </w:r>
          </w:p>
        </w:tc>
      </w:tr>
      <w:tr w:rsidR="000233B0" w:rsidTr="00CA7299">
        <w:tc>
          <w:tcPr>
            <w:tcW w:w="2517" w:type="dxa"/>
          </w:tcPr>
          <w:p w:rsidR="000233B0" w:rsidRDefault="000233B0" w:rsidP="000233B0">
            <w:pPr>
              <w:spacing w:after="240" w:line="240" w:lineRule="auto"/>
              <w:rPr>
                <w:rFonts w:eastAsia="Times New Roman"/>
                <w:color w:val="000000"/>
                <w:kern w:val="22"/>
                <w:szCs w:val="20"/>
                <w:lang w:eastAsia="en-NZ"/>
              </w:rPr>
            </w:pPr>
            <w:r>
              <w:rPr>
                <w:rFonts w:eastAsia="Times New Roman" w:cs="Times New Roman"/>
                <w:szCs w:val="20"/>
                <w:lang w:val="en-GB" w:eastAsia="en-GB"/>
              </w:rPr>
              <w:t>Inability or unwillingness to undertake training</w:t>
            </w:r>
          </w:p>
        </w:tc>
        <w:tc>
          <w:tcPr>
            <w:tcW w:w="6344" w:type="dxa"/>
          </w:tcPr>
          <w:p w:rsidR="000233B0" w:rsidRDefault="00FA3AB7">
            <w:pPr>
              <w:spacing w:after="240" w:line="240" w:lineRule="auto"/>
              <w:rPr>
                <w:rFonts w:eastAsia="Times New Roman"/>
                <w:color w:val="000000"/>
                <w:kern w:val="22"/>
                <w:szCs w:val="20"/>
                <w:lang w:eastAsia="en-NZ"/>
              </w:rPr>
            </w:pPr>
            <w:r>
              <w:rPr>
                <w:rFonts w:eastAsia="Times New Roman" w:cs="Times New Roman"/>
                <w:szCs w:val="20"/>
                <w:lang w:val="en-GB" w:eastAsia="en-GB"/>
              </w:rPr>
              <w:t xml:space="preserve">Unregistered social workers with insufficient qualifications will need to proceed with a s.13 application, </w:t>
            </w:r>
            <w:r w:rsidR="00C9581F">
              <w:rPr>
                <w:rFonts w:eastAsia="Times New Roman" w:cs="Times New Roman"/>
                <w:szCs w:val="20"/>
                <w:lang w:val="en-GB" w:eastAsia="en-GB"/>
              </w:rPr>
              <w:t xml:space="preserve">or gain provisional registration while undertaking the necessary training (as provided for in </w:t>
            </w:r>
            <w:r w:rsidR="000233B0">
              <w:rPr>
                <w:rFonts w:eastAsia="Times New Roman" w:cs="Times New Roman"/>
                <w:szCs w:val="20"/>
                <w:lang w:val="en-GB" w:eastAsia="en-GB"/>
              </w:rPr>
              <w:t xml:space="preserve">s.10 </w:t>
            </w:r>
            <w:r w:rsidR="00C9581F">
              <w:rPr>
                <w:rFonts w:eastAsia="Times New Roman" w:cs="Times New Roman"/>
                <w:szCs w:val="20"/>
                <w:lang w:val="en-GB" w:eastAsia="en-GB"/>
              </w:rPr>
              <w:t xml:space="preserve">of </w:t>
            </w:r>
            <w:r w:rsidR="00CC7880">
              <w:rPr>
                <w:rFonts w:eastAsia="Times New Roman" w:cs="Times New Roman"/>
                <w:szCs w:val="20"/>
                <w:lang w:val="en-GB" w:eastAsia="en-GB"/>
              </w:rPr>
              <w:t>the SWR Act</w:t>
            </w:r>
            <w:r w:rsidR="00C9581F">
              <w:rPr>
                <w:rFonts w:eastAsia="Times New Roman" w:cs="Times New Roman"/>
                <w:szCs w:val="20"/>
                <w:lang w:val="en-GB" w:eastAsia="en-GB"/>
              </w:rPr>
              <w:t>)</w:t>
            </w:r>
            <w:r w:rsidR="000233B0">
              <w:rPr>
                <w:rFonts w:eastAsia="Times New Roman" w:cs="Times New Roman"/>
                <w:szCs w:val="20"/>
                <w:lang w:val="en-GB" w:eastAsia="en-GB"/>
              </w:rPr>
              <w:t xml:space="preserve">.  </w:t>
            </w:r>
            <w:r w:rsidR="00C9581F">
              <w:rPr>
                <w:rFonts w:eastAsia="Times New Roman" w:cs="Times New Roman"/>
                <w:szCs w:val="20"/>
                <w:lang w:val="en-GB" w:eastAsia="en-GB"/>
              </w:rPr>
              <w:t>People not willing or</w:t>
            </w:r>
            <w:r w:rsidR="008A193B">
              <w:rPr>
                <w:rFonts w:eastAsia="Times New Roman" w:cs="Times New Roman"/>
                <w:szCs w:val="20"/>
                <w:lang w:val="en-GB" w:eastAsia="en-GB"/>
              </w:rPr>
              <w:t xml:space="preserve"> able</w:t>
            </w:r>
            <w:r w:rsidR="000233B0">
              <w:rPr>
                <w:rFonts w:eastAsia="Times New Roman" w:cs="Times New Roman"/>
                <w:szCs w:val="20"/>
                <w:lang w:val="en-GB" w:eastAsia="en-GB"/>
              </w:rPr>
              <w:t xml:space="preserve"> may choose to retire or change job titles and some responsibilities.</w:t>
            </w:r>
          </w:p>
        </w:tc>
      </w:tr>
      <w:tr w:rsidR="000233B0" w:rsidTr="00CA7299">
        <w:tc>
          <w:tcPr>
            <w:tcW w:w="2517" w:type="dxa"/>
          </w:tcPr>
          <w:p w:rsidR="000233B0" w:rsidRDefault="000233B0" w:rsidP="000233B0">
            <w:pPr>
              <w:spacing w:after="240" w:line="240" w:lineRule="auto"/>
              <w:rPr>
                <w:rFonts w:eastAsia="Times New Roman"/>
                <w:color w:val="000000"/>
                <w:kern w:val="22"/>
                <w:szCs w:val="20"/>
                <w:lang w:eastAsia="en-NZ"/>
              </w:rPr>
            </w:pPr>
            <w:r>
              <w:rPr>
                <w:rFonts w:eastAsia="Times New Roman" w:cs="Times New Roman"/>
                <w:szCs w:val="20"/>
                <w:lang w:val="en-GB" w:eastAsia="en-GB"/>
              </w:rPr>
              <w:t>Lack of b</w:t>
            </w:r>
            <w:r w:rsidRPr="00924FB1">
              <w:rPr>
                <w:rFonts w:eastAsia="Times New Roman" w:cs="Times New Roman"/>
                <w:szCs w:val="20"/>
                <w:lang w:val="en-GB" w:eastAsia="en-GB"/>
              </w:rPr>
              <w:t>enefit</w:t>
            </w:r>
            <w:r>
              <w:rPr>
                <w:rFonts w:eastAsia="Times New Roman" w:cs="Times New Roman"/>
                <w:szCs w:val="20"/>
                <w:lang w:val="en-GB" w:eastAsia="en-GB"/>
              </w:rPr>
              <w:t xml:space="preserve"> from registration</w:t>
            </w:r>
          </w:p>
        </w:tc>
        <w:tc>
          <w:tcPr>
            <w:tcW w:w="6344" w:type="dxa"/>
          </w:tcPr>
          <w:p w:rsidR="000233B0" w:rsidRDefault="000233B0" w:rsidP="000233B0">
            <w:pPr>
              <w:spacing w:after="240" w:line="240" w:lineRule="auto"/>
              <w:rPr>
                <w:rFonts w:eastAsia="Times New Roman"/>
                <w:color w:val="000000"/>
                <w:kern w:val="22"/>
                <w:szCs w:val="20"/>
                <w:lang w:eastAsia="en-NZ"/>
              </w:rPr>
            </w:pPr>
            <w:r>
              <w:rPr>
                <w:rFonts w:eastAsia="Times New Roman" w:cs="Times New Roman"/>
                <w:szCs w:val="20"/>
                <w:lang w:val="en-GB" w:eastAsia="en-GB"/>
              </w:rPr>
              <w:t>Social workers will no longer be able to be employed as social w</w:t>
            </w:r>
            <w:r w:rsidR="00193FB8">
              <w:rPr>
                <w:rFonts w:eastAsia="Times New Roman" w:cs="Times New Roman"/>
                <w:szCs w:val="20"/>
                <w:lang w:val="en-GB" w:eastAsia="en-GB"/>
              </w:rPr>
              <w:t>orkers without being registered, so there will not be a sense of disadvantage from registration.  The Board will be better placed to provide a positive lead for the profession rather than the current focus on compliance.</w:t>
            </w:r>
          </w:p>
        </w:tc>
      </w:tr>
      <w:tr w:rsidR="000233B0" w:rsidTr="00CA7299">
        <w:tc>
          <w:tcPr>
            <w:tcW w:w="2517" w:type="dxa"/>
          </w:tcPr>
          <w:p w:rsidR="000233B0" w:rsidRDefault="000233B0" w:rsidP="000233B0">
            <w:pPr>
              <w:spacing w:after="240" w:line="240" w:lineRule="auto"/>
              <w:rPr>
                <w:rFonts w:eastAsia="Times New Roman"/>
                <w:color w:val="000000"/>
                <w:kern w:val="22"/>
                <w:szCs w:val="20"/>
                <w:lang w:eastAsia="en-NZ"/>
              </w:rPr>
            </w:pPr>
            <w:r>
              <w:rPr>
                <w:rFonts w:eastAsia="Times New Roman" w:cs="Times New Roman"/>
                <w:szCs w:val="20"/>
                <w:lang w:val="en-GB" w:eastAsia="en-GB"/>
              </w:rPr>
              <w:t>C</w:t>
            </w:r>
            <w:r w:rsidRPr="00FD00D1">
              <w:rPr>
                <w:rFonts w:eastAsia="Times New Roman" w:cs="Times New Roman"/>
                <w:szCs w:val="20"/>
                <w:lang w:val="en-GB" w:eastAsia="en-GB"/>
              </w:rPr>
              <w:t>ost</w:t>
            </w:r>
          </w:p>
        </w:tc>
        <w:tc>
          <w:tcPr>
            <w:tcW w:w="6344" w:type="dxa"/>
          </w:tcPr>
          <w:p w:rsidR="000233B0" w:rsidRDefault="000233B0" w:rsidP="00CA7299">
            <w:pPr>
              <w:spacing w:after="240" w:line="240" w:lineRule="auto"/>
              <w:rPr>
                <w:rFonts w:eastAsia="Times New Roman"/>
                <w:color w:val="000000"/>
                <w:kern w:val="22"/>
                <w:szCs w:val="20"/>
                <w:lang w:eastAsia="en-NZ"/>
              </w:rPr>
            </w:pPr>
            <w:r>
              <w:rPr>
                <w:rFonts w:eastAsia="Times New Roman" w:cs="Times New Roman"/>
                <w:szCs w:val="20"/>
                <w:lang w:val="en-GB" w:eastAsia="en-GB"/>
              </w:rPr>
              <w:t xml:space="preserve">The Board have estimated that fees will be able to be reduced by </w:t>
            </w:r>
            <w:r w:rsidR="00CA7299">
              <w:rPr>
                <w:rFonts w:eastAsia="Times New Roman" w:cs="Times New Roman"/>
                <w:szCs w:val="20"/>
                <w:lang w:val="en-GB" w:eastAsia="en-GB"/>
              </w:rPr>
              <w:t>30%</w:t>
            </w:r>
            <w:r w:rsidR="00193FB8">
              <w:rPr>
                <w:rFonts w:eastAsia="Times New Roman" w:cs="Times New Roman"/>
                <w:szCs w:val="20"/>
                <w:lang w:val="en-GB" w:eastAsia="en-GB"/>
              </w:rPr>
              <w:t xml:space="preserve"> because of economies of scale</w:t>
            </w:r>
            <w:r w:rsidR="00CA7299">
              <w:rPr>
                <w:rFonts w:eastAsia="Times New Roman" w:cs="Times New Roman"/>
                <w:szCs w:val="20"/>
                <w:lang w:val="en-GB" w:eastAsia="en-GB"/>
              </w:rPr>
              <w:t>.</w:t>
            </w:r>
            <w:r>
              <w:rPr>
                <w:rFonts w:eastAsia="Times New Roman" w:cs="Times New Roman"/>
                <w:szCs w:val="20"/>
                <w:lang w:val="en-GB" w:eastAsia="en-GB"/>
              </w:rPr>
              <w:t xml:space="preserve">  Newly registered social workers may look to their employers to cover their costs.  In the case of NGOs with government contracts this may become a matter of negotiation with government.  </w:t>
            </w:r>
          </w:p>
        </w:tc>
      </w:tr>
      <w:tr w:rsidR="000233B0" w:rsidTr="00CA7299">
        <w:tc>
          <w:tcPr>
            <w:tcW w:w="2517" w:type="dxa"/>
          </w:tcPr>
          <w:p w:rsidR="000233B0" w:rsidRDefault="00FA3AB7" w:rsidP="000233B0">
            <w:pPr>
              <w:spacing w:after="240" w:line="240" w:lineRule="auto"/>
              <w:rPr>
                <w:rFonts w:eastAsia="Times New Roman"/>
                <w:color w:val="000000"/>
                <w:kern w:val="22"/>
                <w:szCs w:val="20"/>
                <w:lang w:eastAsia="en-NZ"/>
              </w:rPr>
            </w:pPr>
            <w:r w:rsidRPr="004A75EE">
              <w:rPr>
                <w:rFonts w:eastAsia="Times New Roman" w:cs="Times New Roman"/>
                <w:szCs w:val="20"/>
                <w:lang w:val="en-GB" w:eastAsia="en-GB"/>
              </w:rPr>
              <w:t>Length of process</w:t>
            </w:r>
          </w:p>
        </w:tc>
        <w:tc>
          <w:tcPr>
            <w:tcW w:w="6344" w:type="dxa"/>
          </w:tcPr>
          <w:p w:rsidR="000233B0" w:rsidRDefault="00FA3AB7" w:rsidP="000233B0">
            <w:pPr>
              <w:spacing w:after="240" w:line="240" w:lineRule="auto"/>
              <w:rPr>
                <w:rFonts w:eastAsia="Times New Roman"/>
                <w:color w:val="000000"/>
                <w:kern w:val="22"/>
                <w:szCs w:val="20"/>
                <w:lang w:eastAsia="en-NZ"/>
              </w:rPr>
            </w:pPr>
            <w:r>
              <w:rPr>
                <w:rFonts w:eastAsia="Times New Roman" w:cs="Times New Roman"/>
                <w:szCs w:val="20"/>
                <w:lang w:val="en-GB" w:eastAsia="en-GB"/>
              </w:rPr>
              <w:t>Changes recommended in Part Two below will reduce the complexity compliance costs of the assessment of competency</w:t>
            </w:r>
          </w:p>
        </w:tc>
      </w:tr>
      <w:tr w:rsidR="000233B0" w:rsidTr="00CA7299">
        <w:tc>
          <w:tcPr>
            <w:tcW w:w="2517" w:type="dxa"/>
          </w:tcPr>
          <w:p w:rsidR="000233B0" w:rsidRPr="00FA3AB7" w:rsidRDefault="00FA3AB7" w:rsidP="000233B0">
            <w:pPr>
              <w:spacing w:after="240" w:line="240" w:lineRule="auto"/>
              <w:rPr>
                <w:rFonts w:eastAsia="Times New Roman"/>
                <w:color w:val="000000"/>
                <w:kern w:val="22"/>
                <w:szCs w:val="20"/>
                <w:lang w:eastAsia="en-NZ"/>
              </w:rPr>
            </w:pPr>
            <w:r w:rsidRPr="00CA7299">
              <w:rPr>
                <w:rFonts w:eastAsia="Times New Roman" w:cs="Times New Roman"/>
                <w:szCs w:val="20"/>
                <w:lang w:val="en-GB" w:eastAsia="en-GB"/>
              </w:rPr>
              <w:t>Difficulty in “opting out”</w:t>
            </w:r>
          </w:p>
        </w:tc>
        <w:tc>
          <w:tcPr>
            <w:tcW w:w="6344" w:type="dxa"/>
          </w:tcPr>
          <w:p w:rsidR="000233B0" w:rsidRPr="00FA3AB7" w:rsidRDefault="00CA7299" w:rsidP="00880C50">
            <w:pPr>
              <w:spacing w:after="240" w:line="240" w:lineRule="auto"/>
              <w:rPr>
                <w:rFonts w:eastAsia="Times New Roman"/>
                <w:color w:val="000000"/>
                <w:kern w:val="22"/>
                <w:szCs w:val="20"/>
                <w:lang w:eastAsia="en-NZ"/>
              </w:rPr>
            </w:pPr>
            <w:r>
              <w:rPr>
                <w:szCs w:val="18"/>
                <w:lang w:val="en-GB" w:eastAsia="en-GB"/>
              </w:rPr>
              <w:t xml:space="preserve">The recommended changes to the registration system </w:t>
            </w:r>
            <w:r w:rsidR="00D65D14">
              <w:rPr>
                <w:szCs w:val="18"/>
                <w:lang w:val="en-GB" w:eastAsia="en-GB"/>
              </w:rPr>
              <w:t xml:space="preserve">provide the opportunity to clarify the intent that the requirement for registration and a practising certificate arises only if the job title or statutory position title is </w:t>
            </w:r>
            <w:r w:rsidR="00DF4203">
              <w:rPr>
                <w:szCs w:val="18"/>
                <w:lang w:val="en-GB" w:eastAsia="en-GB"/>
              </w:rPr>
              <w:t>“</w:t>
            </w:r>
            <w:r w:rsidR="00D65D14">
              <w:rPr>
                <w:szCs w:val="18"/>
                <w:lang w:val="en-GB" w:eastAsia="en-GB"/>
              </w:rPr>
              <w:t>social worker</w:t>
            </w:r>
            <w:r w:rsidR="00DF4203">
              <w:rPr>
                <w:szCs w:val="18"/>
                <w:lang w:val="en-GB" w:eastAsia="en-GB"/>
              </w:rPr>
              <w:t>”</w:t>
            </w:r>
            <w:r w:rsidR="00D65D14">
              <w:rPr>
                <w:szCs w:val="18"/>
                <w:lang w:val="en-GB" w:eastAsia="en-GB"/>
              </w:rPr>
              <w:t xml:space="preserve">, or if a person is claiming to be a social worker, or if a person is undertaking </w:t>
            </w:r>
            <w:r w:rsidR="00DF4203">
              <w:rPr>
                <w:szCs w:val="18"/>
                <w:lang w:val="en-GB" w:eastAsia="en-GB"/>
              </w:rPr>
              <w:t>“</w:t>
            </w:r>
            <w:r w:rsidR="00D65D14">
              <w:rPr>
                <w:szCs w:val="18"/>
                <w:lang w:val="en-GB" w:eastAsia="en-GB"/>
              </w:rPr>
              <w:t xml:space="preserve">restricted </w:t>
            </w:r>
            <w:r w:rsidR="00D65D14" w:rsidRPr="00CA7299">
              <w:rPr>
                <w:szCs w:val="18"/>
                <w:lang w:val="en-GB" w:eastAsia="en-GB"/>
              </w:rPr>
              <w:t>tasks</w:t>
            </w:r>
            <w:r w:rsidR="00DF4203">
              <w:rPr>
                <w:szCs w:val="18"/>
                <w:lang w:val="en-GB" w:eastAsia="en-GB"/>
              </w:rPr>
              <w:t>”</w:t>
            </w:r>
            <w:r w:rsidR="00D65D14" w:rsidRPr="00CA7299">
              <w:rPr>
                <w:szCs w:val="18"/>
                <w:lang w:val="en-GB" w:eastAsia="en-GB"/>
              </w:rPr>
              <w:t xml:space="preserve"> that can only b</w:t>
            </w:r>
            <w:r w:rsidR="00D65D14">
              <w:rPr>
                <w:szCs w:val="18"/>
                <w:lang w:val="en-GB" w:eastAsia="en-GB"/>
              </w:rPr>
              <w:t>e undertaken by a social worker</w:t>
            </w:r>
          </w:p>
        </w:tc>
      </w:tr>
      <w:tr w:rsidR="000233B0" w:rsidTr="00CA7299">
        <w:tc>
          <w:tcPr>
            <w:tcW w:w="2517" w:type="dxa"/>
          </w:tcPr>
          <w:p w:rsidR="000233B0" w:rsidRPr="00FA3AB7" w:rsidRDefault="00FA3AB7" w:rsidP="000233B0">
            <w:pPr>
              <w:spacing w:after="240" w:line="240" w:lineRule="auto"/>
              <w:rPr>
                <w:rFonts w:eastAsia="Times New Roman"/>
                <w:color w:val="000000"/>
                <w:kern w:val="22"/>
                <w:szCs w:val="20"/>
                <w:lang w:eastAsia="en-NZ"/>
              </w:rPr>
            </w:pPr>
            <w:r w:rsidRPr="00CA7299">
              <w:rPr>
                <w:rFonts w:eastAsia="Times New Roman" w:cs="Times New Roman"/>
                <w:szCs w:val="20"/>
                <w:lang w:val="en-GB" w:eastAsia="en-GB"/>
              </w:rPr>
              <w:t>Ideological objections</w:t>
            </w:r>
          </w:p>
        </w:tc>
        <w:tc>
          <w:tcPr>
            <w:tcW w:w="6344" w:type="dxa"/>
          </w:tcPr>
          <w:p w:rsidR="000233B0" w:rsidRPr="00FA3AB7" w:rsidRDefault="00FA3AB7" w:rsidP="000233B0">
            <w:pPr>
              <w:spacing w:after="240" w:line="240" w:lineRule="auto"/>
              <w:rPr>
                <w:rFonts w:eastAsia="Times New Roman"/>
                <w:color w:val="000000"/>
                <w:kern w:val="22"/>
                <w:szCs w:val="20"/>
                <w:lang w:eastAsia="en-NZ"/>
              </w:rPr>
            </w:pPr>
            <w:r w:rsidRPr="00CA7299">
              <w:rPr>
                <w:rFonts w:eastAsia="Times New Roman" w:cs="Times New Roman"/>
                <w:szCs w:val="20"/>
                <w:lang w:val="en-GB" w:eastAsia="en-GB"/>
              </w:rPr>
              <w:t>Those who have been waiting for legal compulsion will register, and others will have to reassess their stance in the light of the new regime.</w:t>
            </w:r>
          </w:p>
        </w:tc>
      </w:tr>
    </w:tbl>
    <w:p w:rsidR="00D76064" w:rsidRDefault="00D76064" w:rsidP="00610BF3">
      <w:pPr>
        <w:spacing w:after="240" w:line="240" w:lineRule="auto"/>
        <w:rPr>
          <w:rFonts w:eastAsia="Times New Roman" w:cs="Times New Roman"/>
          <w:szCs w:val="20"/>
          <w:highlight w:val="yellow"/>
          <w:lang w:val="en-GB" w:eastAsia="en-GB"/>
        </w:rPr>
      </w:pPr>
    </w:p>
    <w:p w:rsidR="002A3937" w:rsidRDefault="002A3937">
      <w:pPr>
        <w:spacing w:after="0" w:line="240" w:lineRule="auto"/>
        <w:rPr>
          <w:rFonts w:eastAsia="Times New Roman" w:cs="Times New Roman"/>
          <w:b/>
          <w:i/>
          <w:sz w:val="24"/>
          <w:szCs w:val="24"/>
          <w:lang w:val="en-GB" w:eastAsia="en-GB"/>
        </w:rPr>
      </w:pPr>
      <w:r>
        <w:rPr>
          <w:rFonts w:eastAsia="Times New Roman" w:cs="Times New Roman"/>
          <w:b/>
          <w:i/>
          <w:sz w:val="24"/>
          <w:szCs w:val="24"/>
          <w:lang w:val="en-GB" w:eastAsia="en-GB"/>
        </w:rPr>
        <w:br w:type="page"/>
      </w:r>
    </w:p>
    <w:p w:rsidR="00C33D04" w:rsidRPr="00856F8C" w:rsidRDefault="00C33D04" w:rsidP="00C33D04">
      <w:pPr>
        <w:spacing w:after="240"/>
        <w:outlineLvl w:val="2"/>
        <w:rPr>
          <w:rFonts w:eastAsia="Times New Roman" w:cs="Times New Roman"/>
          <w:b/>
          <w:i/>
          <w:sz w:val="24"/>
          <w:szCs w:val="24"/>
          <w:lang w:val="en-GB" w:eastAsia="en-GB"/>
        </w:rPr>
      </w:pPr>
      <w:bookmarkStart w:id="47" w:name="_Toc520457889"/>
      <w:r w:rsidRPr="00856F8C">
        <w:rPr>
          <w:rFonts w:eastAsia="Times New Roman" w:cs="Times New Roman"/>
          <w:b/>
          <w:i/>
          <w:sz w:val="24"/>
          <w:szCs w:val="24"/>
          <w:lang w:val="en-GB" w:eastAsia="en-GB"/>
        </w:rPr>
        <w:lastRenderedPageBreak/>
        <w:t>Legislative provision for Scopes of Practice</w:t>
      </w:r>
      <w:bookmarkEnd w:id="47"/>
    </w:p>
    <w:p w:rsidR="00344EA4" w:rsidRPr="00856F8C" w:rsidRDefault="00344EA4" w:rsidP="00856F8C">
      <w:pPr>
        <w:spacing w:after="240" w:line="240" w:lineRule="auto"/>
        <w:rPr>
          <w:rFonts w:eastAsia="Times New Roman" w:cs="Times New Roman"/>
          <w:i/>
          <w:szCs w:val="20"/>
          <w:u w:val="single"/>
          <w:lang w:val="en-GB" w:eastAsia="en-GB"/>
        </w:rPr>
      </w:pPr>
      <w:bookmarkStart w:id="48" w:name="_Toc515011828"/>
      <w:r w:rsidRPr="00856F8C">
        <w:rPr>
          <w:rFonts w:eastAsia="Times New Roman" w:cs="Times New Roman"/>
          <w:i/>
          <w:szCs w:val="20"/>
          <w:u w:val="single"/>
          <w:lang w:val="en-GB" w:eastAsia="en-GB"/>
        </w:rPr>
        <w:t>Where do scopes of practice fit and why were they not included in the original Bill?</w:t>
      </w:r>
      <w:bookmarkEnd w:id="48"/>
    </w:p>
    <w:p w:rsidR="00344EA4" w:rsidRPr="00344EA4" w:rsidRDefault="00344EA4" w:rsidP="00344EA4">
      <w:pPr>
        <w:numPr>
          <w:ilvl w:val="0"/>
          <w:numId w:val="23"/>
        </w:numPr>
        <w:spacing w:after="240" w:line="240" w:lineRule="auto"/>
        <w:ind w:left="567" w:hanging="567"/>
        <w:rPr>
          <w:rFonts w:eastAsia="Times New Roman"/>
          <w:i/>
          <w:color w:val="000000"/>
          <w:kern w:val="22"/>
          <w:szCs w:val="20"/>
          <w:lang w:eastAsia="en-NZ"/>
        </w:rPr>
      </w:pPr>
      <w:r w:rsidRPr="00344EA4">
        <w:rPr>
          <w:rFonts w:eastAsia="Times New Roman"/>
          <w:i/>
          <w:color w:val="000000"/>
          <w:kern w:val="22"/>
          <w:szCs w:val="20"/>
          <w:lang w:eastAsia="en-NZ"/>
        </w:rPr>
        <w:t>Scopes of practice (scopes) can be part of any of the levels two to five above – they are not an alternative to title protection, but a complement.  The HPCA Act enables the regulatory body for each health profession to promulgate scopes but, except for the restricted activities</w:t>
      </w:r>
      <w:r w:rsidRPr="00856F8C">
        <w:rPr>
          <w:rFonts w:eastAsia="Times New Roman"/>
          <w:i/>
          <w:color w:val="000000"/>
          <w:kern w:val="22"/>
          <w:szCs w:val="20"/>
          <w:vertAlign w:val="superscript"/>
          <w:lang w:eastAsia="en-NZ"/>
        </w:rPr>
        <w:footnoteReference w:id="21"/>
      </w:r>
      <w:r w:rsidRPr="00344EA4">
        <w:rPr>
          <w:rFonts w:eastAsia="Times New Roman"/>
          <w:i/>
          <w:color w:val="000000"/>
          <w:kern w:val="22"/>
          <w:szCs w:val="20"/>
          <w:lang w:eastAsia="en-NZ"/>
        </w:rPr>
        <w:t xml:space="preserve">, they only apply to people who are already registered, and serve to clarify the focus of specialisations within professions.  (See </w:t>
      </w:r>
      <w:r w:rsidR="003A0443">
        <w:rPr>
          <w:rFonts w:eastAsia="Times New Roman"/>
          <w:i/>
          <w:color w:val="000000"/>
          <w:kern w:val="22"/>
          <w:szCs w:val="20"/>
          <w:lang w:eastAsia="en-NZ"/>
        </w:rPr>
        <w:t xml:space="preserve">the summary overview table below </w:t>
      </w:r>
      <w:r w:rsidRPr="00344EA4">
        <w:rPr>
          <w:rFonts w:eastAsia="Times New Roman"/>
          <w:i/>
          <w:color w:val="000000"/>
          <w:kern w:val="22"/>
          <w:szCs w:val="20"/>
          <w:lang w:eastAsia="en-NZ"/>
        </w:rPr>
        <w:t>for more detail.)</w:t>
      </w:r>
    </w:p>
    <w:p w:rsidR="00344EA4" w:rsidRPr="00344EA4" w:rsidRDefault="00344EA4" w:rsidP="00344EA4">
      <w:pPr>
        <w:numPr>
          <w:ilvl w:val="0"/>
          <w:numId w:val="23"/>
        </w:numPr>
        <w:spacing w:after="240" w:line="240" w:lineRule="auto"/>
        <w:ind w:left="567" w:hanging="567"/>
        <w:rPr>
          <w:rFonts w:eastAsia="Times New Roman"/>
          <w:i/>
          <w:color w:val="000000"/>
          <w:kern w:val="22"/>
          <w:szCs w:val="20"/>
          <w:lang w:eastAsia="en-NZ"/>
        </w:rPr>
      </w:pPr>
      <w:r w:rsidRPr="00344EA4">
        <w:rPr>
          <w:rFonts w:eastAsia="Times New Roman"/>
          <w:i/>
          <w:color w:val="000000"/>
          <w:kern w:val="22"/>
          <w:szCs w:val="20"/>
          <w:lang w:eastAsia="en-NZ"/>
        </w:rPr>
        <w:t>Scopes were initially considered during the early development of the Bill, but on balance they were not seen as required to meet the objectives of the proposed legislation. Cabinet decisions from mid-2017 affirmed the decision not to include a scope of practice in the Bill [Cab-17-MIN-0234 refers].</w:t>
      </w:r>
    </w:p>
    <w:p w:rsidR="00344EA4" w:rsidRPr="00344EA4" w:rsidRDefault="00344EA4" w:rsidP="00344EA4">
      <w:pPr>
        <w:numPr>
          <w:ilvl w:val="0"/>
          <w:numId w:val="23"/>
        </w:numPr>
        <w:spacing w:after="240" w:line="240" w:lineRule="auto"/>
        <w:ind w:left="567" w:hanging="567"/>
        <w:rPr>
          <w:rFonts w:eastAsia="Times New Roman"/>
          <w:i/>
          <w:color w:val="000000"/>
          <w:kern w:val="22"/>
          <w:szCs w:val="20"/>
          <w:lang w:eastAsia="en-NZ"/>
        </w:rPr>
      </w:pPr>
      <w:r w:rsidRPr="00344EA4">
        <w:rPr>
          <w:rFonts w:eastAsia="Times New Roman"/>
          <w:i/>
          <w:color w:val="000000"/>
          <w:kern w:val="22"/>
          <w:szCs w:val="20"/>
          <w:lang w:eastAsia="en-NZ"/>
        </w:rPr>
        <w:t xml:space="preserve">As it stands, the level three certification regime for social work represents the most common type of regulation in New Zealand professions.  The </w:t>
      </w:r>
      <w:r w:rsidR="00856F8C">
        <w:rPr>
          <w:rFonts w:eastAsia="Times New Roman"/>
          <w:i/>
          <w:color w:val="000000"/>
          <w:kern w:val="22"/>
          <w:szCs w:val="20"/>
          <w:lang w:eastAsia="en-NZ"/>
        </w:rPr>
        <w:t>initial</w:t>
      </w:r>
      <w:r w:rsidRPr="00344EA4">
        <w:rPr>
          <w:rFonts w:eastAsia="Times New Roman"/>
          <w:i/>
          <w:color w:val="000000"/>
          <w:kern w:val="22"/>
          <w:szCs w:val="20"/>
          <w:lang w:eastAsia="en-NZ"/>
        </w:rPr>
        <w:t xml:space="preserve"> Bill most closely resembles the regime for lawyers and conveyancers: title protection, without provision for a form of scopes.</w:t>
      </w:r>
    </w:p>
    <w:p w:rsidR="00344EA4" w:rsidRPr="00344EA4" w:rsidRDefault="00344EA4" w:rsidP="00344EA4">
      <w:pPr>
        <w:numPr>
          <w:ilvl w:val="0"/>
          <w:numId w:val="23"/>
        </w:numPr>
        <w:spacing w:after="240" w:line="240" w:lineRule="auto"/>
        <w:ind w:left="567" w:hanging="567"/>
        <w:rPr>
          <w:rFonts w:eastAsia="Times New Roman"/>
          <w:i/>
          <w:color w:val="000000"/>
          <w:kern w:val="22"/>
          <w:szCs w:val="20"/>
          <w:lang w:eastAsia="en-NZ"/>
        </w:rPr>
      </w:pPr>
      <w:r w:rsidRPr="00344EA4">
        <w:rPr>
          <w:rFonts w:eastAsia="Times New Roman"/>
          <w:i/>
          <w:color w:val="000000"/>
          <w:kern w:val="22"/>
          <w:szCs w:val="20"/>
          <w:lang w:eastAsia="en-NZ"/>
        </w:rPr>
        <w:t xml:space="preserve">Scopes were not included in the Bill because they were seen as </w:t>
      </w:r>
      <w:r w:rsidR="001E19C0">
        <w:rPr>
          <w:rFonts w:eastAsia="Times New Roman"/>
          <w:i/>
          <w:color w:val="000000"/>
          <w:kern w:val="22"/>
          <w:szCs w:val="20"/>
          <w:lang w:eastAsia="en-NZ"/>
        </w:rPr>
        <w:t>un</w:t>
      </w:r>
      <w:r w:rsidRPr="00344EA4">
        <w:rPr>
          <w:rFonts w:eastAsia="Times New Roman"/>
          <w:i/>
          <w:color w:val="000000"/>
          <w:kern w:val="22"/>
          <w:szCs w:val="20"/>
          <w:lang w:eastAsia="en-NZ"/>
        </w:rPr>
        <w:t>necessary to achieve the key intent of the Bill – mandatory registration</w:t>
      </w:r>
      <w:r w:rsidR="00856F8C">
        <w:rPr>
          <w:rFonts w:eastAsia="Times New Roman"/>
          <w:i/>
          <w:color w:val="000000"/>
          <w:kern w:val="22"/>
          <w:szCs w:val="20"/>
          <w:lang w:eastAsia="en-NZ"/>
        </w:rPr>
        <w:t xml:space="preserve">, i.e. </w:t>
      </w:r>
      <w:r w:rsidRPr="00344EA4">
        <w:rPr>
          <w:rFonts w:eastAsia="Times New Roman"/>
          <w:i/>
          <w:color w:val="000000"/>
          <w:kern w:val="22"/>
          <w:szCs w:val="20"/>
          <w:lang w:eastAsia="en-NZ"/>
        </w:rPr>
        <w:t>ensuring that practising social workers (and not other related workers) were brought under the cover of the Bill.  Further, we expected that the Board could develop and recognize scopes of practice without a statutory mandate.</w:t>
      </w:r>
    </w:p>
    <w:p w:rsidR="00344EA4" w:rsidRPr="00344EA4" w:rsidRDefault="00344EA4" w:rsidP="00344EA4">
      <w:pPr>
        <w:numPr>
          <w:ilvl w:val="0"/>
          <w:numId w:val="23"/>
        </w:numPr>
        <w:spacing w:after="240" w:line="240" w:lineRule="auto"/>
        <w:ind w:left="567" w:hanging="567"/>
        <w:rPr>
          <w:rFonts w:eastAsia="Times New Roman"/>
          <w:i/>
          <w:color w:val="000000"/>
          <w:kern w:val="22"/>
          <w:szCs w:val="20"/>
          <w:lang w:eastAsia="en-NZ"/>
        </w:rPr>
      </w:pPr>
      <w:r w:rsidRPr="00344EA4">
        <w:rPr>
          <w:rFonts w:eastAsia="Times New Roman"/>
          <w:i/>
          <w:color w:val="000000"/>
          <w:kern w:val="22"/>
          <w:szCs w:val="20"/>
          <w:lang w:eastAsia="en-NZ"/>
        </w:rPr>
        <w:t>The inclusion of provisions for scopes was also seen as raising a risk that they might be used to define social work and who should be social workers.  A key reason for not including definitions of social work, or allowing scopes of practice to be used as definitions, was to avoid establishing a licensing regime whereby only social workers could do social work</w:t>
      </w:r>
      <w:r w:rsidR="00512C56">
        <w:rPr>
          <w:rFonts w:eastAsia="Times New Roman"/>
          <w:i/>
          <w:color w:val="000000"/>
          <w:kern w:val="22"/>
          <w:szCs w:val="20"/>
          <w:lang w:eastAsia="en-NZ"/>
        </w:rPr>
        <w:t xml:space="preserve"> activities</w:t>
      </w:r>
      <w:r w:rsidRPr="00344EA4">
        <w:rPr>
          <w:rFonts w:eastAsia="Times New Roman"/>
          <w:i/>
          <w:color w:val="000000"/>
          <w:kern w:val="22"/>
          <w:szCs w:val="20"/>
          <w:lang w:eastAsia="en-NZ"/>
        </w:rPr>
        <w:t xml:space="preserve">. </w:t>
      </w:r>
    </w:p>
    <w:p w:rsidR="00344EA4" w:rsidRPr="00344EA4" w:rsidRDefault="00344EA4" w:rsidP="00344EA4">
      <w:pPr>
        <w:numPr>
          <w:ilvl w:val="0"/>
          <w:numId w:val="23"/>
        </w:numPr>
        <w:spacing w:after="240" w:line="240" w:lineRule="auto"/>
        <w:ind w:left="567" w:hanging="567"/>
        <w:rPr>
          <w:rFonts w:eastAsia="Times New Roman"/>
          <w:i/>
          <w:color w:val="000000"/>
          <w:kern w:val="22"/>
          <w:szCs w:val="20"/>
          <w:lang w:eastAsia="en-NZ"/>
        </w:rPr>
      </w:pPr>
      <w:r w:rsidRPr="00344EA4">
        <w:rPr>
          <w:rFonts w:eastAsia="Times New Roman"/>
          <w:i/>
          <w:color w:val="000000"/>
          <w:kern w:val="22"/>
          <w:szCs w:val="20"/>
          <w:lang w:eastAsia="en-NZ"/>
        </w:rPr>
        <w:t xml:space="preserve">We were concerned to avoid any risk that the Board would have power to expand its reach and begin to assess positions not previously considered to be social work roles, but which involve some similar tasks e.g. probation officers, school counsellors, Whanau Ora navigators or youth workers.  This is why throughout the Bill the phrase “practising as a social worker” is used, rather than “practising social work”.  </w:t>
      </w:r>
    </w:p>
    <w:p w:rsidR="00344EA4" w:rsidRPr="00344EA4" w:rsidRDefault="00856F8C" w:rsidP="00344EA4">
      <w:pPr>
        <w:numPr>
          <w:ilvl w:val="0"/>
          <w:numId w:val="23"/>
        </w:numPr>
        <w:spacing w:after="240" w:line="240" w:lineRule="auto"/>
        <w:ind w:left="567" w:hanging="567"/>
        <w:rPr>
          <w:rFonts w:eastAsia="Times New Roman"/>
          <w:i/>
          <w:color w:val="000000"/>
          <w:kern w:val="22"/>
          <w:szCs w:val="20"/>
          <w:lang w:eastAsia="en-NZ"/>
        </w:rPr>
      </w:pPr>
      <w:r>
        <w:rPr>
          <w:rFonts w:eastAsia="Times New Roman"/>
          <w:i/>
          <w:color w:val="000000"/>
          <w:kern w:val="22"/>
          <w:szCs w:val="20"/>
          <w:lang w:eastAsia="en-NZ"/>
        </w:rPr>
        <w:t>However, through the Select Committee process, a</w:t>
      </w:r>
      <w:r w:rsidR="00344EA4" w:rsidRPr="00344EA4">
        <w:rPr>
          <w:rFonts w:eastAsia="Times New Roman"/>
          <w:i/>
          <w:color w:val="000000"/>
          <w:kern w:val="22"/>
          <w:szCs w:val="20"/>
          <w:lang w:eastAsia="en-NZ"/>
        </w:rPr>
        <w:t xml:space="preserve"> majority of submitters requested that provision for scopes, or scopes themselves, be added to the Bill.  We have considered these submissions and other comments, particularly in the light of the wider purposes of the Bill which is not just to make registration mandatory, but to support the lifting of the quality of the profession.  For a range of reasons</w:t>
      </w:r>
      <w:r w:rsidR="001E19C0">
        <w:rPr>
          <w:rFonts w:eastAsia="Times New Roman"/>
          <w:i/>
          <w:color w:val="000000"/>
          <w:kern w:val="22"/>
          <w:szCs w:val="20"/>
          <w:lang w:eastAsia="en-NZ"/>
        </w:rPr>
        <w:t xml:space="preserve"> </w:t>
      </w:r>
      <w:r w:rsidR="003A0443">
        <w:rPr>
          <w:rFonts w:eastAsia="Times New Roman"/>
          <w:i/>
          <w:color w:val="000000"/>
          <w:kern w:val="22"/>
          <w:szCs w:val="20"/>
          <w:lang w:eastAsia="en-NZ"/>
        </w:rPr>
        <w:t>set out below</w:t>
      </w:r>
      <w:r w:rsidR="001E19C0">
        <w:rPr>
          <w:rFonts w:eastAsia="Times New Roman"/>
          <w:i/>
          <w:color w:val="000000"/>
          <w:kern w:val="22"/>
          <w:szCs w:val="20"/>
          <w:lang w:eastAsia="en-NZ"/>
        </w:rPr>
        <w:t xml:space="preserve">, we have concluded that </w:t>
      </w:r>
      <w:r w:rsidR="00344EA4" w:rsidRPr="00344EA4">
        <w:rPr>
          <w:rFonts w:eastAsia="Times New Roman"/>
          <w:i/>
          <w:color w:val="000000"/>
          <w:kern w:val="22"/>
          <w:szCs w:val="20"/>
          <w:lang w:eastAsia="en-NZ"/>
        </w:rPr>
        <w:t xml:space="preserve">provision for scopes </w:t>
      </w:r>
      <w:r w:rsidR="001E19C0">
        <w:rPr>
          <w:rFonts w:eastAsia="Times New Roman"/>
          <w:i/>
          <w:color w:val="000000"/>
          <w:kern w:val="22"/>
          <w:szCs w:val="20"/>
          <w:lang w:eastAsia="en-NZ"/>
        </w:rPr>
        <w:t xml:space="preserve">should be added </w:t>
      </w:r>
      <w:r w:rsidR="00344EA4" w:rsidRPr="00344EA4">
        <w:rPr>
          <w:rFonts w:eastAsia="Times New Roman"/>
          <w:i/>
          <w:color w:val="000000"/>
          <w:kern w:val="22"/>
          <w:szCs w:val="20"/>
          <w:lang w:eastAsia="en-NZ"/>
        </w:rPr>
        <w:t>to the Bill, by a Supplementary Order Paper (SOP).</w:t>
      </w:r>
    </w:p>
    <w:p w:rsidR="00344EA4" w:rsidRPr="00587CF0" w:rsidRDefault="00344EA4" w:rsidP="00344EA4">
      <w:pPr>
        <w:spacing w:after="240" w:line="240" w:lineRule="auto"/>
        <w:rPr>
          <w:rFonts w:eastAsia="Times New Roman" w:cs="Times New Roman"/>
          <w:i/>
          <w:szCs w:val="20"/>
          <w:u w:val="single"/>
          <w:lang w:val="en-GB" w:eastAsia="en-GB"/>
        </w:rPr>
      </w:pPr>
      <w:bookmarkStart w:id="49" w:name="_Toc515011830"/>
      <w:r w:rsidRPr="00587CF0">
        <w:rPr>
          <w:rFonts w:eastAsia="Times New Roman" w:cs="Times New Roman"/>
          <w:i/>
          <w:szCs w:val="20"/>
          <w:u w:val="single"/>
          <w:lang w:val="en-GB" w:eastAsia="en-GB"/>
        </w:rPr>
        <w:t>Concerns with 6AAB</w:t>
      </w:r>
      <w:r w:rsidR="00587CF0" w:rsidRPr="00587CF0">
        <w:rPr>
          <w:rFonts w:eastAsia="Times New Roman" w:cs="Times New Roman"/>
          <w:i/>
          <w:szCs w:val="20"/>
          <w:u w:val="single"/>
          <w:lang w:val="en-GB" w:eastAsia="en-GB"/>
        </w:rPr>
        <w:t xml:space="preserve"> </w:t>
      </w:r>
      <w:bookmarkEnd w:id="49"/>
    </w:p>
    <w:p w:rsidR="00344EA4" w:rsidRPr="001E22FD" w:rsidRDefault="00344EA4" w:rsidP="00344EA4">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 xml:space="preserve">An importance concern voiced by many submitters was that proposed section 6AAB (which defines “practising as a social worker”) would allow employers to determine who is and who isn’t a social worker.  This is not strictly true: firstly, any person doing restricted work (as defined in the Bill) must register; and secondly only the </w:t>
      </w:r>
      <w:r w:rsidRPr="001E22FD">
        <w:rPr>
          <w:rFonts w:eastAsia="Times New Roman"/>
          <w:i/>
          <w:color w:val="000000"/>
          <w:kern w:val="22"/>
          <w:szCs w:val="20"/>
          <w:lang w:eastAsia="en-NZ"/>
        </w:rPr>
        <w:lastRenderedPageBreak/>
        <w:t>Board can determine who can and cannot register.  However there is a wide spread view across the sector that the 6AAB will not work as intended.</w:t>
      </w:r>
    </w:p>
    <w:p w:rsidR="00344EA4" w:rsidRPr="001E22FD" w:rsidRDefault="003A0443" w:rsidP="00344EA4">
      <w:pPr>
        <w:numPr>
          <w:ilvl w:val="0"/>
          <w:numId w:val="23"/>
        </w:numPr>
        <w:spacing w:after="240" w:line="240" w:lineRule="auto"/>
        <w:ind w:left="567" w:hanging="567"/>
        <w:rPr>
          <w:rFonts w:eastAsia="Times New Roman"/>
          <w:i/>
          <w:color w:val="000000"/>
          <w:kern w:val="22"/>
          <w:szCs w:val="20"/>
          <w:lang w:eastAsia="en-NZ"/>
        </w:rPr>
      </w:pPr>
      <w:r>
        <w:rPr>
          <w:rFonts w:eastAsia="Times New Roman"/>
          <w:i/>
          <w:color w:val="000000"/>
          <w:kern w:val="22"/>
          <w:szCs w:val="20"/>
          <w:lang w:eastAsia="en-NZ"/>
        </w:rPr>
        <w:t>S</w:t>
      </w:r>
      <w:r w:rsidR="00344EA4" w:rsidRPr="001E22FD">
        <w:rPr>
          <w:rFonts w:eastAsia="Times New Roman"/>
          <w:i/>
          <w:color w:val="000000"/>
          <w:kern w:val="22"/>
          <w:szCs w:val="20"/>
          <w:lang w:eastAsia="en-NZ"/>
        </w:rPr>
        <w:t>ection 6AAB as drafted</w:t>
      </w:r>
      <w:r>
        <w:rPr>
          <w:rFonts w:eastAsia="Times New Roman"/>
          <w:i/>
          <w:color w:val="000000"/>
          <w:kern w:val="22"/>
          <w:szCs w:val="20"/>
          <w:lang w:eastAsia="en-NZ"/>
        </w:rPr>
        <w:t xml:space="preserve"> in the initial Bill</w:t>
      </w:r>
      <w:r w:rsidR="00344EA4" w:rsidRPr="001E22FD">
        <w:rPr>
          <w:rFonts w:eastAsia="Times New Roman"/>
          <w:i/>
          <w:color w:val="000000"/>
          <w:kern w:val="22"/>
          <w:szCs w:val="20"/>
          <w:lang w:eastAsia="en-NZ"/>
        </w:rPr>
        <w:t xml:space="preserve">, does leave open a risk of social workers themselves, or employers avoiding the registration of their employees under the SWR Act which is contrary to the purpose of the Bill.  There are a number of social workers currently registered who do not have a job title, position description or any other type of description that links their role to social work or social worker, and these people will not be required to be registered.  They, or their employer, could successfully choose to avoid registration so long as they or their employer did not in any other way claim or present themselves to be a social worker.  </w:t>
      </w:r>
    </w:p>
    <w:p w:rsidR="00344EA4" w:rsidRPr="001E22FD" w:rsidRDefault="00344EA4" w:rsidP="00344EA4">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 xml:space="preserve">The size of this risk is difficult to determine: we expect most large employers of social workers would not try to avoid registration for their employees, and that individual social workers would want to maintain their professional status.  Given that the majority of social workers work for DHBs, government, or NGOs which have (or might hope to get) government contracts, the government is in a strong position to prevent avoidance by requiring that all job titles, job descriptions, and funding contracts for social work services are worded in a way that ensures the Act will apply.  </w:t>
      </w:r>
    </w:p>
    <w:p w:rsidR="00344EA4" w:rsidRPr="001E22FD" w:rsidRDefault="00344EA4" w:rsidP="00344EA4">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Funding constraints were presented by many submitters as a reason why NGOs might try to avoid the regime.  This risk may need to be addressed as an implementation issue by government in its capacity as the major funder of contracted social work services.</w:t>
      </w:r>
    </w:p>
    <w:p w:rsidR="00344EA4" w:rsidRDefault="00344EA4" w:rsidP="00344EA4">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 xml:space="preserve">However, regardless of the non-regulatory steps government can take to ensure the Bill works as intended, the widespread opposition from the sector will risk undermining the successful implementation of the new regime.  Replacing the currently proposed 6AAB with provision for scopes offers a way to allay the sector concerns, without altering the overriding intent of the Bill.  </w:t>
      </w:r>
    </w:p>
    <w:p w:rsidR="0026248A" w:rsidRPr="001E22FD" w:rsidRDefault="0026248A" w:rsidP="00222BA0">
      <w:pPr>
        <w:numPr>
          <w:ilvl w:val="0"/>
          <w:numId w:val="23"/>
        </w:numPr>
        <w:spacing w:after="240" w:line="240" w:lineRule="auto"/>
        <w:ind w:left="567" w:hanging="567"/>
        <w:rPr>
          <w:rFonts w:eastAsia="Times New Roman"/>
          <w:i/>
          <w:color w:val="000000"/>
          <w:kern w:val="22"/>
          <w:szCs w:val="20"/>
          <w:lang w:eastAsia="en-NZ"/>
        </w:rPr>
      </w:pPr>
      <w:r>
        <w:rPr>
          <w:rFonts w:eastAsia="Times New Roman"/>
          <w:i/>
          <w:color w:val="000000"/>
          <w:kern w:val="22"/>
          <w:szCs w:val="20"/>
          <w:lang w:eastAsia="en-NZ"/>
        </w:rPr>
        <w:t>Furthermore, there are a number of ways in which scopes of practice could support the underlying objectives of protecting the public, and improving the contribution of social workers, by increasing the professionalism of social worker workforce.</w:t>
      </w:r>
    </w:p>
    <w:p w:rsidR="00344EA4" w:rsidRPr="001E22FD" w:rsidRDefault="00344EA4" w:rsidP="00344EA4">
      <w:pPr>
        <w:spacing w:after="240" w:line="240" w:lineRule="auto"/>
        <w:rPr>
          <w:rFonts w:eastAsia="Times New Roman" w:cs="Times New Roman"/>
          <w:i/>
          <w:szCs w:val="20"/>
          <w:lang w:val="en-GB" w:eastAsia="en-GB"/>
        </w:rPr>
      </w:pPr>
      <w:bookmarkStart w:id="50" w:name="_Toc515011831"/>
      <w:r w:rsidRPr="004D6DA5">
        <w:rPr>
          <w:rFonts w:eastAsia="Times New Roman" w:cs="Times New Roman"/>
          <w:i/>
          <w:szCs w:val="20"/>
          <w:u w:val="single"/>
          <w:lang w:val="en-GB" w:eastAsia="en-GB"/>
        </w:rPr>
        <w:t>Recommended approach</w:t>
      </w:r>
      <w:bookmarkEnd w:id="50"/>
      <w:r w:rsidR="00587CF0" w:rsidRPr="00587CF0">
        <w:rPr>
          <w:rFonts w:eastAsia="Times New Roman" w:cs="Times New Roman"/>
          <w:i/>
          <w:szCs w:val="20"/>
          <w:u w:val="single"/>
          <w:lang w:val="en-GB" w:eastAsia="en-GB"/>
        </w:rPr>
        <w:t xml:space="preserve"> and the argument for scopes</w:t>
      </w:r>
    </w:p>
    <w:p w:rsidR="00344EA4" w:rsidRPr="001E22FD" w:rsidRDefault="00344EA4" w:rsidP="00344EA4">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 xml:space="preserve">The HPCA model for scopes would be our recommended approach, as suggested by most submitters.  </w:t>
      </w:r>
      <w:r w:rsidR="003A0443">
        <w:rPr>
          <w:rFonts w:eastAsia="Times New Roman"/>
          <w:i/>
          <w:color w:val="000000"/>
          <w:kern w:val="22"/>
          <w:szCs w:val="20"/>
          <w:lang w:eastAsia="en-NZ"/>
        </w:rPr>
        <w:t>It has the advantage of being a well-tested and understood model</w:t>
      </w:r>
      <w:r w:rsidR="00A833F6">
        <w:rPr>
          <w:rFonts w:eastAsia="Times New Roman"/>
          <w:i/>
          <w:color w:val="000000"/>
          <w:kern w:val="22"/>
          <w:szCs w:val="20"/>
          <w:lang w:eastAsia="en-NZ"/>
        </w:rPr>
        <w:t>, having been in use</w:t>
      </w:r>
      <w:r w:rsidR="003A0443">
        <w:rPr>
          <w:rFonts w:eastAsia="Times New Roman"/>
          <w:i/>
          <w:color w:val="000000"/>
          <w:kern w:val="22"/>
          <w:szCs w:val="20"/>
          <w:lang w:eastAsia="en-NZ"/>
        </w:rPr>
        <w:t xml:space="preserve"> across the health sector</w:t>
      </w:r>
      <w:r w:rsidR="00A833F6">
        <w:rPr>
          <w:rFonts w:eastAsia="Times New Roman"/>
          <w:i/>
          <w:color w:val="000000"/>
          <w:kern w:val="22"/>
          <w:szCs w:val="20"/>
          <w:lang w:eastAsia="en-NZ"/>
        </w:rPr>
        <w:t xml:space="preserve"> since 2003</w:t>
      </w:r>
      <w:r w:rsidR="003A0443">
        <w:rPr>
          <w:rFonts w:eastAsia="Times New Roman"/>
          <w:i/>
          <w:color w:val="000000"/>
          <w:kern w:val="22"/>
          <w:szCs w:val="20"/>
          <w:lang w:eastAsia="en-NZ"/>
        </w:rPr>
        <w:t xml:space="preserve">.  </w:t>
      </w:r>
      <w:r w:rsidR="00A833F6">
        <w:rPr>
          <w:rFonts w:eastAsia="Times New Roman"/>
          <w:i/>
          <w:color w:val="000000"/>
          <w:kern w:val="22"/>
          <w:szCs w:val="20"/>
          <w:lang w:eastAsia="en-NZ"/>
        </w:rPr>
        <w:t>It</w:t>
      </w:r>
      <w:r w:rsidR="00A833F6" w:rsidRPr="001E22FD">
        <w:rPr>
          <w:rFonts w:eastAsia="Times New Roman"/>
          <w:i/>
          <w:color w:val="000000"/>
          <w:kern w:val="22"/>
          <w:szCs w:val="20"/>
          <w:lang w:eastAsia="en-NZ"/>
        </w:rPr>
        <w:t xml:space="preserve"> </w:t>
      </w:r>
      <w:r w:rsidRPr="001E22FD">
        <w:rPr>
          <w:rFonts w:eastAsia="Times New Roman"/>
          <w:i/>
          <w:color w:val="000000"/>
          <w:kern w:val="22"/>
          <w:szCs w:val="20"/>
          <w:lang w:eastAsia="en-NZ"/>
        </w:rPr>
        <w:t xml:space="preserve">would entail keeping </w:t>
      </w:r>
      <w:r w:rsidR="00BA5AA4">
        <w:rPr>
          <w:rFonts w:eastAsia="Times New Roman"/>
          <w:i/>
          <w:color w:val="000000"/>
          <w:kern w:val="22"/>
          <w:szCs w:val="20"/>
          <w:lang w:eastAsia="en-NZ"/>
        </w:rPr>
        <w:t xml:space="preserve">certification and </w:t>
      </w:r>
      <w:r w:rsidRPr="001E22FD">
        <w:rPr>
          <w:rFonts w:eastAsia="Times New Roman"/>
          <w:i/>
          <w:color w:val="000000"/>
          <w:kern w:val="22"/>
          <w:szCs w:val="20"/>
          <w:lang w:eastAsia="en-NZ"/>
        </w:rPr>
        <w:t>title protection as the main regulatory mechanism</w:t>
      </w:r>
      <w:r w:rsidR="00BA5AA4">
        <w:rPr>
          <w:rFonts w:eastAsia="Times New Roman"/>
          <w:i/>
          <w:color w:val="000000"/>
          <w:kern w:val="22"/>
          <w:szCs w:val="20"/>
          <w:lang w:eastAsia="en-NZ"/>
        </w:rPr>
        <w:t>s</w:t>
      </w:r>
      <w:r w:rsidRPr="001E22FD">
        <w:rPr>
          <w:rFonts w:eastAsia="Times New Roman"/>
          <w:i/>
          <w:color w:val="000000"/>
          <w:kern w:val="22"/>
          <w:szCs w:val="20"/>
          <w:lang w:eastAsia="en-NZ"/>
        </w:rPr>
        <w:t>, but including a statutory provision for the development and use of scopes.</w:t>
      </w:r>
    </w:p>
    <w:p w:rsidR="00344EA4" w:rsidRPr="001E22FD" w:rsidRDefault="00344EA4" w:rsidP="00344EA4">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The HPCA model allows for regulation around scopes by notice published in the Gazette</w:t>
      </w:r>
      <w:r w:rsidRPr="00AF3F4B">
        <w:rPr>
          <w:rFonts w:eastAsia="Times New Roman"/>
          <w:i/>
          <w:color w:val="000000"/>
          <w:kern w:val="22"/>
          <w:sz w:val="18"/>
          <w:szCs w:val="20"/>
          <w:vertAlign w:val="superscript"/>
          <w:lang w:eastAsia="en-NZ"/>
        </w:rPr>
        <w:footnoteReference w:id="22"/>
      </w:r>
      <w:r w:rsidRPr="00AF3F4B">
        <w:rPr>
          <w:rFonts w:eastAsia="Times New Roman"/>
          <w:i/>
          <w:color w:val="000000"/>
          <w:kern w:val="22"/>
          <w:sz w:val="18"/>
          <w:szCs w:val="20"/>
          <w:vertAlign w:val="superscript"/>
          <w:lang w:eastAsia="en-NZ"/>
        </w:rPr>
        <w:t>,</w:t>
      </w:r>
      <w:r w:rsidRPr="001E22FD">
        <w:rPr>
          <w:rFonts w:eastAsia="Times New Roman"/>
          <w:i/>
          <w:color w:val="000000"/>
          <w:kern w:val="22"/>
          <w:szCs w:val="20"/>
          <w:lang w:eastAsia="en-NZ"/>
        </w:rPr>
        <w:t xml:space="preserve"> rather than embedding them in the legislation.  Including scopes themselves in the legislation would be very inflexible, and hinder the development of specialist scopes, something that is already under discussion across the sector.</w:t>
      </w:r>
    </w:p>
    <w:p w:rsidR="00344EA4" w:rsidRPr="001E22FD" w:rsidRDefault="00344EA4" w:rsidP="00344EA4">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 xml:space="preserve">The inclusion of provision for scopes would offer some important benefits and encourage greater sector ownership of the legislation.  As described below, scopes serve an important range of purposes in regulating professions.  Although a statutory basis is not vital to achieve these purposes, it ensures clarity and transparency for all stakeholders, and adds to the status of the profession, and </w:t>
      </w:r>
      <w:r w:rsidRPr="001E22FD">
        <w:rPr>
          <w:rFonts w:eastAsia="Times New Roman"/>
          <w:i/>
          <w:color w:val="000000"/>
          <w:kern w:val="22"/>
          <w:szCs w:val="20"/>
          <w:lang w:eastAsia="en-NZ"/>
        </w:rPr>
        <w:lastRenderedPageBreak/>
        <w:t>provides a lever for accountability.  This would seem to be a particular issue for social workers working in sectors such as health where most professionals operate within scopes that have a statutory basis.</w:t>
      </w:r>
    </w:p>
    <w:p w:rsidR="00344EA4" w:rsidRPr="001E22FD" w:rsidRDefault="00344EA4" w:rsidP="001E22FD">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Some of the general principles of HPCA Act are:</w:t>
      </w:r>
    </w:p>
    <w:p w:rsidR="00344EA4" w:rsidRPr="001E22FD" w:rsidRDefault="00344EA4" w:rsidP="001E22FD">
      <w:pPr>
        <w:numPr>
          <w:ilvl w:val="0"/>
          <w:numId w:val="34"/>
        </w:numPr>
        <w:spacing w:after="240" w:line="240" w:lineRule="auto"/>
        <w:rPr>
          <w:rFonts w:eastAsia="Times New Roman"/>
          <w:i/>
          <w:color w:val="000000"/>
          <w:kern w:val="22"/>
          <w:szCs w:val="20"/>
          <w:lang w:eastAsia="en-NZ"/>
        </w:rPr>
      </w:pPr>
      <w:r w:rsidRPr="001E22FD">
        <w:rPr>
          <w:rFonts w:eastAsia="Times New Roman"/>
          <w:i/>
          <w:color w:val="000000"/>
          <w:kern w:val="22"/>
          <w:szCs w:val="20"/>
          <w:lang w:eastAsia="en-NZ"/>
        </w:rPr>
        <w:t>the principle purpose of the Act is to protect the health and safety of members of the public by providing for mechanisms to ensure that health practitioners are competent and fit to practise their professions</w:t>
      </w:r>
    </w:p>
    <w:p w:rsidR="00344EA4" w:rsidRPr="001E22FD" w:rsidRDefault="00344EA4" w:rsidP="001E22FD">
      <w:pPr>
        <w:numPr>
          <w:ilvl w:val="0"/>
          <w:numId w:val="34"/>
        </w:numPr>
        <w:spacing w:after="240" w:line="240" w:lineRule="auto"/>
        <w:rPr>
          <w:rFonts w:eastAsia="Times New Roman"/>
          <w:i/>
          <w:color w:val="000000"/>
          <w:kern w:val="22"/>
          <w:szCs w:val="20"/>
          <w:lang w:eastAsia="en-NZ"/>
        </w:rPr>
      </w:pPr>
      <w:r w:rsidRPr="001E22FD">
        <w:rPr>
          <w:rFonts w:eastAsia="Times New Roman"/>
          <w:i/>
          <w:color w:val="000000"/>
          <w:kern w:val="22"/>
          <w:szCs w:val="20"/>
          <w:lang w:eastAsia="en-NZ"/>
        </w:rPr>
        <w:t>to assure the public, practitioners must meet qualification requirements and competence standards, set by the relevant registration authority, to enter the regulated health workforce.</w:t>
      </w:r>
    </w:p>
    <w:p w:rsidR="00344EA4" w:rsidRPr="001E22FD" w:rsidRDefault="00344EA4" w:rsidP="001E22FD">
      <w:pPr>
        <w:numPr>
          <w:ilvl w:val="0"/>
          <w:numId w:val="34"/>
        </w:numPr>
        <w:spacing w:after="240" w:line="240" w:lineRule="auto"/>
        <w:rPr>
          <w:rFonts w:eastAsia="Times New Roman"/>
          <w:i/>
          <w:color w:val="000000"/>
          <w:kern w:val="22"/>
          <w:szCs w:val="20"/>
          <w:lang w:eastAsia="en-NZ"/>
        </w:rPr>
      </w:pPr>
      <w:r w:rsidRPr="001E22FD">
        <w:rPr>
          <w:rFonts w:eastAsia="Times New Roman"/>
          <w:i/>
          <w:color w:val="000000"/>
          <w:kern w:val="22"/>
          <w:szCs w:val="20"/>
          <w:lang w:eastAsia="en-NZ"/>
        </w:rPr>
        <w:t xml:space="preserve">registration authorities certify that a practitioner is qualified and competent to practise within a specified scope of practice </w:t>
      </w:r>
    </w:p>
    <w:p w:rsidR="00344EA4" w:rsidRPr="001E22FD" w:rsidRDefault="00344EA4" w:rsidP="001E22FD">
      <w:pPr>
        <w:numPr>
          <w:ilvl w:val="0"/>
          <w:numId w:val="34"/>
        </w:numPr>
        <w:spacing w:after="240" w:line="240" w:lineRule="auto"/>
        <w:rPr>
          <w:rFonts w:eastAsia="Times New Roman"/>
          <w:i/>
          <w:color w:val="000000"/>
          <w:kern w:val="22"/>
          <w:szCs w:val="20"/>
          <w:lang w:eastAsia="en-NZ"/>
        </w:rPr>
      </w:pPr>
      <w:r w:rsidRPr="001E22FD">
        <w:rPr>
          <w:rFonts w:eastAsia="Times New Roman"/>
          <w:i/>
          <w:color w:val="000000"/>
          <w:kern w:val="22"/>
          <w:szCs w:val="20"/>
          <w:lang w:eastAsia="en-NZ"/>
        </w:rPr>
        <w:t>registered health practitioners are not permitted to practise outside their scope of practice</w:t>
      </w:r>
    </w:p>
    <w:p w:rsidR="00344EA4" w:rsidRPr="001E22FD" w:rsidRDefault="00344EA4" w:rsidP="001E22FD">
      <w:pPr>
        <w:numPr>
          <w:ilvl w:val="0"/>
          <w:numId w:val="34"/>
        </w:numPr>
        <w:spacing w:after="240" w:line="240" w:lineRule="auto"/>
        <w:rPr>
          <w:rFonts w:eastAsia="Times New Roman"/>
          <w:i/>
          <w:color w:val="000000"/>
          <w:kern w:val="22"/>
          <w:szCs w:val="20"/>
          <w:lang w:eastAsia="en-NZ"/>
        </w:rPr>
      </w:pPr>
      <w:r w:rsidRPr="001E22FD">
        <w:rPr>
          <w:rFonts w:eastAsia="Times New Roman"/>
          <w:i/>
          <w:color w:val="000000"/>
          <w:kern w:val="22"/>
          <w:szCs w:val="20"/>
          <w:lang w:eastAsia="en-NZ"/>
        </w:rPr>
        <w:t xml:space="preserve">the Act is based on a certification regime. This means that non-regulated persons are not precluded from providing health services so long as they do not: </w:t>
      </w:r>
    </w:p>
    <w:p w:rsidR="00344EA4" w:rsidRPr="001E22FD" w:rsidRDefault="00344EA4" w:rsidP="00AF3F4B">
      <w:pPr>
        <w:numPr>
          <w:ilvl w:val="1"/>
          <w:numId w:val="34"/>
        </w:numPr>
        <w:spacing w:after="240" w:line="240" w:lineRule="auto"/>
        <w:rPr>
          <w:rFonts w:eastAsia="Times New Roman"/>
          <w:i/>
          <w:color w:val="000000"/>
          <w:kern w:val="22"/>
          <w:szCs w:val="20"/>
          <w:lang w:eastAsia="en-NZ"/>
        </w:rPr>
      </w:pPr>
      <w:r w:rsidRPr="001E22FD">
        <w:rPr>
          <w:rFonts w:eastAsia="Times New Roman"/>
          <w:i/>
          <w:color w:val="000000"/>
          <w:kern w:val="22"/>
          <w:szCs w:val="20"/>
          <w:lang w:eastAsia="en-NZ"/>
        </w:rPr>
        <w:t>use restricted titles</w:t>
      </w:r>
    </w:p>
    <w:p w:rsidR="00344EA4" w:rsidRPr="001E22FD" w:rsidRDefault="00344EA4" w:rsidP="00AF3F4B">
      <w:pPr>
        <w:numPr>
          <w:ilvl w:val="1"/>
          <w:numId w:val="34"/>
        </w:numPr>
        <w:spacing w:after="240" w:line="240" w:lineRule="auto"/>
        <w:rPr>
          <w:rFonts w:eastAsia="Times New Roman"/>
          <w:i/>
          <w:color w:val="000000"/>
          <w:kern w:val="22"/>
          <w:szCs w:val="20"/>
          <w:lang w:eastAsia="en-NZ"/>
        </w:rPr>
      </w:pPr>
      <w:r w:rsidRPr="001E22FD">
        <w:rPr>
          <w:rFonts w:eastAsia="Times New Roman"/>
          <w:i/>
          <w:color w:val="000000"/>
          <w:kern w:val="22"/>
          <w:szCs w:val="20"/>
          <w:lang w:eastAsia="en-NZ"/>
        </w:rPr>
        <w:t>intentionally mislead the public into believing they are registered or</w:t>
      </w:r>
    </w:p>
    <w:p w:rsidR="00344EA4" w:rsidRPr="001E22FD" w:rsidRDefault="00344EA4" w:rsidP="00AF3F4B">
      <w:pPr>
        <w:numPr>
          <w:ilvl w:val="1"/>
          <w:numId w:val="34"/>
        </w:numPr>
        <w:spacing w:after="240" w:line="240" w:lineRule="auto"/>
        <w:rPr>
          <w:rFonts w:eastAsia="Times New Roman"/>
          <w:i/>
          <w:color w:val="000000"/>
          <w:kern w:val="22"/>
          <w:szCs w:val="20"/>
          <w:lang w:eastAsia="en-NZ"/>
        </w:rPr>
      </w:pPr>
      <w:r w:rsidRPr="001E22FD">
        <w:rPr>
          <w:rFonts w:eastAsia="Times New Roman"/>
          <w:i/>
          <w:color w:val="000000"/>
          <w:kern w:val="22"/>
          <w:szCs w:val="20"/>
          <w:lang w:eastAsia="en-NZ"/>
        </w:rPr>
        <w:t>undertake “restricted activities”.</w:t>
      </w:r>
    </w:p>
    <w:p w:rsidR="00344EA4" w:rsidRPr="001E22FD" w:rsidRDefault="00344EA4" w:rsidP="001E22FD">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 xml:space="preserve">There are elements of a licensing regime which allow for the restriction of specific activities to registered health practitioners permitted by their scope to perform them only. </w:t>
      </w:r>
      <w:r w:rsidR="00A833F6">
        <w:rPr>
          <w:rFonts w:eastAsia="Times New Roman"/>
          <w:i/>
          <w:color w:val="000000"/>
          <w:kern w:val="22"/>
          <w:szCs w:val="20"/>
          <w:lang w:eastAsia="en-NZ"/>
        </w:rPr>
        <w:t xml:space="preserve"> </w:t>
      </w:r>
      <w:r w:rsidRPr="001E22FD">
        <w:rPr>
          <w:rFonts w:eastAsia="Times New Roman"/>
          <w:i/>
          <w:color w:val="000000"/>
          <w:kern w:val="22"/>
          <w:szCs w:val="20"/>
          <w:lang w:eastAsia="en-NZ"/>
        </w:rPr>
        <w:t>These activities must carry a risk of serious or permanent harm to warrant this level of restriction, for example, invasive surgery.</w:t>
      </w:r>
    </w:p>
    <w:p w:rsidR="00344EA4" w:rsidRPr="001E22FD" w:rsidRDefault="00344EA4" w:rsidP="001E22FD">
      <w:pPr>
        <w:spacing w:after="240" w:line="240" w:lineRule="auto"/>
        <w:rPr>
          <w:rFonts w:eastAsia="Times New Roman"/>
          <w:i/>
          <w:color w:val="000000"/>
          <w:kern w:val="22"/>
          <w:szCs w:val="20"/>
          <w:lang w:eastAsia="en-NZ"/>
        </w:rPr>
      </w:pPr>
      <w:bookmarkStart w:id="51" w:name="_Toc515011833"/>
      <w:r w:rsidRPr="001E22FD">
        <w:rPr>
          <w:rFonts w:eastAsia="Times New Roman"/>
          <w:i/>
          <w:color w:val="000000"/>
          <w:kern w:val="22"/>
          <w:szCs w:val="20"/>
          <w:lang w:eastAsia="en-NZ"/>
        </w:rPr>
        <w:t>How scopes work in the HPCA</w:t>
      </w:r>
      <w:bookmarkEnd w:id="51"/>
    </w:p>
    <w:p w:rsidR="00344EA4" w:rsidRPr="001E22FD" w:rsidRDefault="00344EA4" w:rsidP="001E22FD">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A scope outlines the breadth of professional practice carried out within the relevant profession.  The registration authority prescribes the qualifications required for each scope.  A health practitioner covered by a scope may only practice in areas in which they are deemed competent. Assessment of competency is made on the basis of education, training and experience.  Certain employment situations may necessitate that the professional covered by the scope obtains further education or training in order to expand their personal scope of practice into new areas.</w:t>
      </w:r>
    </w:p>
    <w:p w:rsidR="00344EA4" w:rsidRPr="001E22FD" w:rsidRDefault="00344EA4" w:rsidP="001E22FD">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A scope informs employers, the general public, and other professionals of the range of activities covered by the profession, and the guiding governance framework the professional works within. Scopes can and do evolve to include new areas of activity or specialisation for a specified profession.</w:t>
      </w:r>
    </w:p>
    <w:p w:rsidR="00344EA4" w:rsidRPr="001E22FD" w:rsidRDefault="00344EA4" w:rsidP="001E22FD">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It has been suggested that a solution to the definition of social work concern is for a statutory basis for scopes to be added to the Bill in place of proposed section 6AAB, in line with the approach taken in the HPCA Act.  It is commonplace for health sector professions to operate under a scope. Many of the key organisations in the sector have been lobbying for this form of approach for some time.</w:t>
      </w:r>
    </w:p>
    <w:p w:rsidR="00344EA4" w:rsidRPr="001E22FD" w:rsidRDefault="00344EA4" w:rsidP="00E02A14">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 xml:space="preserve">The HPCA Act allows the regulatory authority, after consultation with other impacted bodies, to describe the contents of a particular health profession in one or more scopes, which would be published in the New Zealand Gazette (the Gazette) </w:t>
      </w:r>
      <w:r w:rsidRPr="001E22FD">
        <w:rPr>
          <w:rFonts w:eastAsia="Times New Roman"/>
          <w:i/>
          <w:color w:val="000000"/>
          <w:kern w:val="22"/>
          <w:szCs w:val="20"/>
          <w:lang w:eastAsia="en-NZ"/>
        </w:rPr>
        <w:lastRenderedPageBreak/>
        <w:t>rather than being set in primary legislation. Published scopes then become the reference points to assess whether a member of a profession is practising within the bounds of their profession.  Any agreed updates to the scope would need to be published in the Gazette, but no change to the primary legislation would be required - as it would only refer to there being scopes as published.</w:t>
      </w:r>
    </w:p>
    <w:p w:rsidR="00344EA4" w:rsidRPr="00AF3F4B" w:rsidRDefault="00344EA4" w:rsidP="00AF3F4B">
      <w:pPr>
        <w:rPr>
          <w:b/>
          <w:i/>
        </w:rPr>
      </w:pPr>
      <w:bookmarkStart w:id="52" w:name="_Toc515011834"/>
      <w:r w:rsidRPr="00AF3F4B">
        <w:rPr>
          <w:b/>
          <w:i/>
        </w:rPr>
        <w:t>Summary Overview of scopes of practice</w:t>
      </w:r>
      <w:bookmarkEnd w:id="52"/>
      <w:r w:rsidR="00E02A14">
        <w:rPr>
          <w:b/>
          <w:i/>
        </w:rPr>
        <w:t xml:space="preserve"> in the HPCA Act</w:t>
      </w:r>
    </w:p>
    <w:tbl>
      <w:tblPr>
        <w:tblStyle w:val="TableGrid10"/>
        <w:tblW w:w="0" w:type="auto"/>
        <w:tblLook w:val="04A0" w:firstRow="1" w:lastRow="0" w:firstColumn="1" w:lastColumn="0" w:noHBand="0" w:noVBand="1"/>
      </w:tblPr>
      <w:tblGrid>
        <w:gridCol w:w="4621"/>
        <w:gridCol w:w="4621"/>
      </w:tblGrid>
      <w:tr w:rsidR="00E02A14" w:rsidRPr="00E02A14" w:rsidTr="00FE1E77">
        <w:tc>
          <w:tcPr>
            <w:tcW w:w="4621" w:type="dxa"/>
            <w:tcBorders>
              <w:top w:val="single" w:sz="4" w:space="0" w:color="auto"/>
              <w:left w:val="single" w:sz="4" w:space="0" w:color="auto"/>
              <w:bottom w:val="single" w:sz="4" w:space="0" w:color="auto"/>
              <w:right w:val="single" w:sz="4" w:space="0" w:color="auto"/>
            </w:tcBorders>
            <w:hideMark/>
          </w:tcPr>
          <w:p w:rsidR="00E02A14" w:rsidRPr="00E02A14" w:rsidRDefault="00E02A14" w:rsidP="00FE1E77">
            <w:pPr>
              <w:spacing w:before="120"/>
              <w:rPr>
                <w:b/>
                <w:i/>
                <w:sz w:val="20"/>
                <w:szCs w:val="20"/>
              </w:rPr>
            </w:pPr>
            <w:r w:rsidRPr="00E02A14">
              <w:rPr>
                <w:b/>
                <w:i/>
                <w:sz w:val="20"/>
                <w:szCs w:val="20"/>
              </w:rPr>
              <w:t xml:space="preserve">What HPCA scopes do </w:t>
            </w:r>
          </w:p>
        </w:tc>
        <w:tc>
          <w:tcPr>
            <w:tcW w:w="4621" w:type="dxa"/>
            <w:tcBorders>
              <w:top w:val="single" w:sz="4" w:space="0" w:color="auto"/>
              <w:left w:val="single" w:sz="4" w:space="0" w:color="auto"/>
              <w:bottom w:val="single" w:sz="4" w:space="0" w:color="auto"/>
              <w:right w:val="single" w:sz="4" w:space="0" w:color="auto"/>
            </w:tcBorders>
            <w:hideMark/>
          </w:tcPr>
          <w:p w:rsidR="00E02A14" w:rsidRPr="00E02A14" w:rsidRDefault="00E02A14" w:rsidP="00FE1E77">
            <w:pPr>
              <w:spacing w:before="120"/>
              <w:rPr>
                <w:b/>
                <w:i/>
                <w:sz w:val="20"/>
                <w:szCs w:val="20"/>
              </w:rPr>
            </w:pPr>
            <w:r w:rsidRPr="00E02A14">
              <w:rPr>
                <w:b/>
                <w:i/>
                <w:sz w:val="20"/>
                <w:szCs w:val="20"/>
              </w:rPr>
              <w:t>What HPCA scopes do not do</w:t>
            </w:r>
          </w:p>
        </w:tc>
      </w:tr>
      <w:tr w:rsidR="00E02A14" w:rsidRPr="00E02A14" w:rsidTr="00D368FE">
        <w:tc>
          <w:tcPr>
            <w:tcW w:w="4621" w:type="dxa"/>
            <w:tcBorders>
              <w:top w:val="single" w:sz="4" w:space="0" w:color="auto"/>
              <w:left w:val="single" w:sz="4" w:space="0" w:color="auto"/>
              <w:bottom w:val="single" w:sz="4" w:space="0" w:color="auto"/>
              <w:right w:val="single" w:sz="4" w:space="0" w:color="auto"/>
            </w:tcBorders>
            <w:hideMark/>
          </w:tcPr>
          <w:p w:rsidR="00E02A14" w:rsidRPr="00E02A14" w:rsidRDefault="00E02A14" w:rsidP="00D368FE">
            <w:pPr>
              <w:spacing w:after="0" w:line="240" w:lineRule="auto"/>
              <w:rPr>
                <w:i/>
                <w:sz w:val="20"/>
                <w:szCs w:val="20"/>
                <w:u w:val="single"/>
              </w:rPr>
            </w:pPr>
            <w:r w:rsidRPr="00E02A14">
              <w:rPr>
                <w:i/>
                <w:sz w:val="20"/>
                <w:szCs w:val="20"/>
                <w:u w:val="single"/>
              </w:rPr>
              <w:t>Give employers, professionals and members of the public a clear picture of the skills, knowledge, professional standards and range of services they can expect of a member of a profession.</w:t>
            </w:r>
          </w:p>
          <w:p w:rsidR="00E02A14" w:rsidRPr="00E02A14" w:rsidRDefault="00E02A14" w:rsidP="00D368FE">
            <w:pPr>
              <w:spacing w:after="0" w:line="240" w:lineRule="auto"/>
              <w:rPr>
                <w:i/>
                <w:sz w:val="20"/>
                <w:szCs w:val="20"/>
              </w:rPr>
            </w:pPr>
            <w:r w:rsidRPr="00E02A14">
              <w:rPr>
                <w:i/>
                <w:sz w:val="20"/>
                <w:szCs w:val="20"/>
              </w:rPr>
              <w:t>This provides clarity about boundaries on what is within and outside a professional’s area of competence.</w:t>
            </w:r>
          </w:p>
        </w:tc>
        <w:tc>
          <w:tcPr>
            <w:tcW w:w="4621" w:type="dxa"/>
            <w:tcBorders>
              <w:top w:val="single" w:sz="4" w:space="0" w:color="auto"/>
              <w:left w:val="single" w:sz="4" w:space="0" w:color="auto"/>
              <w:bottom w:val="single" w:sz="4" w:space="0" w:color="auto"/>
              <w:right w:val="single" w:sz="4" w:space="0" w:color="auto"/>
            </w:tcBorders>
          </w:tcPr>
          <w:p w:rsidR="00E02A14" w:rsidRPr="00E02A14" w:rsidRDefault="00E02A14" w:rsidP="00D368FE">
            <w:pPr>
              <w:spacing w:after="0" w:line="240" w:lineRule="auto"/>
              <w:rPr>
                <w:i/>
                <w:sz w:val="20"/>
                <w:szCs w:val="20"/>
                <w:u w:val="single"/>
              </w:rPr>
            </w:pPr>
            <w:r w:rsidRPr="00E02A14">
              <w:rPr>
                <w:i/>
                <w:sz w:val="20"/>
                <w:szCs w:val="20"/>
                <w:u w:val="single"/>
              </w:rPr>
              <w:t>Control or require entry into a profession.</w:t>
            </w:r>
          </w:p>
          <w:p w:rsidR="00E02A14" w:rsidRPr="00E02A14" w:rsidRDefault="00E02A14" w:rsidP="00D368FE">
            <w:pPr>
              <w:spacing w:after="0" w:line="240" w:lineRule="auto"/>
              <w:rPr>
                <w:i/>
                <w:sz w:val="20"/>
                <w:szCs w:val="20"/>
              </w:rPr>
            </w:pPr>
            <w:r w:rsidRPr="00E02A14">
              <w:rPr>
                <w:i/>
                <w:sz w:val="20"/>
                <w:szCs w:val="20"/>
              </w:rPr>
              <w:t>Membership of a profession is determined by registration requirements, as specified by the appropriate regulatory authority e.g. the Nursing Council or Medical Council.  (This would be the Board in the case of social work.)</w:t>
            </w:r>
          </w:p>
        </w:tc>
      </w:tr>
      <w:tr w:rsidR="00E02A14" w:rsidRPr="00E02A14" w:rsidTr="00D368FE">
        <w:tc>
          <w:tcPr>
            <w:tcW w:w="4621" w:type="dxa"/>
            <w:tcBorders>
              <w:top w:val="single" w:sz="4" w:space="0" w:color="auto"/>
              <w:left w:val="single" w:sz="4" w:space="0" w:color="auto"/>
              <w:bottom w:val="single" w:sz="4" w:space="0" w:color="auto"/>
              <w:right w:val="single" w:sz="4" w:space="0" w:color="auto"/>
            </w:tcBorders>
          </w:tcPr>
          <w:p w:rsidR="00E02A14" w:rsidRPr="00E02A14" w:rsidRDefault="00E02A14" w:rsidP="00D368FE">
            <w:pPr>
              <w:spacing w:after="0" w:line="240" w:lineRule="auto"/>
              <w:rPr>
                <w:i/>
                <w:sz w:val="20"/>
                <w:szCs w:val="20"/>
                <w:u w:val="single"/>
              </w:rPr>
            </w:pPr>
            <w:r w:rsidRPr="00E02A14">
              <w:rPr>
                <w:i/>
                <w:sz w:val="20"/>
                <w:szCs w:val="20"/>
                <w:u w:val="single"/>
              </w:rPr>
              <w:t>Provide a reference point for on-going competence assessment and complaints about lack of competence:</w:t>
            </w:r>
          </w:p>
          <w:p w:rsidR="00E02A14" w:rsidRPr="00E02A14" w:rsidRDefault="00E02A14" w:rsidP="00D368FE">
            <w:pPr>
              <w:spacing w:after="0" w:line="240" w:lineRule="auto"/>
              <w:rPr>
                <w:i/>
                <w:sz w:val="20"/>
                <w:szCs w:val="20"/>
              </w:rPr>
            </w:pPr>
            <w:r w:rsidRPr="00E02A14">
              <w:rPr>
                <w:i/>
                <w:sz w:val="20"/>
                <w:szCs w:val="20"/>
              </w:rPr>
              <w:t>Scopes of practice can be used in disciplinary actions against a professional, i.e. professional misconduct, working outside of a scope of practice etc.</w:t>
            </w:r>
          </w:p>
        </w:tc>
        <w:tc>
          <w:tcPr>
            <w:tcW w:w="4621" w:type="dxa"/>
            <w:tcBorders>
              <w:top w:val="single" w:sz="4" w:space="0" w:color="auto"/>
              <w:left w:val="single" w:sz="4" w:space="0" w:color="auto"/>
              <w:bottom w:val="single" w:sz="4" w:space="0" w:color="auto"/>
              <w:right w:val="single" w:sz="4" w:space="0" w:color="auto"/>
            </w:tcBorders>
            <w:hideMark/>
          </w:tcPr>
          <w:p w:rsidR="00E02A14" w:rsidRPr="00E02A14" w:rsidRDefault="00E02A14" w:rsidP="00D368FE">
            <w:pPr>
              <w:spacing w:after="0" w:line="240" w:lineRule="auto"/>
              <w:rPr>
                <w:i/>
                <w:sz w:val="20"/>
                <w:szCs w:val="20"/>
                <w:u w:val="single"/>
              </w:rPr>
            </w:pPr>
            <w:r w:rsidRPr="00E02A14">
              <w:rPr>
                <w:i/>
                <w:sz w:val="20"/>
                <w:szCs w:val="20"/>
                <w:u w:val="single"/>
              </w:rPr>
              <w:t>Provide a way of determining whether particular tasks belong to one profession or another.</w:t>
            </w:r>
          </w:p>
          <w:p w:rsidR="00E02A14" w:rsidRPr="00E02A14" w:rsidRDefault="00E02A14" w:rsidP="00D368FE">
            <w:pPr>
              <w:spacing w:after="0" w:line="240" w:lineRule="auto"/>
              <w:rPr>
                <w:i/>
                <w:sz w:val="20"/>
                <w:szCs w:val="20"/>
              </w:rPr>
            </w:pPr>
            <w:r w:rsidRPr="00E02A14">
              <w:rPr>
                <w:i/>
                <w:sz w:val="20"/>
                <w:szCs w:val="20"/>
              </w:rPr>
              <w:t>For example, a significant proportion of a medical practitioner’s role could be appropriately be undertaken by a registered nurse who is operating at the top of their scope. The overlap is entirely appropriate, and is overseen by the respective regulatory authorities for the professions of medicine and nursing.</w:t>
            </w:r>
          </w:p>
        </w:tc>
      </w:tr>
      <w:tr w:rsidR="00E02A14" w:rsidRPr="00E02A14" w:rsidTr="00D368FE">
        <w:tc>
          <w:tcPr>
            <w:tcW w:w="4621" w:type="dxa"/>
            <w:tcBorders>
              <w:top w:val="single" w:sz="4" w:space="0" w:color="auto"/>
              <w:left w:val="single" w:sz="4" w:space="0" w:color="auto"/>
              <w:bottom w:val="single" w:sz="4" w:space="0" w:color="auto"/>
              <w:right w:val="single" w:sz="4" w:space="0" w:color="auto"/>
            </w:tcBorders>
            <w:hideMark/>
          </w:tcPr>
          <w:p w:rsidR="00E02A14" w:rsidRPr="00D368FE" w:rsidRDefault="00E02A14" w:rsidP="00D368FE">
            <w:pPr>
              <w:spacing w:after="0" w:line="240" w:lineRule="auto"/>
              <w:rPr>
                <w:i/>
                <w:sz w:val="20"/>
                <w:szCs w:val="20"/>
                <w:u w:val="single"/>
              </w:rPr>
            </w:pPr>
            <w:r w:rsidRPr="00D368FE">
              <w:rPr>
                <w:i/>
                <w:sz w:val="20"/>
                <w:szCs w:val="20"/>
                <w:u w:val="single"/>
              </w:rPr>
              <w:t>Provide a reference point for an employer or funder of a service when deciding what skill set and competence they need.</w:t>
            </w:r>
          </w:p>
        </w:tc>
        <w:tc>
          <w:tcPr>
            <w:tcW w:w="4621" w:type="dxa"/>
            <w:tcBorders>
              <w:top w:val="single" w:sz="4" w:space="0" w:color="auto"/>
              <w:left w:val="single" w:sz="4" w:space="0" w:color="auto"/>
              <w:bottom w:val="single" w:sz="4" w:space="0" w:color="auto"/>
              <w:right w:val="single" w:sz="4" w:space="0" w:color="auto"/>
            </w:tcBorders>
          </w:tcPr>
          <w:p w:rsidR="00E02A14" w:rsidRPr="00E02A14" w:rsidRDefault="00E02A14" w:rsidP="00D368FE">
            <w:pPr>
              <w:spacing w:after="0" w:line="240" w:lineRule="auto"/>
              <w:rPr>
                <w:i/>
                <w:sz w:val="20"/>
                <w:szCs w:val="20"/>
              </w:rPr>
            </w:pPr>
          </w:p>
        </w:tc>
      </w:tr>
      <w:tr w:rsidR="00E02A14" w:rsidRPr="00E02A14" w:rsidTr="00D368FE">
        <w:tc>
          <w:tcPr>
            <w:tcW w:w="4621" w:type="dxa"/>
            <w:tcBorders>
              <w:top w:val="single" w:sz="4" w:space="0" w:color="auto"/>
              <w:left w:val="single" w:sz="4" w:space="0" w:color="auto"/>
              <w:bottom w:val="single" w:sz="4" w:space="0" w:color="auto"/>
              <w:right w:val="single" w:sz="4" w:space="0" w:color="auto"/>
            </w:tcBorders>
            <w:hideMark/>
          </w:tcPr>
          <w:p w:rsidR="00E02A14" w:rsidRPr="00E02A14" w:rsidRDefault="00E02A14" w:rsidP="00D368FE">
            <w:pPr>
              <w:spacing w:after="0" w:line="240" w:lineRule="auto"/>
              <w:rPr>
                <w:i/>
                <w:sz w:val="20"/>
                <w:szCs w:val="20"/>
              </w:rPr>
            </w:pPr>
            <w:r w:rsidRPr="00D368FE">
              <w:rPr>
                <w:i/>
                <w:sz w:val="20"/>
                <w:szCs w:val="20"/>
                <w:u w:val="single"/>
              </w:rPr>
              <w:t>Provide clarity about different specialisations within a profession, and illustrate career progression pathways.</w:t>
            </w:r>
            <w:r w:rsidRPr="00E02A14">
              <w:rPr>
                <w:i/>
                <w:sz w:val="20"/>
                <w:szCs w:val="20"/>
              </w:rPr>
              <w:t xml:space="preserve">  A specialist scope is already being developed for social workers in the health sector.</w:t>
            </w:r>
          </w:p>
        </w:tc>
        <w:tc>
          <w:tcPr>
            <w:tcW w:w="4621" w:type="dxa"/>
            <w:tcBorders>
              <w:top w:val="single" w:sz="4" w:space="0" w:color="auto"/>
              <w:left w:val="single" w:sz="4" w:space="0" w:color="auto"/>
              <w:bottom w:val="single" w:sz="4" w:space="0" w:color="auto"/>
              <w:right w:val="single" w:sz="4" w:space="0" w:color="auto"/>
            </w:tcBorders>
          </w:tcPr>
          <w:p w:rsidR="00E02A14" w:rsidRPr="00E02A14" w:rsidRDefault="00E02A14" w:rsidP="00D368FE">
            <w:pPr>
              <w:spacing w:after="0" w:line="240" w:lineRule="auto"/>
              <w:rPr>
                <w:i/>
                <w:sz w:val="20"/>
                <w:szCs w:val="20"/>
              </w:rPr>
            </w:pPr>
          </w:p>
        </w:tc>
      </w:tr>
    </w:tbl>
    <w:p w:rsidR="00344EA4" w:rsidRPr="001E22FD" w:rsidRDefault="00344EA4" w:rsidP="00344EA4">
      <w:pPr>
        <w:spacing w:after="0" w:line="240" w:lineRule="auto"/>
        <w:jc w:val="both"/>
        <w:outlineLvl w:val="1"/>
        <w:rPr>
          <w:i/>
          <w:szCs w:val="20"/>
        </w:rPr>
      </w:pPr>
    </w:p>
    <w:p w:rsidR="00344EA4" w:rsidRPr="00AF3F4B" w:rsidRDefault="00344EA4" w:rsidP="00AF3F4B">
      <w:pPr>
        <w:rPr>
          <w:i/>
        </w:rPr>
      </w:pPr>
      <w:bookmarkStart w:id="53" w:name="_Toc515011835"/>
      <w:r w:rsidRPr="00AF3F4B">
        <w:rPr>
          <w:i/>
        </w:rPr>
        <w:t>Scopes are already being developed within the sector</w:t>
      </w:r>
      <w:bookmarkEnd w:id="53"/>
    </w:p>
    <w:p w:rsidR="00344EA4" w:rsidRPr="001E22FD" w:rsidRDefault="00344EA4" w:rsidP="001E22FD">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 xml:space="preserve">Scopes are understood and expected to be of value to the profession, as was stated by many submitters, especially as more specialised aspects of social work practice are recognised.  However, scopes do not require legislative recognition to achieve their purpose.  </w:t>
      </w:r>
    </w:p>
    <w:p w:rsidR="00A833F6" w:rsidRDefault="00344EA4" w:rsidP="00222BA0">
      <w:pPr>
        <w:numPr>
          <w:ilvl w:val="0"/>
          <w:numId w:val="23"/>
        </w:numPr>
        <w:spacing w:after="240" w:line="240" w:lineRule="auto"/>
        <w:ind w:left="567" w:hanging="567"/>
        <w:rPr>
          <w:rFonts w:eastAsia="Times New Roman"/>
          <w:i/>
          <w:color w:val="000000"/>
          <w:kern w:val="22"/>
          <w:szCs w:val="20"/>
          <w:lang w:eastAsia="en-NZ"/>
        </w:rPr>
      </w:pPr>
      <w:r w:rsidRPr="00222BA0">
        <w:rPr>
          <w:rFonts w:eastAsia="Times New Roman"/>
          <w:i/>
          <w:color w:val="000000"/>
          <w:kern w:val="22"/>
          <w:szCs w:val="20"/>
          <w:lang w:eastAsia="en-NZ"/>
        </w:rPr>
        <w:t>The Board already has a published General Scope of Practice for Social Workers. The ANZASW has developed the New Zealand Health Social Work Scope of Practice a</w:t>
      </w:r>
      <w:r w:rsidRPr="00AF3F4B">
        <w:rPr>
          <w:rFonts w:eastAsia="Times New Roman"/>
          <w:i/>
          <w:color w:val="000000"/>
          <w:kern w:val="22"/>
          <w:szCs w:val="20"/>
          <w:lang w:eastAsia="en-NZ"/>
        </w:rPr>
        <w:t xml:space="preserve">nd also the Scope of Practice Social Work Assistants. </w:t>
      </w:r>
      <w:r w:rsidR="00BA5AA4">
        <w:rPr>
          <w:rFonts w:eastAsia="Times New Roman"/>
          <w:i/>
          <w:color w:val="000000"/>
          <w:kern w:val="22"/>
          <w:szCs w:val="20"/>
          <w:lang w:eastAsia="en-NZ"/>
        </w:rPr>
        <w:t xml:space="preserve"> </w:t>
      </w:r>
      <w:r w:rsidRPr="00AF3F4B">
        <w:rPr>
          <w:rFonts w:eastAsia="Times New Roman"/>
          <w:i/>
          <w:color w:val="000000"/>
          <w:kern w:val="22"/>
          <w:szCs w:val="20"/>
          <w:lang w:eastAsia="en-NZ"/>
        </w:rPr>
        <w:t xml:space="preserve">And Oranga Tamariki have been developing a practice framework for frontline practitioners, </w:t>
      </w:r>
      <w:hyperlink r:id="rId11" w:history="1">
        <w:r w:rsidRPr="00222BA0">
          <w:rPr>
            <w:rFonts w:eastAsia="Times New Roman"/>
            <w:i/>
            <w:color w:val="000000"/>
            <w:kern w:val="22"/>
            <w:szCs w:val="20"/>
            <w:lang w:eastAsia="en-NZ"/>
          </w:rPr>
          <w:t>https://www.orangatamariki.govt.nz/news/changing-our-social-practice</w:t>
        </w:r>
      </w:hyperlink>
      <w:r w:rsidRPr="00222BA0">
        <w:rPr>
          <w:rFonts w:eastAsia="Times New Roman"/>
          <w:i/>
          <w:color w:val="000000"/>
          <w:kern w:val="22"/>
          <w:szCs w:val="20"/>
          <w:lang w:eastAsia="en-NZ"/>
        </w:rPr>
        <w:t xml:space="preserve">.  </w:t>
      </w:r>
    </w:p>
    <w:p w:rsidR="00344EA4" w:rsidRPr="00AF3F4B" w:rsidRDefault="00344EA4" w:rsidP="00222BA0">
      <w:pPr>
        <w:numPr>
          <w:ilvl w:val="0"/>
          <w:numId w:val="23"/>
        </w:numPr>
        <w:spacing w:after="240" w:line="240" w:lineRule="auto"/>
        <w:ind w:left="567" w:hanging="567"/>
        <w:rPr>
          <w:rFonts w:eastAsia="Times New Roman"/>
          <w:i/>
          <w:color w:val="000000"/>
          <w:kern w:val="22"/>
          <w:szCs w:val="20"/>
          <w:lang w:eastAsia="en-NZ"/>
        </w:rPr>
      </w:pPr>
      <w:r w:rsidRPr="00222BA0">
        <w:rPr>
          <w:rFonts w:eastAsia="Times New Roman"/>
          <w:i/>
          <w:color w:val="000000"/>
          <w:kern w:val="22"/>
          <w:szCs w:val="20"/>
          <w:lang w:eastAsia="en-NZ"/>
        </w:rPr>
        <w:t>There is nothing to prevent the Board and other social work sector groups from continuing the work they have already</w:t>
      </w:r>
      <w:r w:rsidRPr="00AF3F4B">
        <w:rPr>
          <w:rFonts w:eastAsia="Times New Roman"/>
          <w:i/>
          <w:color w:val="000000"/>
          <w:kern w:val="22"/>
          <w:szCs w:val="20"/>
          <w:lang w:eastAsia="en-NZ"/>
        </w:rPr>
        <w:t xml:space="preserve"> done to develop scopes, and promoting them to social workers, employers and the wider public.</w:t>
      </w:r>
    </w:p>
    <w:p w:rsidR="00344EA4" w:rsidRPr="00AF3F4B" w:rsidRDefault="00344EA4" w:rsidP="00AF3F4B">
      <w:pPr>
        <w:rPr>
          <w:i/>
        </w:rPr>
      </w:pPr>
      <w:bookmarkStart w:id="54" w:name="_Toc515011836"/>
      <w:r w:rsidRPr="00AF3F4B">
        <w:rPr>
          <w:i/>
        </w:rPr>
        <w:t>What options are currently available for the enforcement of scopes?</w:t>
      </w:r>
      <w:bookmarkEnd w:id="54"/>
    </w:p>
    <w:p w:rsidR="00344EA4" w:rsidRPr="001E22FD" w:rsidRDefault="00344EA4" w:rsidP="001E22FD">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 xml:space="preserve">Scopes do not necessarily require legislative recognition to achieve their purpose.  A scope would have legal effect (i.e. be recognised by a court) if a legal instrument </w:t>
      </w:r>
      <w:r w:rsidRPr="001E22FD">
        <w:rPr>
          <w:rFonts w:eastAsia="Times New Roman"/>
          <w:i/>
          <w:color w:val="000000"/>
          <w:kern w:val="22"/>
          <w:szCs w:val="20"/>
          <w:lang w:eastAsia="en-NZ"/>
        </w:rPr>
        <w:lastRenderedPageBreak/>
        <w:t>requires them to be followed.  For example, an employment agreement or a code of conduct may require the employee to comply with a scope.  If a scope was recognised in an employment contract, it could be enforced under the Employment Relations Act 2000.</w:t>
      </w:r>
    </w:p>
    <w:p w:rsidR="00344EA4" w:rsidRPr="001E22FD" w:rsidRDefault="00344EA4" w:rsidP="001E22FD">
      <w:pPr>
        <w:numPr>
          <w:ilvl w:val="0"/>
          <w:numId w:val="23"/>
        </w:numPr>
        <w:spacing w:after="240" w:line="240" w:lineRule="auto"/>
        <w:ind w:left="567" w:hanging="567"/>
        <w:rPr>
          <w:rFonts w:eastAsia="Times New Roman"/>
          <w:i/>
          <w:color w:val="000000"/>
          <w:kern w:val="22"/>
          <w:szCs w:val="20"/>
          <w:lang w:eastAsia="en-NZ"/>
        </w:rPr>
      </w:pPr>
      <w:r w:rsidRPr="001E22FD">
        <w:rPr>
          <w:rFonts w:eastAsia="Times New Roman"/>
          <w:i/>
          <w:color w:val="000000"/>
          <w:kern w:val="22"/>
          <w:szCs w:val="20"/>
          <w:lang w:eastAsia="en-NZ"/>
        </w:rPr>
        <w:t>If a scope was referred in the Board’s code of conduct (something they already have power to do), then a breach (i.e. by practising outside of it) would be a ground for professional misconduct under section 82 of the Act, and enforcement would be by the Social Workers Complaints and Disciplinary Tribunal after investigation by a professional conduct committee.</w:t>
      </w:r>
    </w:p>
    <w:p w:rsidR="00344EA4" w:rsidRPr="00AF3F4B" w:rsidRDefault="00344EA4" w:rsidP="00AF3F4B">
      <w:pPr>
        <w:spacing w:after="240" w:line="240" w:lineRule="auto"/>
        <w:rPr>
          <w:rFonts w:eastAsia="Times New Roman"/>
          <w:i/>
          <w:color w:val="000000"/>
          <w:kern w:val="22"/>
          <w:szCs w:val="20"/>
          <w:lang w:eastAsia="en-NZ"/>
        </w:rPr>
      </w:pPr>
      <w:bookmarkStart w:id="55" w:name="_Toc515011838"/>
      <w:r w:rsidRPr="00AF3F4B">
        <w:rPr>
          <w:bCs/>
          <w:i/>
          <w:szCs w:val="20"/>
        </w:rPr>
        <w:t>What would be required to provide for scopes of practice in the Bill?</w:t>
      </w:r>
      <w:bookmarkEnd w:id="55"/>
    </w:p>
    <w:p w:rsidR="00344EA4" w:rsidRPr="00222BA0" w:rsidRDefault="00C96E73" w:rsidP="00222BA0">
      <w:pPr>
        <w:numPr>
          <w:ilvl w:val="0"/>
          <w:numId w:val="8"/>
        </w:numPr>
        <w:tabs>
          <w:tab w:val="num" w:pos="1440"/>
        </w:tabs>
        <w:spacing w:after="240" w:line="240" w:lineRule="auto"/>
        <w:ind w:left="567" w:hanging="567"/>
        <w:rPr>
          <w:rFonts w:eastAsia="Times New Roman" w:cs="Times New Roman"/>
          <w:i/>
          <w:szCs w:val="20"/>
          <w:lang w:val="en-GB" w:eastAsia="en-GB"/>
        </w:rPr>
      </w:pPr>
      <w:r w:rsidRPr="00222BA0">
        <w:rPr>
          <w:rFonts w:eastAsia="Times New Roman" w:cs="Times New Roman"/>
          <w:i/>
          <w:szCs w:val="20"/>
          <w:lang w:val="en-GB" w:eastAsia="en-GB"/>
        </w:rPr>
        <w:t>I</w:t>
      </w:r>
      <w:r w:rsidR="00344EA4" w:rsidRPr="00222BA0">
        <w:rPr>
          <w:rFonts w:eastAsia="Times New Roman" w:cs="Times New Roman"/>
          <w:i/>
          <w:szCs w:val="20"/>
          <w:lang w:val="en-GB" w:eastAsia="en-GB"/>
        </w:rPr>
        <w:t xml:space="preserve">nitial analysis suggests it should be possible to follow the HPCA Act model and include scopes in the legislation in a way that will not </w:t>
      </w:r>
      <w:r w:rsidR="00344EA4" w:rsidRPr="00AF3F4B">
        <w:rPr>
          <w:rFonts w:eastAsia="Times New Roman" w:cs="Times New Roman"/>
          <w:i/>
          <w:szCs w:val="20"/>
          <w:lang w:val="en-GB" w:eastAsia="en-GB"/>
        </w:rPr>
        <w:t xml:space="preserve">give rise to unintended consequences.  </w:t>
      </w:r>
      <w:r w:rsidR="00344EA4" w:rsidRPr="00222BA0">
        <w:rPr>
          <w:rFonts w:eastAsia="Times New Roman" w:cs="Times New Roman"/>
          <w:i/>
          <w:szCs w:val="20"/>
          <w:lang w:val="en-GB" w:eastAsia="en-GB"/>
        </w:rPr>
        <w:t xml:space="preserve">However this will require changes to several </w:t>
      </w:r>
      <w:r>
        <w:rPr>
          <w:rFonts w:eastAsia="Times New Roman" w:cs="Times New Roman"/>
          <w:i/>
          <w:szCs w:val="20"/>
          <w:lang w:val="en-GB" w:eastAsia="en-GB"/>
        </w:rPr>
        <w:t>parts</w:t>
      </w:r>
      <w:r w:rsidRPr="00222BA0">
        <w:rPr>
          <w:rFonts w:eastAsia="Times New Roman" w:cs="Times New Roman"/>
          <w:i/>
          <w:szCs w:val="20"/>
          <w:lang w:val="en-GB" w:eastAsia="en-GB"/>
        </w:rPr>
        <w:t xml:space="preserve"> </w:t>
      </w:r>
      <w:r w:rsidR="00344EA4" w:rsidRPr="00222BA0">
        <w:rPr>
          <w:rFonts w:eastAsia="Times New Roman" w:cs="Times New Roman"/>
          <w:i/>
          <w:szCs w:val="20"/>
          <w:lang w:val="en-GB" w:eastAsia="en-GB"/>
        </w:rPr>
        <w:t xml:space="preserve">of the Bill to ensure that the new regime will work as intended.  Our </w:t>
      </w:r>
      <w:r w:rsidR="00BA5AA4">
        <w:rPr>
          <w:rFonts w:eastAsia="Times New Roman" w:cs="Times New Roman"/>
          <w:i/>
          <w:szCs w:val="20"/>
          <w:lang w:val="en-GB" w:eastAsia="en-GB"/>
        </w:rPr>
        <w:t xml:space="preserve">initial </w:t>
      </w:r>
      <w:r w:rsidR="00344EA4" w:rsidRPr="00222BA0">
        <w:rPr>
          <w:rFonts w:eastAsia="Times New Roman" w:cs="Times New Roman"/>
          <w:i/>
          <w:szCs w:val="20"/>
          <w:lang w:val="en-GB" w:eastAsia="en-GB"/>
        </w:rPr>
        <w:t xml:space="preserve">analysis suggests that to safely include scopes, </w:t>
      </w:r>
      <w:r>
        <w:rPr>
          <w:rFonts w:eastAsia="Times New Roman" w:cs="Times New Roman"/>
          <w:i/>
          <w:szCs w:val="20"/>
          <w:lang w:val="en-GB" w:eastAsia="en-GB"/>
        </w:rPr>
        <w:t>the following</w:t>
      </w:r>
      <w:r w:rsidRPr="00222BA0">
        <w:rPr>
          <w:rFonts w:eastAsia="Times New Roman" w:cs="Times New Roman"/>
          <w:i/>
          <w:szCs w:val="20"/>
          <w:lang w:val="en-GB" w:eastAsia="en-GB"/>
        </w:rPr>
        <w:t xml:space="preserve"> </w:t>
      </w:r>
      <w:r w:rsidR="00344EA4" w:rsidRPr="00222BA0">
        <w:rPr>
          <w:rFonts w:eastAsia="Times New Roman" w:cs="Times New Roman"/>
          <w:i/>
          <w:szCs w:val="20"/>
          <w:lang w:val="en-GB" w:eastAsia="en-GB"/>
        </w:rPr>
        <w:t>new elements will need to be added the Bill:</w:t>
      </w:r>
    </w:p>
    <w:p w:rsidR="00344EA4" w:rsidRPr="001E22FD" w:rsidRDefault="00344EA4" w:rsidP="001E22FD">
      <w:pPr>
        <w:numPr>
          <w:ilvl w:val="0"/>
          <w:numId w:val="33"/>
        </w:numPr>
        <w:spacing w:after="240" w:line="240" w:lineRule="auto"/>
        <w:rPr>
          <w:rFonts w:eastAsia="Times New Roman" w:cs="Times New Roman"/>
          <w:i/>
          <w:szCs w:val="20"/>
          <w:lang w:val="en-GB" w:eastAsia="en-GB"/>
        </w:rPr>
      </w:pPr>
      <w:r w:rsidRPr="001E22FD">
        <w:rPr>
          <w:rFonts w:eastAsia="Times New Roman" w:cs="Times New Roman"/>
          <w:i/>
          <w:szCs w:val="20"/>
          <w:lang w:val="en-GB" w:eastAsia="en-GB"/>
        </w:rPr>
        <w:t>Provision for the Board to describe the services that form part of the social work profession in one or more scopes (c.f. section 11 of the HPCA Act);</w:t>
      </w:r>
    </w:p>
    <w:p w:rsidR="00344EA4" w:rsidRPr="001E22FD" w:rsidRDefault="00344EA4" w:rsidP="001E22FD">
      <w:pPr>
        <w:numPr>
          <w:ilvl w:val="0"/>
          <w:numId w:val="33"/>
        </w:numPr>
        <w:spacing w:after="240" w:line="240" w:lineRule="auto"/>
        <w:rPr>
          <w:rFonts w:eastAsia="Times New Roman" w:cs="Times New Roman"/>
          <w:i/>
          <w:szCs w:val="20"/>
          <w:lang w:val="en-GB" w:eastAsia="en-GB"/>
        </w:rPr>
      </w:pPr>
      <w:r w:rsidRPr="001E22FD">
        <w:rPr>
          <w:rFonts w:eastAsia="Times New Roman" w:cs="Times New Roman"/>
          <w:i/>
          <w:szCs w:val="20"/>
          <w:lang w:val="en-GB" w:eastAsia="en-GB"/>
        </w:rPr>
        <w:t>Provision for the Board to prescribe the qualifications required for each scope it describes (cf section 12 of the HPCA Act) – this could replace or augment the current ‘one-size-fits-all’ recognition of professional qualifications for registration under the SWR Act;</w:t>
      </w:r>
    </w:p>
    <w:p w:rsidR="00344EA4" w:rsidRPr="001E22FD" w:rsidRDefault="00344EA4" w:rsidP="001E22FD">
      <w:pPr>
        <w:numPr>
          <w:ilvl w:val="0"/>
          <w:numId w:val="33"/>
        </w:numPr>
        <w:spacing w:after="240" w:line="240" w:lineRule="auto"/>
        <w:rPr>
          <w:rFonts w:eastAsia="Times New Roman" w:cs="Times New Roman"/>
          <w:i/>
          <w:szCs w:val="20"/>
          <w:lang w:val="en-GB" w:eastAsia="en-GB"/>
        </w:rPr>
      </w:pPr>
      <w:r w:rsidRPr="001E22FD">
        <w:rPr>
          <w:rFonts w:eastAsia="Times New Roman" w:cs="Times New Roman"/>
          <w:i/>
          <w:szCs w:val="20"/>
          <w:lang w:val="en-GB" w:eastAsia="en-GB"/>
        </w:rPr>
        <w:t>Provision for the Board to authorise a scope for an applicant who applies to be registered as a social worker (this means describing the services that the applicant is, subject to any conditions, permitted to perform) (cf sections 17, 21, 22 HPCA Act);</w:t>
      </w:r>
    </w:p>
    <w:p w:rsidR="00344EA4" w:rsidRPr="001E22FD" w:rsidRDefault="00344EA4" w:rsidP="001E22FD">
      <w:pPr>
        <w:numPr>
          <w:ilvl w:val="0"/>
          <w:numId w:val="33"/>
        </w:numPr>
        <w:spacing w:after="240" w:line="240" w:lineRule="auto"/>
        <w:rPr>
          <w:rFonts w:eastAsia="Times New Roman" w:cs="Times New Roman"/>
          <w:i/>
          <w:szCs w:val="20"/>
          <w:lang w:val="en-GB" w:eastAsia="en-GB"/>
        </w:rPr>
      </w:pPr>
      <w:r w:rsidRPr="001E22FD">
        <w:rPr>
          <w:rFonts w:eastAsia="Times New Roman" w:cs="Times New Roman"/>
          <w:i/>
          <w:szCs w:val="20"/>
          <w:lang w:val="en-GB" w:eastAsia="en-GB"/>
        </w:rPr>
        <w:t>A requirement that in developing scopes the Board must consult closely with key stakeholders and possibly specifying reasonableness criteria (cf s 14(2) HPCA Act);</w:t>
      </w:r>
    </w:p>
    <w:p w:rsidR="00344EA4" w:rsidRPr="001E22FD" w:rsidRDefault="00344EA4" w:rsidP="001E22FD">
      <w:pPr>
        <w:numPr>
          <w:ilvl w:val="0"/>
          <w:numId w:val="33"/>
        </w:numPr>
        <w:spacing w:after="240" w:line="240" w:lineRule="auto"/>
        <w:rPr>
          <w:rFonts w:eastAsia="Times New Roman" w:cs="Times New Roman"/>
          <w:i/>
          <w:szCs w:val="20"/>
          <w:lang w:val="en-GB" w:eastAsia="en-GB"/>
        </w:rPr>
      </w:pPr>
      <w:r w:rsidRPr="001E22FD">
        <w:rPr>
          <w:rFonts w:eastAsia="Times New Roman" w:cs="Times New Roman"/>
          <w:i/>
          <w:szCs w:val="20"/>
          <w:lang w:val="en-GB" w:eastAsia="en-GB"/>
        </w:rPr>
        <w:t>Ensuring that scopes apply only to people who are registered, not to persons who may be undertaking tasks that are in common with social workers (cf s 14(2) HPCA Act);</w:t>
      </w:r>
    </w:p>
    <w:p w:rsidR="00344EA4" w:rsidRPr="001E22FD" w:rsidRDefault="00344EA4" w:rsidP="001E22FD">
      <w:pPr>
        <w:numPr>
          <w:ilvl w:val="0"/>
          <w:numId w:val="33"/>
        </w:numPr>
        <w:spacing w:after="240" w:line="240" w:lineRule="auto"/>
        <w:rPr>
          <w:rFonts w:eastAsia="Times New Roman" w:cs="Times New Roman"/>
          <w:i/>
          <w:szCs w:val="20"/>
          <w:lang w:val="en-GB" w:eastAsia="en-GB"/>
        </w:rPr>
      </w:pPr>
      <w:r w:rsidRPr="001E22FD">
        <w:rPr>
          <w:rFonts w:eastAsia="Times New Roman" w:cs="Times New Roman"/>
          <w:i/>
          <w:szCs w:val="20"/>
          <w:lang w:val="en-GB" w:eastAsia="en-GB"/>
        </w:rPr>
        <w:t>Levers for the accountability of social workers that relate to scope (cf section 100 HPCA Act)</w:t>
      </w:r>
    </w:p>
    <w:p w:rsidR="00344EA4" w:rsidRPr="001E22FD" w:rsidRDefault="00344EA4" w:rsidP="001E22FD">
      <w:pPr>
        <w:numPr>
          <w:ilvl w:val="0"/>
          <w:numId w:val="33"/>
        </w:numPr>
        <w:spacing w:after="240" w:line="240" w:lineRule="auto"/>
        <w:rPr>
          <w:rFonts w:eastAsia="Times New Roman" w:cs="Times New Roman"/>
          <w:i/>
          <w:szCs w:val="20"/>
          <w:lang w:val="en-GB" w:eastAsia="en-GB"/>
        </w:rPr>
      </w:pPr>
      <w:r w:rsidRPr="001E22FD">
        <w:rPr>
          <w:rFonts w:eastAsia="Times New Roman" w:cs="Times New Roman"/>
          <w:i/>
          <w:szCs w:val="20"/>
          <w:lang w:val="en-GB" w:eastAsia="en-GB"/>
        </w:rPr>
        <w:t xml:space="preserve">A requirement that social workers who wish to leave the profession can be deregistered at their request, </w:t>
      </w:r>
      <w:r w:rsidR="004375D8">
        <w:rPr>
          <w:rFonts w:eastAsia="Times New Roman" w:cs="Times New Roman"/>
          <w:i/>
          <w:szCs w:val="20"/>
          <w:lang w:val="en-GB" w:eastAsia="en-GB"/>
        </w:rPr>
        <w:t xml:space="preserve">rather than at the Board’s discretion as per the </w:t>
      </w:r>
      <w:r w:rsidR="0057395F">
        <w:rPr>
          <w:rFonts w:eastAsia="Times New Roman" w:cs="Times New Roman"/>
          <w:i/>
          <w:szCs w:val="20"/>
          <w:lang w:val="en-GB" w:eastAsia="en-GB"/>
        </w:rPr>
        <w:t>current Act</w:t>
      </w:r>
      <w:r w:rsidR="004375D8">
        <w:rPr>
          <w:rFonts w:eastAsia="Times New Roman" w:cs="Times New Roman"/>
          <w:i/>
          <w:szCs w:val="20"/>
          <w:lang w:val="en-GB" w:eastAsia="en-GB"/>
        </w:rPr>
        <w:t xml:space="preserve">, </w:t>
      </w:r>
      <w:r w:rsidRPr="001E22FD">
        <w:rPr>
          <w:rFonts w:eastAsia="Times New Roman" w:cs="Times New Roman"/>
          <w:i/>
          <w:szCs w:val="20"/>
          <w:lang w:val="en-GB" w:eastAsia="en-GB"/>
        </w:rPr>
        <w:t xml:space="preserve">unless they are facing disciplinary action.  </w:t>
      </w:r>
    </w:p>
    <w:p w:rsidR="00344EA4" w:rsidRPr="001E22FD" w:rsidRDefault="00344EA4" w:rsidP="001E22FD">
      <w:pPr>
        <w:numPr>
          <w:ilvl w:val="0"/>
          <w:numId w:val="8"/>
        </w:numPr>
        <w:tabs>
          <w:tab w:val="num" w:pos="1440"/>
        </w:tabs>
        <w:spacing w:after="240" w:line="240" w:lineRule="auto"/>
        <w:ind w:left="567" w:hanging="567"/>
        <w:rPr>
          <w:rFonts w:eastAsia="Times New Roman" w:cs="Times New Roman"/>
          <w:i/>
          <w:szCs w:val="20"/>
          <w:lang w:val="en-GB" w:eastAsia="en-GB"/>
        </w:rPr>
      </w:pPr>
      <w:r w:rsidRPr="001E22FD">
        <w:rPr>
          <w:rFonts w:eastAsia="Times New Roman" w:cs="Times New Roman"/>
          <w:i/>
          <w:szCs w:val="20"/>
          <w:lang w:val="en-GB" w:eastAsia="en-GB"/>
        </w:rPr>
        <w:t>The final point addresses the risk identified by some NGO submissions of highly skilful volunteers who are retired social workers who no longer wish to be “practising as social workers” but who might be compelled to maintain their registration, or censured for practising without a practising certificate.  The ability to “de-register” would also address our earlier concerns about social workers who wish to leave the profession and take up a different career, but could be forced to maintain social work registration if their new work has elements in common with social work.  The current Board has already expressed its willingness to address these concerns, and we will work with them to achieve the best balance of statutory requirements and discretionary policy.</w:t>
      </w:r>
      <w:r w:rsidR="004375D8">
        <w:rPr>
          <w:rFonts w:eastAsia="Times New Roman" w:cs="Times New Roman"/>
          <w:i/>
          <w:szCs w:val="20"/>
          <w:lang w:val="en-GB" w:eastAsia="en-GB"/>
        </w:rPr>
        <w:t xml:space="preserve"> The changes to the legislative framework should improve the clarity of the regime for all parties</w:t>
      </w:r>
      <w:r w:rsidR="00397205">
        <w:rPr>
          <w:rFonts w:eastAsia="Times New Roman" w:cs="Times New Roman"/>
          <w:i/>
          <w:szCs w:val="20"/>
          <w:lang w:val="en-GB" w:eastAsia="en-GB"/>
        </w:rPr>
        <w:t>.</w:t>
      </w:r>
    </w:p>
    <w:p w:rsidR="00421BD3" w:rsidRDefault="00421BD3" w:rsidP="00421BD3">
      <w:pPr>
        <w:spacing w:after="240"/>
        <w:outlineLvl w:val="2"/>
        <w:rPr>
          <w:rFonts w:eastAsia="Times New Roman" w:cs="Times New Roman"/>
          <w:b/>
          <w:sz w:val="24"/>
          <w:szCs w:val="24"/>
          <w:lang w:val="en-GB" w:eastAsia="en-GB"/>
        </w:rPr>
      </w:pPr>
      <w:bookmarkStart w:id="56" w:name="_Toc520457890"/>
      <w:bookmarkStart w:id="57" w:name="_Toc479611997"/>
      <w:r>
        <w:rPr>
          <w:rFonts w:eastAsia="Times New Roman" w:cs="Times New Roman"/>
          <w:b/>
          <w:sz w:val="24"/>
          <w:szCs w:val="24"/>
          <w:lang w:val="en-GB" w:eastAsia="en-GB"/>
        </w:rPr>
        <w:lastRenderedPageBreak/>
        <w:t xml:space="preserve">Part </w:t>
      </w:r>
      <w:r w:rsidR="00B045B3">
        <w:rPr>
          <w:rFonts w:eastAsia="Times New Roman" w:cs="Times New Roman"/>
          <w:b/>
          <w:sz w:val="24"/>
          <w:szCs w:val="24"/>
          <w:lang w:val="en-GB" w:eastAsia="en-GB"/>
        </w:rPr>
        <w:t>T</w:t>
      </w:r>
      <w:r>
        <w:rPr>
          <w:rFonts w:eastAsia="Times New Roman" w:cs="Times New Roman"/>
          <w:b/>
          <w:sz w:val="24"/>
          <w:szCs w:val="24"/>
          <w:lang w:val="en-GB" w:eastAsia="en-GB"/>
        </w:rPr>
        <w:t xml:space="preserve">wo: Amendments to the Social Workers Registration Act to increase </w:t>
      </w:r>
      <w:r w:rsidR="00172037">
        <w:rPr>
          <w:rFonts w:eastAsia="Times New Roman" w:cs="Times New Roman"/>
          <w:b/>
          <w:sz w:val="24"/>
          <w:szCs w:val="24"/>
          <w:lang w:val="en-GB" w:eastAsia="en-GB"/>
        </w:rPr>
        <w:t xml:space="preserve">effectiveness and </w:t>
      </w:r>
      <w:r>
        <w:rPr>
          <w:rFonts w:eastAsia="Times New Roman" w:cs="Times New Roman"/>
          <w:b/>
          <w:sz w:val="24"/>
          <w:szCs w:val="24"/>
          <w:lang w:val="en-GB" w:eastAsia="en-GB"/>
        </w:rPr>
        <w:t>transparency</w:t>
      </w:r>
      <w:bookmarkEnd w:id="56"/>
    </w:p>
    <w:p w:rsidR="007505BA" w:rsidRPr="007505BA" w:rsidRDefault="007505BA" w:rsidP="007505BA">
      <w:pPr>
        <w:numPr>
          <w:ilvl w:val="0"/>
          <w:numId w:val="8"/>
        </w:numPr>
        <w:tabs>
          <w:tab w:val="num" w:pos="1440"/>
        </w:tabs>
        <w:spacing w:after="240" w:line="240" w:lineRule="auto"/>
        <w:ind w:left="567" w:hanging="567"/>
        <w:rPr>
          <w:rFonts w:eastAsia="Times New Roman" w:cs="Times New Roman"/>
          <w:szCs w:val="20"/>
          <w:lang w:val="en-GB" w:eastAsia="en-GB"/>
        </w:rPr>
      </w:pPr>
      <w:r w:rsidRPr="007505BA">
        <w:rPr>
          <w:rFonts w:eastAsia="Times New Roman" w:cs="Times New Roman"/>
          <w:szCs w:val="20"/>
          <w:lang w:val="en-GB" w:eastAsia="en-GB"/>
        </w:rPr>
        <w:t xml:space="preserve">The </w:t>
      </w:r>
      <w:r>
        <w:rPr>
          <w:rFonts w:eastAsia="Times New Roman" w:cs="Times New Roman"/>
          <w:szCs w:val="20"/>
          <w:lang w:val="en-GB" w:eastAsia="en-GB"/>
        </w:rPr>
        <w:t xml:space="preserve">proposals outlined in this section </w:t>
      </w:r>
      <w:r w:rsidR="00B209FF">
        <w:rPr>
          <w:rFonts w:eastAsia="Times New Roman" w:cs="Times New Roman"/>
          <w:szCs w:val="20"/>
          <w:lang w:val="en-GB" w:eastAsia="en-GB"/>
        </w:rPr>
        <w:t>can</w:t>
      </w:r>
      <w:r>
        <w:rPr>
          <w:rFonts w:eastAsia="Times New Roman" w:cs="Times New Roman"/>
          <w:szCs w:val="20"/>
          <w:lang w:val="en-GB" w:eastAsia="en-GB"/>
        </w:rPr>
        <w:t xml:space="preserve"> be progressed in conjunction with a change to the registration regime or on their own in order to </w:t>
      </w:r>
      <w:r w:rsidR="00B209FF">
        <w:rPr>
          <w:rFonts w:eastAsia="Times New Roman" w:cs="Times New Roman"/>
          <w:szCs w:val="20"/>
          <w:lang w:val="en-GB" w:eastAsia="en-GB"/>
        </w:rPr>
        <w:t>improve the effectiveness and efficiency of the SWR Act.</w:t>
      </w:r>
      <w:r>
        <w:rPr>
          <w:rFonts w:eastAsia="Times New Roman" w:cs="Times New Roman"/>
          <w:szCs w:val="20"/>
          <w:lang w:val="en-GB" w:eastAsia="en-GB"/>
        </w:rPr>
        <w:t xml:space="preserve"> </w:t>
      </w:r>
      <w:r w:rsidR="009445E6">
        <w:rPr>
          <w:rFonts w:eastAsia="Times New Roman" w:cs="Times New Roman"/>
          <w:szCs w:val="20"/>
          <w:lang w:val="en-GB" w:eastAsia="en-GB"/>
        </w:rPr>
        <w:t xml:space="preserve"> </w:t>
      </w:r>
      <w:r>
        <w:rPr>
          <w:rFonts w:eastAsia="Times New Roman" w:cs="Times New Roman"/>
          <w:szCs w:val="20"/>
          <w:lang w:val="en-GB" w:eastAsia="en-GB"/>
        </w:rPr>
        <w:t xml:space="preserve">These proposals are </w:t>
      </w:r>
      <w:r w:rsidR="008A193B">
        <w:rPr>
          <w:rFonts w:eastAsia="Times New Roman" w:cs="Times New Roman"/>
          <w:szCs w:val="20"/>
          <w:lang w:val="en-GB" w:eastAsia="en-GB"/>
        </w:rPr>
        <w:t xml:space="preserve">likely to have negligible </w:t>
      </w:r>
      <w:r w:rsidR="006D44F9">
        <w:rPr>
          <w:rFonts w:eastAsia="Times New Roman" w:cs="Times New Roman"/>
          <w:szCs w:val="20"/>
          <w:lang w:val="en-GB" w:eastAsia="en-GB"/>
        </w:rPr>
        <w:t xml:space="preserve">cost </w:t>
      </w:r>
      <w:r w:rsidR="008A193B">
        <w:rPr>
          <w:rFonts w:eastAsia="Times New Roman" w:cs="Times New Roman"/>
          <w:szCs w:val="20"/>
          <w:lang w:val="en-GB" w:eastAsia="en-GB"/>
        </w:rPr>
        <w:t>impact</w:t>
      </w:r>
      <w:r w:rsidR="00B209FF">
        <w:rPr>
          <w:rFonts w:eastAsia="Times New Roman" w:cs="Times New Roman"/>
          <w:szCs w:val="20"/>
          <w:lang w:val="en-GB" w:eastAsia="en-GB"/>
        </w:rPr>
        <w:t xml:space="preserve">. </w:t>
      </w:r>
    </w:p>
    <w:p w:rsidR="00A00008" w:rsidRPr="002A5D5B" w:rsidRDefault="00172037" w:rsidP="002703CE">
      <w:pPr>
        <w:spacing w:after="240"/>
        <w:outlineLvl w:val="2"/>
        <w:rPr>
          <w:rFonts w:eastAsia="Times New Roman" w:cs="Times New Roman"/>
          <w:b/>
          <w:sz w:val="24"/>
          <w:szCs w:val="24"/>
          <w:lang w:val="en-GB" w:eastAsia="en-GB"/>
        </w:rPr>
      </w:pPr>
      <w:bookmarkStart w:id="58" w:name="_Toc520457891"/>
      <w:r>
        <w:rPr>
          <w:rFonts w:eastAsia="Times New Roman" w:cs="Times New Roman"/>
          <w:b/>
          <w:sz w:val="24"/>
          <w:szCs w:val="24"/>
          <w:lang w:val="en-GB" w:eastAsia="en-GB"/>
        </w:rPr>
        <w:t>R</w:t>
      </w:r>
      <w:r w:rsidR="00A00008" w:rsidRPr="002A5D5B">
        <w:rPr>
          <w:rFonts w:eastAsia="Times New Roman" w:cs="Times New Roman"/>
          <w:b/>
          <w:sz w:val="24"/>
          <w:szCs w:val="24"/>
          <w:lang w:val="en-GB" w:eastAsia="en-GB"/>
        </w:rPr>
        <w:t>egulation of the Board</w:t>
      </w:r>
      <w:bookmarkEnd w:id="57"/>
      <w:bookmarkEnd w:id="58"/>
    </w:p>
    <w:p w:rsidR="00A00008" w:rsidRPr="00271EF5" w:rsidRDefault="00A00008" w:rsidP="00880C50">
      <w:pPr>
        <w:numPr>
          <w:ilvl w:val="0"/>
          <w:numId w:val="8"/>
        </w:numPr>
        <w:tabs>
          <w:tab w:val="num" w:pos="1440"/>
        </w:tabs>
        <w:spacing w:after="240" w:line="240" w:lineRule="auto"/>
        <w:ind w:left="567" w:hanging="567"/>
        <w:rPr>
          <w:rFonts w:eastAsia="Times New Roman" w:cs="Times New Roman"/>
          <w:szCs w:val="20"/>
          <w:lang w:val="en-GB" w:eastAsia="en-GB"/>
        </w:rPr>
      </w:pPr>
      <w:r w:rsidRPr="007621DB">
        <w:rPr>
          <w:rFonts w:eastAsia="Times New Roman" w:cs="Times New Roman"/>
          <w:szCs w:val="20"/>
          <w:lang w:val="en-GB" w:eastAsia="en-GB"/>
        </w:rPr>
        <w:t xml:space="preserve">The Board is a self-funding Crown entity established under the SWR Act. </w:t>
      </w:r>
      <w:r>
        <w:rPr>
          <w:rFonts w:eastAsia="Times New Roman" w:cs="Times New Roman"/>
          <w:szCs w:val="20"/>
          <w:lang w:val="en-GB" w:eastAsia="en-GB"/>
        </w:rPr>
        <w:t xml:space="preserve"> It</w:t>
      </w:r>
      <w:r w:rsidRPr="002747DC">
        <w:rPr>
          <w:rFonts w:eastAsia="Times New Roman" w:cs="Times New Roman"/>
          <w:szCs w:val="20"/>
          <w:lang w:val="en-GB" w:eastAsia="en-GB"/>
        </w:rPr>
        <w:t xml:space="preserve"> comprises </w:t>
      </w:r>
      <w:r>
        <w:rPr>
          <w:rFonts w:eastAsia="Times New Roman" w:cs="Times New Roman"/>
          <w:szCs w:val="20"/>
          <w:lang w:val="en-GB" w:eastAsia="en-GB"/>
        </w:rPr>
        <w:t>of ten</w:t>
      </w:r>
      <w:r w:rsidRPr="002747DC">
        <w:rPr>
          <w:rFonts w:eastAsia="Times New Roman" w:cs="Times New Roman"/>
          <w:szCs w:val="20"/>
          <w:lang w:val="en-GB" w:eastAsia="en-GB"/>
        </w:rPr>
        <w:t xml:space="preserve"> members appointed by the Responsible Minister (the Minister for Social Development) under the Crown Entities Act 200</w:t>
      </w:r>
      <w:r>
        <w:rPr>
          <w:rFonts w:eastAsia="Times New Roman" w:cs="Times New Roman"/>
          <w:szCs w:val="20"/>
          <w:lang w:val="en-GB" w:eastAsia="en-GB"/>
        </w:rPr>
        <w:t>4</w:t>
      </w:r>
      <w:r w:rsidRPr="002747DC">
        <w:rPr>
          <w:rFonts w:eastAsia="Times New Roman" w:cs="Times New Roman"/>
          <w:szCs w:val="20"/>
          <w:lang w:val="en-GB" w:eastAsia="en-GB"/>
        </w:rPr>
        <w:t xml:space="preserve">. </w:t>
      </w:r>
      <w:r>
        <w:rPr>
          <w:rFonts w:eastAsia="Times New Roman" w:cs="Times New Roman"/>
          <w:szCs w:val="20"/>
          <w:lang w:val="en-GB" w:eastAsia="en-GB"/>
        </w:rPr>
        <w:t xml:space="preserve"> </w:t>
      </w:r>
      <w:r w:rsidRPr="002747DC">
        <w:rPr>
          <w:rFonts w:eastAsia="Times New Roman" w:cs="Times New Roman"/>
          <w:szCs w:val="20"/>
          <w:lang w:val="en-GB" w:eastAsia="en-GB"/>
        </w:rPr>
        <w:t xml:space="preserve">Before making an appointment the Minister must consult with organisations and individuals that, in the Minister’s opinion, represent various sectors of the social work profession.  As a Crown entity the Board is accountable to the Minister and must report regularly to Parliament.  It is subject to the </w:t>
      </w:r>
      <w:r>
        <w:rPr>
          <w:rFonts w:eastAsia="Times New Roman" w:cs="Times New Roman"/>
          <w:szCs w:val="20"/>
          <w:lang w:val="en-GB" w:eastAsia="en-GB"/>
        </w:rPr>
        <w:t>Official Information Act 1982,</w:t>
      </w:r>
      <w:r w:rsidRPr="002747DC">
        <w:rPr>
          <w:rFonts w:eastAsia="Times New Roman" w:cs="Times New Roman"/>
          <w:szCs w:val="20"/>
          <w:lang w:val="en-GB" w:eastAsia="en-GB"/>
        </w:rPr>
        <w:t xml:space="preserve"> Crown </w:t>
      </w:r>
      <w:r>
        <w:rPr>
          <w:rFonts w:eastAsia="Times New Roman" w:cs="Times New Roman"/>
          <w:szCs w:val="20"/>
          <w:lang w:val="en-GB" w:eastAsia="en-GB"/>
        </w:rPr>
        <w:t>e</w:t>
      </w:r>
      <w:r w:rsidRPr="002747DC">
        <w:rPr>
          <w:rFonts w:eastAsia="Times New Roman" w:cs="Times New Roman"/>
          <w:szCs w:val="20"/>
          <w:lang w:val="en-GB" w:eastAsia="en-GB"/>
        </w:rPr>
        <w:t xml:space="preserve">ntity planning and budgeting requirements (preparation of </w:t>
      </w:r>
      <w:r w:rsidR="002F638D" w:rsidRPr="002F638D">
        <w:rPr>
          <w:rFonts w:eastAsia="Times New Roman" w:cs="Times New Roman"/>
          <w:szCs w:val="20"/>
          <w:lang w:val="en-GB" w:eastAsia="en-GB"/>
        </w:rPr>
        <w:t>Statement of Intent</w:t>
      </w:r>
      <w:r w:rsidRPr="002747DC">
        <w:rPr>
          <w:rFonts w:eastAsia="Times New Roman" w:cs="Times New Roman"/>
          <w:szCs w:val="20"/>
          <w:lang w:val="en-GB" w:eastAsia="en-GB"/>
        </w:rPr>
        <w:t>, Government budgetary processes)</w:t>
      </w:r>
      <w:r>
        <w:rPr>
          <w:rFonts w:eastAsia="Times New Roman" w:cs="Times New Roman"/>
          <w:szCs w:val="20"/>
          <w:lang w:val="en-GB" w:eastAsia="en-GB"/>
        </w:rPr>
        <w:t xml:space="preserve">, and is audited by the Office of the Auditor General. </w:t>
      </w:r>
      <w:r w:rsidR="002703CE">
        <w:rPr>
          <w:rFonts w:eastAsia="Times New Roman" w:cs="Times New Roman"/>
          <w:szCs w:val="20"/>
          <w:lang w:val="en-GB" w:eastAsia="en-GB"/>
        </w:rPr>
        <w:t xml:space="preserve"> </w:t>
      </w:r>
      <w:r w:rsidRPr="007621DB">
        <w:rPr>
          <w:rFonts w:eastAsia="Times New Roman" w:cs="Times New Roman"/>
          <w:szCs w:val="20"/>
          <w:lang w:val="en-GB" w:eastAsia="en-GB"/>
        </w:rPr>
        <w:t>Its actions are also subject to judicial review.</w:t>
      </w:r>
    </w:p>
    <w:p w:rsidR="00785B3E" w:rsidRPr="00785B3E" w:rsidRDefault="00A00008" w:rsidP="00177E1D">
      <w:pPr>
        <w:numPr>
          <w:ilvl w:val="0"/>
          <w:numId w:val="8"/>
        </w:numPr>
        <w:tabs>
          <w:tab w:val="num" w:pos="1440"/>
        </w:tabs>
        <w:spacing w:after="240" w:line="240" w:lineRule="auto"/>
        <w:ind w:left="567" w:hanging="567"/>
        <w:rPr>
          <w:rFonts w:eastAsia="Times New Roman"/>
          <w:color w:val="000000"/>
          <w:kern w:val="22"/>
          <w:szCs w:val="20"/>
          <w:lang w:eastAsia="en-NZ"/>
        </w:rPr>
      </w:pPr>
      <w:r w:rsidRPr="00737E29">
        <w:rPr>
          <w:rFonts w:eastAsia="Times New Roman" w:cs="Times New Roman"/>
          <w:szCs w:val="20"/>
          <w:lang w:val="en-GB" w:eastAsia="en-GB"/>
        </w:rPr>
        <w:t xml:space="preserve">The Board has considerable power over social workers who have chosen to register. </w:t>
      </w:r>
      <w:r w:rsidR="009445E6">
        <w:rPr>
          <w:rFonts w:eastAsia="Times New Roman" w:cs="Times New Roman"/>
          <w:szCs w:val="20"/>
          <w:lang w:val="en-GB" w:eastAsia="en-GB"/>
        </w:rPr>
        <w:t xml:space="preserve"> </w:t>
      </w:r>
      <w:r w:rsidRPr="00737E29">
        <w:rPr>
          <w:rFonts w:eastAsia="Times New Roman" w:cs="Times New Roman"/>
          <w:szCs w:val="20"/>
          <w:lang w:val="en-GB" w:eastAsia="en-GB"/>
        </w:rPr>
        <w:t xml:space="preserve">This will significantly increase with </w:t>
      </w:r>
      <w:r>
        <w:rPr>
          <w:rFonts w:eastAsia="Times New Roman" w:cs="Times New Roman"/>
          <w:szCs w:val="20"/>
          <w:lang w:val="en-GB" w:eastAsia="en-GB"/>
        </w:rPr>
        <w:t>m</w:t>
      </w:r>
      <w:r w:rsidRPr="00737E29">
        <w:rPr>
          <w:rFonts w:eastAsia="Times New Roman" w:cs="Times New Roman"/>
          <w:szCs w:val="20"/>
          <w:lang w:val="en-GB" w:eastAsia="en-GB"/>
        </w:rPr>
        <w:t xml:space="preserve">andatory registration so there must be adequate checks and balances to ensure the Board is accountable to the public and the private social work sector, and is effective and efficient.  </w:t>
      </w:r>
    </w:p>
    <w:p w:rsidR="009D1E11" w:rsidRPr="00EC248E" w:rsidRDefault="00610BF3" w:rsidP="00177E1D">
      <w:pPr>
        <w:numPr>
          <w:ilvl w:val="0"/>
          <w:numId w:val="8"/>
        </w:numPr>
        <w:tabs>
          <w:tab w:val="num" w:pos="1440"/>
        </w:tabs>
        <w:spacing w:after="240" w:line="240" w:lineRule="auto"/>
        <w:ind w:left="567" w:hanging="567"/>
        <w:rPr>
          <w:rFonts w:eastAsia="Times New Roman"/>
          <w:color w:val="000000"/>
          <w:kern w:val="22"/>
          <w:szCs w:val="20"/>
          <w:lang w:eastAsia="en-NZ"/>
        </w:rPr>
      </w:pPr>
      <w:r w:rsidRPr="00EC248E">
        <w:rPr>
          <w:rFonts w:eastAsia="Times New Roman" w:cs="Times New Roman"/>
          <w:szCs w:val="20"/>
          <w:lang w:val="en-GB" w:eastAsia="en-GB"/>
        </w:rPr>
        <w:t xml:space="preserve">In most instances, the recommendations with respect to specific amendments proposed below include </w:t>
      </w:r>
      <w:r w:rsidR="009D1E11" w:rsidRPr="00EC248E">
        <w:rPr>
          <w:rFonts w:eastAsia="Times New Roman" w:cs="Times New Roman"/>
          <w:szCs w:val="20"/>
          <w:lang w:val="en-GB" w:eastAsia="en-GB"/>
        </w:rPr>
        <w:t xml:space="preserve">an assessment of whether there are appropriate checks and balances </w:t>
      </w:r>
      <w:r w:rsidR="00340B40">
        <w:rPr>
          <w:rFonts w:eastAsia="Times New Roman" w:cs="Times New Roman"/>
          <w:szCs w:val="20"/>
          <w:lang w:val="en-GB" w:eastAsia="en-GB"/>
        </w:rPr>
        <w:t>eg</w:t>
      </w:r>
      <w:r w:rsidR="009D1E11" w:rsidRPr="00EC248E">
        <w:rPr>
          <w:rFonts w:eastAsia="Times New Roman" w:cs="Times New Roman"/>
          <w:szCs w:val="20"/>
          <w:lang w:val="en-GB" w:eastAsia="en-GB"/>
        </w:rPr>
        <w:t xml:space="preserve"> does the recommended approach enable judicial review of decisions</w:t>
      </w:r>
      <w:r w:rsidR="00785B3E" w:rsidRPr="00EC248E">
        <w:rPr>
          <w:rFonts w:eastAsia="Times New Roman" w:cs="Times New Roman"/>
          <w:szCs w:val="20"/>
          <w:lang w:val="en-GB" w:eastAsia="en-GB"/>
        </w:rPr>
        <w:t>?; is the threshold for a sanction at the right level?</w:t>
      </w:r>
      <w:r w:rsidR="009D1E11" w:rsidRPr="00EC248E">
        <w:rPr>
          <w:rFonts w:eastAsia="Times New Roman" w:cs="Times New Roman"/>
          <w:szCs w:val="20"/>
          <w:lang w:val="en-GB" w:eastAsia="en-GB"/>
        </w:rPr>
        <w:t xml:space="preserve"> </w:t>
      </w:r>
      <w:r w:rsidR="00EC248E" w:rsidRPr="00EC248E">
        <w:rPr>
          <w:rFonts w:eastAsia="Times New Roman" w:cs="Times New Roman"/>
          <w:szCs w:val="20"/>
          <w:lang w:val="en-GB" w:eastAsia="en-GB"/>
        </w:rPr>
        <w:t xml:space="preserve"> However </w:t>
      </w:r>
      <w:r w:rsidR="00EC248E">
        <w:rPr>
          <w:rFonts w:eastAsia="Times New Roman" w:cs="Times New Roman"/>
          <w:szCs w:val="20"/>
          <w:lang w:val="en-GB" w:eastAsia="en-GB"/>
        </w:rPr>
        <w:t>w</w:t>
      </w:r>
      <w:r w:rsidR="009D1E11" w:rsidRPr="00EC248E">
        <w:rPr>
          <w:rFonts w:eastAsia="Times New Roman" w:cs="Times New Roman"/>
          <w:szCs w:val="20"/>
          <w:lang w:val="en-GB" w:eastAsia="en-GB"/>
        </w:rPr>
        <w:t xml:space="preserve">e have identified </w:t>
      </w:r>
      <w:r w:rsidR="00785B3E" w:rsidRPr="00EC248E">
        <w:rPr>
          <w:rFonts w:eastAsia="Times New Roman" w:cs="Times New Roman"/>
          <w:szCs w:val="20"/>
          <w:lang w:val="en-GB" w:eastAsia="en-GB"/>
        </w:rPr>
        <w:t xml:space="preserve">two distinct areas where we recommend some </w:t>
      </w:r>
      <w:r w:rsidR="00EC248E">
        <w:rPr>
          <w:rFonts w:eastAsia="Times New Roman" w:cs="Times New Roman"/>
          <w:szCs w:val="20"/>
          <w:lang w:val="en-GB" w:eastAsia="en-GB"/>
        </w:rPr>
        <w:t xml:space="preserve">higher level </w:t>
      </w:r>
      <w:r w:rsidR="00785B3E" w:rsidRPr="00EC248E">
        <w:rPr>
          <w:rFonts w:eastAsia="Times New Roman" w:cs="Times New Roman"/>
          <w:szCs w:val="20"/>
          <w:lang w:val="en-GB" w:eastAsia="en-GB"/>
        </w:rPr>
        <w:t>change to maintain an overall sense of transparency and appropriate checks and balances.</w:t>
      </w:r>
    </w:p>
    <w:p w:rsidR="00610BF3" w:rsidRPr="00610BF3" w:rsidRDefault="00610BF3" w:rsidP="00610BF3">
      <w:pPr>
        <w:spacing w:after="240" w:line="240" w:lineRule="auto"/>
        <w:rPr>
          <w:rFonts w:eastAsia="Times New Roman" w:cs="Times New Roman"/>
          <w:i/>
          <w:szCs w:val="20"/>
          <w:lang w:val="en-GB" w:eastAsia="en-GB"/>
        </w:rPr>
      </w:pPr>
      <w:r w:rsidRPr="00610BF3">
        <w:rPr>
          <w:rFonts w:eastAsia="Times New Roman" w:cs="Times New Roman"/>
          <w:i/>
          <w:szCs w:val="20"/>
          <w:lang w:val="en-GB" w:eastAsia="en-GB"/>
        </w:rPr>
        <w:t>Board membership</w:t>
      </w:r>
    </w:p>
    <w:p w:rsidR="00775BF5" w:rsidRPr="005975B2" w:rsidRDefault="00775BF5" w:rsidP="00775BF5">
      <w:pPr>
        <w:numPr>
          <w:ilvl w:val="0"/>
          <w:numId w:val="8"/>
        </w:numPr>
        <w:tabs>
          <w:tab w:val="num" w:pos="1440"/>
        </w:tabs>
        <w:spacing w:after="240" w:line="240" w:lineRule="auto"/>
        <w:ind w:left="567" w:hanging="567"/>
        <w:rPr>
          <w:rFonts w:eastAsia="Times New Roman"/>
          <w:color w:val="000000"/>
          <w:kern w:val="22"/>
          <w:szCs w:val="20"/>
          <w:lang w:eastAsia="en-NZ"/>
        </w:rPr>
      </w:pPr>
      <w:r>
        <w:rPr>
          <w:rFonts w:eastAsia="Times New Roman" w:cs="Times New Roman"/>
          <w:szCs w:val="20"/>
          <w:lang w:val="en-GB" w:eastAsia="en-GB"/>
        </w:rPr>
        <w:t>Mandatory</w:t>
      </w:r>
      <w:r w:rsidR="002722E6">
        <w:rPr>
          <w:rFonts w:eastAsia="Times New Roman" w:cs="Times New Roman"/>
          <w:szCs w:val="20"/>
          <w:lang w:val="en-GB" w:eastAsia="en-GB"/>
        </w:rPr>
        <w:t xml:space="preserve"> registration</w:t>
      </w:r>
      <w:r w:rsidR="00785B3E">
        <w:rPr>
          <w:rFonts w:eastAsia="Times New Roman" w:cs="Times New Roman"/>
          <w:szCs w:val="20"/>
          <w:lang w:val="en-GB" w:eastAsia="en-GB"/>
        </w:rPr>
        <w:t xml:space="preserve"> </w:t>
      </w:r>
      <w:r>
        <w:rPr>
          <w:rFonts w:eastAsia="Times New Roman" w:cs="Times New Roman"/>
          <w:szCs w:val="20"/>
          <w:lang w:val="en-GB" w:eastAsia="en-GB"/>
        </w:rPr>
        <w:t>of</w:t>
      </w:r>
      <w:r w:rsidR="00785B3E">
        <w:rPr>
          <w:rFonts w:eastAsia="Times New Roman" w:cs="Times New Roman"/>
          <w:szCs w:val="20"/>
          <w:lang w:val="en-GB" w:eastAsia="en-GB"/>
        </w:rPr>
        <w:t xml:space="preserve"> social work</w:t>
      </w:r>
      <w:r>
        <w:rPr>
          <w:rFonts w:eastAsia="Times New Roman" w:cs="Times New Roman"/>
          <w:szCs w:val="20"/>
          <w:lang w:val="en-GB" w:eastAsia="en-GB"/>
        </w:rPr>
        <w:t>ers</w:t>
      </w:r>
      <w:r w:rsidR="00785B3E">
        <w:rPr>
          <w:rFonts w:eastAsia="Times New Roman" w:cs="Times New Roman"/>
          <w:szCs w:val="20"/>
          <w:lang w:val="en-GB" w:eastAsia="en-GB"/>
        </w:rPr>
        <w:t xml:space="preserve"> </w:t>
      </w:r>
      <w:r>
        <w:rPr>
          <w:rFonts w:eastAsia="Times New Roman" w:cs="Times New Roman"/>
          <w:szCs w:val="20"/>
          <w:lang w:val="en-GB" w:eastAsia="en-GB"/>
        </w:rPr>
        <w:t>will constrain the flexibility that employers of social workers have had in making appointments, and will affect aspects of their employees’ working conditions (</w:t>
      </w:r>
      <w:r w:rsidR="00340B40">
        <w:rPr>
          <w:rFonts w:eastAsia="Times New Roman" w:cs="Times New Roman"/>
          <w:szCs w:val="20"/>
          <w:lang w:val="en-GB" w:eastAsia="en-GB"/>
        </w:rPr>
        <w:t>eg</w:t>
      </w:r>
      <w:r>
        <w:rPr>
          <w:rFonts w:eastAsia="Times New Roman" w:cs="Times New Roman"/>
          <w:szCs w:val="20"/>
          <w:lang w:val="en-GB" w:eastAsia="en-GB"/>
        </w:rPr>
        <w:t xml:space="preserve"> continuing professional development requirements). </w:t>
      </w:r>
      <w:r w:rsidR="00785B3E">
        <w:rPr>
          <w:rFonts w:eastAsia="Times New Roman" w:cs="Times New Roman"/>
          <w:szCs w:val="20"/>
          <w:lang w:val="en-GB" w:eastAsia="en-GB"/>
        </w:rPr>
        <w:t xml:space="preserve"> </w:t>
      </w:r>
      <w:r>
        <w:rPr>
          <w:rFonts w:eastAsia="Times New Roman" w:cs="Times New Roman"/>
          <w:szCs w:val="20"/>
          <w:lang w:val="en-GB" w:eastAsia="en-GB"/>
        </w:rPr>
        <w:t>We therefore recommend that the criteria for appointment to the Board be amended to explicitly include someone who can represent the interests of employers of social workers.</w:t>
      </w:r>
    </w:p>
    <w:p w:rsidR="00A00008" w:rsidRPr="00502AE9" w:rsidRDefault="00A00008" w:rsidP="00177E1D">
      <w:pPr>
        <w:numPr>
          <w:ilvl w:val="0"/>
          <w:numId w:val="8"/>
        </w:numPr>
        <w:tabs>
          <w:tab w:val="num" w:pos="1440"/>
        </w:tabs>
        <w:spacing w:after="240" w:line="240" w:lineRule="auto"/>
        <w:ind w:left="567" w:hanging="567"/>
        <w:rPr>
          <w:rFonts w:eastAsia="Times New Roman"/>
          <w:color w:val="000000"/>
          <w:kern w:val="22"/>
          <w:szCs w:val="20"/>
          <w:lang w:eastAsia="en-NZ"/>
        </w:rPr>
      </w:pPr>
      <w:r>
        <w:rPr>
          <w:rFonts w:eastAsia="Times New Roman" w:cs="Times New Roman"/>
          <w:szCs w:val="20"/>
          <w:lang w:val="en-GB" w:eastAsia="en-GB"/>
        </w:rPr>
        <w:t xml:space="preserve">Additionally, </w:t>
      </w:r>
      <w:r w:rsidR="00785B3E">
        <w:rPr>
          <w:rFonts w:eastAsia="Times New Roman" w:cs="Times New Roman"/>
          <w:szCs w:val="20"/>
          <w:lang w:val="en-GB" w:eastAsia="en-GB"/>
        </w:rPr>
        <w:t xml:space="preserve">we note </w:t>
      </w:r>
      <w:r>
        <w:rPr>
          <w:rFonts w:eastAsia="Times New Roman" w:cs="Times New Roman"/>
          <w:szCs w:val="20"/>
          <w:lang w:val="en-GB" w:eastAsia="en-GB"/>
        </w:rPr>
        <w:t xml:space="preserve">the reorganisation of </w:t>
      </w:r>
      <w:r w:rsidR="00D17A08">
        <w:rPr>
          <w:rFonts w:eastAsia="Times New Roman" w:cs="Times New Roman"/>
          <w:szCs w:val="20"/>
          <w:lang w:val="en-GB" w:eastAsia="en-GB"/>
        </w:rPr>
        <w:t>CYF</w:t>
      </w:r>
      <w:r>
        <w:rPr>
          <w:rFonts w:eastAsia="Times New Roman" w:cs="Times New Roman"/>
          <w:szCs w:val="20"/>
          <w:lang w:val="en-GB" w:eastAsia="en-GB"/>
        </w:rPr>
        <w:t xml:space="preserve"> into </w:t>
      </w:r>
      <w:r w:rsidR="001913C7">
        <w:rPr>
          <w:rFonts w:eastAsia="Times New Roman" w:cs="Times New Roman"/>
          <w:szCs w:val="20"/>
          <w:lang w:val="en-GB" w:eastAsia="en-GB"/>
        </w:rPr>
        <w:t xml:space="preserve">the </w:t>
      </w:r>
      <w:r w:rsidR="001913C7" w:rsidRPr="007A6992">
        <w:rPr>
          <w:rFonts w:eastAsia="Times New Roman"/>
          <w:szCs w:val="20"/>
          <w:lang w:val="en-GB" w:eastAsia="en-GB"/>
        </w:rPr>
        <w:t>Ministry for Vulne</w:t>
      </w:r>
      <w:r w:rsidR="00775BF5">
        <w:rPr>
          <w:rFonts w:eastAsia="Times New Roman"/>
          <w:szCs w:val="20"/>
          <w:lang w:val="en-GB" w:eastAsia="en-GB"/>
        </w:rPr>
        <w:t>rable Children, Oranga Tamariki</w:t>
      </w:r>
      <w:r>
        <w:rPr>
          <w:rFonts w:eastAsia="Times New Roman" w:cs="Times New Roman"/>
          <w:szCs w:val="20"/>
          <w:lang w:val="en-GB" w:eastAsia="en-GB"/>
        </w:rPr>
        <w:t xml:space="preserve"> means that the new Ministry could be represented on the Board.  This has not been possible while </w:t>
      </w:r>
      <w:r w:rsidR="00775BF5">
        <w:rPr>
          <w:rFonts w:eastAsia="Times New Roman" w:cs="Times New Roman"/>
          <w:szCs w:val="20"/>
          <w:lang w:val="en-GB" w:eastAsia="en-GB"/>
        </w:rPr>
        <w:t xml:space="preserve">responsibility for </w:t>
      </w:r>
      <w:r>
        <w:rPr>
          <w:rFonts w:eastAsia="Times New Roman" w:cs="Times New Roman"/>
          <w:szCs w:val="20"/>
          <w:lang w:val="en-GB" w:eastAsia="en-GB"/>
        </w:rPr>
        <w:t xml:space="preserve">care and protection social work fell within </w:t>
      </w:r>
      <w:r w:rsidR="002A1508">
        <w:rPr>
          <w:rFonts w:eastAsia="Times New Roman" w:cs="Times New Roman"/>
          <w:szCs w:val="20"/>
          <w:lang w:val="en-GB" w:eastAsia="en-GB"/>
        </w:rPr>
        <w:t>MSD</w:t>
      </w:r>
      <w:r>
        <w:rPr>
          <w:rFonts w:eastAsia="Times New Roman" w:cs="Times New Roman"/>
          <w:szCs w:val="20"/>
          <w:lang w:val="en-GB" w:eastAsia="en-GB"/>
        </w:rPr>
        <w:t>, because its position as administrator of the SWR Act was justifiably seen as presenting a conflict of interest.</w:t>
      </w:r>
      <w:r w:rsidR="00284D85">
        <w:rPr>
          <w:rFonts w:eastAsia="Times New Roman" w:cs="Times New Roman"/>
          <w:szCs w:val="20"/>
          <w:lang w:val="en-GB" w:eastAsia="en-GB"/>
        </w:rPr>
        <w:t xml:space="preserve">  </w:t>
      </w:r>
    </w:p>
    <w:p w:rsidR="00502AE9" w:rsidRPr="00785B3E" w:rsidRDefault="00502AE9" w:rsidP="00177E1D">
      <w:pPr>
        <w:numPr>
          <w:ilvl w:val="0"/>
          <w:numId w:val="8"/>
        </w:numPr>
        <w:tabs>
          <w:tab w:val="num" w:pos="1440"/>
        </w:tabs>
        <w:spacing w:after="240" w:line="240" w:lineRule="auto"/>
        <w:ind w:left="567" w:hanging="567"/>
        <w:rPr>
          <w:rFonts w:eastAsia="Times New Roman"/>
          <w:color w:val="000000"/>
          <w:kern w:val="22"/>
          <w:szCs w:val="20"/>
          <w:lang w:eastAsia="en-NZ"/>
        </w:rPr>
      </w:pPr>
      <w:r>
        <w:rPr>
          <w:rFonts w:eastAsia="Times New Roman" w:cs="Times New Roman"/>
          <w:szCs w:val="20"/>
          <w:lang w:val="en-GB" w:eastAsia="en-GB"/>
        </w:rPr>
        <w:t>Reduction of the size of the Board from ten to seven members has been proposed – this reflects good governance principles.</w:t>
      </w:r>
    </w:p>
    <w:p w:rsidR="004E2FF1" w:rsidRPr="00027F1E" w:rsidRDefault="004E2FF1" w:rsidP="004E2FF1">
      <w:pPr>
        <w:spacing w:after="240" w:line="240" w:lineRule="auto"/>
        <w:rPr>
          <w:rFonts w:eastAsia="Times New Roman" w:cs="Times New Roman"/>
          <w:i/>
          <w:szCs w:val="20"/>
          <w:lang w:val="en-GB" w:eastAsia="en-GB"/>
        </w:rPr>
      </w:pPr>
      <w:r>
        <w:rPr>
          <w:rFonts w:eastAsia="Times New Roman" w:cs="Times New Roman"/>
          <w:i/>
          <w:szCs w:val="20"/>
          <w:lang w:val="en-GB" w:eastAsia="en-GB"/>
        </w:rPr>
        <w:t xml:space="preserve">Introduction of </w:t>
      </w:r>
      <w:r w:rsidR="00880C50">
        <w:rPr>
          <w:rFonts w:eastAsia="Times New Roman" w:cs="Times New Roman"/>
          <w:i/>
          <w:szCs w:val="20"/>
          <w:lang w:val="en-GB" w:eastAsia="en-GB"/>
        </w:rPr>
        <w:t>q</w:t>
      </w:r>
      <w:r>
        <w:rPr>
          <w:rFonts w:eastAsia="Times New Roman" w:cs="Times New Roman"/>
          <w:i/>
          <w:szCs w:val="20"/>
          <w:lang w:val="en-GB" w:eastAsia="en-GB"/>
        </w:rPr>
        <w:t>ualification principles</w:t>
      </w:r>
    </w:p>
    <w:p w:rsidR="004E2FF1" w:rsidRDefault="004E2FF1" w:rsidP="004E2FF1">
      <w:pPr>
        <w:numPr>
          <w:ilvl w:val="0"/>
          <w:numId w:val="8"/>
        </w:numPr>
        <w:tabs>
          <w:tab w:val="num" w:pos="1440"/>
        </w:tabs>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A risk which can occur with occupational regulation is that of </w:t>
      </w:r>
      <w:r w:rsidR="00DF4203">
        <w:rPr>
          <w:rFonts w:eastAsia="Times New Roman" w:cs="Times New Roman"/>
          <w:szCs w:val="20"/>
          <w:lang w:val="en-GB" w:eastAsia="en-GB"/>
        </w:rPr>
        <w:t>“</w:t>
      </w:r>
      <w:r>
        <w:rPr>
          <w:rFonts w:eastAsia="Times New Roman" w:cs="Times New Roman"/>
          <w:szCs w:val="20"/>
          <w:lang w:val="en-GB" w:eastAsia="en-GB"/>
        </w:rPr>
        <w:t>over-credentialing</w:t>
      </w:r>
      <w:r w:rsidR="00DF4203">
        <w:rPr>
          <w:rFonts w:eastAsia="Times New Roman" w:cs="Times New Roman"/>
          <w:szCs w:val="20"/>
          <w:lang w:val="en-GB" w:eastAsia="en-GB"/>
        </w:rPr>
        <w:t>”</w:t>
      </w:r>
      <w:r>
        <w:rPr>
          <w:rFonts w:eastAsia="Times New Roman" w:cs="Times New Roman"/>
          <w:szCs w:val="20"/>
          <w:lang w:val="en-GB" w:eastAsia="en-GB"/>
        </w:rPr>
        <w:t xml:space="preserve"> - setting too high an entry level which unnecessarily restricts entry to a profession.  Currently the Board</w:t>
      </w:r>
      <w:r w:rsidR="008A193B">
        <w:rPr>
          <w:rFonts w:eastAsia="Times New Roman" w:cs="Times New Roman"/>
          <w:szCs w:val="20"/>
          <w:lang w:val="en-GB" w:eastAsia="en-GB"/>
        </w:rPr>
        <w:t>’s practice is</w:t>
      </w:r>
      <w:r w:rsidR="005970B3">
        <w:rPr>
          <w:rFonts w:eastAsia="Times New Roman" w:cs="Times New Roman"/>
          <w:szCs w:val="20"/>
          <w:lang w:val="en-GB" w:eastAsia="en-GB"/>
        </w:rPr>
        <w:t xml:space="preserve"> to </w:t>
      </w:r>
      <w:r>
        <w:rPr>
          <w:rFonts w:eastAsia="Times New Roman" w:cs="Times New Roman"/>
          <w:szCs w:val="20"/>
          <w:lang w:val="en-GB" w:eastAsia="en-GB"/>
        </w:rPr>
        <w:t xml:space="preserve">consult widely before setting the qualification </w:t>
      </w:r>
      <w:r>
        <w:rPr>
          <w:rFonts w:eastAsia="Times New Roman" w:cs="Times New Roman"/>
          <w:szCs w:val="20"/>
          <w:lang w:val="en-GB" w:eastAsia="en-GB"/>
        </w:rPr>
        <w:lastRenderedPageBreak/>
        <w:t xml:space="preserve">criteria for registration, but a shift to mandatory registration may give rise to concerns about over-credentialing or lack of transparency.  </w:t>
      </w:r>
    </w:p>
    <w:p w:rsidR="004E2FF1" w:rsidRPr="005975B2" w:rsidRDefault="005975B2" w:rsidP="005975B2">
      <w:pPr>
        <w:numPr>
          <w:ilvl w:val="0"/>
          <w:numId w:val="8"/>
        </w:numPr>
        <w:tabs>
          <w:tab w:val="num" w:pos="1440"/>
        </w:tabs>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w:t>
      </w:r>
      <w:r w:rsidR="004E2FF1" w:rsidRPr="00240E4E">
        <w:rPr>
          <w:rFonts w:eastAsia="Times New Roman" w:cs="Times New Roman"/>
          <w:szCs w:val="20"/>
          <w:lang w:val="en-GB" w:eastAsia="en-GB"/>
        </w:rPr>
        <w:t xml:space="preserve">he </w:t>
      </w:r>
      <w:r>
        <w:rPr>
          <w:rFonts w:eastAsia="Times New Roman" w:cs="Times New Roman"/>
          <w:szCs w:val="20"/>
          <w:lang w:val="en-GB" w:eastAsia="en-GB"/>
        </w:rPr>
        <w:t>HPCA</w:t>
      </w:r>
      <w:r w:rsidR="004E2FF1" w:rsidRPr="00240E4E">
        <w:rPr>
          <w:rFonts w:eastAsia="Times New Roman" w:cs="Times New Roman"/>
          <w:szCs w:val="20"/>
          <w:lang w:val="en-GB" w:eastAsia="en-GB"/>
        </w:rPr>
        <w:t xml:space="preserve"> Act </w:t>
      </w:r>
      <w:r>
        <w:rPr>
          <w:rFonts w:eastAsia="Times New Roman" w:cs="Times New Roman"/>
          <w:szCs w:val="20"/>
          <w:lang w:val="en-GB" w:eastAsia="en-GB"/>
        </w:rPr>
        <w:t xml:space="preserve">provides a possible model to address such concerns.  It </w:t>
      </w:r>
      <w:r w:rsidR="004E2FF1">
        <w:rPr>
          <w:rFonts w:eastAsia="Times New Roman" w:cs="Times New Roman"/>
          <w:szCs w:val="20"/>
          <w:lang w:val="en-GB" w:eastAsia="en-GB"/>
        </w:rPr>
        <w:t>has</w:t>
      </w:r>
      <w:r w:rsidR="004E2FF1" w:rsidRPr="00240E4E">
        <w:rPr>
          <w:rFonts w:eastAsia="Times New Roman" w:cs="Times New Roman"/>
          <w:szCs w:val="20"/>
          <w:lang w:val="en-GB" w:eastAsia="en-GB"/>
        </w:rPr>
        <w:t xml:space="preserve"> three key principles to govern prescription of qualifications</w:t>
      </w:r>
      <w:r w:rsidR="004E2FF1">
        <w:rPr>
          <w:rFonts w:eastAsia="Times New Roman" w:cs="Times New Roman"/>
          <w:szCs w:val="20"/>
          <w:lang w:val="en-GB" w:eastAsia="en-GB"/>
        </w:rPr>
        <w:t>.  Prescribed qualifications must</w:t>
      </w:r>
      <w:r w:rsidR="004E2FF1" w:rsidRPr="00240E4E">
        <w:rPr>
          <w:rFonts w:eastAsia="Times New Roman" w:cs="Times New Roman"/>
          <w:szCs w:val="20"/>
          <w:lang w:val="en-GB" w:eastAsia="en-GB"/>
        </w:rPr>
        <w:t xml:space="preserve">: </w:t>
      </w:r>
      <w:r w:rsidR="004E2FF1">
        <w:rPr>
          <w:rFonts w:eastAsia="Times New Roman" w:cs="Times New Roman"/>
          <w:szCs w:val="20"/>
          <w:lang w:val="en-GB" w:eastAsia="en-GB"/>
        </w:rPr>
        <w:t>be</w:t>
      </w:r>
      <w:r w:rsidR="004E2FF1" w:rsidRPr="00240E4E">
        <w:rPr>
          <w:rFonts w:eastAsia="Times New Roman" w:cs="Times New Roman"/>
          <w:szCs w:val="20"/>
          <w:lang w:val="en-GB" w:eastAsia="en-GB"/>
        </w:rPr>
        <w:t xml:space="preserve"> necessary to protect members of the public; not unnecessarily restrict the registration of persons as health practitioners; </w:t>
      </w:r>
      <w:r w:rsidR="004E2FF1">
        <w:rPr>
          <w:rFonts w:eastAsia="Times New Roman" w:cs="Times New Roman"/>
          <w:szCs w:val="20"/>
          <w:lang w:val="en-GB" w:eastAsia="en-GB"/>
        </w:rPr>
        <w:t xml:space="preserve">and </w:t>
      </w:r>
      <w:r w:rsidR="004E2FF1" w:rsidRPr="00240E4E">
        <w:rPr>
          <w:rFonts w:eastAsia="Times New Roman" w:cs="Times New Roman"/>
          <w:szCs w:val="20"/>
          <w:lang w:val="en-GB" w:eastAsia="en-GB"/>
        </w:rPr>
        <w:t xml:space="preserve">not impose undue costs on practitioners or the public. </w:t>
      </w:r>
      <w:r w:rsidR="004E2FF1">
        <w:rPr>
          <w:rFonts w:eastAsia="Times New Roman" w:cs="Times New Roman"/>
          <w:szCs w:val="20"/>
          <w:lang w:val="en-GB" w:eastAsia="en-GB"/>
        </w:rPr>
        <w:t xml:space="preserve"> These principles would be</w:t>
      </w:r>
      <w:r w:rsidR="004E2FF1" w:rsidRPr="00240E4E">
        <w:rPr>
          <w:rFonts w:eastAsia="Times New Roman" w:cs="Times New Roman"/>
          <w:szCs w:val="20"/>
          <w:lang w:val="en-GB" w:eastAsia="en-GB"/>
        </w:rPr>
        <w:t xml:space="preserve"> intended to </w:t>
      </w:r>
      <w:r w:rsidR="004E2FF1">
        <w:rPr>
          <w:rFonts w:eastAsia="Times New Roman" w:cs="Times New Roman"/>
          <w:szCs w:val="20"/>
          <w:lang w:val="en-GB" w:eastAsia="en-GB"/>
        </w:rPr>
        <w:t>guide</w:t>
      </w:r>
      <w:r w:rsidR="004E2FF1" w:rsidRPr="00240E4E">
        <w:rPr>
          <w:rFonts w:eastAsia="Times New Roman" w:cs="Times New Roman"/>
          <w:szCs w:val="20"/>
          <w:lang w:val="en-GB" w:eastAsia="en-GB"/>
        </w:rPr>
        <w:t xml:space="preserve"> the exercise of the </w:t>
      </w:r>
      <w:r w:rsidR="004E2FF1">
        <w:rPr>
          <w:rFonts w:eastAsia="Times New Roman" w:cs="Times New Roman"/>
          <w:szCs w:val="20"/>
          <w:lang w:val="en-GB" w:eastAsia="en-GB"/>
        </w:rPr>
        <w:t>Board</w:t>
      </w:r>
      <w:r w:rsidR="004E2FF1" w:rsidRPr="00240E4E">
        <w:rPr>
          <w:rFonts w:eastAsia="Times New Roman" w:cs="Times New Roman"/>
          <w:szCs w:val="20"/>
          <w:lang w:val="en-GB" w:eastAsia="en-GB"/>
        </w:rPr>
        <w:t>’s discretion</w:t>
      </w:r>
      <w:r w:rsidR="004E2FF1">
        <w:rPr>
          <w:rFonts w:eastAsia="Times New Roman" w:cs="Times New Roman"/>
          <w:szCs w:val="20"/>
          <w:lang w:val="en-GB" w:eastAsia="en-GB"/>
        </w:rPr>
        <w:t xml:space="preserve"> and</w:t>
      </w:r>
      <w:r w:rsidR="004E2FF1" w:rsidRPr="00240E4E">
        <w:rPr>
          <w:rFonts w:eastAsia="Times New Roman" w:cs="Times New Roman"/>
          <w:szCs w:val="20"/>
          <w:lang w:val="en-GB" w:eastAsia="en-GB"/>
        </w:rPr>
        <w:t xml:space="preserve"> </w:t>
      </w:r>
      <w:r>
        <w:rPr>
          <w:rFonts w:eastAsia="Times New Roman" w:cs="Times New Roman"/>
          <w:szCs w:val="20"/>
          <w:lang w:val="en-GB" w:eastAsia="en-GB"/>
        </w:rPr>
        <w:t>ensure a full range of factors relevant to the sector were taken into account</w:t>
      </w:r>
      <w:r w:rsidR="004E2FF1" w:rsidRPr="00240E4E">
        <w:rPr>
          <w:rFonts w:eastAsia="Times New Roman" w:cs="Times New Roman"/>
          <w:szCs w:val="20"/>
          <w:lang w:val="en-GB" w:eastAsia="en-GB"/>
        </w:rPr>
        <w:t>.</w:t>
      </w:r>
    </w:p>
    <w:p w:rsidR="00A00008" w:rsidRPr="00D540DE" w:rsidRDefault="00A00008" w:rsidP="002703CE">
      <w:pPr>
        <w:spacing w:after="240"/>
        <w:outlineLvl w:val="2"/>
        <w:rPr>
          <w:rFonts w:eastAsia="Times New Roman" w:cs="Times New Roman"/>
          <w:b/>
          <w:sz w:val="24"/>
          <w:szCs w:val="24"/>
          <w:lang w:val="en-GB" w:eastAsia="en-GB"/>
        </w:rPr>
      </w:pPr>
      <w:bookmarkStart w:id="59" w:name="_Toc479611998"/>
      <w:bookmarkStart w:id="60" w:name="_Toc520457892"/>
      <w:r w:rsidRPr="00D540DE">
        <w:rPr>
          <w:rFonts w:eastAsia="Times New Roman" w:cs="Times New Roman"/>
          <w:b/>
          <w:sz w:val="24"/>
          <w:szCs w:val="24"/>
          <w:lang w:val="en-GB" w:eastAsia="en-GB"/>
        </w:rPr>
        <w:t xml:space="preserve">Experience based pathway to registration </w:t>
      </w:r>
      <w:r>
        <w:rPr>
          <w:rFonts w:eastAsia="Times New Roman" w:cs="Times New Roman"/>
          <w:b/>
          <w:sz w:val="24"/>
          <w:szCs w:val="24"/>
          <w:lang w:val="en-GB" w:eastAsia="en-GB"/>
        </w:rPr>
        <w:t>(</w:t>
      </w:r>
      <w:r w:rsidRPr="00D540DE">
        <w:rPr>
          <w:rFonts w:eastAsia="Times New Roman" w:cs="Times New Roman"/>
          <w:b/>
          <w:sz w:val="24"/>
          <w:szCs w:val="24"/>
          <w:lang w:val="en-GB" w:eastAsia="en-GB"/>
        </w:rPr>
        <w:t>Section13</w:t>
      </w:r>
      <w:r>
        <w:rPr>
          <w:rFonts w:eastAsia="Times New Roman" w:cs="Times New Roman"/>
          <w:b/>
          <w:sz w:val="24"/>
          <w:szCs w:val="24"/>
          <w:lang w:val="en-GB" w:eastAsia="en-GB"/>
        </w:rPr>
        <w:t>)</w:t>
      </w:r>
      <w:bookmarkEnd w:id="59"/>
      <w:bookmarkEnd w:id="60"/>
    </w:p>
    <w:p w:rsidR="00A00008" w:rsidRPr="00D540DE" w:rsidRDefault="00A00008" w:rsidP="00177E1D">
      <w:pPr>
        <w:spacing w:after="240" w:line="240" w:lineRule="auto"/>
        <w:rPr>
          <w:rFonts w:eastAsia="Times New Roman" w:cs="Times New Roman"/>
          <w:i/>
          <w:szCs w:val="20"/>
          <w:lang w:val="en-GB" w:eastAsia="en-GB"/>
        </w:rPr>
      </w:pPr>
      <w:r w:rsidRPr="00D540DE">
        <w:rPr>
          <w:rFonts w:eastAsia="Times New Roman" w:cs="Times New Roman"/>
          <w:i/>
          <w:szCs w:val="20"/>
          <w:lang w:val="en-GB" w:eastAsia="en-GB"/>
        </w:rPr>
        <w:t xml:space="preserve">Status </w:t>
      </w:r>
      <w:r>
        <w:rPr>
          <w:rFonts w:eastAsia="Times New Roman" w:cs="Times New Roman"/>
          <w:i/>
          <w:szCs w:val="20"/>
          <w:lang w:val="en-GB" w:eastAsia="en-GB"/>
        </w:rPr>
        <w:t>q</w:t>
      </w:r>
      <w:r w:rsidRPr="00D540DE">
        <w:rPr>
          <w:rFonts w:eastAsia="Times New Roman" w:cs="Times New Roman"/>
          <w:i/>
          <w:szCs w:val="20"/>
          <w:lang w:val="en-GB" w:eastAsia="en-GB"/>
        </w:rPr>
        <w:t>uo</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456129">
        <w:rPr>
          <w:rFonts w:eastAsia="Times New Roman" w:cs="Times New Roman"/>
          <w:szCs w:val="20"/>
          <w:lang w:val="en-GB" w:eastAsia="en-GB"/>
        </w:rPr>
        <w:t xml:space="preserve">Section 13 of </w:t>
      </w:r>
      <w:r w:rsidR="00CC7880">
        <w:rPr>
          <w:rFonts w:eastAsia="Times New Roman" w:cs="Times New Roman"/>
          <w:szCs w:val="20"/>
          <w:lang w:val="en-GB" w:eastAsia="en-GB"/>
        </w:rPr>
        <w:t>the SWR Act</w:t>
      </w:r>
      <w:r w:rsidRPr="00456129">
        <w:rPr>
          <w:rFonts w:eastAsia="Times New Roman" w:cs="Times New Roman"/>
          <w:szCs w:val="20"/>
          <w:lang w:val="en-GB" w:eastAsia="en-GB"/>
        </w:rPr>
        <w:t xml:space="preserve"> provides an experience-based pathway to registration for social workers who are competent and fit to practice social work but who do not have a qualification</w:t>
      </w:r>
      <w:r>
        <w:rPr>
          <w:rFonts w:eastAsia="Times New Roman" w:cs="Times New Roman"/>
          <w:szCs w:val="20"/>
          <w:lang w:val="en-GB" w:eastAsia="en-GB"/>
        </w:rPr>
        <w:t xml:space="preserve"> which is recognised by the </w:t>
      </w:r>
      <w:r w:rsidR="007C4074">
        <w:rPr>
          <w:rFonts w:eastAsia="Times New Roman" w:cs="Times New Roman"/>
          <w:szCs w:val="20"/>
          <w:lang w:val="en-GB" w:eastAsia="en-GB"/>
        </w:rPr>
        <w:t>Board</w:t>
      </w:r>
      <w:r>
        <w:rPr>
          <w:rFonts w:eastAsia="Times New Roman" w:cs="Times New Roman"/>
          <w:szCs w:val="20"/>
          <w:lang w:val="en-GB" w:eastAsia="en-GB"/>
        </w:rPr>
        <w:t>.</w:t>
      </w:r>
      <w:r w:rsidRPr="00456129">
        <w:rPr>
          <w:rFonts w:eastAsia="Times New Roman" w:cs="Times New Roman"/>
          <w:szCs w:val="20"/>
          <w:lang w:val="en-GB" w:eastAsia="en-GB"/>
        </w:rPr>
        <w:t xml:space="preserve"> </w:t>
      </w:r>
      <w:r>
        <w:rPr>
          <w:rFonts w:eastAsia="Times New Roman" w:cs="Times New Roman"/>
          <w:szCs w:val="20"/>
          <w:lang w:val="en-GB" w:eastAsia="en-GB"/>
        </w:rPr>
        <w:t xml:space="preserve"> </w:t>
      </w:r>
      <w:r w:rsidRPr="00456129">
        <w:rPr>
          <w:rFonts w:eastAsia="Times New Roman" w:cs="Times New Roman"/>
          <w:szCs w:val="20"/>
          <w:lang w:val="en-GB" w:eastAsia="en-GB"/>
        </w:rPr>
        <w:t>An applicant is req</w:t>
      </w:r>
      <w:r>
        <w:rPr>
          <w:rFonts w:eastAsia="Times New Roman" w:cs="Times New Roman"/>
          <w:szCs w:val="20"/>
          <w:lang w:val="en-GB" w:eastAsia="en-GB"/>
        </w:rPr>
        <w:t>uired to show their experience is “enough to compensate” for the lack of an acceptable qualification.</w:t>
      </w:r>
      <w:r>
        <w:rPr>
          <w:rStyle w:val="FootnoteReference"/>
          <w:rFonts w:eastAsia="Times New Roman" w:cs="Times New Roman"/>
          <w:szCs w:val="20"/>
          <w:lang w:val="en-GB" w:eastAsia="en-GB"/>
        </w:rPr>
        <w:footnoteReference w:id="23"/>
      </w:r>
      <w:r>
        <w:rPr>
          <w:rFonts w:eastAsia="Times New Roman" w:cs="Times New Roman"/>
          <w:szCs w:val="20"/>
          <w:lang w:val="en-GB" w:eastAsia="en-GB"/>
        </w:rPr>
        <w:t xml:space="preserve">  </w:t>
      </w:r>
    </w:p>
    <w:p w:rsidR="00A00008" w:rsidRDefault="007D02C9"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In 2003, s</w:t>
      </w:r>
      <w:r w:rsidR="00A00008">
        <w:rPr>
          <w:rFonts w:eastAsia="Times New Roman" w:cs="Times New Roman"/>
          <w:szCs w:val="20"/>
          <w:lang w:val="en-GB" w:eastAsia="en-GB"/>
        </w:rPr>
        <w:t>ection</w:t>
      </w:r>
      <w:r w:rsidR="00A00008" w:rsidRPr="00456129">
        <w:rPr>
          <w:rFonts w:eastAsia="Times New Roman" w:cs="Times New Roman"/>
          <w:szCs w:val="20"/>
          <w:lang w:val="en-GB" w:eastAsia="en-GB"/>
        </w:rPr>
        <w:t xml:space="preserve"> 13 </w:t>
      </w:r>
      <w:r w:rsidR="00A00008">
        <w:rPr>
          <w:rFonts w:eastAsia="Times New Roman" w:cs="Times New Roman"/>
          <w:szCs w:val="20"/>
          <w:lang w:val="en-GB" w:eastAsia="en-GB"/>
        </w:rPr>
        <w:t>was intended reduce</w:t>
      </w:r>
      <w:r w:rsidR="00A00008" w:rsidRPr="00456129">
        <w:rPr>
          <w:rFonts w:eastAsia="Times New Roman" w:cs="Times New Roman"/>
          <w:szCs w:val="20"/>
          <w:lang w:val="en-GB" w:eastAsia="en-GB"/>
        </w:rPr>
        <w:t xml:space="preserve"> </w:t>
      </w:r>
      <w:r w:rsidR="00A00008">
        <w:rPr>
          <w:rFonts w:eastAsia="Times New Roman" w:cs="Times New Roman"/>
          <w:szCs w:val="20"/>
          <w:lang w:val="en-GB" w:eastAsia="en-GB"/>
        </w:rPr>
        <w:t xml:space="preserve">the risk of serious </w:t>
      </w:r>
      <w:r w:rsidR="00A00008" w:rsidRPr="00456129">
        <w:rPr>
          <w:rFonts w:eastAsia="Times New Roman" w:cs="Times New Roman"/>
          <w:szCs w:val="20"/>
          <w:lang w:val="en-GB" w:eastAsia="en-GB"/>
        </w:rPr>
        <w:t>workforce disruption</w:t>
      </w:r>
      <w:r w:rsidR="004A1894">
        <w:rPr>
          <w:rFonts w:eastAsia="Times New Roman" w:cs="Times New Roman"/>
          <w:szCs w:val="20"/>
          <w:lang w:val="en-GB" w:eastAsia="en-GB"/>
        </w:rPr>
        <w:t xml:space="preserve">, particularly </w:t>
      </w:r>
      <w:r w:rsidR="004A1894">
        <w:rPr>
          <w:szCs w:val="20"/>
          <w:lang w:val="en-GB" w:eastAsia="en-GB"/>
        </w:rPr>
        <w:t>for Child, Youth and Family and some Crown entities such as district health boards and schools</w:t>
      </w:r>
      <w:r w:rsidR="00A00008">
        <w:rPr>
          <w:rFonts w:eastAsia="Times New Roman" w:cs="Times New Roman"/>
          <w:szCs w:val="20"/>
          <w:lang w:val="en-GB" w:eastAsia="en-GB"/>
        </w:rPr>
        <w:t xml:space="preserve">.  It provided a pathway to registration for practising social workers who were sufficiently competent based on experience but who could not reasonably be expected to undertake formal training to gain qualifications.  (Other sections of </w:t>
      </w:r>
      <w:r w:rsidR="00CC7880">
        <w:rPr>
          <w:rFonts w:eastAsia="Times New Roman" w:cs="Times New Roman"/>
          <w:szCs w:val="20"/>
          <w:lang w:val="en-GB" w:eastAsia="en-GB"/>
        </w:rPr>
        <w:t>the SWR Act</w:t>
      </w:r>
      <w:r w:rsidR="00A00008">
        <w:rPr>
          <w:rFonts w:eastAsia="Times New Roman" w:cs="Times New Roman"/>
          <w:szCs w:val="20"/>
          <w:lang w:val="en-GB" w:eastAsia="en-GB"/>
        </w:rPr>
        <w:t xml:space="preserve"> allow provisional registration for practising social workers who are in the process of completing social work qualifications.)</w:t>
      </w:r>
    </w:p>
    <w:p w:rsidR="00A00008" w:rsidRPr="00456129" w:rsidRDefault="00A00008" w:rsidP="005B5FC6">
      <w:pPr>
        <w:numPr>
          <w:ilvl w:val="0"/>
          <w:numId w:val="25"/>
        </w:numPr>
        <w:spacing w:after="240" w:line="240" w:lineRule="auto"/>
        <w:ind w:left="567" w:hanging="567"/>
        <w:rPr>
          <w:rFonts w:eastAsia="Times New Roman" w:cs="Times New Roman"/>
          <w:szCs w:val="20"/>
          <w:lang w:val="en-GB" w:eastAsia="en-GB"/>
        </w:rPr>
      </w:pPr>
      <w:r w:rsidRPr="00F74626">
        <w:rPr>
          <w:rFonts w:eastAsia="Times New Roman" w:cs="Times New Roman"/>
          <w:szCs w:val="20"/>
          <w:lang w:val="en-GB" w:eastAsia="en-GB"/>
        </w:rPr>
        <w:t>One hundred and twenty-four people have</w:t>
      </w:r>
      <w:r w:rsidRPr="00271EF5">
        <w:rPr>
          <w:rFonts w:eastAsia="Times New Roman" w:cs="Times New Roman"/>
          <w:szCs w:val="20"/>
          <w:lang w:val="en-GB" w:eastAsia="en-GB"/>
        </w:rPr>
        <w:t xml:space="preserve"> </w:t>
      </w:r>
      <w:r>
        <w:rPr>
          <w:rFonts w:eastAsia="Times New Roman" w:cs="Times New Roman"/>
          <w:szCs w:val="20"/>
          <w:lang w:val="en-GB" w:eastAsia="en-GB"/>
        </w:rPr>
        <w:t xml:space="preserve">been </w:t>
      </w:r>
      <w:r w:rsidRPr="00271EF5">
        <w:rPr>
          <w:rFonts w:eastAsia="Times New Roman" w:cs="Times New Roman"/>
          <w:szCs w:val="20"/>
          <w:lang w:val="en-GB" w:eastAsia="en-GB"/>
        </w:rPr>
        <w:t>registered under s</w:t>
      </w:r>
      <w:r>
        <w:rPr>
          <w:rFonts w:eastAsia="Times New Roman" w:cs="Times New Roman"/>
          <w:szCs w:val="20"/>
          <w:lang w:val="en-GB" w:eastAsia="en-GB"/>
        </w:rPr>
        <w:t>ection</w:t>
      </w:r>
      <w:r w:rsidRPr="00271EF5">
        <w:rPr>
          <w:rFonts w:eastAsia="Times New Roman" w:cs="Times New Roman"/>
          <w:szCs w:val="20"/>
          <w:lang w:val="en-GB" w:eastAsia="en-GB"/>
        </w:rPr>
        <w:t xml:space="preserve"> 13 since 2003</w:t>
      </w:r>
      <w:r>
        <w:rPr>
          <w:rFonts w:eastAsia="Times New Roman" w:cs="Times New Roman"/>
          <w:szCs w:val="20"/>
          <w:lang w:val="en-GB" w:eastAsia="en-GB"/>
        </w:rPr>
        <w:t xml:space="preserve">.  </w:t>
      </w:r>
      <w:r w:rsidRPr="00456129">
        <w:rPr>
          <w:rFonts w:eastAsia="Times New Roman" w:cs="Times New Roman"/>
          <w:szCs w:val="20"/>
          <w:lang w:val="en-GB" w:eastAsia="en-GB"/>
        </w:rPr>
        <w:t xml:space="preserve">Although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sidRPr="00456129">
        <w:rPr>
          <w:rFonts w:eastAsia="Times New Roman" w:cs="Times New Roman"/>
          <w:szCs w:val="20"/>
          <w:lang w:val="en-GB" w:eastAsia="en-GB"/>
        </w:rPr>
        <w:t xml:space="preserve">considers applicants on a case-by-case basis, it generally expects applicants to have been practising since before </w:t>
      </w:r>
      <w:r>
        <w:rPr>
          <w:rFonts w:eastAsia="Times New Roman" w:cs="Times New Roman"/>
          <w:szCs w:val="20"/>
          <w:lang w:val="en-GB" w:eastAsia="en-GB"/>
        </w:rPr>
        <w:t xml:space="preserve">2003 to be considered eligible, on the basis that section 13 is a grand-parenting provision.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Pr>
          <w:rFonts w:eastAsia="Times New Roman" w:cs="Times New Roman"/>
          <w:szCs w:val="20"/>
          <w:lang w:val="en-GB" w:eastAsia="en-GB"/>
        </w:rPr>
        <w:t xml:space="preserve">policy reflects an expectation </w:t>
      </w:r>
      <w:r w:rsidRPr="00456129">
        <w:rPr>
          <w:rFonts w:eastAsia="Times New Roman" w:cs="Times New Roman"/>
          <w:szCs w:val="20"/>
          <w:lang w:val="en-GB" w:eastAsia="en-GB"/>
        </w:rPr>
        <w:t xml:space="preserve">that anyone who began </w:t>
      </w:r>
      <w:r>
        <w:rPr>
          <w:rFonts w:eastAsia="Times New Roman" w:cs="Times New Roman"/>
          <w:szCs w:val="20"/>
          <w:lang w:val="en-GB" w:eastAsia="en-GB"/>
        </w:rPr>
        <w:t>practising</w:t>
      </w:r>
      <w:r w:rsidRPr="00456129">
        <w:rPr>
          <w:rFonts w:eastAsia="Times New Roman" w:cs="Times New Roman"/>
          <w:szCs w:val="20"/>
          <w:lang w:val="en-GB" w:eastAsia="en-GB"/>
        </w:rPr>
        <w:t xml:space="preserve"> after 2003 should ho</w:t>
      </w:r>
      <w:r>
        <w:rPr>
          <w:rFonts w:eastAsia="Times New Roman" w:cs="Times New Roman"/>
          <w:szCs w:val="20"/>
          <w:lang w:val="en-GB" w:eastAsia="en-GB"/>
        </w:rPr>
        <w:t>ld appropriate qualifications.  Assessment of experience has also been rigorous to ensure applicants do have the necessary depth and breadth of skills.</w:t>
      </w:r>
    </w:p>
    <w:p w:rsidR="00A00008" w:rsidRPr="004C2B01"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In order to reflect the growing expectation that social workers be professionally qualified, the </w:t>
      </w:r>
      <w:r w:rsidR="00101F12">
        <w:rPr>
          <w:rFonts w:eastAsia="Times New Roman" w:cs="Times New Roman"/>
          <w:szCs w:val="20"/>
          <w:lang w:val="en-GB" w:eastAsia="en-GB"/>
        </w:rPr>
        <w:t>Select</w:t>
      </w:r>
      <w:r>
        <w:rPr>
          <w:rFonts w:eastAsia="Times New Roman" w:cs="Times New Roman"/>
          <w:szCs w:val="20"/>
          <w:lang w:val="en-GB" w:eastAsia="en-GB"/>
        </w:rPr>
        <w:t xml:space="preserve"> Committee recommended the repeal of section 13 with a one</w:t>
      </w:r>
      <w:r w:rsidR="007C4074">
        <w:rPr>
          <w:rFonts w:eastAsia="Times New Roman" w:cs="Times New Roman"/>
          <w:szCs w:val="20"/>
          <w:lang w:val="en-GB" w:eastAsia="en-GB"/>
        </w:rPr>
        <w:t xml:space="preserve"> </w:t>
      </w:r>
      <w:r>
        <w:rPr>
          <w:rFonts w:eastAsia="Times New Roman" w:cs="Times New Roman"/>
          <w:szCs w:val="20"/>
          <w:lang w:val="en-GB" w:eastAsia="en-GB"/>
        </w:rPr>
        <w:t xml:space="preserve">year transition period.  Officials have also considered whether an alternative grand-parenting provision designed to address unique issues facing the </w:t>
      </w:r>
      <w:r w:rsidR="00880C50">
        <w:rPr>
          <w:rFonts w:eastAsia="Times New Roman" w:cs="Times New Roman"/>
          <w:szCs w:val="20"/>
          <w:lang w:val="en-GB" w:eastAsia="en-GB"/>
        </w:rPr>
        <w:t>NGO sector</w:t>
      </w:r>
      <w:r>
        <w:rPr>
          <w:rFonts w:eastAsia="Times New Roman" w:cs="Times New Roman"/>
          <w:szCs w:val="20"/>
          <w:lang w:val="en-GB" w:eastAsia="en-GB"/>
        </w:rPr>
        <w:t xml:space="preserve">, for up to two years, would be useful to minimise workforce disruption.  </w:t>
      </w:r>
      <w:r w:rsidRPr="00456129">
        <w:rPr>
          <w:rFonts w:eastAsia="Times New Roman" w:cs="Times New Roman"/>
          <w:szCs w:val="20"/>
          <w:lang w:val="en-GB" w:eastAsia="en-GB"/>
        </w:rPr>
        <w:t xml:space="preserve">Neither option is intended to affect the validity of registrations on the basis of </w:t>
      </w:r>
      <w:r>
        <w:rPr>
          <w:rFonts w:eastAsia="Times New Roman" w:cs="Times New Roman"/>
          <w:szCs w:val="20"/>
          <w:lang w:val="en-GB" w:eastAsia="en-GB"/>
        </w:rPr>
        <w:t>section</w:t>
      </w:r>
      <w:r w:rsidRPr="00456129">
        <w:rPr>
          <w:rFonts w:eastAsia="Times New Roman" w:cs="Times New Roman"/>
          <w:szCs w:val="20"/>
          <w:lang w:val="en-GB" w:eastAsia="en-GB"/>
        </w:rPr>
        <w:t xml:space="preserve"> 13.</w:t>
      </w:r>
    </w:p>
    <w:p w:rsidR="00A00008" w:rsidRPr="002703CE" w:rsidRDefault="00824574"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A</w:t>
      </w:r>
      <w:r w:rsidR="00A00008">
        <w:rPr>
          <w:rFonts w:eastAsia="Times New Roman" w:cs="Times New Roman"/>
          <w:szCs w:val="20"/>
          <w:lang w:val="en-GB" w:eastAsia="en-GB"/>
        </w:rPr>
        <w:t xml:space="preserve"> transitional period of two years </w:t>
      </w:r>
      <w:r>
        <w:rPr>
          <w:rFonts w:eastAsia="Times New Roman" w:cs="Times New Roman"/>
          <w:szCs w:val="20"/>
          <w:lang w:val="en-GB" w:eastAsia="en-GB"/>
        </w:rPr>
        <w:t xml:space="preserve">is recommended </w:t>
      </w:r>
      <w:r w:rsidR="00A00008">
        <w:rPr>
          <w:rFonts w:eastAsia="Times New Roman" w:cs="Times New Roman"/>
          <w:szCs w:val="20"/>
          <w:lang w:val="en-GB" w:eastAsia="en-GB"/>
        </w:rPr>
        <w:t xml:space="preserve">to </w:t>
      </w:r>
      <w:r>
        <w:rPr>
          <w:rFonts w:eastAsia="Times New Roman" w:cs="Times New Roman"/>
          <w:szCs w:val="20"/>
          <w:lang w:val="en-GB" w:eastAsia="en-GB"/>
        </w:rPr>
        <w:t xml:space="preserve">allow </w:t>
      </w:r>
      <w:r w:rsidR="00A00008">
        <w:rPr>
          <w:rFonts w:eastAsia="Times New Roman" w:cs="Times New Roman"/>
          <w:szCs w:val="20"/>
          <w:lang w:val="en-GB" w:eastAsia="en-GB"/>
        </w:rPr>
        <w:t xml:space="preserve">for those social workers currently </w:t>
      </w:r>
      <w:r w:rsidR="007B1456">
        <w:rPr>
          <w:rFonts w:eastAsia="Times New Roman" w:cs="Times New Roman"/>
          <w:szCs w:val="20"/>
          <w:lang w:val="en-GB" w:eastAsia="en-GB"/>
        </w:rPr>
        <w:t xml:space="preserve">eligible </w:t>
      </w:r>
      <w:r w:rsidR="00A00008">
        <w:rPr>
          <w:rFonts w:eastAsia="Times New Roman" w:cs="Times New Roman"/>
          <w:szCs w:val="20"/>
          <w:lang w:val="en-GB" w:eastAsia="en-GB"/>
        </w:rPr>
        <w:t xml:space="preserve">to register under section 13.  </w:t>
      </w:r>
      <w:r w:rsidR="00A00008" w:rsidRPr="006B345A">
        <w:rPr>
          <w:rFonts w:eastAsia="Times New Roman" w:cs="Times New Roman"/>
          <w:szCs w:val="20"/>
          <w:lang w:val="en-GB" w:eastAsia="en-GB"/>
        </w:rPr>
        <w:t xml:space="preserve">Up to 100 practising social workers are </w:t>
      </w:r>
      <w:r w:rsidR="007B1456" w:rsidRPr="006B345A">
        <w:rPr>
          <w:rFonts w:eastAsia="Times New Roman" w:cs="Times New Roman"/>
          <w:szCs w:val="20"/>
          <w:lang w:val="en-GB" w:eastAsia="en-GB"/>
        </w:rPr>
        <w:t>known to be preparing s</w:t>
      </w:r>
      <w:r w:rsidR="006B345A" w:rsidRPr="006B345A">
        <w:rPr>
          <w:rFonts w:eastAsia="Times New Roman" w:cs="Times New Roman"/>
          <w:szCs w:val="20"/>
          <w:lang w:val="en-GB" w:eastAsia="en-GB"/>
        </w:rPr>
        <w:t xml:space="preserve">ection </w:t>
      </w:r>
      <w:r w:rsidR="007B1456" w:rsidRPr="006B345A">
        <w:rPr>
          <w:rFonts w:eastAsia="Times New Roman" w:cs="Times New Roman"/>
          <w:szCs w:val="20"/>
          <w:lang w:val="en-GB" w:eastAsia="en-GB"/>
        </w:rPr>
        <w:t>13 applications</w:t>
      </w:r>
      <w:r w:rsidR="00A00008" w:rsidRPr="006B345A">
        <w:rPr>
          <w:rFonts w:eastAsia="Times New Roman" w:cs="Times New Roman"/>
          <w:szCs w:val="20"/>
          <w:lang w:val="en-GB" w:eastAsia="en-GB"/>
        </w:rPr>
        <w:t xml:space="preserve">, </w:t>
      </w:r>
      <w:r w:rsidR="002703CE" w:rsidRPr="006B345A">
        <w:rPr>
          <w:rFonts w:eastAsia="Times New Roman" w:cs="Times New Roman"/>
          <w:szCs w:val="20"/>
          <w:lang w:val="en-GB" w:eastAsia="en-GB"/>
        </w:rPr>
        <w:t xml:space="preserve">and we have estimated </w:t>
      </w:r>
      <w:r w:rsidR="00880C50">
        <w:rPr>
          <w:rFonts w:eastAsia="Times New Roman" w:cs="Times New Roman"/>
          <w:szCs w:val="20"/>
          <w:lang w:val="en-GB" w:eastAsia="en-GB"/>
        </w:rPr>
        <w:t xml:space="preserve">there may be </w:t>
      </w:r>
      <w:r w:rsidR="002703CE" w:rsidRPr="006B345A">
        <w:rPr>
          <w:rFonts w:eastAsia="Times New Roman" w:cs="Times New Roman"/>
          <w:szCs w:val="20"/>
          <w:lang w:val="en-GB" w:eastAsia="en-GB"/>
        </w:rPr>
        <w:t>up to 230</w:t>
      </w:r>
      <w:r w:rsidR="00A00008" w:rsidRPr="006B345A">
        <w:rPr>
          <w:rFonts w:eastAsia="Times New Roman" w:cs="Times New Roman"/>
          <w:szCs w:val="20"/>
          <w:lang w:val="en-GB" w:eastAsia="en-GB"/>
        </w:rPr>
        <w:t xml:space="preserve"> </w:t>
      </w:r>
      <w:r w:rsidR="002703CE" w:rsidRPr="006B345A">
        <w:rPr>
          <w:rFonts w:eastAsia="Times New Roman" w:cs="Times New Roman"/>
          <w:szCs w:val="20"/>
          <w:lang w:val="en-GB" w:eastAsia="en-GB"/>
        </w:rPr>
        <w:t xml:space="preserve">others </w:t>
      </w:r>
      <w:r w:rsidR="00A00008" w:rsidRPr="006B345A">
        <w:rPr>
          <w:rFonts w:eastAsia="Times New Roman" w:cs="Times New Roman"/>
          <w:szCs w:val="20"/>
          <w:lang w:val="en-GB" w:eastAsia="en-GB"/>
        </w:rPr>
        <w:t>eligible for s</w:t>
      </w:r>
      <w:r w:rsidR="006B345A" w:rsidRPr="006B345A">
        <w:rPr>
          <w:rFonts w:eastAsia="Times New Roman" w:cs="Times New Roman"/>
          <w:szCs w:val="20"/>
          <w:lang w:val="en-GB" w:eastAsia="en-GB"/>
        </w:rPr>
        <w:t xml:space="preserve">ection </w:t>
      </w:r>
      <w:r w:rsidR="00A00008" w:rsidRPr="006B345A">
        <w:rPr>
          <w:rFonts w:eastAsia="Times New Roman" w:cs="Times New Roman"/>
          <w:szCs w:val="20"/>
          <w:lang w:val="en-GB" w:eastAsia="en-GB"/>
        </w:rPr>
        <w:t xml:space="preserve">13 registration </w:t>
      </w:r>
      <w:r w:rsidR="00880C50">
        <w:rPr>
          <w:rFonts w:eastAsia="Times New Roman" w:cs="Times New Roman"/>
          <w:szCs w:val="20"/>
          <w:lang w:val="en-GB" w:eastAsia="en-GB"/>
        </w:rPr>
        <w:t>who</w:t>
      </w:r>
      <w:r w:rsidR="00A00008" w:rsidRPr="006B345A">
        <w:rPr>
          <w:rFonts w:eastAsia="Times New Roman" w:cs="Times New Roman"/>
          <w:szCs w:val="20"/>
          <w:lang w:val="en-GB" w:eastAsia="en-GB"/>
        </w:rPr>
        <w:t xml:space="preserve"> have not commenced the process, particularly in the NGO sector.</w:t>
      </w:r>
    </w:p>
    <w:p w:rsidR="002A3937" w:rsidRDefault="002A3937">
      <w:pPr>
        <w:spacing w:after="0" w:line="240" w:lineRule="auto"/>
        <w:rPr>
          <w:rFonts w:eastAsia="Times New Roman" w:cs="Times New Roman"/>
          <w:i/>
          <w:szCs w:val="20"/>
          <w:lang w:val="en-GB" w:eastAsia="en-GB"/>
        </w:rPr>
      </w:pPr>
      <w:r>
        <w:rPr>
          <w:rFonts w:eastAsia="Times New Roman" w:cs="Times New Roman"/>
          <w:i/>
          <w:szCs w:val="20"/>
          <w:lang w:val="en-GB" w:eastAsia="en-GB"/>
        </w:rPr>
        <w:br w:type="page"/>
      </w:r>
    </w:p>
    <w:p w:rsidR="00A00008" w:rsidRPr="00D540DE" w:rsidRDefault="00824574" w:rsidP="00177E1D">
      <w:pPr>
        <w:spacing w:after="240" w:line="240" w:lineRule="auto"/>
        <w:rPr>
          <w:rFonts w:eastAsia="Times New Roman" w:cs="Times New Roman"/>
          <w:i/>
          <w:szCs w:val="20"/>
          <w:lang w:val="en-GB" w:eastAsia="en-GB"/>
        </w:rPr>
      </w:pPr>
      <w:r>
        <w:rPr>
          <w:rFonts w:eastAsia="Times New Roman" w:cs="Times New Roman"/>
          <w:i/>
          <w:szCs w:val="20"/>
          <w:lang w:val="en-GB" w:eastAsia="en-GB"/>
        </w:rPr>
        <w:lastRenderedPageBreak/>
        <w:t>Repealing</w:t>
      </w:r>
      <w:r w:rsidRPr="00D540DE">
        <w:rPr>
          <w:rFonts w:eastAsia="Times New Roman" w:cs="Times New Roman"/>
          <w:i/>
          <w:szCs w:val="20"/>
          <w:lang w:val="en-GB" w:eastAsia="en-GB"/>
        </w:rPr>
        <w:t xml:space="preserve"> </w:t>
      </w:r>
      <w:r w:rsidR="00A00008" w:rsidRPr="00D540DE">
        <w:rPr>
          <w:rFonts w:eastAsia="Times New Roman" w:cs="Times New Roman"/>
          <w:i/>
          <w:szCs w:val="20"/>
          <w:lang w:val="en-GB" w:eastAsia="en-GB"/>
        </w:rPr>
        <w:t>section 13</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456129">
        <w:rPr>
          <w:rFonts w:eastAsia="Times New Roman" w:cs="Times New Roman"/>
          <w:szCs w:val="20"/>
          <w:lang w:val="en-GB" w:eastAsia="en-GB"/>
        </w:rPr>
        <w:t xml:space="preserve">Repealing </w:t>
      </w:r>
      <w:r>
        <w:rPr>
          <w:rFonts w:eastAsia="Times New Roman" w:cs="Times New Roman"/>
          <w:szCs w:val="20"/>
          <w:lang w:val="en-GB" w:eastAsia="en-GB"/>
        </w:rPr>
        <w:t>section</w:t>
      </w:r>
      <w:r w:rsidRPr="00456129">
        <w:rPr>
          <w:rFonts w:eastAsia="Times New Roman" w:cs="Times New Roman"/>
          <w:szCs w:val="20"/>
          <w:lang w:val="en-GB" w:eastAsia="en-GB"/>
        </w:rPr>
        <w:t xml:space="preserve"> 13 with a transitional effect will reflect </w:t>
      </w:r>
      <w:r>
        <w:rPr>
          <w:rFonts w:eastAsia="Times New Roman" w:cs="Times New Roman"/>
          <w:szCs w:val="20"/>
          <w:lang w:val="en-GB" w:eastAsia="en-GB"/>
        </w:rPr>
        <w:t>the</w:t>
      </w:r>
      <w:r w:rsidRPr="00456129">
        <w:rPr>
          <w:rFonts w:eastAsia="Times New Roman" w:cs="Times New Roman"/>
          <w:szCs w:val="20"/>
          <w:lang w:val="en-GB" w:eastAsia="en-GB"/>
        </w:rPr>
        <w:t xml:space="preserve"> expect</w:t>
      </w:r>
      <w:r>
        <w:rPr>
          <w:rFonts w:eastAsia="Times New Roman" w:cs="Times New Roman"/>
          <w:szCs w:val="20"/>
          <w:lang w:val="en-GB" w:eastAsia="en-GB"/>
        </w:rPr>
        <w:t>ation of increasing skill levels for</w:t>
      </w:r>
      <w:r w:rsidRPr="00456129">
        <w:rPr>
          <w:rFonts w:eastAsia="Times New Roman" w:cs="Times New Roman"/>
          <w:szCs w:val="20"/>
          <w:lang w:val="en-GB" w:eastAsia="en-GB"/>
        </w:rPr>
        <w:t xml:space="preserve"> the social work profession over time</w:t>
      </w:r>
      <w:r>
        <w:rPr>
          <w:rFonts w:eastAsia="Times New Roman" w:cs="Times New Roman"/>
          <w:szCs w:val="20"/>
          <w:lang w:val="en-GB" w:eastAsia="en-GB"/>
        </w:rPr>
        <w:t>, while allowing</w:t>
      </w:r>
      <w:r w:rsidRPr="00456129">
        <w:rPr>
          <w:rFonts w:eastAsia="Times New Roman" w:cs="Times New Roman"/>
          <w:szCs w:val="20"/>
          <w:lang w:val="en-GB" w:eastAsia="en-GB"/>
        </w:rPr>
        <w:t xml:space="preserve"> registration for </w:t>
      </w:r>
      <w:r>
        <w:rPr>
          <w:rFonts w:eastAsia="Times New Roman" w:cs="Times New Roman"/>
          <w:szCs w:val="20"/>
          <w:lang w:val="en-GB" w:eastAsia="en-GB"/>
        </w:rPr>
        <w:t xml:space="preserve">the remaining group of </w:t>
      </w:r>
      <w:r w:rsidRPr="00456129">
        <w:rPr>
          <w:rFonts w:eastAsia="Times New Roman" w:cs="Times New Roman"/>
          <w:szCs w:val="20"/>
          <w:lang w:val="en-GB" w:eastAsia="en-GB"/>
        </w:rPr>
        <w:t>experienced and</w:t>
      </w:r>
      <w:r>
        <w:rPr>
          <w:rFonts w:eastAsia="Times New Roman" w:cs="Times New Roman"/>
          <w:szCs w:val="20"/>
          <w:lang w:val="en-GB" w:eastAsia="en-GB"/>
        </w:rPr>
        <w:t xml:space="preserve"> competent older practitioners </w:t>
      </w:r>
      <w:r w:rsidRPr="00456129">
        <w:rPr>
          <w:rFonts w:eastAsia="Times New Roman" w:cs="Times New Roman"/>
          <w:szCs w:val="20"/>
          <w:lang w:val="en-GB" w:eastAsia="en-GB"/>
        </w:rPr>
        <w:t>for whom significant further educati</w:t>
      </w:r>
      <w:r>
        <w:rPr>
          <w:rFonts w:eastAsia="Times New Roman" w:cs="Times New Roman"/>
          <w:szCs w:val="20"/>
          <w:lang w:val="en-GB" w:eastAsia="en-GB"/>
        </w:rPr>
        <w:t>on might be unrealistic</w:t>
      </w:r>
      <w:r w:rsidRPr="00456129">
        <w:rPr>
          <w:rFonts w:eastAsia="Times New Roman" w:cs="Times New Roman"/>
          <w:szCs w:val="20"/>
          <w:lang w:val="en-GB" w:eastAsia="en-GB"/>
        </w:rPr>
        <w:t xml:space="preserve">.  </w:t>
      </w:r>
    </w:p>
    <w:p w:rsidR="00A00008" w:rsidRPr="007B1456" w:rsidRDefault="00A00008" w:rsidP="005B5FC6">
      <w:pPr>
        <w:numPr>
          <w:ilvl w:val="0"/>
          <w:numId w:val="25"/>
        </w:numPr>
        <w:spacing w:after="240" w:line="240" w:lineRule="auto"/>
        <w:ind w:left="567" w:hanging="567"/>
        <w:rPr>
          <w:rFonts w:eastAsia="Times New Roman" w:cs="Times New Roman"/>
          <w:szCs w:val="20"/>
          <w:lang w:val="en-GB" w:eastAsia="en-GB"/>
        </w:rPr>
      </w:pPr>
      <w:r w:rsidRPr="009C196A">
        <w:rPr>
          <w:rFonts w:eastAsia="Times New Roman" w:cs="Times New Roman"/>
          <w:szCs w:val="20"/>
          <w:lang w:val="en-GB" w:eastAsia="en-GB"/>
        </w:rPr>
        <w:t xml:space="preserve">A possible risk of repealing section 13 is that there will be no further route to registration based on experience alone.  Section 13 was primarily intended to help transition government social workers practising in 2003 and it may not have been the best means of transitioning NGO workers, due to the more specialist focus of some non-government agencies.  Additionally, </w:t>
      </w:r>
      <w:r w:rsidRPr="004015E8">
        <w:rPr>
          <w:rFonts w:eastAsia="Times New Roman" w:cs="Times New Roman"/>
          <w:szCs w:val="20"/>
          <w:lang w:val="en-GB" w:eastAsia="en-GB"/>
        </w:rPr>
        <w:t>some</w:t>
      </w:r>
      <w:r w:rsidRPr="009C196A">
        <w:rPr>
          <w:rFonts w:eastAsia="Times New Roman" w:cs="Times New Roman"/>
          <w:i/>
          <w:szCs w:val="20"/>
          <w:lang w:val="en-GB" w:eastAsia="en-GB"/>
        </w:rPr>
        <w:t xml:space="preserve"> </w:t>
      </w:r>
      <w:r w:rsidRPr="009C196A">
        <w:rPr>
          <w:rFonts w:eastAsia="Times New Roman" w:cs="Times New Roman"/>
          <w:szCs w:val="20"/>
          <w:lang w:val="en-GB" w:eastAsia="en-GB"/>
        </w:rPr>
        <w:t xml:space="preserve">concern remains that there </w:t>
      </w:r>
      <w:r>
        <w:rPr>
          <w:rFonts w:eastAsia="Times New Roman" w:cs="Times New Roman"/>
          <w:szCs w:val="20"/>
          <w:lang w:val="en-GB" w:eastAsia="en-GB"/>
        </w:rPr>
        <w:t>may be</w:t>
      </w:r>
      <w:r w:rsidRPr="009C196A">
        <w:rPr>
          <w:rFonts w:eastAsia="Times New Roman" w:cs="Times New Roman"/>
          <w:szCs w:val="20"/>
          <w:lang w:val="en-GB" w:eastAsia="en-GB"/>
        </w:rPr>
        <w:t xml:space="preserve"> a small number </w:t>
      </w:r>
      <w:r>
        <w:rPr>
          <w:rFonts w:eastAsia="Times New Roman" w:cs="Times New Roman"/>
          <w:szCs w:val="20"/>
          <w:lang w:val="en-GB" w:eastAsia="en-GB"/>
        </w:rPr>
        <w:t xml:space="preserve">of practising social workers in the government </w:t>
      </w:r>
      <w:r w:rsidR="00824574">
        <w:rPr>
          <w:rFonts w:eastAsia="Times New Roman" w:cs="Times New Roman"/>
          <w:szCs w:val="20"/>
          <w:lang w:val="en-GB" w:eastAsia="en-GB"/>
        </w:rPr>
        <w:t xml:space="preserve">and NGO </w:t>
      </w:r>
      <w:r>
        <w:rPr>
          <w:rFonts w:eastAsia="Times New Roman" w:cs="Times New Roman"/>
          <w:szCs w:val="20"/>
          <w:lang w:val="en-GB" w:eastAsia="en-GB"/>
        </w:rPr>
        <w:t>sector</w:t>
      </w:r>
      <w:r w:rsidR="00824574">
        <w:rPr>
          <w:rFonts w:eastAsia="Times New Roman" w:cs="Times New Roman"/>
          <w:szCs w:val="20"/>
          <w:lang w:val="en-GB" w:eastAsia="en-GB"/>
        </w:rPr>
        <w:t>s</w:t>
      </w:r>
      <w:r>
        <w:rPr>
          <w:rFonts w:eastAsia="Times New Roman" w:cs="Times New Roman"/>
          <w:szCs w:val="20"/>
          <w:lang w:val="en-GB" w:eastAsia="en-GB"/>
        </w:rPr>
        <w:t xml:space="preserve"> who have </w:t>
      </w:r>
      <w:r w:rsidRPr="00456129">
        <w:rPr>
          <w:rFonts w:eastAsia="Times New Roman" w:cs="Times New Roman"/>
          <w:szCs w:val="20"/>
          <w:lang w:val="en-GB" w:eastAsia="en-GB"/>
        </w:rPr>
        <w:t>high levels of specialised competence</w:t>
      </w:r>
      <w:r w:rsidRPr="009C196A">
        <w:rPr>
          <w:rFonts w:eastAsia="Times New Roman" w:cs="Times New Roman"/>
          <w:szCs w:val="20"/>
          <w:lang w:val="en-GB" w:eastAsia="en-GB"/>
        </w:rPr>
        <w:t xml:space="preserve"> </w:t>
      </w:r>
      <w:r>
        <w:rPr>
          <w:rFonts w:eastAsia="Times New Roman" w:cs="Times New Roman"/>
          <w:szCs w:val="20"/>
          <w:lang w:val="en-GB" w:eastAsia="en-GB"/>
        </w:rPr>
        <w:t>but who do not meet the criteria for section 13</w:t>
      </w:r>
      <w:r w:rsidR="00824574">
        <w:rPr>
          <w:rFonts w:eastAsia="Times New Roman" w:cs="Times New Roman"/>
          <w:szCs w:val="20"/>
          <w:lang w:val="en-GB" w:eastAsia="en-GB"/>
        </w:rPr>
        <w:t xml:space="preserve"> because they have</w:t>
      </w:r>
      <w:r w:rsidR="00824574" w:rsidRPr="00456129">
        <w:rPr>
          <w:rFonts w:eastAsia="Times New Roman" w:cs="Times New Roman"/>
          <w:szCs w:val="20"/>
          <w:lang w:val="en-GB" w:eastAsia="en-GB"/>
        </w:rPr>
        <w:t xml:space="preserve"> insufficient </w:t>
      </w:r>
      <w:r w:rsidR="00824574">
        <w:rPr>
          <w:rFonts w:eastAsia="Times New Roman" w:cs="Times New Roman"/>
          <w:szCs w:val="20"/>
          <w:lang w:val="en-GB" w:eastAsia="en-GB"/>
        </w:rPr>
        <w:t>breath of experience</w:t>
      </w:r>
      <w:r w:rsidR="00824574" w:rsidRPr="00456129">
        <w:rPr>
          <w:rFonts w:eastAsia="Times New Roman" w:cs="Times New Roman"/>
          <w:szCs w:val="20"/>
          <w:lang w:val="en-GB" w:eastAsia="en-GB"/>
        </w:rPr>
        <w:t>.</w:t>
      </w:r>
      <w:r>
        <w:rPr>
          <w:rFonts w:eastAsia="Times New Roman" w:cs="Times New Roman"/>
          <w:szCs w:val="20"/>
          <w:lang w:val="en-GB" w:eastAsia="en-GB"/>
        </w:rPr>
        <w:t xml:space="preserve">  This may result in </w:t>
      </w:r>
      <w:r w:rsidRPr="009C196A">
        <w:rPr>
          <w:rFonts w:eastAsia="Times New Roman" w:cs="Times New Roman"/>
          <w:szCs w:val="20"/>
          <w:lang w:val="en-GB" w:eastAsia="en-GB"/>
        </w:rPr>
        <w:t>a</w:t>
      </w:r>
      <w:r>
        <w:rPr>
          <w:rFonts w:eastAsia="Times New Roman" w:cs="Times New Roman"/>
          <w:szCs w:val="20"/>
          <w:lang w:val="en-GB" w:eastAsia="en-GB"/>
        </w:rPr>
        <w:t>n unnecessary</w:t>
      </w:r>
      <w:r w:rsidRPr="009C196A">
        <w:rPr>
          <w:rFonts w:eastAsia="Times New Roman" w:cs="Times New Roman"/>
          <w:szCs w:val="20"/>
          <w:lang w:val="en-GB" w:eastAsia="en-GB"/>
        </w:rPr>
        <w:t xml:space="preserve"> loss to the workforce and </w:t>
      </w:r>
      <w:r>
        <w:rPr>
          <w:rFonts w:eastAsia="Times New Roman" w:cs="Times New Roman"/>
          <w:szCs w:val="20"/>
          <w:lang w:val="en-GB" w:eastAsia="en-GB"/>
        </w:rPr>
        <w:t xml:space="preserve">an unfair loss of livelihood for those individuals.  </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0A397D">
        <w:rPr>
          <w:rFonts w:eastAsia="Times New Roman" w:cs="Times New Roman"/>
          <w:szCs w:val="20"/>
          <w:lang w:val="en-GB" w:eastAsia="en-GB"/>
        </w:rPr>
        <w:t xml:space="preserve">Although the magnitude of this risk is hard to assess it would crystallise under a mandatory </w:t>
      </w:r>
      <w:r w:rsidRPr="00C722FD">
        <w:rPr>
          <w:rFonts w:eastAsia="Times New Roman" w:cs="Times New Roman"/>
          <w:szCs w:val="20"/>
          <w:lang w:val="en-GB" w:eastAsia="en-GB"/>
        </w:rPr>
        <w:t xml:space="preserve">regime.  We </w:t>
      </w:r>
      <w:r w:rsidR="007B1456" w:rsidRPr="00C722FD">
        <w:rPr>
          <w:rFonts w:eastAsia="Times New Roman" w:cs="Times New Roman"/>
          <w:szCs w:val="20"/>
          <w:lang w:val="en-GB" w:eastAsia="en-GB"/>
        </w:rPr>
        <w:t xml:space="preserve">have considered </w:t>
      </w:r>
      <w:r w:rsidRPr="00C722FD">
        <w:rPr>
          <w:rFonts w:eastAsia="Times New Roman" w:cs="Times New Roman"/>
          <w:szCs w:val="20"/>
          <w:lang w:val="en-GB" w:eastAsia="en-GB"/>
        </w:rPr>
        <w:t xml:space="preserve">whether there is need for a newly targeted set of criteria, </w:t>
      </w:r>
      <w:r w:rsidR="00D91798">
        <w:rPr>
          <w:rFonts w:eastAsia="Times New Roman" w:cs="Times New Roman"/>
          <w:szCs w:val="20"/>
          <w:lang w:val="en-GB" w:eastAsia="en-GB"/>
        </w:rPr>
        <w:t>which would</w:t>
      </w:r>
      <w:r w:rsidRPr="00C722FD">
        <w:rPr>
          <w:rFonts w:eastAsia="Times New Roman" w:cs="Times New Roman"/>
          <w:szCs w:val="20"/>
          <w:lang w:val="en-GB" w:eastAsia="en-GB"/>
        </w:rPr>
        <w:t xml:space="preserve"> expire after the appropriate period</w:t>
      </w:r>
      <w:r w:rsidR="007B1456" w:rsidRPr="00C722FD">
        <w:rPr>
          <w:rFonts w:eastAsia="Times New Roman" w:cs="Times New Roman"/>
          <w:szCs w:val="20"/>
          <w:lang w:val="en-GB" w:eastAsia="en-GB"/>
        </w:rPr>
        <w:t xml:space="preserve">.  However we expect this concern could be meet by existing powers </w:t>
      </w:r>
      <w:r w:rsidR="00C722FD" w:rsidRPr="00C722FD">
        <w:rPr>
          <w:rFonts w:eastAsia="Times New Roman" w:cs="Times New Roman"/>
          <w:szCs w:val="20"/>
          <w:lang w:val="en-GB" w:eastAsia="en-GB"/>
        </w:rPr>
        <w:t xml:space="preserve">the Board has </w:t>
      </w:r>
      <w:r w:rsidR="007B1456" w:rsidRPr="00C722FD">
        <w:rPr>
          <w:rFonts w:eastAsia="Times New Roman" w:cs="Times New Roman"/>
          <w:szCs w:val="20"/>
          <w:lang w:val="en-GB" w:eastAsia="en-GB"/>
        </w:rPr>
        <w:t xml:space="preserve">to register </w:t>
      </w:r>
      <w:r w:rsidR="00C722FD" w:rsidRPr="00C722FD">
        <w:rPr>
          <w:rFonts w:eastAsia="Times New Roman" w:cs="Times New Roman"/>
          <w:szCs w:val="20"/>
          <w:lang w:val="en-GB" w:eastAsia="en-GB"/>
        </w:rPr>
        <w:t xml:space="preserve">social workers with restrictions on their area of practice where they have </w:t>
      </w:r>
      <w:r w:rsidR="007B1456" w:rsidRPr="00C722FD">
        <w:rPr>
          <w:rFonts w:eastAsia="Times New Roman" w:cs="Times New Roman"/>
          <w:szCs w:val="20"/>
          <w:lang w:val="en-GB" w:eastAsia="en-GB"/>
        </w:rPr>
        <w:t>specialist rather than broad experience.</w:t>
      </w:r>
    </w:p>
    <w:p w:rsidR="008248CA" w:rsidRPr="00C82B1A" w:rsidRDefault="008248CA" w:rsidP="00C82B1A">
      <w:pPr>
        <w:spacing w:after="240" w:line="240" w:lineRule="auto"/>
        <w:rPr>
          <w:rFonts w:eastAsia="Times New Roman" w:cs="Times New Roman"/>
          <w:i/>
          <w:szCs w:val="20"/>
          <w:lang w:val="en-GB" w:eastAsia="en-GB"/>
        </w:rPr>
      </w:pPr>
      <w:r>
        <w:rPr>
          <w:rFonts w:eastAsia="Times New Roman" w:cs="Times New Roman"/>
          <w:i/>
          <w:szCs w:val="20"/>
          <w:lang w:val="en-GB" w:eastAsia="en-GB"/>
        </w:rPr>
        <w:t>Recognition of prior learning</w:t>
      </w:r>
    </w:p>
    <w:p w:rsidR="008248CA" w:rsidRPr="00C82B1A" w:rsidRDefault="008248CA" w:rsidP="00C82B1A">
      <w:pPr>
        <w:numPr>
          <w:ilvl w:val="0"/>
          <w:numId w:val="25"/>
        </w:numPr>
        <w:spacing w:after="240" w:line="240" w:lineRule="auto"/>
        <w:ind w:left="567" w:hanging="567"/>
        <w:rPr>
          <w:rFonts w:eastAsia="Times New Roman" w:cs="Times New Roman"/>
          <w:szCs w:val="20"/>
          <w:lang w:val="en-GB" w:eastAsia="en-GB"/>
        </w:rPr>
      </w:pPr>
      <w:r w:rsidRPr="00C82B1A">
        <w:rPr>
          <w:rFonts w:eastAsia="Times New Roman" w:cs="Times New Roman"/>
          <w:szCs w:val="20"/>
          <w:lang w:val="en-GB" w:eastAsia="en-GB"/>
        </w:rPr>
        <w:t>While the current experience-based pathway to registration under Section 13 of the Act i</w:t>
      </w:r>
      <w:r w:rsidRPr="00CA7C20">
        <w:rPr>
          <w:rFonts w:eastAsia="Times New Roman" w:cs="Times New Roman"/>
          <w:szCs w:val="20"/>
          <w:lang w:val="en-GB" w:eastAsia="en-GB"/>
        </w:rPr>
        <w:t>s to be phased out</w:t>
      </w:r>
      <w:r w:rsidRPr="00C82B1A">
        <w:rPr>
          <w:rFonts w:eastAsia="Times New Roman" w:cs="Times New Roman"/>
          <w:szCs w:val="20"/>
          <w:lang w:val="en-GB" w:eastAsia="en-GB"/>
        </w:rPr>
        <w:t>, opportunities should remain for people to gain credit towards the required academic qualifications through</w:t>
      </w:r>
      <w:r w:rsidR="00CA7C20" w:rsidRPr="00CA7C20">
        <w:rPr>
          <w:rFonts w:eastAsia="Times New Roman" w:cs="Times New Roman"/>
          <w:szCs w:val="20"/>
          <w:lang w:val="en-GB" w:eastAsia="en-GB"/>
        </w:rPr>
        <w:t xml:space="preserve"> recognition of prior learning </w:t>
      </w:r>
      <w:r w:rsidRPr="00CA7C20">
        <w:rPr>
          <w:rFonts w:eastAsia="Times New Roman" w:cs="Times New Roman"/>
          <w:szCs w:val="20"/>
          <w:lang w:val="en-GB" w:eastAsia="en-GB"/>
        </w:rPr>
        <w:t>in their professional practice.</w:t>
      </w:r>
      <w:r>
        <w:rPr>
          <w:rFonts w:eastAsia="Times New Roman" w:cs="Times New Roman"/>
          <w:szCs w:val="20"/>
          <w:lang w:val="en-GB" w:eastAsia="en-GB"/>
        </w:rPr>
        <w:t xml:space="preserve"> </w:t>
      </w:r>
      <w:r w:rsidRPr="00CA7C20">
        <w:rPr>
          <w:rFonts w:eastAsia="Times New Roman" w:cs="Times New Roman"/>
          <w:szCs w:val="20"/>
          <w:lang w:val="en-GB" w:eastAsia="en-GB"/>
        </w:rPr>
        <w:t xml:space="preserve"> </w:t>
      </w:r>
      <w:r w:rsidR="00CA7C20">
        <w:rPr>
          <w:rFonts w:eastAsia="Times New Roman" w:cs="Times New Roman"/>
          <w:szCs w:val="20"/>
          <w:lang w:val="en-GB" w:eastAsia="en-GB"/>
        </w:rPr>
        <w:t>This will help</w:t>
      </w:r>
      <w:r w:rsidR="00CA7C20" w:rsidRPr="00CA7C20">
        <w:rPr>
          <w:rFonts w:eastAsia="Times New Roman" w:cs="Times New Roman"/>
          <w:szCs w:val="20"/>
          <w:lang w:val="en-GB" w:eastAsia="en-GB"/>
        </w:rPr>
        <w:t xml:space="preserve"> ensure that people currently working in roles that will require registration, but who do not meet the SWRB’s proposed qualification requirements, have </w:t>
      </w:r>
      <w:r w:rsidR="00CA7C20">
        <w:rPr>
          <w:rFonts w:eastAsia="Times New Roman" w:cs="Times New Roman"/>
          <w:szCs w:val="20"/>
          <w:lang w:val="en-GB" w:eastAsia="en-GB"/>
        </w:rPr>
        <w:t xml:space="preserve">sufficiently </w:t>
      </w:r>
      <w:r w:rsidR="00CA7C20" w:rsidRPr="00CA7C20">
        <w:rPr>
          <w:rFonts w:eastAsia="Times New Roman" w:cs="Times New Roman"/>
          <w:szCs w:val="20"/>
          <w:lang w:val="en-GB" w:eastAsia="en-GB"/>
        </w:rPr>
        <w:t>flexible pathways to registration.</w:t>
      </w:r>
    </w:p>
    <w:p w:rsidR="008248CA" w:rsidRPr="00CA7C20" w:rsidRDefault="008248CA" w:rsidP="00CA7C20">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w:t>
      </w:r>
      <w:r w:rsidRPr="00C82B1A">
        <w:rPr>
          <w:rFonts w:eastAsia="Times New Roman" w:cs="Times New Roman"/>
          <w:szCs w:val="20"/>
          <w:lang w:val="en-GB" w:eastAsia="en-GB"/>
        </w:rPr>
        <w:t>he Ministry for Social Development and the Social Workers Registration Board will work closely with the NZ Qualifications Authority, Tertiary Education Providers, and the T</w:t>
      </w:r>
      <w:r>
        <w:rPr>
          <w:rFonts w:eastAsia="Times New Roman" w:cs="Times New Roman"/>
          <w:szCs w:val="20"/>
          <w:lang w:val="en-GB" w:eastAsia="en-GB"/>
        </w:rPr>
        <w:t xml:space="preserve">ertiary </w:t>
      </w:r>
      <w:r w:rsidRPr="00C82B1A">
        <w:rPr>
          <w:rFonts w:eastAsia="Times New Roman" w:cs="Times New Roman"/>
          <w:szCs w:val="20"/>
          <w:lang w:val="en-GB" w:eastAsia="en-GB"/>
        </w:rPr>
        <w:t>E</w:t>
      </w:r>
      <w:r>
        <w:rPr>
          <w:rFonts w:eastAsia="Times New Roman" w:cs="Times New Roman"/>
          <w:szCs w:val="20"/>
          <w:lang w:val="en-GB" w:eastAsia="en-GB"/>
        </w:rPr>
        <w:t xml:space="preserve">ducation </w:t>
      </w:r>
      <w:r w:rsidRPr="00C82B1A">
        <w:rPr>
          <w:rFonts w:eastAsia="Times New Roman" w:cs="Times New Roman"/>
          <w:szCs w:val="20"/>
          <w:lang w:val="en-GB" w:eastAsia="en-GB"/>
        </w:rPr>
        <w:t>C</w:t>
      </w:r>
      <w:r>
        <w:rPr>
          <w:rFonts w:eastAsia="Times New Roman" w:cs="Times New Roman"/>
          <w:szCs w:val="20"/>
          <w:lang w:val="en-GB" w:eastAsia="en-GB"/>
        </w:rPr>
        <w:t>ommission</w:t>
      </w:r>
      <w:r w:rsidRPr="00C82B1A">
        <w:rPr>
          <w:rFonts w:eastAsia="Times New Roman" w:cs="Times New Roman"/>
          <w:szCs w:val="20"/>
          <w:lang w:val="en-GB" w:eastAsia="en-GB"/>
        </w:rPr>
        <w:t xml:space="preserve"> as appropriate, to ensure that </w:t>
      </w:r>
      <w:r>
        <w:rPr>
          <w:rFonts w:eastAsia="Times New Roman" w:cs="Times New Roman"/>
          <w:szCs w:val="20"/>
          <w:lang w:val="en-GB" w:eastAsia="en-GB"/>
        </w:rPr>
        <w:t>t</w:t>
      </w:r>
      <w:r w:rsidRPr="00C82B1A">
        <w:rPr>
          <w:rFonts w:eastAsia="Times New Roman" w:cs="Times New Roman"/>
          <w:szCs w:val="20"/>
          <w:lang w:val="en-GB" w:eastAsia="en-GB"/>
        </w:rPr>
        <w:t xml:space="preserve">he Board’s registration requirements </w:t>
      </w:r>
      <w:r>
        <w:rPr>
          <w:rFonts w:eastAsia="Times New Roman" w:cs="Times New Roman"/>
          <w:szCs w:val="20"/>
          <w:lang w:val="en-GB" w:eastAsia="en-GB"/>
        </w:rPr>
        <w:t>take account</w:t>
      </w:r>
      <w:r w:rsidRPr="00C82B1A">
        <w:rPr>
          <w:rFonts w:eastAsia="Times New Roman" w:cs="Times New Roman"/>
          <w:szCs w:val="20"/>
          <w:lang w:val="en-GB" w:eastAsia="en-GB"/>
        </w:rPr>
        <w:t xml:space="preserve"> of </w:t>
      </w:r>
      <w:r>
        <w:rPr>
          <w:rFonts w:eastAsia="Times New Roman" w:cs="Times New Roman"/>
          <w:szCs w:val="20"/>
          <w:lang w:val="en-GB" w:eastAsia="en-GB"/>
        </w:rPr>
        <w:t xml:space="preserve">applicants’ </w:t>
      </w:r>
      <w:r w:rsidRPr="00321C82">
        <w:rPr>
          <w:rFonts w:eastAsia="Times New Roman" w:cs="Times New Roman"/>
          <w:szCs w:val="20"/>
          <w:lang w:val="en-GB" w:eastAsia="en-GB"/>
        </w:rPr>
        <w:t>prior learning</w:t>
      </w:r>
      <w:r w:rsidRPr="00C82B1A">
        <w:rPr>
          <w:rFonts w:eastAsia="Times New Roman" w:cs="Times New Roman"/>
          <w:szCs w:val="20"/>
          <w:lang w:val="en-GB" w:eastAsia="en-GB"/>
        </w:rPr>
        <w:t xml:space="preserve"> and </w:t>
      </w:r>
      <w:r>
        <w:rPr>
          <w:rFonts w:eastAsia="Times New Roman" w:cs="Times New Roman"/>
          <w:szCs w:val="20"/>
          <w:lang w:val="en-GB" w:eastAsia="en-GB"/>
        </w:rPr>
        <w:t xml:space="preserve">provide </w:t>
      </w:r>
      <w:r w:rsidRPr="00C82B1A">
        <w:rPr>
          <w:rFonts w:eastAsia="Times New Roman" w:cs="Times New Roman"/>
          <w:szCs w:val="20"/>
          <w:lang w:val="en-GB" w:eastAsia="en-GB"/>
        </w:rPr>
        <w:t>f</w:t>
      </w:r>
      <w:r w:rsidRPr="00CA7C20">
        <w:rPr>
          <w:rFonts w:eastAsia="Times New Roman" w:cs="Times New Roman"/>
          <w:szCs w:val="20"/>
          <w:lang w:val="en-GB" w:eastAsia="en-GB"/>
        </w:rPr>
        <w:t>lexible learning opportunities.</w:t>
      </w:r>
      <w:r w:rsidRPr="00C82B1A">
        <w:rPr>
          <w:rFonts w:eastAsia="Times New Roman" w:cs="Times New Roman"/>
          <w:szCs w:val="20"/>
          <w:lang w:val="en-GB" w:eastAsia="en-GB"/>
        </w:rPr>
        <w:t xml:space="preserve"> </w:t>
      </w:r>
      <w:r>
        <w:rPr>
          <w:rFonts w:eastAsia="Times New Roman" w:cs="Times New Roman"/>
          <w:szCs w:val="20"/>
          <w:lang w:val="en-GB" w:eastAsia="en-GB"/>
        </w:rPr>
        <w:t xml:space="preserve"> </w:t>
      </w:r>
      <w:r w:rsidRPr="0061249C">
        <w:rPr>
          <w:rFonts w:eastAsia="Times New Roman" w:cs="Times New Roman"/>
          <w:szCs w:val="20"/>
          <w:lang w:val="en-GB" w:eastAsia="en-GB"/>
        </w:rPr>
        <w:t>The</w:t>
      </w:r>
      <w:r>
        <w:rPr>
          <w:rFonts w:eastAsia="Times New Roman" w:cs="Times New Roman"/>
          <w:szCs w:val="20"/>
          <w:lang w:val="en-GB" w:eastAsia="en-GB"/>
        </w:rPr>
        <w:t xml:space="preserve"> </w:t>
      </w:r>
      <w:r w:rsidRPr="0061249C">
        <w:rPr>
          <w:rFonts w:eastAsia="Times New Roman" w:cs="Times New Roman"/>
          <w:szCs w:val="20"/>
          <w:lang w:val="en-GB" w:eastAsia="en-GB"/>
        </w:rPr>
        <w:t xml:space="preserve">opportunity </w:t>
      </w:r>
      <w:r>
        <w:rPr>
          <w:rFonts w:eastAsia="Times New Roman" w:cs="Times New Roman"/>
          <w:szCs w:val="20"/>
          <w:lang w:val="en-GB" w:eastAsia="en-GB"/>
        </w:rPr>
        <w:t xml:space="preserve">provided by section 10 </w:t>
      </w:r>
      <w:r w:rsidRPr="0061249C">
        <w:rPr>
          <w:rFonts w:eastAsia="Times New Roman" w:cs="Times New Roman"/>
          <w:szCs w:val="20"/>
          <w:lang w:val="en-GB" w:eastAsia="en-GB"/>
        </w:rPr>
        <w:t>to continue working while studying to complete the required qualifications</w:t>
      </w:r>
      <w:r>
        <w:rPr>
          <w:rFonts w:eastAsia="Times New Roman" w:cs="Times New Roman"/>
          <w:szCs w:val="20"/>
          <w:lang w:val="en-GB" w:eastAsia="en-GB"/>
        </w:rPr>
        <w:t xml:space="preserve"> will also ease the transition to a more highly qualified workforce</w:t>
      </w:r>
      <w:r w:rsidRPr="0061249C">
        <w:rPr>
          <w:rFonts w:eastAsia="Times New Roman" w:cs="Times New Roman"/>
          <w:szCs w:val="20"/>
          <w:lang w:val="en-GB" w:eastAsia="en-GB"/>
        </w:rPr>
        <w:t>.</w:t>
      </w:r>
    </w:p>
    <w:p w:rsidR="00A00008" w:rsidRPr="00D540DE" w:rsidRDefault="00A00008" w:rsidP="00177E1D">
      <w:pPr>
        <w:spacing w:after="240"/>
        <w:outlineLvl w:val="2"/>
        <w:rPr>
          <w:rFonts w:eastAsia="Times New Roman" w:cs="Times New Roman"/>
          <w:b/>
          <w:sz w:val="24"/>
          <w:szCs w:val="24"/>
          <w:lang w:val="en-GB" w:eastAsia="en-GB"/>
        </w:rPr>
      </w:pPr>
      <w:bookmarkStart w:id="61" w:name="_Toc479611999"/>
      <w:bookmarkStart w:id="62" w:name="_Toc520457893"/>
      <w:r w:rsidRPr="00D540DE">
        <w:rPr>
          <w:rFonts w:eastAsia="Times New Roman" w:cs="Times New Roman"/>
          <w:b/>
          <w:sz w:val="24"/>
          <w:szCs w:val="24"/>
          <w:lang w:val="en-GB" w:eastAsia="en-GB"/>
        </w:rPr>
        <w:t>Competence requirements</w:t>
      </w:r>
      <w:bookmarkEnd w:id="61"/>
      <w:bookmarkEnd w:id="62"/>
    </w:p>
    <w:p w:rsidR="00A00008" w:rsidRPr="00D540DE" w:rsidRDefault="00A00008" w:rsidP="00177E1D">
      <w:pPr>
        <w:spacing w:after="240" w:line="240" w:lineRule="auto"/>
        <w:rPr>
          <w:rFonts w:eastAsia="Times New Roman" w:cs="Times New Roman"/>
          <w:i/>
          <w:szCs w:val="20"/>
          <w:lang w:val="en-GB" w:eastAsia="en-GB"/>
        </w:rPr>
      </w:pPr>
      <w:r w:rsidRPr="00D540DE">
        <w:rPr>
          <w:rFonts w:eastAsia="Times New Roman" w:cs="Times New Roman"/>
          <w:i/>
          <w:szCs w:val="20"/>
          <w:lang w:val="en-GB" w:eastAsia="en-GB"/>
        </w:rPr>
        <w:t xml:space="preserve">Status </w:t>
      </w:r>
      <w:r>
        <w:rPr>
          <w:rFonts w:eastAsia="Times New Roman" w:cs="Times New Roman"/>
          <w:i/>
          <w:szCs w:val="20"/>
          <w:lang w:val="en-GB" w:eastAsia="en-GB"/>
        </w:rPr>
        <w:t>q</w:t>
      </w:r>
      <w:r w:rsidRPr="00D540DE">
        <w:rPr>
          <w:rFonts w:eastAsia="Times New Roman" w:cs="Times New Roman"/>
          <w:i/>
          <w:szCs w:val="20"/>
          <w:lang w:val="en-GB" w:eastAsia="en-GB"/>
        </w:rPr>
        <w:t>uo</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240E4E">
        <w:rPr>
          <w:rFonts w:eastAsia="Times New Roman" w:cs="Times New Roman"/>
          <w:szCs w:val="20"/>
          <w:lang w:val="en-GB" w:eastAsia="en-GB"/>
        </w:rPr>
        <w:t>Social workers must be competent in terms of Part 3 of the</w:t>
      </w:r>
      <w:r w:rsidR="002876A5">
        <w:rPr>
          <w:rFonts w:eastAsia="Times New Roman" w:cs="Times New Roman"/>
          <w:szCs w:val="20"/>
          <w:lang w:val="en-GB" w:eastAsia="en-GB"/>
        </w:rPr>
        <w:t xml:space="preserve"> SWR</w:t>
      </w:r>
      <w:r w:rsidR="002876A5" w:rsidRPr="00222ED8">
        <w:rPr>
          <w:rFonts w:eastAsia="Times New Roman" w:cs="Times New Roman"/>
          <w:szCs w:val="20"/>
          <w:lang w:val="en-GB" w:eastAsia="en-GB"/>
        </w:rPr>
        <w:t xml:space="preserve"> Act</w:t>
      </w:r>
      <w:r w:rsidR="002876A5" w:rsidRPr="00240E4E" w:rsidDel="002876A5">
        <w:rPr>
          <w:rFonts w:eastAsia="Times New Roman" w:cs="Times New Roman"/>
          <w:szCs w:val="20"/>
          <w:lang w:val="en-GB" w:eastAsia="en-GB"/>
        </w:rPr>
        <w:t xml:space="preserve"> </w:t>
      </w:r>
      <w:r w:rsidRPr="00240E4E">
        <w:rPr>
          <w:rFonts w:eastAsia="Times New Roman" w:cs="Times New Roman"/>
          <w:szCs w:val="20"/>
          <w:lang w:val="en-GB" w:eastAsia="en-GB"/>
        </w:rPr>
        <w:t xml:space="preserve">in order to be registered or issued an annual </w:t>
      </w:r>
      <w:r>
        <w:rPr>
          <w:rFonts w:eastAsia="Times New Roman" w:cs="Times New Roman"/>
          <w:szCs w:val="20"/>
          <w:lang w:val="en-GB" w:eastAsia="en-GB"/>
        </w:rPr>
        <w:t xml:space="preserve">practising </w:t>
      </w:r>
      <w:r w:rsidRPr="00240E4E">
        <w:rPr>
          <w:rFonts w:eastAsia="Times New Roman" w:cs="Times New Roman"/>
          <w:szCs w:val="20"/>
          <w:lang w:val="en-GB" w:eastAsia="en-GB"/>
        </w:rPr>
        <w:t xml:space="preserve">certificate. </w:t>
      </w:r>
      <w:r>
        <w:rPr>
          <w:rFonts w:eastAsia="Times New Roman" w:cs="Times New Roman"/>
          <w:szCs w:val="20"/>
          <w:lang w:val="en-GB" w:eastAsia="en-GB"/>
        </w:rPr>
        <w:t xml:space="preserve"> </w:t>
      </w:r>
      <w:r w:rsidRPr="00240E4E">
        <w:rPr>
          <w:rFonts w:eastAsia="Times New Roman" w:cs="Times New Roman"/>
          <w:szCs w:val="20"/>
          <w:lang w:val="en-GB" w:eastAsia="en-GB"/>
        </w:rPr>
        <w:t xml:space="preserve">Specified competences include an ability to work with different ethnic </w:t>
      </w:r>
      <w:r>
        <w:rPr>
          <w:rFonts w:eastAsia="Times New Roman" w:cs="Times New Roman"/>
          <w:szCs w:val="20"/>
          <w:lang w:val="en-GB" w:eastAsia="en-GB"/>
        </w:rPr>
        <w:t xml:space="preserve">and cultural </w:t>
      </w:r>
      <w:r w:rsidRPr="00240E4E">
        <w:rPr>
          <w:rFonts w:eastAsia="Times New Roman" w:cs="Times New Roman"/>
          <w:szCs w:val="20"/>
          <w:lang w:val="en-GB" w:eastAsia="en-GB"/>
        </w:rPr>
        <w:t xml:space="preserve">groups in New Zealand, and </w:t>
      </w:r>
      <w:r>
        <w:rPr>
          <w:rFonts w:eastAsia="Times New Roman" w:cs="Times New Roman"/>
          <w:szCs w:val="20"/>
          <w:lang w:val="en-GB" w:eastAsia="en-GB"/>
        </w:rPr>
        <w:t xml:space="preserve">with </w:t>
      </w:r>
      <w:r w:rsidRPr="00240E4E">
        <w:rPr>
          <w:rFonts w:eastAsia="Times New Roman" w:cs="Times New Roman"/>
          <w:szCs w:val="20"/>
          <w:lang w:val="en-GB" w:eastAsia="en-GB"/>
        </w:rPr>
        <w:t xml:space="preserve">Māori. </w:t>
      </w:r>
      <w:r>
        <w:rPr>
          <w:rFonts w:eastAsia="Times New Roman" w:cs="Times New Roman"/>
          <w:szCs w:val="20"/>
          <w:lang w:val="en-GB" w:eastAsia="en-GB"/>
        </w:rPr>
        <w:t xml:space="preserve"> </w:t>
      </w:r>
      <w:r w:rsidRPr="005B68AC">
        <w:rPr>
          <w:rFonts w:eastAsia="Times New Roman" w:cs="Times New Roman"/>
          <w:szCs w:val="20"/>
          <w:lang w:val="en-GB" w:eastAsia="en-GB"/>
        </w:rPr>
        <w:t>In the case of applicants with overseas qualifications the Boa</w:t>
      </w:r>
      <w:r>
        <w:rPr>
          <w:rFonts w:eastAsia="Times New Roman" w:cs="Times New Roman"/>
          <w:szCs w:val="20"/>
          <w:lang w:val="en-GB" w:eastAsia="en-GB"/>
        </w:rPr>
        <w:t xml:space="preserve">rd must also be satisfied that </w:t>
      </w:r>
      <w:r w:rsidRPr="005B68AC">
        <w:rPr>
          <w:rFonts w:eastAsia="Times New Roman" w:cs="Times New Roman"/>
          <w:szCs w:val="20"/>
          <w:lang w:val="en-GB" w:eastAsia="en-GB"/>
        </w:rPr>
        <w:t xml:space="preserve">the applicant </w:t>
      </w:r>
      <w:r>
        <w:rPr>
          <w:rFonts w:eastAsia="Times New Roman" w:cs="Times New Roman"/>
          <w:szCs w:val="20"/>
          <w:lang w:val="en-GB" w:eastAsia="en-GB"/>
        </w:rPr>
        <w:t>“</w:t>
      </w:r>
      <w:r w:rsidRPr="005B68AC">
        <w:rPr>
          <w:rFonts w:eastAsia="Times New Roman" w:cs="Times New Roman"/>
          <w:szCs w:val="20"/>
          <w:lang w:val="en-GB" w:eastAsia="en-GB"/>
        </w:rPr>
        <w:t>can speak and write English reasonably effectively, and understand spoken and written English reasonably</w:t>
      </w:r>
      <w:r>
        <w:rPr>
          <w:rFonts w:eastAsia="Times New Roman" w:cs="Times New Roman"/>
          <w:szCs w:val="20"/>
          <w:lang w:val="en-GB" w:eastAsia="en-GB"/>
        </w:rPr>
        <w:t xml:space="preserve"> well.”</w:t>
      </w:r>
    </w:p>
    <w:p w:rsidR="00A00008" w:rsidRPr="00E06D97" w:rsidRDefault="00A00008" w:rsidP="005B5FC6">
      <w:pPr>
        <w:numPr>
          <w:ilvl w:val="0"/>
          <w:numId w:val="25"/>
        </w:numPr>
        <w:spacing w:after="240" w:line="240" w:lineRule="auto"/>
        <w:ind w:left="567" w:hanging="567"/>
        <w:rPr>
          <w:rFonts w:eastAsia="Times New Roman" w:cs="Times New Roman"/>
          <w:szCs w:val="20"/>
          <w:lang w:val="en-GB" w:eastAsia="en-GB"/>
        </w:rPr>
      </w:pPr>
      <w:r w:rsidRPr="00240E4E">
        <w:rPr>
          <w:rFonts w:eastAsia="Times New Roman" w:cs="Times New Roman"/>
          <w:szCs w:val="20"/>
          <w:lang w:val="en-GB" w:eastAsia="en-GB"/>
        </w:rPr>
        <w:t xml:space="preserve">The content of competence assessments is determined by the </w:t>
      </w:r>
      <w:r w:rsidR="007C4074">
        <w:rPr>
          <w:rFonts w:eastAsia="Times New Roman" w:cs="Times New Roman"/>
          <w:szCs w:val="20"/>
          <w:lang w:val="en-GB" w:eastAsia="en-GB"/>
        </w:rPr>
        <w:t>Board</w:t>
      </w:r>
      <w:r>
        <w:rPr>
          <w:rFonts w:eastAsia="Times New Roman" w:cs="Times New Roman"/>
          <w:szCs w:val="20"/>
          <w:lang w:val="en-GB" w:eastAsia="en-GB"/>
        </w:rPr>
        <w:t xml:space="preserve">.  It has discretion to accept assessments from other providers </w:t>
      </w:r>
      <w:r w:rsidRPr="00657865">
        <w:rPr>
          <w:rFonts w:eastAsia="Times New Roman" w:cs="Times New Roman"/>
          <w:szCs w:val="20"/>
          <w:lang w:val="en-GB" w:eastAsia="en-GB"/>
        </w:rPr>
        <w:t xml:space="preserve">as part of competence recertification programmes, </w:t>
      </w:r>
      <w:r>
        <w:rPr>
          <w:rFonts w:eastAsia="Times New Roman" w:cs="Times New Roman"/>
          <w:szCs w:val="20"/>
          <w:lang w:val="en-GB" w:eastAsia="en-GB"/>
        </w:rPr>
        <w:t xml:space="preserve">and has done so for competence assessments offered by the </w:t>
      </w:r>
      <w:r w:rsidR="001913C7" w:rsidRPr="00177E1D">
        <w:t>Aotearoa New Zealand</w:t>
      </w:r>
      <w:r w:rsidR="001913C7">
        <w:t xml:space="preserve"> Association of Social Workers</w:t>
      </w:r>
      <w:r>
        <w:rPr>
          <w:rFonts w:eastAsia="Times New Roman" w:cs="Times New Roman"/>
          <w:szCs w:val="20"/>
          <w:lang w:val="en-GB" w:eastAsia="en-GB"/>
        </w:rPr>
        <w:t xml:space="preserve">.  Currently there are ten Core Competence Standards that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Pr>
          <w:rFonts w:eastAsia="Times New Roman" w:cs="Times New Roman"/>
          <w:szCs w:val="20"/>
          <w:lang w:val="en-GB" w:eastAsia="en-GB"/>
        </w:rPr>
        <w:t xml:space="preserve">uses for the purposes of assessing </w:t>
      </w:r>
      <w:r>
        <w:rPr>
          <w:rFonts w:eastAsia="Times New Roman" w:cs="Times New Roman"/>
          <w:szCs w:val="20"/>
          <w:lang w:val="en-GB" w:eastAsia="en-GB"/>
        </w:rPr>
        <w:lastRenderedPageBreak/>
        <w:t xml:space="preserve">competence.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Pr>
          <w:rFonts w:eastAsia="Times New Roman" w:cs="Times New Roman"/>
          <w:szCs w:val="20"/>
          <w:lang w:val="en-GB" w:eastAsia="en-GB"/>
        </w:rPr>
        <w:t>has been working with</w:t>
      </w:r>
      <w:r w:rsidR="001913C7">
        <w:rPr>
          <w:rFonts w:eastAsia="Times New Roman" w:cs="Times New Roman"/>
          <w:szCs w:val="20"/>
          <w:lang w:val="en-GB" w:eastAsia="en-GB"/>
        </w:rPr>
        <w:t xml:space="preserve"> the </w:t>
      </w:r>
      <w:r w:rsidR="001913C7" w:rsidRPr="007A6992">
        <w:rPr>
          <w:rFonts w:eastAsia="Times New Roman"/>
          <w:szCs w:val="20"/>
          <w:lang w:val="en-GB" w:eastAsia="en-GB"/>
        </w:rPr>
        <w:t>Ministry for Vulnerable Children, Oranga Tamariki</w:t>
      </w:r>
      <w:r>
        <w:rPr>
          <w:rFonts w:eastAsia="Times New Roman" w:cs="Times New Roman"/>
          <w:szCs w:val="20"/>
          <w:lang w:val="en-GB" w:eastAsia="en-GB"/>
        </w:rPr>
        <w:t xml:space="preserve"> </w:t>
      </w:r>
      <w:r w:rsidR="00EA6778">
        <w:rPr>
          <w:rFonts w:eastAsia="Times New Roman" w:cs="Times New Roman"/>
          <w:szCs w:val="20"/>
          <w:lang w:val="en-GB" w:eastAsia="en-GB"/>
        </w:rPr>
        <w:t>to</w:t>
      </w:r>
      <w:r>
        <w:rPr>
          <w:rFonts w:eastAsia="Times New Roman" w:cs="Times New Roman"/>
          <w:szCs w:val="20"/>
          <w:lang w:val="en-GB" w:eastAsia="en-GB"/>
        </w:rPr>
        <w:t xml:space="preserve"> incorporat</w:t>
      </w:r>
      <w:r w:rsidR="00EA6778">
        <w:rPr>
          <w:rFonts w:eastAsia="Times New Roman" w:cs="Times New Roman"/>
          <w:szCs w:val="20"/>
          <w:lang w:val="en-GB" w:eastAsia="en-GB"/>
        </w:rPr>
        <w:t>e</w:t>
      </w:r>
      <w:r>
        <w:rPr>
          <w:rFonts w:eastAsia="Times New Roman" w:cs="Times New Roman"/>
          <w:szCs w:val="20"/>
          <w:lang w:val="en-GB" w:eastAsia="en-GB"/>
        </w:rPr>
        <w:t xml:space="preserve"> </w:t>
      </w:r>
      <w:r w:rsidR="00EA6778">
        <w:rPr>
          <w:rFonts w:eastAsia="Times New Roman" w:cs="Times New Roman"/>
          <w:szCs w:val="20"/>
          <w:lang w:val="en-GB" w:eastAsia="en-GB"/>
        </w:rPr>
        <w:t>its</w:t>
      </w:r>
      <w:r>
        <w:rPr>
          <w:rFonts w:eastAsia="Times New Roman" w:cs="Times New Roman"/>
          <w:szCs w:val="20"/>
          <w:lang w:val="en-GB" w:eastAsia="en-GB"/>
        </w:rPr>
        <w:t xml:space="preserve"> shared core competency framework into the</w:t>
      </w:r>
      <w:r w:rsidR="007C4074">
        <w:rPr>
          <w:rFonts w:eastAsia="Times New Roman" w:cs="Times New Roman"/>
          <w:szCs w:val="20"/>
          <w:lang w:val="en-GB" w:eastAsia="en-GB"/>
        </w:rPr>
        <w:t xml:space="preserve"> Board</w:t>
      </w:r>
      <w:r>
        <w:rPr>
          <w:rFonts w:eastAsia="Times New Roman" w:cs="Times New Roman"/>
          <w:szCs w:val="20"/>
          <w:lang w:val="en-GB" w:eastAsia="en-GB"/>
        </w:rPr>
        <w:t>’s core competencies.</w:t>
      </w:r>
      <w:r w:rsidR="00E93189">
        <w:rPr>
          <w:rFonts w:eastAsia="Times New Roman" w:cs="Times New Roman"/>
          <w:szCs w:val="20"/>
          <w:lang w:val="en-GB" w:eastAsia="en-GB"/>
        </w:rPr>
        <w:t xml:space="preserve"> </w:t>
      </w:r>
      <w:r w:rsidR="00EA6778">
        <w:rPr>
          <w:rFonts w:eastAsia="Times New Roman" w:cs="Times New Roman"/>
          <w:szCs w:val="20"/>
          <w:lang w:val="en-GB" w:eastAsia="en-GB"/>
        </w:rPr>
        <w:t xml:space="preserve"> </w:t>
      </w:r>
      <w:r>
        <w:rPr>
          <w:rFonts w:eastAsia="Times New Roman" w:cs="Times New Roman"/>
          <w:szCs w:val="20"/>
          <w:lang w:val="en-GB" w:eastAsia="en-GB"/>
        </w:rPr>
        <w:t xml:space="preserve">Once completed,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Pr>
          <w:rFonts w:eastAsia="Times New Roman" w:cs="Times New Roman"/>
          <w:szCs w:val="20"/>
          <w:lang w:val="en-GB" w:eastAsia="en-GB"/>
        </w:rPr>
        <w:t xml:space="preserve">will </w:t>
      </w:r>
      <w:r w:rsidR="00EA6778">
        <w:rPr>
          <w:rFonts w:eastAsia="Times New Roman" w:cs="Times New Roman"/>
          <w:szCs w:val="20"/>
          <w:lang w:val="en-GB" w:eastAsia="en-GB"/>
        </w:rPr>
        <w:t xml:space="preserve">also </w:t>
      </w:r>
      <w:r>
        <w:rPr>
          <w:rFonts w:eastAsia="Times New Roman" w:cs="Times New Roman"/>
          <w:szCs w:val="20"/>
          <w:lang w:val="en-GB" w:eastAsia="en-GB"/>
        </w:rPr>
        <w:t xml:space="preserve">work with the Ministry of Justice on </w:t>
      </w:r>
      <w:r w:rsidRPr="00E06D97">
        <w:rPr>
          <w:rFonts w:eastAsia="Times New Roman" w:cs="Times New Roman"/>
          <w:szCs w:val="20"/>
          <w:lang w:val="en-GB" w:eastAsia="en-GB"/>
        </w:rPr>
        <w:t>the addition of new competencies in relation to family and sexual violence</w:t>
      </w:r>
      <w:r>
        <w:rPr>
          <w:rFonts w:eastAsia="Times New Roman" w:cs="Times New Roman"/>
          <w:szCs w:val="20"/>
          <w:lang w:val="en-GB" w:eastAsia="en-GB"/>
        </w:rPr>
        <w:t>.</w:t>
      </w:r>
      <w:r w:rsidR="00E93189">
        <w:rPr>
          <w:rFonts w:eastAsia="Times New Roman" w:cs="Times New Roman"/>
          <w:szCs w:val="20"/>
          <w:lang w:val="en-GB" w:eastAsia="en-GB"/>
        </w:rPr>
        <w:t xml:space="preserve"> </w:t>
      </w:r>
      <w:r w:rsidRPr="00E06D97">
        <w:rPr>
          <w:rFonts w:eastAsia="Times New Roman" w:cs="Times New Roman"/>
          <w:szCs w:val="20"/>
          <w:lang w:val="en-GB" w:eastAsia="en-GB"/>
        </w:rPr>
        <w:t xml:space="preserve"> Māori principles of kaitiakitanga can contribute to the assessment of competency</w:t>
      </w:r>
      <w:r>
        <w:rPr>
          <w:rFonts w:eastAsia="Times New Roman" w:cs="Times New Roman"/>
          <w:szCs w:val="20"/>
          <w:lang w:val="en-GB" w:eastAsia="en-GB"/>
        </w:rPr>
        <w:t xml:space="preserve">, and have already been included in </w:t>
      </w:r>
      <w:r w:rsidR="007C4074">
        <w:rPr>
          <w:rFonts w:eastAsia="Times New Roman" w:cs="Times New Roman"/>
          <w:szCs w:val="20"/>
          <w:lang w:val="en-GB" w:eastAsia="en-GB"/>
        </w:rPr>
        <w:t>Board</w:t>
      </w:r>
      <w:r w:rsidR="00E93189">
        <w:rPr>
          <w:rFonts w:eastAsia="Times New Roman" w:cs="Times New Roman"/>
          <w:szCs w:val="20"/>
          <w:lang w:val="en-GB" w:eastAsia="en-GB"/>
        </w:rPr>
        <w:t>’</w:t>
      </w:r>
      <w:r w:rsidR="007C4074">
        <w:rPr>
          <w:rFonts w:eastAsia="Times New Roman" w:cs="Times New Roman"/>
          <w:szCs w:val="20"/>
          <w:lang w:val="en-GB" w:eastAsia="en-GB"/>
        </w:rPr>
        <w:t>s</w:t>
      </w:r>
      <w:r w:rsidR="00E93189">
        <w:rPr>
          <w:rFonts w:eastAsia="Times New Roman" w:cs="Times New Roman"/>
          <w:szCs w:val="20"/>
          <w:lang w:val="en-GB" w:eastAsia="en-GB"/>
        </w:rPr>
        <w:t xml:space="preserve"> </w:t>
      </w:r>
      <w:r>
        <w:rPr>
          <w:rFonts w:eastAsia="Times New Roman" w:cs="Times New Roman"/>
          <w:szCs w:val="20"/>
          <w:lang w:val="en-GB" w:eastAsia="en-GB"/>
        </w:rPr>
        <w:t>core competencies</w:t>
      </w:r>
      <w:r w:rsidRPr="00E06D97">
        <w:rPr>
          <w:rFonts w:eastAsia="Times New Roman" w:cs="Times New Roman"/>
          <w:szCs w:val="20"/>
          <w:lang w:val="en-GB" w:eastAsia="en-GB"/>
        </w:rPr>
        <w:t>.</w:t>
      </w:r>
    </w:p>
    <w:p w:rsidR="00A00008" w:rsidRPr="00240E4E" w:rsidRDefault="00CC7880"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The SWR Act</w:t>
      </w:r>
      <w:r w:rsidR="00A00008">
        <w:rPr>
          <w:rFonts w:eastAsia="Times New Roman" w:cs="Times New Roman"/>
          <w:szCs w:val="20"/>
          <w:lang w:val="en-GB" w:eastAsia="en-GB"/>
        </w:rPr>
        <w:t xml:space="preserve"> requires c</w:t>
      </w:r>
      <w:r w:rsidR="00A00008" w:rsidRPr="00240E4E">
        <w:rPr>
          <w:rFonts w:eastAsia="Times New Roman" w:cs="Times New Roman"/>
          <w:szCs w:val="20"/>
          <w:lang w:val="en-GB" w:eastAsia="en-GB"/>
        </w:rPr>
        <w:t xml:space="preserve">ompetence </w:t>
      </w:r>
      <w:r w:rsidR="00A00008">
        <w:rPr>
          <w:rFonts w:eastAsia="Times New Roman" w:cs="Times New Roman"/>
          <w:szCs w:val="20"/>
          <w:lang w:val="en-GB" w:eastAsia="en-GB"/>
        </w:rPr>
        <w:t xml:space="preserve">to be </w:t>
      </w:r>
      <w:r w:rsidR="00A00008" w:rsidRPr="00240E4E">
        <w:rPr>
          <w:rFonts w:eastAsia="Times New Roman" w:cs="Times New Roman"/>
          <w:szCs w:val="20"/>
          <w:lang w:val="en-GB" w:eastAsia="en-GB"/>
        </w:rPr>
        <w:t>assessed at registration (unless an applicant has graduated a social work degree within the past two years</w:t>
      </w:r>
      <w:r w:rsidR="00A00008">
        <w:rPr>
          <w:rFonts w:eastAsia="Times New Roman" w:cs="Times New Roman"/>
          <w:szCs w:val="20"/>
          <w:lang w:val="en-GB" w:eastAsia="en-GB"/>
        </w:rPr>
        <w:t>,</w:t>
      </w:r>
      <w:r w:rsidR="00A00008" w:rsidRPr="00240E4E">
        <w:rPr>
          <w:rFonts w:eastAsia="Times New Roman" w:cs="Times New Roman"/>
          <w:szCs w:val="20"/>
          <w:lang w:val="en-GB" w:eastAsia="en-GB"/>
        </w:rPr>
        <w:t xml:space="preserve"> in which case at the end of that period), and every five years. </w:t>
      </w:r>
      <w:r w:rsidR="00A00008">
        <w:rPr>
          <w:rFonts w:eastAsia="Times New Roman" w:cs="Times New Roman"/>
          <w:szCs w:val="20"/>
          <w:lang w:val="en-GB" w:eastAsia="en-GB"/>
        </w:rPr>
        <w:t xml:space="preserve"> </w:t>
      </w:r>
      <w:r w:rsidR="00A00008" w:rsidRPr="00240E4E">
        <w:rPr>
          <w:rFonts w:eastAsia="Times New Roman" w:cs="Times New Roman"/>
          <w:szCs w:val="20"/>
          <w:lang w:val="en-GB" w:eastAsia="en-GB"/>
        </w:rPr>
        <w:t xml:space="preserve">It is a general condition of annual practising certificates that social workers also complete </w:t>
      </w:r>
      <w:r w:rsidR="00A00008">
        <w:rPr>
          <w:rFonts w:eastAsia="Times New Roman" w:cs="Times New Roman"/>
          <w:szCs w:val="20"/>
          <w:lang w:val="en-GB" w:eastAsia="en-GB"/>
        </w:rPr>
        <w:t xml:space="preserve">20 hours of </w:t>
      </w:r>
      <w:r w:rsidR="00A00008" w:rsidRPr="00240E4E">
        <w:rPr>
          <w:rFonts w:eastAsia="Times New Roman" w:cs="Times New Roman"/>
          <w:szCs w:val="20"/>
          <w:lang w:val="en-GB" w:eastAsia="en-GB"/>
        </w:rPr>
        <w:t>continuing professional development</w:t>
      </w:r>
      <w:r w:rsidR="00A00008">
        <w:rPr>
          <w:rFonts w:eastAsia="Times New Roman" w:cs="Times New Roman"/>
          <w:szCs w:val="20"/>
          <w:lang w:val="en-GB" w:eastAsia="en-GB"/>
        </w:rPr>
        <w:t xml:space="preserve"> per year</w:t>
      </w:r>
      <w:r w:rsidR="00A00008" w:rsidRPr="00240E4E">
        <w:rPr>
          <w:rFonts w:eastAsia="Times New Roman" w:cs="Times New Roman"/>
          <w:szCs w:val="20"/>
          <w:lang w:val="en-GB" w:eastAsia="en-GB"/>
        </w:rPr>
        <w:t xml:space="preserve">. </w:t>
      </w:r>
      <w:r w:rsidR="00A00008">
        <w:rPr>
          <w:rFonts w:eastAsia="Times New Roman" w:cs="Times New Roman"/>
          <w:szCs w:val="20"/>
          <w:lang w:val="en-GB" w:eastAsia="en-GB"/>
        </w:rPr>
        <w:t xml:space="preserve"> </w:t>
      </w:r>
      <w:r w:rsidR="00A00008" w:rsidRPr="00240E4E">
        <w:rPr>
          <w:rFonts w:eastAsia="Times New Roman" w:cs="Times New Roman"/>
          <w:szCs w:val="20"/>
          <w:lang w:val="en-GB" w:eastAsia="en-GB"/>
        </w:rPr>
        <w:t>The Board is also entitled to review competence at any time on its own initiative.</w:t>
      </w:r>
    </w:p>
    <w:p w:rsidR="00A00008" w:rsidRPr="00240E4E"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w:t>
      </w:r>
      <w:r w:rsidRPr="00240E4E">
        <w:rPr>
          <w:rFonts w:eastAsia="Times New Roman" w:cs="Times New Roman"/>
          <w:szCs w:val="20"/>
          <w:lang w:val="en-GB" w:eastAsia="en-GB"/>
        </w:rPr>
        <w:t xml:space="preserve">he </w:t>
      </w:r>
      <w:r w:rsidR="0020415B">
        <w:rPr>
          <w:rFonts w:eastAsia="Times New Roman" w:cs="Times New Roman"/>
          <w:szCs w:val="20"/>
          <w:lang w:val="en-GB" w:eastAsia="en-GB"/>
        </w:rPr>
        <w:t>current statutory</w:t>
      </w:r>
      <w:r>
        <w:rPr>
          <w:rFonts w:eastAsia="Times New Roman" w:cs="Times New Roman"/>
          <w:szCs w:val="20"/>
          <w:lang w:val="en-GB" w:eastAsia="en-GB"/>
        </w:rPr>
        <w:t xml:space="preserve"> </w:t>
      </w:r>
      <w:r w:rsidRPr="00240E4E">
        <w:rPr>
          <w:rFonts w:eastAsia="Times New Roman" w:cs="Times New Roman"/>
          <w:szCs w:val="20"/>
          <w:lang w:val="en-GB" w:eastAsia="en-GB"/>
        </w:rPr>
        <w:t xml:space="preserve">process of recertification is </w:t>
      </w:r>
      <w:r>
        <w:rPr>
          <w:rFonts w:eastAsia="Times New Roman" w:cs="Times New Roman"/>
          <w:szCs w:val="20"/>
          <w:lang w:val="en-GB" w:eastAsia="en-GB"/>
        </w:rPr>
        <w:t>expensive</w:t>
      </w:r>
      <w:r w:rsidRPr="00240E4E">
        <w:rPr>
          <w:rFonts w:eastAsia="Times New Roman" w:cs="Times New Roman"/>
          <w:szCs w:val="20"/>
          <w:lang w:val="en-GB" w:eastAsia="en-GB"/>
        </w:rPr>
        <w:t xml:space="preserve"> </w:t>
      </w:r>
      <w:r>
        <w:rPr>
          <w:rFonts w:eastAsia="Times New Roman" w:cs="Times New Roman"/>
          <w:szCs w:val="20"/>
          <w:lang w:val="en-GB" w:eastAsia="en-GB"/>
        </w:rPr>
        <w:t xml:space="preserve">for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Pr>
          <w:rFonts w:eastAsia="Times New Roman" w:cs="Times New Roman"/>
          <w:szCs w:val="20"/>
          <w:lang w:val="en-GB" w:eastAsia="en-GB"/>
        </w:rPr>
        <w:t xml:space="preserve">and practitioners </w:t>
      </w:r>
      <w:r w:rsidRPr="00240E4E">
        <w:rPr>
          <w:rFonts w:eastAsia="Times New Roman" w:cs="Times New Roman"/>
          <w:szCs w:val="20"/>
          <w:lang w:val="en-GB" w:eastAsia="en-GB"/>
        </w:rPr>
        <w:t xml:space="preserve">and more </w:t>
      </w:r>
      <w:r>
        <w:rPr>
          <w:rFonts w:eastAsia="Times New Roman" w:cs="Times New Roman"/>
          <w:szCs w:val="20"/>
          <w:lang w:val="en-GB" w:eastAsia="en-GB"/>
        </w:rPr>
        <w:t>burdensome than compara</w:t>
      </w:r>
      <w:r w:rsidR="00E93189">
        <w:rPr>
          <w:rFonts w:eastAsia="Times New Roman" w:cs="Times New Roman"/>
          <w:szCs w:val="20"/>
          <w:lang w:val="en-GB" w:eastAsia="en-GB"/>
        </w:rPr>
        <w:t>ble</w:t>
      </w:r>
      <w:r>
        <w:rPr>
          <w:rFonts w:eastAsia="Times New Roman" w:cs="Times New Roman"/>
          <w:szCs w:val="20"/>
          <w:lang w:val="en-GB" w:eastAsia="en-GB"/>
        </w:rPr>
        <w:t xml:space="preserve"> professions.  It is also not necessarily timely – five years </w:t>
      </w:r>
      <w:r w:rsidR="00E93189">
        <w:rPr>
          <w:rFonts w:eastAsia="Times New Roman" w:cs="Times New Roman"/>
          <w:szCs w:val="20"/>
          <w:lang w:val="en-GB" w:eastAsia="en-GB"/>
        </w:rPr>
        <w:t xml:space="preserve">between assessments </w:t>
      </w:r>
      <w:r>
        <w:rPr>
          <w:rFonts w:eastAsia="Times New Roman" w:cs="Times New Roman"/>
          <w:szCs w:val="20"/>
          <w:lang w:val="en-GB" w:eastAsia="en-GB"/>
        </w:rPr>
        <w:t>is a long period.</w:t>
      </w:r>
    </w:p>
    <w:p w:rsidR="00A00008" w:rsidRPr="00D540DE" w:rsidRDefault="00A00008" w:rsidP="00177E1D">
      <w:pPr>
        <w:spacing w:after="240" w:line="240" w:lineRule="auto"/>
        <w:rPr>
          <w:rFonts w:eastAsia="Times New Roman" w:cs="Times New Roman"/>
          <w:i/>
          <w:szCs w:val="20"/>
          <w:lang w:val="en-GB" w:eastAsia="en-GB"/>
        </w:rPr>
      </w:pPr>
      <w:r w:rsidRPr="00D540DE">
        <w:rPr>
          <w:rFonts w:eastAsia="Times New Roman" w:cs="Times New Roman"/>
          <w:i/>
          <w:szCs w:val="20"/>
          <w:lang w:val="en-GB" w:eastAsia="en-GB"/>
        </w:rPr>
        <w:t xml:space="preserve">Streamlining </w:t>
      </w:r>
      <w:r>
        <w:rPr>
          <w:rFonts w:eastAsia="Times New Roman" w:cs="Times New Roman"/>
          <w:i/>
          <w:szCs w:val="20"/>
          <w:lang w:val="en-GB" w:eastAsia="en-GB"/>
        </w:rPr>
        <w:t>c</w:t>
      </w:r>
      <w:r w:rsidRPr="00D540DE">
        <w:rPr>
          <w:rFonts w:eastAsia="Times New Roman" w:cs="Times New Roman"/>
          <w:i/>
          <w:szCs w:val="20"/>
          <w:lang w:val="en-GB" w:eastAsia="en-GB"/>
        </w:rPr>
        <w:t xml:space="preserve">ompetence </w:t>
      </w:r>
      <w:r>
        <w:rPr>
          <w:rFonts w:eastAsia="Times New Roman" w:cs="Times New Roman"/>
          <w:i/>
          <w:szCs w:val="20"/>
          <w:lang w:val="en-GB" w:eastAsia="en-GB"/>
        </w:rPr>
        <w:t>a</w:t>
      </w:r>
      <w:r w:rsidRPr="00D540DE">
        <w:rPr>
          <w:rFonts w:eastAsia="Times New Roman" w:cs="Times New Roman"/>
          <w:i/>
          <w:szCs w:val="20"/>
          <w:lang w:val="en-GB" w:eastAsia="en-GB"/>
        </w:rPr>
        <w:t>ssessments</w:t>
      </w:r>
    </w:p>
    <w:p w:rsidR="00A00008" w:rsidRPr="00240E4E" w:rsidRDefault="00A00008" w:rsidP="005B5FC6">
      <w:pPr>
        <w:numPr>
          <w:ilvl w:val="0"/>
          <w:numId w:val="25"/>
        </w:numPr>
        <w:spacing w:after="240" w:line="240" w:lineRule="auto"/>
        <w:ind w:left="567" w:hanging="567"/>
        <w:rPr>
          <w:rFonts w:eastAsia="Times New Roman" w:cs="Times New Roman"/>
          <w:szCs w:val="20"/>
          <w:lang w:val="en-GB" w:eastAsia="en-GB"/>
        </w:rPr>
      </w:pPr>
      <w:r w:rsidRPr="00240E4E">
        <w:rPr>
          <w:rFonts w:eastAsia="Times New Roman" w:cs="Times New Roman"/>
          <w:szCs w:val="20"/>
          <w:lang w:val="en-GB" w:eastAsia="en-GB"/>
        </w:rPr>
        <w:t xml:space="preserve">Officials have considered the recommendations made by the </w:t>
      </w:r>
      <w:r w:rsidR="00101F12">
        <w:rPr>
          <w:rFonts w:eastAsia="Times New Roman" w:cs="Times New Roman"/>
          <w:szCs w:val="20"/>
          <w:lang w:val="en-GB" w:eastAsia="en-GB"/>
        </w:rPr>
        <w:t>Select</w:t>
      </w:r>
      <w:r w:rsidRPr="00240E4E">
        <w:rPr>
          <w:rFonts w:eastAsia="Times New Roman" w:cs="Times New Roman"/>
          <w:szCs w:val="20"/>
          <w:lang w:val="en-GB" w:eastAsia="en-GB"/>
        </w:rPr>
        <w:t xml:space="preserve"> Committee and concluded that the costs imposed by the </w:t>
      </w:r>
      <w:r>
        <w:rPr>
          <w:rFonts w:eastAsia="Times New Roman" w:cs="Times New Roman"/>
          <w:szCs w:val="20"/>
          <w:lang w:val="en-GB" w:eastAsia="en-GB"/>
        </w:rPr>
        <w:t>five</w:t>
      </w:r>
      <w:r w:rsidRPr="00240E4E">
        <w:rPr>
          <w:rFonts w:eastAsia="Times New Roman" w:cs="Times New Roman"/>
          <w:szCs w:val="20"/>
          <w:lang w:val="en-GB" w:eastAsia="en-GB"/>
        </w:rPr>
        <w:t xml:space="preserve">-year recertification process are </w:t>
      </w:r>
      <w:r>
        <w:rPr>
          <w:rFonts w:eastAsia="Times New Roman" w:cs="Times New Roman"/>
          <w:szCs w:val="20"/>
          <w:lang w:val="en-GB" w:eastAsia="en-GB"/>
        </w:rPr>
        <w:t>not cost-effective</w:t>
      </w:r>
      <w:r w:rsidRPr="00240E4E">
        <w:rPr>
          <w:rFonts w:eastAsia="Times New Roman" w:cs="Times New Roman"/>
          <w:szCs w:val="20"/>
          <w:lang w:val="en-GB" w:eastAsia="en-GB"/>
        </w:rPr>
        <w:t xml:space="preserve">. </w:t>
      </w:r>
      <w:r>
        <w:rPr>
          <w:rFonts w:eastAsia="Times New Roman" w:cs="Times New Roman"/>
          <w:szCs w:val="20"/>
          <w:lang w:val="en-GB" w:eastAsia="en-GB"/>
        </w:rPr>
        <w:t xml:space="preserve"> </w:t>
      </w:r>
      <w:r w:rsidRPr="00240E4E">
        <w:rPr>
          <w:rFonts w:eastAsia="Times New Roman" w:cs="Times New Roman"/>
          <w:szCs w:val="20"/>
          <w:lang w:val="en-GB" w:eastAsia="en-GB"/>
        </w:rPr>
        <w:t>Although incompetent social work can pose appreciable risk of serious harm to clients, it would be more efficient to streamline competence assurance processes by assuming competence of practitioner</w:t>
      </w:r>
      <w:r>
        <w:rPr>
          <w:rFonts w:eastAsia="Times New Roman" w:cs="Times New Roman"/>
          <w:szCs w:val="20"/>
          <w:lang w:val="en-GB" w:eastAsia="en-GB"/>
        </w:rPr>
        <w:t>s u</w:t>
      </w:r>
      <w:r w:rsidR="0020415B">
        <w:rPr>
          <w:rFonts w:eastAsia="Times New Roman" w:cs="Times New Roman"/>
          <w:szCs w:val="20"/>
          <w:lang w:val="en-GB" w:eastAsia="en-GB"/>
        </w:rPr>
        <w:t>ntil the contrary is alleged.  It is intended that t</w:t>
      </w:r>
      <w:r>
        <w:rPr>
          <w:rFonts w:eastAsia="Times New Roman" w:cs="Times New Roman"/>
          <w:szCs w:val="20"/>
          <w:lang w:val="en-GB" w:eastAsia="en-GB"/>
        </w:rPr>
        <w:t xml:space="preserve">his would be backed up by a system of continuing professional development enforced by periodic audits of </w:t>
      </w:r>
      <w:r w:rsidR="0020415B">
        <w:rPr>
          <w:rFonts w:eastAsia="Times New Roman" w:cs="Times New Roman"/>
          <w:szCs w:val="20"/>
          <w:lang w:val="en-GB" w:eastAsia="en-GB"/>
        </w:rPr>
        <w:t xml:space="preserve">training </w:t>
      </w:r>
      <w:r>
        <w:rPr>
          <w:rFonts w:eastAsia="Times New Roman" w:cs="Times New Roman"/>
          <w:szCs w:val="20"/>
          <w:lang w:val="en-GB" w:eastAsia="en-GB"/>
        </w:rPr>
        <w:t>logs.</w:t>
      </w:r>
      <w:r w:rsidRPr="00240E4E">
        <w:rPr>
          <w:rFonts w:eastAsia="Times New Roman" w:cs="Times New Roman"/>
          <w:szCs w:val="20"/>
          <w:lang w:val="en-GB" w:eastAsia="en-GB"/>
        </w:rPr>
        <w:t xml:space="preserve"> </w:t>
      </w:r>
      <w:r>
        <w:rPr>
          <w:rFonts w:eastAsia="Times New Roman" w:cs="Times New Roman"/>
          <w:szCs w:val="20"/>
          <w:lang w:val="en-GB" w:eastAsia="en-GB"/>
        </w:rPr>
        <w:t xml:space="preserve"> </w:t>
      </w:r>
      <w:r w:rsidRPr="00240E4E">
        <w:rPr>
          <w:rFonts w:eastAsia="Times New Roman" w:cs="Times New Roman"/>
          <w:szCs w:val="20"/>
          <w:lang w:val="en-GB" w:eastAsia="en-GB"/>
        </w:rPr>
        <w:t xml:space="preserve">This will </w:t>
      </w:r>
      <w:r>
        <w:rPr>
          <w:rFonts w:eastAsia="Times New Roman" w:cs="Times New Roman"/>
          <w:szCs w:val="20"/>
          <w:lang w:val="en-GB" w:eastAsia="en-GB"/>
        </w:rPr>
        <w:t>provide more responsive and timely</w:t>
      </w:r>
      <w:r w:rsidRPr="00240E4E">
        <w:rPr>
          <w:rFonts w:eastAsia="Times New Roman" w:cs="Times New Roman"/>
          <w:szCs w:val="20"/>
          <w:lang w:val="en-GB" w:eastAsia="en-GB"/>
        </w:rPr>
        <w:t xml:space="preserve"> oversight of social workers. </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240E4E">
        <w:rPr>
          <w:rFonts w:eastAsia="Times New Roman" w:cs="Times New Roman"/>
          <w:szCs w:val="20"/>
          <w:lang w:val="en-GB" w:eastAsia="en-GB"/>
        </w:rPr>
        <w:t xml:space="preserve">Officials recommend the requirements to recertify social workers every five years and to assess </w:t>
      </w:r>
      <w:r w:rsidR="0020415B">
        <w:rPr>
          <w:rFonts w:eastAsia="Times New Roman" w:cs="Times New Roman"/>
          <w:szCs w:val="20"/>
          <w:lang w:val="en-GB" w:eastAsia="en-GB"/>
        </w:rPr>
        <w:t xml:space="preserve">initial </w:t>
      </w:r>
      <w:r w:rsidRPr="00240E4E">
        <w:rPr>
          <w:rFonts w:eastAsia="Times New Roman" w:cs="Times New Roman"/>
          <w:szCs w:val="20"/>
          <w:lang w:val="en-GB" w:eastAsia="en-GB"/>
        </w:rPr>
        <w:t xml:space="preserve">competency of New Zealand-educated social work graduates </w:t>
      </w:r>
      <w:r w:rsidR="002736FC">
        <w:rPr>
          <w:rFonts w:eastAsia="Times New Roman" w:cs="Times New Roman"/>
          <w:szCs w:val="20"/>
          <w:lang w:val="en-GB" w:eastAsia="en-GB"/>
        </w:rPr>
        <w:t>be</w:t>
      </w:r>
      <w:r w:rsidR="002736FC" w:rsidRPr="00240E4E">
        <w:rPr>
          <w:rFonts w:eastAsia="Times New Roman" w:cs="Times New Roman"/>
          <w:szCs w:val="20"/>
          <w:lang w:val="en-GB" w:eastAsia="en-GB"/>
        </w:rPr>
        <w:t xml:space="preserve"> </w:t>
      </w:r>
      <w:r w:rsidRPr="00240E4E">
        <w:rPr>
          <w:rFonts w:eastAsia="Times New Roman" w:cs="Times New Roman"/>
          <w:szCs w:val="20"/>
          <w:lang w:val="en-GB" w:eastAsia="en-GB"/>
        </w:rPr>
        <w:t>removed</w:t>
      </w:r>
      <w:r>
        <w:rPr>
          <w:rFonts w:eastAsia="Times New Roman" w:cs="Times New Roman"/>
          <w:szCs w:val="20"/>
          <w:lang w:val="en-GB" w:eastAsia="en-GB"/>
        </w:rPr>
        <w:t xml:space="preserve">.  </w:t>
      </w:r>
      <w:r w:rsidRPr="00027F1E">
        <w:rPr>
          <w:rFonts w:eastAsia="Times New Roman" w:cs="Times New Roman"/>
          <w:szCs w:val="20"/>
          <w:lang w:val="en-GB" w:eastAsia="en-GB"/>
        </w:rPr>
        <w:t>For each pathway to registration the Board conducts quality assurance of qualifications or</w:t>
      </w:r>
      <w:r>
        <w:rPr>
          <w:rFonts w:eastAsia="Times New Roman" w:cs="Times New Roman"/>
          <w:szCs w:val="20"/>
          <w:lang w:val="en-GB" w:eastAsia="en-GB"/>
        </w:rPr>
        <w:t>, if under section 13,</w:t>
      </w:r>
      <w:r w:rsidRPr="00027F1E">
        <w:rPr>
          <w:rFonts w:eastAsia="Times New Roman" w:cs="Times New Roman"/>
          <w:szCs w:val="20"/>
          <w:lang w:val="en-GB" w:eastAsia="en-GB"/>
        </w:rPr>
        <w:t xml:space="preserve"> on-the-job experience. </w:t>
      </w:r>
      <w:r>
        <w:rPr>
          <w:rFonts w:eastAsia="Times New Roman" w:cs="Times New Roman"/>
          <w:szCs w:val="20"/>
          <w:lang w:val="en-GB" w:eastAsia="en-GB"/>
        </w:rPr>
        <w:t xml:space="preserve"> </w:t>
      </w:r>
      <w:r w:rsidRPr="00027F1E">
        <w:rPr>
          <w:rFonts w:eastAsia="Times New Roman" w:cs="Times New Roman"/>
          <w:szCs w:val="20"/>
          <w:lang w:val="en-GB" w:eastAsia="en-GB"/>
        </w:rPr>
        <w:t xml:space="preserve">To also require competence assessments of new graduates from these programmes is effectively assessing their competence twice. </w:t>
      </w:r>
      <w:r>
        <w:rPr>
          <w:rFonts w:eastAsia="Times New Roman" w:cs="Times New Roman"/>
          <w:szCs w:val="20"/>
          <w:lang w:val="en-GB" w:eastAsia="en-GB"/>
        </w:rPr>
        <w:t xml:space="preserve"> </w:t>
      </w:r>
      <w:r w:rsidRPr="00027F1E">
        <w:rPr>
          <w:rFonts w:eastAsia="Times New Roman" w:cs="Times New Roman"/>
          <w:szCs w:val="20"/>
          <w:lang w:val="en-GB" w:eastAsia="en-GB"/>
        </w:rPr>
        <w:t>This is inefficient.</w:t>
      </w:r>
      <w:r>
        <w:rPr>
          <w:rFonts w:eastAsia="Times New Roman" w:cs="Times New Roman"/>
          <w:szCs w:val="20"/>
          <w:lang w:val="en-GB" w:eastAsia="en-GB"/>
        </w:rPr>
        <w:t xml:space="preserve"> </w:t>
      </w:r>
      <w:r w:rsidRPr="00027F1E">
        <w:rPr>
          <w:rFonts w:eastAsia="Times New Roman" w:cs="Times New Roman"/>
          <w:szCs w:val="20"/>
          <w:lang w:val="en-GB" w:eastAsia="en-GB"/>
        </w:rPr>
        <w:t xml:space="preserve"> The Board already has the power to withdraw recognition </w:t>
      </w:r>
      <w:r>
        <w:rPr>
          <w:rFonts w:eastAsia="Times New Roman" w:cs="Times New Roman"/>
          <w:szCs w:val="20"/>
          <w:lang w:val="en-GB" w:eastAsia="en-GB"/>
        </w:rPr>
        <w:t>of</w:t>
      </w:r>
      <w:r w:rsidRPr="00027F1E">
        <w:rPr>
          <w:rFonts w:eastAsia="Times New Roman" w:cs="Times New Roman"/>
          <w:szCs w:val="20"/>
          <w:lang w:val="en-GB" w:eastAsia="en-GB"/>
        </w:rPr>
        <w:t xml:space="preserve"> academic programs that produce graduates who consistently do not meet competence expectations. </w:t>
      </w:r>
      <w:r>
        <w:rPr>
          <w:rFonts w:eastAsia="Times New Roman" w:cs="Times New Roman"/>
          <w:szCs w:val="20"/>
          <w:lang w:val="en-GB" w:eastAsia="en-GB"/>
        </w:rPr>
        <w:t xml:space="preserve"> </w:t>
      </w:r>
      <w:r w:rsidRPr="00027F1E">
        <w:rPr>
          <w:rFonts w:eastAsia="Times New Roman" w:cs="Times New Roman"/>
          <w:szCs w:val="20"/>
          <w:lang w:val="en-GB" w:eastAsia="en-GB"/>
        </w:rPr>
        <w:t xml:space="preserve">Additionally, assessing competence at registration is out of step with other professional regimes which focus on training received and </w:t>
      </w:r>
      <w:r w:rsidR="0038674C">
        <w:rPr>
          <w:rFonts w:eastAsia="Times New Roman" w:cs="Times New Roman"/>
          <w:szCs w:val="20"/>
          <w:lang w:val="en-GB" w:eastAsia="en-GB"/>
        </w:rPr>
        <w:t xml:space="preserve">generally </w:t>
      </w:r>
      <w:r w:rsidRPr="00027F1E">
        <w:rPr>
          <w:rFonts w:eastAsia="Times New Roman" w:cs="Times New Roman"/>
          <w:szCs w:val="20"/>
          <w:lang w:val="en-GB" w:eastAsia="en-GB"/>
        </w:rPr>
        <w:t xml:space="preserve">assume </w:t>
      </w:r>
      <w:r>
        <w:rPr>
          <w:rFonts w:eastAsia="Times New Roman" w:cs="Times New Roman"/>
          <w:szCs w:val="20"/>
          <w:lang w:val="en-GB" w:eastAsia="en-GB"/>
        </w:rPr>
        <w:t xml:space="preserve">initial </w:t>
      </w:r>
      <w:r w:rsidRPr="00027F1E">
        <w:rPr>
          <w:rFonts w:eastAsia="Times New Roman" w:cs="Times New Roman"/>
          <w:szCs w:val="20"/>
          <w:lang w:val="en-GB" w:eastAsia="en-GB"/>
        </w:rPr>
        <w:t xml:space="preserve">competence on registration. </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027F1E">
        <w:rPr>
          <w:rFonts w:eastAsia="Times New Roman" w:cs="Times New Roman"/>
          <w:szCs w:val="20"/>
          <w:lang w:val="en-GB" w:eastAsia="en-GB"/>
        </w:rPr>
        <w:t xml:space="preserve">Although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sidRPr="00027F1E">
        <w:rPr>
          <w:rFonts w:eastAsia="Times New Roman" w:cs="Times New Roman"/>
          <w:szCs w:val="20"/>
          <w:lang w:val="en-GB" w:eastAsia="en-GB"/>
        </w:rPr>
        <w:t>will retain the power to review competency at any time, only overseas-educated graduates and persons about whom concerns have been raised—for example, through the complaints process—will be subject to the current</w:t>
      </w:r>
      <w:r>
        <w:rPr>
          <w:rFonts w:eastAsia="Times New Roman" w:cs="Times New Roman"/>
          <w:szCs w:val="20"/>
          <w:lang w:val="en-GB" w:eastAsia="en-GB"/>
        </w:rPr>
        <w:t>ly applicable</w:t>
      </w:r>
      <w:r w:rsidRPr="00027F1E">
        <w:rPr>
          <w:rFonts w:eastAsia="Times New Roman" w:cs="Times New Roman"/>
          <w:szCs w:val="20"/>
          <w:lang w:val="en-GB" w:eastAsia="en-GB"/>
        </w:rPr>
        <w:t xml:space="preserve"> competence assessment process.</w:t>
      </w:r>
      <w:r>
        <w:rPr>
          <w:rFonts w:eastAsia="Times New Roman" w:cs="Times New Roman"/>
          <w:szCs w:val="20"/>
          <w:lang w:val="en-GB" w:eastAsia="en-GB"/>
        </w:rPr>
        <w:t xml:space="preserve"> </w:t>
      </w:r>
    </w:p>
    <w:p w:rsidR="00A00008" w:rsidRPr="00027F1E"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In particular, it is not intended to raise any additional barrier to overseas-trained social workers</w:t>
      </w:r>
      <w:r w:rsidR="007505BA">
        <w:rPr>
          <w:rFonts w:eastAsia="Times New Roman" w:cs="Times New Roman"/>
          <w:szCs w:val="20"/>
          <w:lang w:val="en-GB" w:eastAsia="en-GB"/>
        </w:rPr>
        <w:t>,</w:t>
      </w:r>
      <w:r>
        <w:rPr>
          <w:rFonts w:eastAsia="Times New Roman" w:cs="Times New Roman"/>
          <w:szCs w:val="20"/>
          <w:lang w:val="en-GB" w:eastAsia="en-GB"/>
        </w:rPr>
        <w:t xml:space="preserve"> who are </w:t>
      </w:r>
      <w:r w:rsidR="002736FC">
        <w:rPr>
          <w:rFonts w:eastAsia="Times New Roman" w:cs="Times New Roman"/>
          <w:szCs w:val="20"/>
          <w:lang w:val="en-GB" w:eastAsia="en-GB"/>
        </w:rPr>
        <w:t xml:space="preserve">at </w:t>
      </w:r>
      <w:r>
        <w:rPr>
          <w:rFonts w:eastAsia="Times New Roman" w:cs="Times New Roman"/>
          <w:szCs w:val="20"/>
          <w:lang w:val="en-GB" w:eastAsia="en-GB"/>
        </w:rPr>
        <w:t>the required standards of professionalism</w:t>
      </w:r>
      <w:r w:rsidR="007505BA">
        <w:rPr>
          <w:rFonts w:eastAsia="Times New Roman" w:cs="Times New Roman"/>
          <w:szCs w:val="20"/>
          <w:lang w:val="en-GB" w:eastAsia="en-GB"/>
        </w:rPr>
        <w:t>,</w:t>
      </w:r>
      <w:r>
        <w:rPr>
          <w:rFonts w:eastAsia="Times New Roman" w:cs="Times New Roman"/>
          <w:szCs w:val="20"/>
          <w:lang w:val="en-GB" w:eastAsia="en-GB"/>
        </w:rPr>
        <w:t xml:space="preserve"> from practising in New Zealand. </w:t>
      </w:r>
      <w:r w:rsidR="00E93189">
        <w:rPr>
          <w:rFonts w:eastAsia="Times New Roman" w:cs="Times New Roman"/>
          <w:szCs w:val="20"/>
          <w:lang w:val="en-GB" w:eastAsia="en-GB"/>
        </w:rPr>
        <w:t xml:space="preserve"> </w:t>
      </w:r>
      <w:r>
        <w:rPr>
          <w:rFonts w:eastAsia="Times New Roman" w:cs="Times New Roman"/>
          <w:szCs w:val="20"/>
          <w:lang w:val="en-GB" w:eastAsia="en-GB"/>
        </w:rPr>
        <w:t>Proposals relating to competence are not intended to affect the process by which foreign-trained social workers register.</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Making </w:t>
      </w:r>
      <w:r w:rsidRPr="00EB583F">
        <w:rPr>
          <w:rFonts w:eastAsia="Times New Roman" w:cs="Times New Roman"/>
          <w:szCs w:val="20"/>
          <w:lang w:val="en-GB" w:eastAsia="en-GB"/>
        </w:rPr>
        <w:t xml:space="preserve">the </w:t>
      </w:r>
      <w:r w:rsidR="007C4074">
        <w:rPr>
          <w:rFonts w:eastAsia="Times New Roman" w:cs="Times New Roman"/>
          <w:szCs w:val="20"/>
          <w:lang w:val="en-GB" w:eastAsia="en-GB"/>
        </w:rPr>
        <w:t>Board</w:t>
      </w:r>
      <w:r w:rsidRPr="00EB583F">
        <w:rPr>
          <w:rFonts w:eastAsia="Times New Roman" w:cs="Times New Roman"/>
          <w:szCs w:val="20"/>
          <w:lang w:val="en-GB" w:eastAsia="en-GB"/>
        </w:rPr>
        <w:t xml:space="preserve">’s power to require social workers to carry out continuing professional </w:t>
      </w:r>
      <w:r w:rsidR="00E93189" w:rsidRPr="00EB583F">
        <w:rPr>
          <w:rFonts w:eastAsia="Times New Roman" w:cs="Times New Roman"/>
          <w:szCs w:val="20"/>
          <w:lang w:val="en-GB" w:eastAsia="en-GB"/>
        </w:rPr>
        <w:t>development</w:t>
      </w:r>
      <w:r>
        <w:rPr>
          <w:rFonts w:eastAsia="Times New Roman" w:cs="Times New Roman"/>
          <w:szCs w:val="20"/>
          <w:lang w:val="en-GB" w:eastAsia="en-GB"/>
        </w:rPr>
        <w:t xml:space="preserve"> and to demonstrate its on-go</w:t>
      </w:r>
      <w:r w:rsidR="00E93189">
        <w:rPr>
          <w:rFonts w:eastAsia="Times New Roman" w:cs="Times New Roman"/>
          <w:szCs w:val="20"/>
          <w:lang w:val="en-GB" w:eastAsia="en-GB"/>
        </w:rPr>
        <w:t>ing relevance to their practice</w:t>
      </w:r>
      <w:r>
        <w:rPr>
          <w:rFonts w:eastAsia="Times New Roman" w:cs="Times New Roman"/>
          <w:szCs w:val="20"/>
          <w:lang w:val="en-GB" w:eastAsia="en-GB"/>
        </w:rPr>
        <w:t xml:space="preserve"> </w:t>
      </w:r>
      <w:r w:rsidRPr="00EB583F">
        <w:rPr>
          <w:rFonts w:eastAsia="Times New Roman" w:cs="Times New Roman"/>
          <w:szCs w:val="20"/>
          <w:lang w:val="en-GB" w:eastAsia="en-GB"/>
        </w:rPr>
        <w:t xml:space="preserve">more explicit in the </w:t>
      </w:r>
      <w:r w:rsidR="002876A5">
        <w:rPr>
          <w:rFonts w:eastAsia="Times New Roman" w:cs="Times New Roman"/>
          <w:szCs w:val="20"/>
          <w:lang w:val="en-GB" w:eastAsia="en-GB"/>
        </w:rPr>
        <w:t>SWR</w:t>
      </w:r>
      <w:r w:rsidR="002876A5" w:rsidRPr="00222ED8">
        <w:rPr>
          <w:rFonts w:eastAsia="Times New Roman" w:cs="Times New Roman"/>
          <w:szCs w:val="20"/>
          <w:lang w:val="en-GB" w:eastAsia="en-GB"/>
        </w:rPr>
        <w:t xml:space="preserve"> Act</w:t>
      </w:r>
      <w:r w:rsidR="002876A5" w:rsidRPr="00EB583F" w:rsidDel="002876A5">
        <w:rPr>
          <w:rFonts w:eastAsia="Times New Roman" w:cs="Times New Roman"/>
          <w:szCs w:val="20"/>
          <w:lang w:val="en-GB" w:eastAsia="en-GB"/>
        </w:rPr>
        <w:t xml:space="preserve"> </w:t>
      </w:r>
      <w:r>
        <w:rPr>
          <w:rFonts w:eastAsia="Times New Roman" w:cs="Times New Roman"/>
          <w:szCs w:val="20"/>
          <w:lang w:val="en-GB" w:eastAsia="en-GB"/>
        </w:rPr>
        <w:t xml:space="preserve">will improve </w:t>
      </w:r>
      <w:r w:rsidR="0038674C">
        <w:rPr>
          <w:rFonts w:eastAsia="Times New Roman" w:cs="Times New Roman"/>
          <w:szCs w:val="20"/>
          <w:lang w:val="en-GB" w:eastAsia="en-GB"/>
        </w:rPr>
        <w:t xml:space="preserve">the </w:t>
      </w:r>
      <w:r>
        <w:rPr>
          <w:rFonts w:eastAsia="Times New Roman" w:cs="Times New Roman"/>
          <w:szCs w:val="20"/>
          <w:lang w:val="en-GB" w:eastAsia="en-GB"/>
        </w:rPr>
        <w:t>clarity and effectiveness of the regulatory regime.</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240E4E">
        <w:rPr>
          <w:rFonts w:eastAsia="Times New Roman" w:cs="Times New Roman"/>
          <w:szCs w:val="20"/>
          <w:lang w:val="en-GB" w:eastAsia="en-GB"/>
        </w:rPr>
        <w:t>This package of amendments will better align the competence assurance processes with those of other professions, and reflects a move from periodic competen</w:t>
      </w:r>
      <w:r>
        <w:rPr>
          <w:rFonts w:eastAsia="Times New Roman" w:cs="Times New Roman"/>
          <w:szCs w:val="20"/>
          <w:lang w:val="en-GB" w:eastAsia="en-GB"/>
        </w:rPr>
        <w:t>cy review to continuous development of competency</w:t>
      </w:r>
      <w:r w:rsidRPr="00240E4E">
        <w:rPr>
          <w:rFonts w:eastAsia="Times New Roman" w:cs="Times New Roman"/>
          <w:szCs w:val="20"/>
          <w:lang w:val="en-GB" w:eastAsia="en-GB"/>
        </w:rPr>
        <w:t xml:space="preserve">. </w:t>
      </w:r>
      <w:r>
        <w:rPr>
          <w:rFonts w:eastAsia="Times New Roman" w:cs="Times New Roman"/>
          <w:szCs w:val="20"/>
          <w:lang w:val="en-GB" w:eastAsia="en-GB"/>
        </w:rPr>
        <w:t xml:space="preserve"> </w:t>
      </w:r>
      <w:r w:rsidRPr="00240E4E">
        <w:rPr>
          <w:rFonts w:eastAsia="Times New Roman" w:cs="Times New Roman"/>
          <w:szCs w:val="20"/>
          <w:lang w:val="en-GB" w:eastAsia="en-GB"/>
        </w:rPr>
        <w:t xml:space="preserve">It improves effectiveness of the </w:t>
      </w:r>
      <w:r w:rsidRPr="00240E4E">
        <w:rPr>
          <w:rFonts w:eastAsia="Times New Roman" w:cs="Times New Roman"/>
          <w:szCs w:val="20"/>
          <w:lang w:val="en-GB" w:eastAsia="en-GB"/>
        </w:rPr>
        <w:lastRenderedPageBreak/>
        <w:t>current system by encouraging social workers to pay attention to emerging trends and best practice.</w:t>
      </w:r>
      <w:r>
        <w:rPr>
          <w:rFonts w:eastAsia="Times New Roman" w:cs="Times New Roman"/>
          <w:szCs w:val="20"/>
          <w:lang w:val="en-GB" w:eastAsia="en-GB"/>
        </w:rPr>
        <w:t xml:space="preserve"> </w:t>
      </w:r>
      <w:r w:rsidRPr="00240E4E">
        <w:rPr>
          <w:rFonts w:eastAsia="Times New Roman" w:cs="Times New Roman"/>
          <w:szCs w:val="20"/>
          <w:lang w:val="en-GB" w:eastAsia="en-GB"/>
        </w:rPr>
        <w:t xml:space="preserve"> It is also likely to be more efficient and cheaper for both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sidRPr="00240E4E">
        <w:rPr>
          <w:rFonts w:eastAsia="Times New Roman" w:cs="Times New Roman"/>
          <w:szCs w:val="20"/>
          <w:lang w:val="en-GB" w:eastAsia="en-GB"/>
        </w:rPr>
        <w:t>and applicants.</w:t>
      </w:r>
    </w:p>
    <w:p w:rsidR="00A00008" w:rsidRPr="00D540DE" w:rsidRDefault="00A00008" w:rsidP="00177E1D">
      <w:pPr>
        <w:spacing w:after="240"/>
        <w:outlineLvl w:val="2"/>
        <w:rPr>
          <w:rFonts w:eastAsia="Times New Roman" w:cs="Times New Roman"/>
          <w:sz w:val="24"/>
          <w:szCs w:val="24"/>
          <w:lang w:val="en-GB" w:eastAsia="en-GB"/>
        </w:rPr>
      </w:pPr>
      <w:bookmarkStart w:id="63" w:name="_Toc479612000"/>
      <w:bookmarkStart w:id="64" w:name="_Toc520457894"/>
      <w:r w:rsidRPr="00D540DE">
        <w:rPr>
          <w:rFonts w:eastAsia="Times New Roman" w:cs="Times New Roman"/>
          <w:b/>
          <w:sz w:val="24"/>
          <w:szCs w:val="24"/>
          <w:lang w:val="en-GB" w:eastAsia="en-GB"/>
        </w:rPr>
        <w:t xml:space="preserve">Fit and </w:t>
      </w:r>
      <w:r>
        <w:rPr>
          <w:rFonts w:eastAsia="Times New Roman" w:cs="Times New Roman"/>
          <w:b/>
          <w:sz w:val="24"/>
          <w:szCs w:val="24"/>
          <w:lang w:val="en-GB" w:eastAsia="en-GB"/>
        </w:rPr>
        <w:t>p</w:t>
      </w:r>
      <w:r w:rsidRPr="00D540DE">
        <w:rPr>
          <w:rFonts w:eastAsia="Times New Roman" w:cs="Times New Roman"/>
          <w:b/>
          <w:sz w:val="24"/>
          <w:szCs w:val="24"/>
          <w:lang w:val="en-GB" w:eastAsia="en-GB"/>
        </w:rPr>
        <w:t xml:space="preserve">roper </w:t>
      </w:r>
      <w:r>
        <w:rPr>
          <w:rFonts w:eastAsia="Times New Roman" w:cs="Times New Roman"/>
          <w:b/>
          <w:sz w:val="24"/>
          <w:szCs w:val="24"/>
          <w:lang w:val="en-GB" w:eastAsia="en-GB"/>
        </w:rPr>
        <w:t>p</w:t>
      </w:r>
      <w:r w:rsidRPr="00D540DE">
        <w:rPr>
          <w:rFonts w:eastAsia="Times New Roman" w:cs="Times New Roman"/>
          <w:b/>
          <w:sz w:val="24"/>
          <w:szCs w:val="24"/>
          <w:lang w:val="en-GB" w:eastAsia="en-GB"/>
        </w:rPr>
        <w:t xml:space="preserve">erson to </w:t>
      </w:r>
      <w:r>
        <w:rPr>
          <w:rFonts w:eastAsia="Times New Roman" w:cs="Times New Roman"/>
          <w:b/>
          <w:sz w:val="24"/>
          <w:szCs w:val="24"/>
          <w:lang w:val="en-GB" w:eastAsia="en-GB"/>
        </w:rPr>
        <w:t>p</w:t>
      </w:r>
      <w:r w:rsidRPr="00D540DE">
        <w:rPr>
          <w:rFonts w:eastAsia="Times New Roman" w:cs="Times New Roman"/>
          <w:b/>
          <w:sz w:val="24"/>
          <w:szCs w:val="24"/>
          <w:lang w:val="en-GB" w:eastAsia="en-GB"/>
        </w:rPr>
        <w:t>ractise</w:t>
      </w:r>
      <w:bookmarkEnd w:id="63"/>
      <w:bookmarkEnd w:id="64"/>
    </w:p>
    <w:p w:rsidR="00A00008" w:rsidRPr="00D540DE" w:rsidRDefault="00A00008" w:rsidP="00177E1D">
      <w:pPr>
        <w:spacing w:after="240" w:line="240" w:lineRule="auto"/>
        <w:rPr>
          <w:rFonts w:eastAsia="Times New Roman" w:cs="Times New Roman"/>
          <w:i/>
          <w:szCs w:val="20"/>
          <w:lang w:val="en-GB" w:eastAsia="en-GB"/>
        </w:rPr>
      </w:pPr>
      <w:r w:rsidRPr="00D540DE">
        <w:rPr>
          <w:rFonts w:eastAsia="Times New Roman" w:cs="Times New Roman"/>
          <w:i/>
          <w:szCs w:val="20"/>
          <w:lang w:val="en-GB" w:eastAsia="en-GB"/>
        </w:rPr>
        <w:t xml:space="preserve">Status </w:t>
      </w:r>
      <w:r>
        <w:rPr>
          <w:rFonts w:eastAsia="Times New Roman" w:cs="Times New Roman"/>
          <w:i/>
          <w:szCs w:val="20"/>
          <w:lang w:val="en-GB" w:eastAsia="en-GB"/>
        </w:rPr>
        <w:t>q</w:t>
      </w:r>
      <w:r w:rsidRPr="00D540DE">
        <w:rPr>
          <w:rFonts w:eastAsia="Times New Roman" w:cs="Times New Roman"/>
          <w:i/>
          <w:szCs w:val="20"/>
          <w:lang w:val="en-GB" w:eastAsia="en-GB"/>
        </w:rPr>
        <w:t>uo</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DE4100">
        <w:rPr>
          <w:rFonts w:eastAsia="Times New Roman" w:cs="Times New Roman"/>
          <w:szCs w:val="20"/>
          <w:lang w:val="en-GB" w:eastAsia="en-GB"/>
        </w:rPr>
        <w:t xml:space="preserve">A person may not be registered to practice social work unless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sidRPr="00DE4100">
        <w:rPr>
          <w:rFonts w:eastAsia="Times New Roman" w:cs="Times New Roman"/>
          <w:szCs w:val="20"/>
          <w:lang w:val="en-GB" w:eastAsia="en-GB"/>
        </w:rPr>
        <w:t>is satisfied they are a fit and proper p</w:t>
      </w:r>
      <w:r>
        <w:rPr>
          <w:rFonts w:eastAsia="Times New Roman" w:cs="Times New Roman"/>
          <w:szCs w:val="20"/>
          <w:lang w:val="en-GB" w:eastAsia="en-GB"/>
        </w:rPr>
        <w:t>erson to practice social work.  Currently, t</w:t>
      </w:r>
      <w:r w:rsidRPr="00DE4100">
        <w:rPr>
          <w:rFonts w:eastAsia="Times New Roman" w:cs="Times New Roman"/>
          <w:szCs w:val="20"/>
          <w:lang w:val="en-GB" w:eastAsia="en-GB"/>
        </w:rPr>
        <w:t xml:space="preserve">he only ground for finding an applicant unfit to practice social work is if, and only if,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sidRPr="00DE4100">
        <w:rPr>
          <w:rFonts w:eastAsia="Times New Roman" w:cs="Times New Roman"/>
          <w:szCs w:val="20"/>
          <w:lang w:val="en-GB" w:eastAsia="en-GB"/>
        </w:rPr>
        <w:t xml:space="preserve">is satisfied there are grounds on which a reasonable person would conclude the applicant was not a fit and proper person to practise social work. </w:t>
      </w:r>
      <w:r>
        <w:rPr>
          <w:rFonts w:eastAsia="Times New Roman" w:cs="Times New Roman"/>
          <w:szCs w:val="20"/>
          <w:lang w:val="en-GB" w:eastAsia="en-GB"/>
        </w:rPr>
        <w:t xml:space="preserve"> An applicant for registration must be declined registration if the Board considers them to be unfit.</w:t>
      </w:r>
    </w:p>
    <w:p w:rsidR="00A00008" w:rsidRPr="00DE4100"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w:t>
      </w:r>
      <w:r w:rsidRPr="00DE4100">
        <w:rPr>
          <w:rFonts w:eastAsia="Times New Roman" w:cs="Times New Roman"/>
          <w:szCs w:val="20"/>
          <w:lang w:val="en-GB" w:eastAsia="en-GB"/>
        </w:rPr>
        <w:t xml:space="preserve">he </w:t>
      </w:r>
      <w:r w:rsidR="002876A5">
        <w:rPr>
          <w:rFonts w:eastAsia="Times New Roman" w:cs="Times New Roman"/>
          <w:szCs w:val="20"/>
          <w:lang w:val="en-GB" w:eastAsia="en-GB"/>
        </w:rPr>
        <w:t>SWR</w:t>
      </w:r>
      <w:r w:rsidR="002876A5" w:rsidRPr="00222ED8">
        <w:rPr>
          <w:rFonts w:eastAsia="Times New Roman" w:cs="Times New Roman"/>
          <w:szCs w:val="20"/>
          <w:lang w:val="en-GB" w:eastAsia="en-GB"/>
        </w:rPr>
        <w:t xml:space="preserve"> Act</w:t>
      </w:r>
      <w:r w:rsidR="002876A5" w:rsidRPr="00DE4100" w:rsidDel="002876A5">
        <w:rPr>
          <w:rFonts w:eastAsia="Times New Roman" w:cs="Times New Roman"/>
          <w:szCs w:val="20"/>
          <w:lang w:val="en-GB" w:eastAsia="en-GB"/>
        </w:rPr>
        <w:t xml:space="preserve"> </w:t>
      </w:r>
      <w:r>
        <w:rPr>
          <w:rFonts w:eastAsia="Times New Roman" w:cs="Times New Roman"/>
          <w:szCs w:val="20"/>
          <w:lang w:val="en-GB" w:eastAsia="en-GB"/>
        </w:rPr>
        <w:t>provides</w:t>
      </w:r>
      <w:r w:rsidRPr="00DE4100">
        <w:rPr>
          <w:rFonts w:eastAsia="Times New Roman" w:cs="Times New Roman"/>
          <w:szCs w:val="20"/>
          <w:lang w:val="en-GB" w:eastAsia="en-GB"/>
        </w:rPr>
        <w:t xml:space="preserve"> </w:t>
      </w:r>
      <w:r>
        <w:rPr>
          <w:rFonts w:eastAsia="Times New Roman" w:cs="Times New Roman"/>
          <w:szCs w:val="20"/>
          <w:lang w:val="en-GB" w:eastAsia="en-GB"/>
        </w:rPr>
        <w:t>s</w:t>
      </w:r>
      <w:r w:rsidRPr="00DE4100">
        <w:rPr>
          <w:rFonts w:eastAsia="Times New Roman" w:cs="Times New Roman"/>
          <w:szCs w:val="20"/>
          <w:lang w:val="en-GB" w:eastAsia="en-GB"/>
        </w:rPr>
        <w:t xml:space="preserve">ome examples of </w:t>
      </w:r>
      <w:r>
        <w:rPr>
          <w:rFonts w:eastAsia="Times New Roman" w:cs="Times New Roman"/>
          <w:szCs w:val="20"/>
          <w:lang w:val="en-GB" w:eastAsia="en-GB"/>
        </w:rPr>
        <w:t xml:space="preserve">reasonable </w:t>
      </w:r>
      <w:r w:rsidRPr="00DE4100">
        <w:rPr>
          <w:rFonts w:eastAsia="Times New Roman" w:cs="Times New Roman"/>
          <w:szCs w:val="20"/>
          <w:lang w:val="en-GB" w:eastAsia="en-GB"/>
        </w:rPr>
        <w:t>grounds: a conviction for an offence punishable by three months or more imprisonment which reflects adversely on fitness to practice; inability to perform social work functions; or that the subject is not of good character</w:t>
      </w:r>
      <w:r>
        <w:rPr>
          <w:rFonts w:eastAsia="Times New Roman" w:cs="Times New Roman"/>
          <w:szCs w:val="20"/>
          <w:lang w:val="en-GB" w:eastAsia="en-GB"/>
        </w:rPr>
        <w:t xml:space="preserve"> and</w:t>
      </w:r>
      <w:r w:rsidRPr="00DE4100">
        <w:rPr>
          <w:rFonts w:eastAsia="Times New Roman" w:cs="Times New Roman"/>
          <w:szCs w:val="20"/>
          <w:lang w:val="en-GB" w:eastAsia="en-GB"/>
        </w:rPr>
        <w:t xml:space="preserve"> reputation. </w:t>
      </w:r>
      <w:r>
        <w:rPr>
          <w:rFonts w:eastAsia="Times New Roman" w:cs="Times New Roman"/>
          <w:szCs w:val="20"/>
          <w:lang w:val="en-GB" w:eastAsia="en-GB"/>
        </w:rPr>
        <w:t xml:space="preserve"> However</w:t>
      </w:r>
      <w:r w:rsidRPr="00DE4100">
        <w:rPr>
          <w:rFonts w:eastAsia="Times New Roman" w:cs="Times New Roman"/>
          <w:szCs w:val="20"/>
          <w:lang w:val="en-GB" w:eastAsia="en-GB"/>
        </w:rPr>
        <w:t>, the power to consider somebody as being unfit to practice is highly discretionary</w:t>
      </w:r>
      <w:r>
        <w:rPr>
          <w:rFonts w:eastAsia="Times New Roman" w:cs="Times New Roman"/>
          <w:szCs w:val="20"/>
          <w:lang w:val="en-GB" w:eastAsia="en-GB"/>
        </w:rPr>
        <w:t>, and</w:t>
      </w:r>
      <w:r w:rsidR="0038674C">
        <w:rPr>
          <w:rFonts w:eastAsia="Times New Roman" w:cs="Times New Roman"/>
          <w:szCs w:val="20"/>
          <w:lang w:val="en-GB" w:eastAsia="en-GB"/>
        </w:rPr>
        <w:t xml:space="preserve"> out of step with other occupational legislation</w:t>
      </w:r>
      <w:r>
        <w:rPr>
          <w:rFonts w:eastAsia="Times New Roman" w:cs="Times New Roman"/>
          <w:szCs w:val="20"/>
          <w:lang w:val="en-GB" w:eastAsia="en-GB"/>
        </w:rPr>
        <w:t xml:space="preserve">.  The </w:t>
      </w:r>
      <w:r w:rsidRPr="00DE4100">
        <w:rPr>
          <w:rFonts w:eastAsia="Times New Roman" w:cs="Times New Roman"/>
          <w:szCs w:val="20"/>
          <w:lang w:val="en-GB" w:eastAsia="en-GB"/>
        </w:rPr>
        <w:t xml:space="preserve">transparency </w:t>
      </w:r>
      <w:r>
        <w:rPr>
          <w:rFonts w:eastAsia="Times New Roman" w:cs="Times New Roman"/>
          <w:szCs w:val="20"/>
          <w:lang w:val="en-GB" w:eastAsia="en-GB"/>
        </w:rPr>
        <w:t xml:space="preserve">and clarity </w:t>
      </w:r>
      <w:r w:rsidRPr="00DE4100">
        <w:rPr>
          <w:rFonts w:eastAsia="Times New Roman" w:cs="Times New Roman"/>
          <w:szCs w:val="20"/>
          <w:lang w:val="en-GB" w:eastAsia="en-GB"/>
        </w:rPr>
        <w:t xml:space="preserve">of </w:t>
      </w:r>
      <w:r>
        <w:rPr>
          <w:rFonts w:eastAsia="Times New Roman" w:cs="Times New Roman"/>
          <w:szCs w:val="20"/>
          <w:lang w:val="en-GB" w:eastAsia="en-GB"/>
        </w:rPr>
        <w:t>the legislation would be improved by more explicit criteria</w:t>
      </w:r>
      <w:r w:rsidRPr="00DE4100">
        <w:rPr>
          <w:rFonts w:eastAsia="Times New Roman" w:cs="Times New Roman"/>
          <w:szCs w:val="20"/>
          <w:lang w:val="en-GB" w:eastAsia="en-GB"/>
        </w:rPr>
        <w:t>.</w:t>
      </w:r>
    </w:p>
    <w:p w:rsidR="00A00008" w:rsidRPr="00DE4100" w:rsidRDefault="00A00008" w:rsidP="005B5FC6">
      <w:pPr>
        <w:numPr>
          <w:ilvl w:val="0"/>
          <w:numId w:val="25"/>
        </w:numPr>
        <w:spacing w:after="240" w:line="240" w:lineRule="auto"/>
        <w:ind w:left="567" w:hanging="567"/>
        <w:rPr>
          <w:rFonts w:eastAsia="Times New Roman" w:cs="Times New Roman"/>
          <w:szCs w:val="20"/>
          <w:lang w:val="en-GB" w:eastAsia="en-GB"/>
        </w:rPr>
      </w:pPr>
      <w:r w:rsidRPr="00DE4100">
        <w:rPr>
          <w:rFonts w:eastAsia="Times New Roman" w:cs="Times New Roman"/>
          <w:szCs w:val="20"/>
          <w:lang w:val="en-GB" w:eastAsia="en-GB"/>
        </w:rPr>
        <w:t>Fitness to practice social work is assessed at registration</w:t>
      </w:r>
      <w:r>
        <w:rPr>
          <w:rFonts w:eastAsia="Times New Roman" w:cs="Times New Roman"/>
          <w:szCs w:val="20"/>
          <w:lang w:val="en-GB" w:eastAsia="en-GB"/>
        </w:rPr>
        <w:t xml:space="preserve">.  </w:t>
      </w:r>
      <w:r w:rsidRPr="00DE4100">
        <w:rPr>
          <w:rFonts w:eastAsia="Times New Roman" w:cs="Times New Roman"/>
          <w:szCs w:val="20"/>
          <w:lang w:val="en-GB" w:eastAsia="en-GB"/>
        </w:rPr>
        <w:t xml:space="preserve">The </w:t>
      </w:r>
      <w:r w:rsidR="0064484F">
        <w:rPr>
          <w:rFonts w:eastAsia="Times New Roman" w:cs="Times New Roman"/>
          <w:szCs w:val="20"/>
          <w:lang w:val="en-GB" w:eastAsia="en-GB"/>
        </w:rPr>
        <w:t xml:space="preserve">Board </w:t>
      </w:r>
      <w:r w:rsidRPr="00DE4100">
        <w:rPr>
          <w:rFonts w:eastAsia="Times New Roman" w:cs="Times New Roman"/>
          <w:szCs w:val="20"/>
          <w:lang w:val="en-GB" w:eastAsia="en-GB"/>
        </w:rPr>
        <w:t xml:space="preserve">must also assess fitness to practice if directed to by a complaints assessment committee and may assess fitness if, at the point of applying for an annual practising certificate, the Registrar suspects on reasonable grounds that an applicant is not fit to practice social work. </w:t>
      </w:r>
    </w:p>
    <w:p w:rsidR="00A00008" w:rsidRPr="00DE4100"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w:t>
      </w:r>
      <w:r w:rsidRPr="00DE4100">
        <w:rPr>
          <w:rFonts w:eastAsia="Times New Roman" w:cs="Times New Roman"/>
          <w:szCs w:val="20"/>
          <w:lang w:val="en-GB" w:eastAsia="en-GB"/>
        </w:rPr>
        <w:t xml:space="preserve">he Board has </w:t>
      </w:r>
      <w:r>
        <w:rPr>
          <w:rFonts w:eastAsia="Times New Roman" w:cs="Times New Roman"/>
          <w:szCs w:val="20"/>
          <w:lang w:val="en-GB" w:eastAsia="en-GB"/>
        </w:rPr>
        <w:t>also required a</w:t>
      </w:r>
      <w:r w:rsidRPr="00DE4100">
        <w:rPr>
          <w:rFonts w:eastAsia="Times New Roman" w:cs="Times New Roman"/>
          <w:szCs w:val="20"/>
          <w:lang w:val="en-GB" w:eastAsia="en-GB"/>
        </w:rPr>
        <w:t xml:space="preserve"> satisfactory </w:t>
      </w:r>
      <w:r w:rsidR="0038674C">
        <w:rPr>
          <w:rFonts w:eastAsia="Times New Roman" w:cs="Times New Roman"/>
          <w:szCs w:val="20"/>
          <w:lang w:val="en-GB" w:eastAsia="en-GB"/>
        </w:rPr>
        <w:t xml:space="preserve">Police </w:t>
      </w:r>
      <w:r w:rsidRPr="00DE4100">
        <w:rPr>
          <w:rFonts w:eastAsia="Times New Roman" w:cs="Times New Roman"/>
          <w:szCs w:val="20"/>
          <w:lang w:val="en-GB" w:eastAsia="en-GB"/>
        </w:rPr>
        <w:t xml:space="preserve">vet as </w:t>
      </w:r>
      <w:r>
        <w:rPr>
          <w:rFonts w:eastAsia="Times New Roman" w:cs="Times New Roman"/>
          <w:szCs w:val="20"/>
          <w:lang w:val="en-GB" w:eastAsia="en-GB"/>
        </w:rPr>
        <w:t>part of</w:t>
      </w:r>
      <w:r w:rsidRPr="00DE4100">
        <w:rPr>
          <w:rFonts w:eastAsia="Times New Roman" w:cs="Times New Roman"/>
          <w:szCs w:val="20"/>
          <w:lang w:val="en-GB" w:eastAsia="en-GB"/>
        </w:rPr>
        <w:t xml:space="preserve"> the 5-year competence recertification.</w:t>
      </w:r>
      <w:r>
        <w:rPr>
          <w:rFonts w:eastAsia="Times New Roman" w:cs="Times New Roman"/>
          <w:szCs w:val="20"/>
          <w:lang w:val="en-GB" w:eastAsia="en-GB"/>
        </w:rPr>
        <w:t xml:space="preserve">  </w:t>
      </w:r>
      <w:r w:rsidRPr="00DE4100">
        <w:rPr>
          <w:rFonts w:eastAsia="Times New Roman" w:cs="Times New Roman"/>
          <w:szCs w:val="20"/>
          <w:lang w:val="en-GB" w:eastAsia="en-GB"/>
        </w:rPr>
        <w:t xml:space="preserve">The status quo allows for </w:t>
      </w:r>
      <w:r>
        <w:rPr>
          <w:rFonts w:eastAsia="Times New Roman" w:cs="Times New Roman"/>
          <w:szCs w:val="20"/>
          <w:lang w:val="en-GB" w:eastAsia="en-GB"/>
        </w:rPr>
        <w:t>regular periodic vetting but, for this to continue</w:t>
      </w:r>
      <w:r w:rsidRPr="00DE4100">
        <w:rPr>
          <w:rFonts w:eastAsia="Times New Roman" w:cs="Times New Roman"/>
          <w:szCs w:val="20"/>
          <w:lang w:val="en-GB" w:eastAsia="en-GB"/>
        </w:rPr>
        <w:t xml:space="preserve"> </w:t>
      </w:r>
      <w:r w:rsidR="0038674C">
        <w:rPr>
          <w:rFonts w:eastAsia="Times New Roman" w:cs="Times New Roman"/>
          <w:szCs w:val="20"/>
          <w:lang w:val="en-GB" w:eastAsia="en-GB"/>
        </w:rPr>
        <w:t>following the replacement of five</w:t>
      </w:r>
      <w:r>
        <w:rPr>
          <w:rFonts w:eastAsia="Times New Roman" w:cs="Times New Roman"/>
          <w:szCs w:val="20"/>
          <w:lang w:val="en-GB" w:eastAsia="en-GB"/>
        </w:rPr>
        <w:t>-year recertification, some minor amendments will be required.</w:t>
      </w:r>
    </w:p>
    <w:p w:rsidR="00A00008" w:rsidRPr="003F41BE" w:rsidRDefault="00A00008" w:rsidP="005B5FC6">
      <w:pPr>
        <w:numPr>
          <w:ilvl w:val="0"/>
          <w:numId w:val="25"/>
        </w:numPr>
        <w:spacing w:after="240" w:line="240" w:lineRule="auto"/>
        <w:ind w:left="567" w:hanging="567"/>
        <w:rPr>
          <w:rFonts w:eastAsia="Times New Roman" w:cs="Times New Roman"/>
          <w:szCs w:val="20"/>
          <w:lang w:val="en-GB" w:eastAsia="en-GB"/>
        </w:rPr>
      </w:pPr>
      <w:r w:rsidRPr="00DE4100">
        <w:rPr>
          <w:rFonts w:eastAsia="Times New Roman" w:cs="Times New Roman"/>
          <w:szCs w:val="20"/>
          <w:lang w:val="en-GB" w:eastAsia="en-GB"/>
        </w:rPr>
        <w:t xml:space="preserve">The </w:t>
      </w:r>
      <w:r w:rsidR="002876A5">
        <w:rPr>
          <w:rFonts w:eastAsia="Times New Roman" w:cs="Times New Roman"/>
          <w:szCs w:val="20"/>
          <w:lang w:val="en-GB" w:eastAsia="en-GB"/>
        </w:rPr>
        <w:t>SWR</w:t>
      </w:r>
      <w:r w:rsidR="002876A5" w:rsidRPr="00222ED8">
        <w:rPr>
          <w:rFonts w:eastAsia="Times New Roman" w:cs="Times New Roman"/>
          <w:szCs w:val="20"/>
          <w:lang w:val="en-GB" w:eastAsia="en-GB"/>
        </w:rPr>
        <w:t xml:space="preserve"> Act</w:t>
      </w:r>
      <w:r w:rsidR="002876A5" w:rsidRPr="00DE4100" w:rsidDel="002876A5">
        <w:rPr>
          <w:rFonts w:eastAsia="Times New Roman" w:cs="Times New Roman"/>
          <w:szCs w:val="20"/>
          <w:lang w:val="en-GB" w:eastAsia="en-GB"/>
        </w:rPr>
        <w:t xml:space="preserve"> </w:t>
      </w:r>
      <w:r w:rsidRPr="00DE4100">
        <w:rPr>
          <w:rFonts w:eastAsia="Times New Roman" w:cs="Times New Roman"/>
          <w:szCs w:val="20"/>
          <w:lang w:val="en-GB" w:eastAsia="en-GB"/>
        </w:rPr>
        <w:t xml:space="preserve">requires the </w:t>
      </w:r>
      <w:r w:rsidR="007C4074">
        <w:rPr>
          <w:rFonts w:eastAsia="Times New Roman" w:cs="Times New Roman"/>
          <w:szCs w:val="20"/>
          <w:lang w:val="en-GB" w:eastAsia="en-GB"/>
        </w:rPr>
        <w:t>Board</w:t>
      </w:r>
      <w:r w:rsidRPr="00DE4100">
        <w:rPr>
          <w:rFonts w:eastAsia="Times New Roman" w:cs="Times New Roman"/>
          <w:szCs w:val="20"/>
          <w:lang w:val="en-GB" w:eastAsia="en-GB"/>
        </w:rPr>
        <w:t>, when assessing fitness, to ask the Police if an applica</w:t>
      </w:r>
      <w:r>
        <w:rPr>
          <w:rFonts w:eastAsia="Times New Roman" w:cs="Times New Roman"/>
          <w:szCs w:val="20"/>
          <w:lang w:val="en-GB" w:eastAsia="en-GB"/>
        </w:rPr>
        <w:t xml:space="preserve">nt has any criminal convictions.  To fulfil this, </w:t>
      </w:r>
      <w:r w:rsidRPr="00DE4100">
        <w:rPr>
          <w:rFonts w:eastAsia="Times New Roman" w:cs="Times New Roman"/>
          <w:szCs w:val="20"/>
          <w:lang w:val="en-GB" w:eastAsia="en-GB"/>
        </w:rPr>
        <w:t xml:space="preserve">the </w:t>
      </w:r>
      <w:r w:rsidR="007C4074">
        <w:rPr>
          <w:rFonts w:eastAsia="Times New Roman" w:cs="Times New Roman"/>
          <w:szCs w:val="20"/>
          <w:lang w:val="en-GB" w:eastAsia="en-GB"/>
        </w:rPr>
        <w:t>Board</w:t>
      </w:r>
      <w:r w:rsidR="007C4074" w:rsidRPr="00DE4100">
        <w:rPr>
          <w:rFonts w:eastAsia="Times New Roman" w:cs="Times New Roman"/>
          <w:szCs w:val="20"/>
          <w:lang w:val="en-GB" w:eastAsia="en-GB"/>
        </w:rPr>
        <w:t xml:space="preserve"> </w:t>
      </w:r>
      <w:r w:rsidR="0038674C">
        <w:rPr>
          <w:rFonts w:eastAsia="Times New Roman" w:cs="Times New Roman"/>
          <w:szCs w:val="20"/>
          <w:lang w:val="en-GB" w:eastAsia="en-GB"/>
        </w:rPr>
        <w:t>has been requesting Police V</w:t>
      </w:r>
      <w:r w:rsidRPr="00DE4100">
        <w:rPr>
          <w:rFonts w:eastAsia="Times New Roman" w:cs="Times New Roman"/>
          <w:szCs w:val="20"/>
          <w:lang w:val="en-GB" w:eastAsia="en-GB"/>
        </w:rPr>
        <w:t xml:space="preserve">ets. </w:t>
      </w:r>
      <w:r w:rsidR="0038674C">
        <w:rPr>
          <w:rFonts w:eastAsia="Times New Roman" w:cs="Times New Roman"/>
          <w:szCs w:val="20"/>
          <w:lang w:val="en-GB" w:eastAsia="en-GB"/>
        </w:rPr>
        <w:t xml:space="preserve"> The New Zealand </w:t>
      </w:r>
      <w:r w:rsidRPr="00DE4100">
        <w:rPr>
          <w:rFonts w:eastAsia="Times New Roman" w:cs="Times New Roman"/>
          <w:szCs w:val="20"/>
          <w:lang w:val="en-GB" w:eastAsia="en-GB"/>
        </w:rPr>
        <w:t xml:space="preserve">Police conduct these vets exempt from the provisions of the Criminal Records (Clean Slate) Act 2004 through the application of </w:t>
      </w:r>
      <w:r w:rsidR="00C24DDE">
        <w:t xml:space="preserve">Section 19, </w:t>
      </w:r>
      <w:r w:rsidRPr="00DE4100">
        <w:rPr>
          <w:rFonts w:eastAsia="Times New Roman" w:cs="Times New Roman"/>
          <w:szCs w:val="20"/>
          <w:lang w:val="en-GB" w:eastAsia="en-GB"/>
        </w:rPr>
        <w:t>an exemption designed for persons who are applying for a care and protection role invol</w:t>
      </w:r>
      <w:r>
        <w:rPr>
          <w:rFonts w:eastAsia="Times New Roman" w:cs="Times New Roman"/>
          <w:szCs w:val="20"/>
          <w:lang w:val="en-GB" w:eastAsia="en-GB"/>
        </w:rPr>
        <w:t xml:space="preserve">ving children and young people.  As not all social workers work with children and young people, amendment is required to clarify that all social worker registration vets are permitted to be conducted on a clean slate exempt basis. </w:t>
      </w:r>
      <w:r w:rsidR="003E1183">
        <w:rPr>
          <w:rFonts w:eastAsia="Times New Roman" w:cs="Times New Roman"/>
          <w:szCs w:val="20"/>
          <w:lang w:val="en-GB" w:eastAsia="en-GB"/>
        </w:rPr>
        <w:t xml:space="preserve"> </w:t>
      </w:r>
      <w:r>
        <w:rPr>
          <w:rFonts w:eastAsia="Times New Roman" w:cs="Times New Roman"/>
          <w:szCs w:val="20"/>
          <w:lang w:val="en-GB" w:eastAsia="en-GB"/>
        </w:rPr>
        <w:t>This is not meant to reflect a change in existing policy settings.</w:t>
      </w:r>
    </w:p>
    <w:p w:rsidR="00A00008" w:rsidRPr="003F41BE"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Vetting conducted for the </w:t>
      </w:r>
      <w:r w:rsidR="007C4074">
        <w:rPr>
          <w:rFonts w:eastAsia="Times New Roman" w:cs="Times New Roman"/>
          <w:szCs w:val="20"/>
          <w:lang w:val="en-GB" w:eastAsia="en-GB"/>
        </w:rPr>
        <w:t>Board</w:t>
      </w:r>
      <w:r w:rsidR="007C4074" w:rsidRPr="00DE4100">
        <w:rPr>
          <w:rFonts w:eastAsia="Times New Roman" w:cs="Times New Roman"/>
          <w:szCs w:val="20"/>
          <w:lang w:val="en-GB" w:eastAsia="en-GB"/>
        </w:rPr>
        <w:t xml:space="preserve"> </w:t>
      </w:r>
      <w:r>
        <w:rPr>
          <w:rFonts w:eastAsia="Times New Roman" w:cs="Times New Roman"/>
          <w:szCs w:val="20"/>
          <w:lang w:val="en-GB" w:eastAsia="en-GB"/>
        </w:rPr>
        <w:t xml:space="preserve">as part of the registration regime </w:t>
      </w:r>
      <w:r w:rsidRPr="00DE4100">
        <w:rPr>
          <w:rFonts w:eastAsia="Times New Roman" w:cs="Times New Roman"/>
          <w:szCs w:val="20"/>
          <w:lang w:val="en-GB" w:eastAsia="en-GB"/>
        </w:rPr>
        <w:t>are distinct from vets conducted under the Vulnerable Children Act 2014</w:t>
      </w:r>
      <w:r>
        <w:rPr>
          <w:rFonts w:eastAsia="Times New Roman" w:cs="Times New Roman"/>
          <w:szCs w:val="20"/>
          <w:lang w:val="en-GB" w:eastAsia="en-GB"/>
        </w:rPr>
        <w:t>,</w:t>
      </w:r>
      <w:r w:rsidRPr="00DE4100">
        <w:rPr>
          <w:rFonts w:eastAsia="Times New Roman" w:cs="Times New Roman"/>
          <w:szCs w:val="20"/>
          <w:lang w:val="en-GB" w:eastAsia="en-GB"/>
        </w:rPr>
        <w:t xml:space="preserve"> which are intended to be conducted at the point of employment.</w:t>
      </w:r>
      <w:r>
        <w:rPr>
          <w:rFonts w:eastAsia="Times New Roman" w:cs="Times New Roman"/>
          <w:szCs w:val="20"/>
          <w:lang w:val="en-GB" w:eastAsia="en-GB"/>
        </w:rPr>
        <w:t xml:space="preserve">  Vetting under the Vulnerable Children Act will be required if the social worker</w:t>
      </w:r>
      <w:r w:rsidRPr="000F2AE7">
        <w:rPr>
          <w:rFonts w:eastAsia="Times New Roman" w:cs="Times New Roman"/>
          <w:szCs w:val="20"/>
          <w:lang w:val="en-GB" w:eastAsia="en-GB"/>
        </w:rPr>
        <w:t xml:space="preserve"> </w:t>
      </w:r>
      <w:r>
        <w:rPr>
          <w:rFonts w:eastAsia="Times New Roman" w:cs="Times New Roman"/>
          <w:szCs w:val="20"/>
          <w:lang w:val="en-GB" w:eastAsia="en-GB"/>
        </w:rPr>
        <w:t>will be</w:t>
      </w:r>
      <w:r w:rsidRPr="000F2AE7">
        <w:rPr>
          <w:rFonts w:eastAsia="Times New Roman" w:cs="Times New Roman"/>
          <w:szCs w:val="20"/>
          <w:lang w:val="en-GB" w:eastAsia="en-GB"/>
        </w:rPr>
        <w:t xml:space="preserve"> employed by certain publicly funded services and their work involves regular or o</w:t>
      </w:r>
      <w:r>
        <w:rPr>
          <w:rFonts w:eastAsia="Times New Roman" w:cs="Times New Roman"/>
          <w:szCs w:val="20"/>
          <w:lang w:val="en-GB" w:eastAsia="en-GB"/>
        </w:rPr>
        <w:t xml:space="preserve">vernight contact with children </w:t>
      </w:r>
      <w:r w:rsidRPr="000F2AE7">
        <w:rPr>
          <w:rFonts w:eastAsia="Times New Roman" w:cs="Times New Roman"/>
          <w:szCs w:val="20"/>
          <w:lang w:val="en-GB" w:eastAsia="en-GB"/>
        </w:rPr>
        <w:t>without pa</w:t>
      </w:r>
      <w:r>
        <w:rPr>
          <w:rFonts w:eastAsia="Times New Roman" w:cs="Times New Roman"/>
          <w:szCs w:val="20"/>
          <w:lang w:val="en-GB" w:eastAsia="en-GB"/>
        </w:rPr>
        <w:t>rent or guardians being present.  Because Police will only release information relevant to the role being vetted for</w:t>
      </w:r>
      <w:r w:rsidR="00C24DDE">
        <w:rPr>
          <w:rFonts w:eastAsia="Times New Roman" w:cs="Times New Roman"/>
          <w:szCs w:val="20"/>
          <w:lang w:val="en-GB" w:eastAsia="en-GB"/>
        </w:rPr>
        <w:t>, a new vet may be required for each new role</w:t>
      </w:r>
      <w:r>
        <w:rPr>
          <w:rFonts w:eastAsia="Times New Roman" w:cs="Times New Roman"/>
          <w:szCs w:val="20"/>
          <w:lang w:val="en-GB" w:eastAsia="en-GB"/>
        </w:rPr>
        <w:t>.  Therefore, there is good reason to keep these checks separate.</w:t>
      </w:r>
    </w:p>
    <w:p w:rsidR="00A00008" w:rsidRPr="00D540DE" w:rsidRDefault="00A00008" w:rsidP="00C24DDE">
      <w:pPr>
        <w:spacing w:after="240" w:line="240" w:lineRule="auto"/>
        <w:rPr>
          <w:rFonts w:eastAsia="Times New Roman" w:cs="Times New Roman"/>
          <w:i/>
          <w:szCs w:val="20"/>
          <w:lang w:val="en-GB" w:eastAsia="en-GB"/>
        </w:rPr>
      </w:pPr>
      <w:r w:rsidRPr="00D540DE">
        <w:rPr>
          <w:rFonts w:eastAsia="Times New Roman" w:cs="Times New Roman"/>
          <w:i/>
          <w:szCs w:val="20"/>
          <w:lang w:val="en-GB" w:eastAsia="en-GB"/>
        </w:rPr>
        <w:t xml:space="preserve">Clarifying </w:t>
      </w:r>
      <w:r>
        <w:rPr>
          <w:rFonts w:eastAsia="Times New Roman" w:cs="Times New Roman"/>
          <w:i/>
          <w:szCs w:val="20"/>
          <w:lang w:val="en-GB" w:eastAsia="en-GB"/>
        </w:rPr>
        <w:t>f</w:t>
      </w:r>
      <w:r w:rsidRPr="00D540DE">
        <w:rPr>
          <w:rFonts w:eastAsia="Times New Roman" w:cs="Times New Roman"/>
          <w:i/>
          <w:szCs w:val="20"/>
          <w:lang w:val="en-GB" w:eastAsia="en-GB"/>
        </w:rPr>
        <w:t xml:space="preserve">itness to </w:t>
      </w:r>
      <w:r>
        <w:rPr>
          <w:rFonts w:eastAsia="Times New Roman" w:cs="Times New Roman"/>
          <w:i/>
          <w:szCs w:val="20"/>
          <w:lang w:val="en-GB" w:eastAsia="en-GB"/>
        </w:rPr>
        <w:t>p</w:t>
      </w:r>
      <w:r w:rsidRPr="00D540DE">
        <w:rPr>
          <w:rFonts w:eastAsia="Times New Roman" w:cs="Times New Roman"/>
          <w:i/>
          <w:szCs w:val="20"/>
          <w:lang w:val="en-GB" w:eastAsia="en-GB"/>
        </w:rPr>
        <w:t>ractice</w:t>
      </w:r>
    </w:p>
    <w:p w:rsidR="00A00008" w:rsidRPr="00657865"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w:t>
      </w:r>
      <w:r w:rsidRPr="00197894">
        <w:rPr>
          <w:rFonts w:eastAsia="Times New Roman" w:cs="Times New Roman"/>
          <w:szCs w:val="20"/>
          <w:lang w:val="en-GB" w:eastAsia="en-GB"/>
        </w:rPr>
        <w:t xml:space="preserve">he definition of fitness to practice </w:t>
      </w:r>
      <w:r>
        <w:rPr>
          <w:rFonts w:eastAsia="Times New Roman" w:cs="Times New Roman"/>
          <w:szCs w:val="20"/>
          <w:lang w:val="en-GB" w:eastAsia="en-GB"/>
        </w:rPr>
        <w:t xml:space="preserve">should be amended </w:t>
      </w:r>
      <w:r w:rsidRPr="00197894">
        <w:rPr>
          <w:rFonts w:eastAsia="Times New Roman" w:cs="Times New Roman"/>
          <w:szCs w:val="20"/>
          <w:lang w:val="en-GB" w:eastAsia="en-GB"/>
        </w:rPr>
        <w:t xml:space="preserve">in order to adopt an approach analogous </w:t>
      </w:r>
      <w:r w:rsidR="001913C7">
        <w:rPr>
          <w:rFonts w:eastAsia="Times New Roman" w:cs="Times New Roman"/>
          <w:szCs w:val="20"/>
          <w:lang w:val="en-GB" w:eastAsia="en-GB"/>
        </w:rPr>
        <w:t xml:space="preserve">to </w:t>
      </w:r>
      <w:r w:rsidRPr="00197894">
        <w:rPr>
          <w:rFonts w:eastAsia="Times New Roman" w:cs="Times New Roman"/>
          <w:szCs w:val="20"/>
          <w:lang w:val="en-GB" w:eastAsia="en-GB"/>
        </w:rPr>
        <w:t xml:space="preserve">the </w:t>
      </w:r>
      <w:r w:rsidR="0064484F">
        <w:rPr>
          <w:rFonts w:eastAsia="Times New Roman" w:cs="Times New Roman"/>
          <w:szCs w:val="20"/>
          <w:lang w:val="en-GB" w:eastAsia="en-GB"/>
        </w:rPr>
        <w:t>HPCA Act</w:t>
      </w:r>
      <w:r w:rsidRPr="00197894">
        <w:rPr>
          <w:rFonts w:eastAsia="Times New Roman" w:cs="Times New Roman"/>
          <w:szCs w:val="20"/>
          <w:lang w:val="en-GB" w:eastAsia="en-GB"/>
        </w:rPr>
        <w:t>.</w:t>
      </w:r>
      <w:r>
        <w:rPr>
          <w:rFonts w:eastAsia="Times New Roman" w:cs="Times New Roman"/>
          <w:szCs w:val="20"/>
          <w:lang w:val="en-GB" w:eastAsia="en-GB"/>
        </w:rPr>
        <w:t xml:space="preserve">  </w:t>
      </w:r>
      <w:r w:rsidRPr="00657865">
        <w:rPr>
          <w:rFonts w:eastAsia="Times New Roman" w:cs="Times New Roman"/>
          <w:szCs w:val="20"/>
          <w:lang w:val="en-GB" w:eastAsia="en-GB"/>
        </w:rPr>
        <w:t xml:space="preserve">It is proposed to adopt criteria similar to those outlined in that Act.  This would mean that a person could not be registered </w:t>
      </w:r>
      <w:r w:rsidRPr="00657865">
        <w:rPr>
          <w:rFonts w:eastAsia="Times New Roman" w:cs="Times New Roman"/>
          <w:szCs w:val="20"/>
          <w:lang w:val="en-GB" w:eastAsia="en-GB"/>
        </w:rPr>
        <w:lastRenderedPageBreak/>
        <w:t xml:space="preserve">as a social worker if one of those grounds applied. </w:t>
      </w:r>
      <w:r>
        <w:rPr>
          <w:rFonts w:eastAsia="Times New Roman" w:cs="Times New Roman"/>
          <w:szCs w:val="20"/>
          <w:lang w:val="en-GB" w:eastAsia="en-GB"/>
        </w:rPr>
        <w:t xml:space="preserve"> </w:t>
      </w:r>
      <w:r w:rsidRPr="00657865">
        <w:rPr>
          <w:rFonts w:eastAsia="Times New Roman" w:cs="Times New Roman"/>
          <w:szCs w:val="20"/>
          <w:lang w:val="en-GB" w:eastAsia="en-GB"/>
        </w:rPr>
        <w:t xml:space="preserve">Such an amendment would reflect a choice to expand the status quo without delegating the power to define fitness to practice social work.  It also improves transparency of the definition by including a fuller description in primary legislation. </w:t>
      </w:r>
    </w:p>
    <w:p w:rsidR="00A00008" w:rsidRPr="00D540DE" w:rsidRDefault="00A00008" w:rsidP="00177E1D">
      <w:pPr>
        <w:spacing w:after="240" w:line="240" w:lineRule="auto"/>
        <w:rPr>
          <w:rFonts w:eastAsia="Times New Roman" w:cs="Times New Roman"/>
          <w:i/>
          <w:szCs w:val="20"/>
          <w:lang w:val="en-GB" w:eastAsia="en-GB"/>
        </w:rPr>
      </w:pPr>
      <w:r w:rsidRPr="00D540DE">
        <w:rPr>
          <w:rFonts w:eastAsia="Times New Roman" w:cs="Times New Roman"/>
          <w:i/>
          <w:szCs w:val="20"/>
          <w:lang w:val="en-GB" w:eastAsia="en-GB"/>
        </w:rPr>
        <w:t xml:space="preserve">Assessing </w:t>
      </w:r>
      <w:r>
        <w:rPr>
          <w:rFonts w:eastAsia="Times New Roman" w:cs="Times New Roman"/>
          <w:i/>
          <w:szCs w:val="20"/>
          <w:lang w:val="en-GB" w:eastAsia="en-GB"/>
        </w:rPr>
        <w:t>f</w:t>
      </w:r>
      <w:r w:rsidRPr="00D540DE">
        <w:rPr>
          <w:rFonts w:eastAsia="Times New Roman" w:cs="Times New Roman"/>
          <w:i/>
          <w:szCs w:val="20"/>
          <w:lang w:val="en-GB" w:eastAsia="en-GB"/>
        </w:rPr>
        <w:t xml:space="preserve">itness to </w:t>
      </w:r>
      <w:r>
        <w:rPr>
          <w:rFonts w:eastAsia="Times New Roman" w:cs="Times New Roman"/>
          <w:i/>
          <w:szCs w:val="20"/>
          <w:lang w:val="en-GB" w:eastAsia="en-GB"/>
        </w:rPr>
        <w:t>p</w:t>
      </w:r>
      <w:r w:rsidRPr="00D540DE">
        <w:rPr>
          <w:rFonts w:eastAsia="Times New Roman" w:cs="Times New Roman"/>
          <w:i/>
          <w:szCs w:val="20"/>
          <w:lang w:val="en-GB" w:eastAsia="en-GB"/>
        </w:rPr>
        <w:t>ractice</w:t>
      </w:r>
      <w:r>
        <w:rPr>
          <w:rFonts w:eastAsia="Times New Roman" w:cs="Times New Roman"/>
          <w:i/>
          <w:szCs w:val="20"/>
          <w:lang w:val="en-GB" w:eastAsia="en-GB"/>
        </w:rPr>
        <w:t xml:space="preserve"> when renewing annual practising certificates</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Following initial registration, and in the absence of expressed concerns, a periodic review of fitness to practice social work will still be necessary to ensure that the </w:t>
      </w:r>
      <w:r w:rsidR="007C4074">
        <w:rPr>
          <w:rFonts w:eastAsia="Times New Roman" w:cs="Times New Roman"/>
          <w:szCs w:val="20"/>
          <w:lang w:val="en-GB" w:eastAsia="en-GB"/>
        </w:rPr>
        <w:t>Board</w:t>
      </w:r>
      <w:r>
        <w:rPr>
          <w:rFonts w:eastAsia="Times New Roman" w:cs="Times New Roman"/>
          <w:szCs w:val="20"/>
          <w:lang w:val="en-GB" w:eastAsia="en-GB"/>
        </w:rPr>
        <w:t xml:space="preserve">, profession and public can have confidence that social workers continue to be fit to practice.  The current vehicle for periodic assessment of fitness to practice, the five-yearly competence recertification, is proposed to be removed. </w:t>
      </w:r>
      <w:r w:rsidRPr="00035523">
        <w:rPr>
          <w:rFonts w:eastAsia="Times New Roman" w:cs="Times New Roman"/>
          <w:szCs w:val="20"/>
          <w:lang w:val="en-GB" w:eastAsia="en-GB"/>
        </w:rPr>
        <w:t xml:space="preserve"> </w:t>
      </w:r>
      <w:r>
        <w:rPr>
          <w:rFonts w:eastAsia="Times New Roman" w:cs="Times New Roman"/>
          <w:szCs w:val="20"/>
          <w:lang w:val="en-GB" w:eastAsia="en-GB"/>
        </w:rPr>
        <w:t xml:space="preserve">An obvious alternative vehicle is as part of the application for the </w:t>
      </w:r>
      <w:r w:rsidRPr="00035523">
        <w:rPr>
          <w:rFonts w:eastAsia="Times New Roman" w:cs="Times New Roman"/>
          <w:szCs w:val="20"/>
          <w:lang w:val="en-GB" w:eastAsia="en-GB"/>
        </w:rPr>
        <w:t>annual practising certificate</w:t>
      </w:r>
      <w:r w:rsidR="00702FEB">
        <w:rPr>
          <w:rFonts w:eastAsia="Times New Roman" w:cs="Times New Roman"/>
          <w:szCs w:val="20"/>
          <w:lang w:val="en-GB" w:eastAsia="en-GB"/>
        </w:rPr>
        <w:t>.</w:t>
      </w:r>
      <w:r>
        <w:rPr>
          <w:rFonts w:eastAsia="Times New Roman" w:cs="Times New Roman"/>
          <w:szCs w:val="20"/>
          <w:lang w:val="en-GB" w:eastAsia="en-GB"/>
        </w:rPr>
        <w:t xml:space="preserve">  </w:t>
      </w:r>
    </w:p>
    <w:p w:rsidR="00A00008" w:rsidRPr="00917772"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Assessing fitness to practice annually when issuing a practising certificate is contingent on an amendment stipulating</w:t>
      </w:r>
      <w:r w:rsidRPr="00035523">
        <w:rPr>
          <w:rFonts w:eastAsia="Times New Roman" w:cs="Times New Roman"/>
          <w:szCs w:val="20"/>
          <w:lang w:val="en-GB" w:eastAsia="en-GB"/>
        </w:rPr>
        <w:t xml:space="preserve"> the Bo</w:t>
      </w:r>
      <w:r w:rsidR="00C24DDE">
        <w:rPr>
          <w:rFonts w:eastAsia="Times New Roman" w:cs="Times New Roman"/>
          <w:szCs w:val="20"/>
          <w:lang w:val="en-GB" w:eastAsia="en-GB"/>
        </w:rPr>
        <w:t>ard must accept a satisfactory P</w:t>
      </w:r>
      <w:r w:rsidRPr="00035523">
        <w:rPr>
          <w:rFonts w:eastAsia="Times New Roman" w:cs="Times New Roman"/>
          <w:szCs w:val="20"/>
          <w:lang w:val="en-GB" w:eastAsia="en-GB"/>
        </w:rPr>
        <w:t xml:space="preserve">olice vet conducted within the past three years </w:t>
      </w:r>
      <w:r>
        <w:rPr>
          <w:rFonts w:eastAsia="Times New Roman" w:cs="Times New Roman"/>
          <w:szCs w:val="20"/>
          <w:lang w:val="en-GB" w:eastAsia="en-GB"/>
        </w:rPr>
        <w:t>when assessing fitness to practice for the purpose of annual practising certificates. This would not affect situations where the vet is being carried out at registration or in response to a concern about fitness to practice as raised by a complaints assessment committee.  This is to avoid unnecessary inefficiencies in Police vetting practices and is in line with vetting practices that apply to teachers.</w:t>
      </w:r>
    </w:p>
    <w:p w:rsidR="00A00008" w:rsidRPr="00917772" w:rsidRDefault="00A00008" w:rsidP="00177E1D">
      <w:pPr>
        <w:spacing w:after="240" w:line="240" w:lineRule="auto"/>
        <w:rPr>
          <w:rFonts w:eastAsia="Times New Roman" w:cs="Times New Roman"/>
          <w:i/>
          <w:szCs w:val="20"/>
          <w:lang w:val="en-GB" w:eastAsia="en-GB"/>
        </w:rPr>
      </w:pPr>
      <w:r w:rsidRPr="00D540DE">
        <w:rPr>
          <w:rFonts w:eastAsia="Times New Roman" w:cs="Times New Roman"/>
          <w:i/>
          <w:szCs w:val="20"/>
          <w:lang w:val="en-GB" w:eastAsia="en-GB"/>
        </w:rPr>
        <w:t xml:space="preserve">Assessing </w:t>
      </w:r>
      <w:r>
        <w:rPr>
          <w:rFonts w:eastAsia="Times New Roman" w:cs="Times New Roman"/>
          <w:i/>
          <w:szCs w:val="20"/>
          <w:lang w:val="en-GB" w:eastAsia="en-GB"/>
        </w:rPr>
        <w:t>f</w:t>
      </w:r>
      <w:r w:rsidRPr="00D540DE">
        <w:rPr>
          <w:rFonts w:eastAsia="Times New Roman" w:cs="Times New Roman"/>
          <w:i/>
          <w:szCs w:val="20"/>
          <w:lang w:val="en-GB" w:eastAsia="en-GB"/>
        </w:rPr>
        <w:t xml:space="preserve">itness to </w:t>
      </w:r>
      <w:r>
        <w:rPr>
          <w:rFonts w:eastAsia="Times New Roman" w:cs="Times New Roman"/>
          <w:i/>
          <w:szCs w:val="20"/>
          <w:lang w:val="en-GB" w:eastAsia="en-GB"/>
        </w:rPr>
        <w:t>p</w:t>
      </w:r>
      <w:r w:rsidRPr="00D540DE">
        <w:rPr>
          <w:rFonts w:eastAsia="Times New Roman" w:cs="Times New Roman"/>
          <w:i/>
          <w:szCs w:val="20"/>
          <w:lang w:val="en-GB" w:eastAsia="en-GB"/>
        </w:rPr>
        <w:t>ractice</w:t>
      </w:r>
      <w:r>
        <w:rPr>
          <w:rFonts w:eastAsia="Times New Roman" w:cs="Times New Roman"/>
          <w:i/>
          <w:szCs w:val="20"/>
          <w:lang w:val="en-GB" w:eastAsia="en-GB"/>
        </w:rPr>
        <w:t xml:space="preserve"> at will</w:t>
      </w:r>
    </w:p>
    <w:p w:rsidR="00A00008" w:rsidRPr="00917772" w:rsidRDefault="00A00008" w:rsidP="005B5FC6">
      <w:pPr>
        <w:numPr>
          <w:ilvl w:val="0"/>
          <w:numId w:val="25"/>
        </w:numPr>
        <w:spacing w:after="240" w:line="240" w:lineRule="auto"/>
        <w:ind w:left="567" w:hanging="567"/>
        <w:rPr>
          <w:rFonts w:eastAsia="Times New Roman" w:cs="Times New Roman"/>
          <w:szCs w:val="20"/>
          <w:lang w:val="en-GB" w:eastAsia="en-GB"/>
        </w:rPr>
      </w:pPr>
      <w:r w:rsidRPr="00917772">
        <w:rPr>
          <w:rFonts w:eastAsia="Times New Roman" w:cs="Times New Roman"/>
          <w:szCs w:val="20"/>
          <w:lang w:val="en-GB" w:eastAsia="en-GB"/>
        </w:rPr>
        <w:t xml:space="preserve">The Select Committee recommended that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sidRPr="00917772">
        <w:rPr>
          <w:rFonts w:eastAsia="Times New Roman" w:cs="Times New Roman"/>
          <w:szCs w:val="20"/>
          <w:lang w:val="en-GB" w:eastAsia="en-GB"/>
        </w:rPr>
        <w:t>be allowed to assess fitness to practice on its own initiative.</w:t>
      </w:r>
      <w:r>
        <w:rPr>
          <w:rFonts w:eastAsia="Times New Roman" w:cs="Times New Roman"/>
          <w:szCs w:val="20"/>
          <w:lang w:val="en-GB" w:eastAsia="en-GB"/>
        </w:rPr>
        <w:t xml:space="preserve"> </w:t>
      </w:r>
      <w:r w:rsidRPr="00917772">
        <w:rPr>
          <w:rFonts w:eastAsia="Times New Roman" w:cs="Times New Roman"/>
          <w:szCs w:val="20"/>
          <w:lang w:val="en-GB" w:eastAsia="en-GB"/>
        </w:rPr>
        <w:t xml:space="preserve"> This w</w:t>
      </w:r>
      <w:r>
        <w:rPr>
          <w:rFonts w:eastAsia="Times New Roman" w:cs="Times New Roman"/>
          <w:szCs w:val="20"/>
          <w:lang w:val="en-GB" w:eastAsia="en-GB"/>
        </w:rPr>
        <w:t>as to</w:t>
      </w:r>
      <w:r w:rsidRPr="00917772">
        <w:rPr>
          <w:rFonts w:eastAsia="Times New Roman" w:cs="Times New Roman"/>
          <w:szCs w:val="20"/>
          <w:lang w:val="en-GB" w:eastAsia="en-GB"/>
        </w:rPr>
        <w:t xml:space="preserve"> allow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sidRPr="00917772">
        <w:rPr>
          <w:rFonts w:eastAsia="Times New Roman" w:cs="Times New Roman"/>
          <w:szCs w:val="20"/>
          <w:lang w:val="en-GB" w:eastAsia="en-GB"/>
        </w:rPr>
        <w:t xml:space="preserve">to be assured </w:t>
      </w:r>
      <w:r>
        <w:rPr>
          <w:rFonts w:eastAsia="Times New Roman" w:cs="Times New Roman"/>
          <w:szCs w:val="20"/>
          <w:lang w:val="en-GB" w:eastAsia="en-GB"/>
        </w:rPr>
        <w:t xml:space="preserve">at any time </w:t>
      </w:r>
      <w:r w:rsidRPr="00917772">
        <w:rPr>
          <w:rFonts w:eastAsia="Times New Roman" w:cs="Times New Roman"/>
          <w:szCs w:val="20"/>
          <w:lang w:val="en-GB" w:eastAsia="en-GB"/>
        </w:rPr>
        <w:t xml:space="preserve">that </w:t>
      </w:r>
      <w:r>
        <w:rPr>
          <w:rFonts w:eastAsia="Times New Roman" w:cs="Times New Roman"/>
          <w:szCs w:val="20"/>
          <w:lang w:val="en-GB" w:eastAsia="en-GB"/>
        </w:rPr>
        <w:t xml:space="preserve">a </w:t>
      </w:r>
      <w:r w:rsidRPr="00917772">
        <w:rPr>
          <w:rFonts w:eastAsia="Times New Roman" w:cs="Times New Roman"/>
          <w:szCs w:val="20"/>
          <w:lang w:val="en-GB" w:eastAsia="en-GB"/>
        </w:rPr>
        <w:t>social worker</w:t>
      </w:r>
      <w:r>
        <w:rPr>
          <w:rFonts w:eastAsia="Times New Roman" w:cs="Times New Roman"/>
          <w:szCs w:val="20"/>
          <w:lang w:val="en-GB" w:eastAsia="en-GB"/>
        </w:rPr>
        <w:t xml:space="preserve"> was</w:t>
      </w:r>
      <w:r w:rsidRPr="00917772">
        <w:rPr>
          <w:rFonts w:eastAsia="Times New Roman" w:cs="Times New Roman"/>
          <w:szCs w:val="20"/>
          <w:lang w:val="en-GB" w:eastAsia="en-GB"/>
        </w:rPr>
        <w:t xml:space="preserve"> of the appropriate character and trustworthiness for their role.</w:t>
      </w:r>
    </w:p>
    <w:p w:rsidR="00A00008" w:rsidRPr="00917772" w:rsidRDefault="00A00008" w:rsidP="005B5FC6">
      <w:pPr>
        <w:numPr>
          <w:ilvl w:val="0"/>
          <w:numId w:val="25"/>
        </w:numPr>
        <w:spacing w:after="240" w:line="240" w:lineRule="auto"/>
        <w:ind w:left="567" w:hanging="567"/>
        <w:rPr>
          <w:rFonts w:eastAsia="Times New Roman" w:cs="Times New Roman"/>
          <w:szCs w:val="20"/>
          <w:lang w:val="en-GB" w:eastAsia="en-GB"/>
        </w:rPr>
      </w:pPr>
      <w:r w:rsidRPr="00917772">
        <w:rPr>
          <w:rFonts w:eastAsia="Times New Roman" w:cs="Times New Roman"/>
          <w:szCs w:val="20"/>
          <w:lang w:val="en-GB" w:eastAsia="en-GB"/>
        </w:rPr>
        <w:t xml:space="preserve">The ability to assess fitness to practice </w:t>
      </w:r>
      <w:r>
        <w:rPr>
          <w:rFonts w:eastAsia="Times New Roman" w:cs="Times New Roman"/>
          <w:szCs w:val="20"/>
          <w:lang w:val="en-GB" w:eastAsia="en-GB"/>
        </w:rPr>
        <w:t>at will appears to be</w:t>
      </w:r>
      <w:r w:rsidRPr="00917772">
        <w:rPr>
          <w:rFonts w:eastAsia="Times New Roman" w:cs="Times New Roman"/>
          <w:szCs w:val="20"/>
          <w:lang w:val="en-GB" w:eastAsia="en-GB"/>
        </w:rPr>
        <w:t xml:space="preserve"> an unnecessar</w:t>
      </w:r>
      <w:r>
        <w:rPr>
          <w:rFonts w:eastAsia="Times New Roman" w:cs="Times New Roman"/>
          <w:szCs w:val="20"/>
          <w:lang w:val="en-GB" w:eastAsia="en-GB"/>
        </w:rPr>
        <w:t xml:space="preserve">y </w:t>
      </w:r>
      <w:r w:rsidRPr="00917772">
        <w:rPr>
          <w:rFonts w:eastAsia="Times New Roman" w:cs="Times New Roman"/>
          <w:szCs w:val="20"/>
          <w:lang w:val="en-GB" w:eastAsia="en-GB"/>
        </w:rPr>
        <w:t xml:space="preserve">power. </w:t>
      </w:r>
      <w:r>
        <w:rPr>
          <w:rFonts w:eastAsia="Times New Roman" w:cs="Times New Roman"/>
          <w:szCs w:val="20"/>
          <w:lang w:val="en-GB" w:eastAsia="en-GB"/>
        </w:rPr>
        <w:t xml:space="preserve"> </w:t>
      </w:r>
      <w:r w:rsidRPr="00917772">
        <w:rPr>
          <w:rFonts w:eastAsia="Times New Roman" w:cs="Times New Roman"/>
          <w:szCs w:val="20"/>
          <w:lang w:val="en-GB" w:eastAsia="en-GB"/>
        </w:rPr>
        <w:t>It is also inefficient beca</w:t>
      </w:r>
      <w:r w:rsidR="00C24DDE">
        <w:rPr>
          <w:rFonts w:eastAsia="Times New Roman" w:cs="Times New Roman"/>
          <w:szCs w:val="20"/>
          <w:lang w:val="en-GB" w:eastAsia="en-GB"/>
        </w:rPr>
        <w:t>use of the likely increases in P</w:t>
      </w:r>
      <w:r w:rsidRPr="00917772">
        <w:rPr>
          <w:rFonts w:eastAsia="Times New Roman" w:cs="Times New Roman"/>
          <w:szCs w:val="20"/>
          <w:lang w:val="en-GB" w:eastAsia="en-GB"/>
        </w:rPr>
        <w:t>olice vet</w:t>
      </w:r>
      <w:r>
        <w:rPr>
          <w:rFonts w:eastAsia="Times New Roman" w:cs="Times New Roman"/>
          <w:szCs w:val="20"/>
          <w:lang w:val="en-GB" w:eastAsia="en-GB"/>
        </w:rPr>
        <w:t>ting</w:t>
      </w:r>
      <w:r w:rsidRPr="00917772">
        <w:rPr>
          <w:rFonts w:eastAsia="Times New Roman" w:cs="Times New Roman"/>
          <w:szCs w:val="20"/>
          <w:lang w:val="en-GB" w:eastAsia="en-GB"/>
        </w:rPr>
        <w:t xml:space="preserve"> that would result, with a negligible associated increase in public safety.</w:t>
      </w:r>
      <w:r>
        <w:rPr>
          <w:rFonts w:eastAsia="Times New Roman" w:cs="Times New Roman"/>
          <w:szCs w:val="20"/>
          <w:lang w:val="en-GB" w:eastAsia="en-GB"/>
        </w:rPr>
        <w:t xml:space="preserve">  Fitness to practice addresses matters of probity and character, not just the absence of physical or mental conditions affecting a social worker’s practice. If there is any reason for concern</w:t>
      </w:r>
      <w:r w:rsidRPr="00917772">
        <w:rPr>
          <w:rFonts w:eastAsia="Times New Roman" w:cs="Times New Roman"/>
          <w:szCs w:val="20"/>
          <w:lang w:val="en-GB" w:eastAsia="en-GB"/>
        </w:rPr>
        <w:t>, the appropriate place to address concerns about fitness to practice is through the complaints process</w:t>
      </w:r>
      <w:r>
        <w:rPr>
          <w:rFonts w:eastAsia="Times New Roman" w:cs="Times New Roman"/>
          <w:szCs w:val="20"/>
          <w:lang w:val="en-GB" w:eastAsia="en-GB"/>
        </w:rPr>
        <w:t xml:space="preserve"> if misconduct is suspected or by using the existing power to request a medical examination if there is concern about a social worker’s health and its possible impact on their practice</w:t>
      </w:r>
      <w:r w:rsidRPr="00917772">
        <w:rPr>
          <w:rFonts w:eastAsia="Times New Roman" w:cs="Times New Roman"/>
          <w:szCs w:val="20"/>
          <w:lang w:val="en-GB" w:eastAsia="en-GB"/>
        </w:rPr>
        <w:t xml:space="preserve">. </w:t>
      </w:r>
      <w:r>
        <w:rPr>
          <w:rFonts w:eastAsia="Times New Roman" w:cs="Times New Roman"/>
          <w:szCs w:val="20"/>
          <w:lang w:val="en-GB" w:eastAsia="en-GB"/>
        </w:rPr>
        <w:t xml:space="preserve"> </w:t>
      </w:r>
      <w:r w:rsidRPr="00917772">
        <w:rPr>
          <w:rFonts w:eastAsia="Times New Roman" w:cs="Times New Roman"/>
          <w:szCs w:val="20"/>
          <w:lang w:val="en-GB" w:eastAsia="en-GB"/>
        </w:rPr>
        <w:t>If no specific concerns have arisen then only a periodic review of fitness will be necessary.</w:t>
      </w:r>
      <w:r>
        <w:rPr>
          <w:rFonts w:eastAsia="Times New Roman" w:cs="Times New Roman"/>
          <w:szCs w:val="20"/>
          <w:lang w:val="en-GB" w:eastAsia="en-GB"/>
        </w:rPr>
        <w:t xml:space="preserve"> </w:t>
      </w:r>
    </w:p>
    <w:p w:rsidR="00A00008" w:rsidRPr="0094573F" w:rsidRDefault="00A00008" w:rsidP="00177E1D">
      <w:pPr>
        <w:spacing w:after="240" w:line="240" w:lineRule="auto"/>
        <w:rPr>
          <w:rFonts w:eastAsia="Times New Roman" w:cs="Times New Roman"/>
          <w:i/>
          <w:szCs w:val="20"/>
          <w:lang w:val="en-GB" w:eastAsia="en-GB"/>
        </w:rPr>
      </w:pPr>
      <w:r w:rsidRPr="0094573F">
        <w:rPr>
          <w:rFonts w:eastAsia="Times New Roman" w:cs="Times New Roman"/>
          <w:i/>
          <w:szCs w:val="20"/>
          <w:lang w:val="en-GB" w:eastAsia="en-GB"/>
        </w:rPr>
        <w:t>Notifications of conditions affecting ability to practise social work</w:t>
      </w:r>
    </w:p>
    <w:p w:rsidR="00A00008" w:rsidRDefault="00A00008" w:rsidP="00177E1D">
      <w:pPr>
        <w:numPr>
          <w:ilvl w:val="0"/>
          <w:numId w:val="8"/>
        </w:numPr>
        <w:spacing w:after="240" w:line="240" w:lineRule="auto"/>
        <w:ind w:left="567" w:hanging="567"/>
        <w:rPr>
          <w:rFonts w:eastAsia="Times New Roman" w:cs="Times New Roman"/>
          <w:szCs w:val="20"/>
          <w:lang w:val="en-GB" w:eastAsia="en-GB"/>
        </w:rPr>
      </w:pPr>
      <w:r w:rsidRPr="000F2AE7">
        <w:rPr>
          <w:rFonts w:eastAsia="Times New Roman" w:cs="Times New Roman"/>
          <w:szCs w:val="20"/>
          <w:lang w:val="en-GB" w:eastAsia="en-GB"/>
        </w:rPr>
        <w:t xml:space="preserve">There is currently an exclusion from liability for persons who, in good faith only, report concerns about a social worker’s ability to practice. </w:t>
      </w:r>
      <w:r>
        <w:rPr>
          <w:rFonts w:eastAsia="Times New Roman" w:cs="Times New Roman"/>
          <w:szCs w:val="20"/>
          <w:lang w:val="en-GB" w:eastAsia="en-GB"/>
        </w:rPr>
        <w:t xml:space="preserve"> </w:t>
      </w:r>
      <w:r w:rsidRPr="00D77808">
        <w:rPr>
          <w:rFonts w:eastAsia="Times New Roman" w:cs="Times New Roman"/>
          <w:szCs w:val="20"/>
          <w:lang w:val="en-GB" w:eastAsia="en-GB"/>
        </w:rPr>
        <w:t>This is a whistle-blower protection clause</w:t>
      </w:r>
      <w:r>
        <w:rPr>
          <w:rFonts w:eastAsia="Times New Roman" w:cs="Times New Roman"/>
          <w:szCs w:val="20"/>
          <w:lang w:val="en-GB" w:eastAsia="en-GB"/>
        </w:rPr>
        <w:t>,</w:t>
      </w:r>
      <w:r w:rsidRPr="00D77808">
        <w:rPr>
          <w:rFonts w:eastAsia="Times New Roman" w:cs="Times New Roman"/>
          <w:szCs w:val="20"/>
          <w:lang w:val="en-GB" w:eastAsia="en-GB"/>
        </w:rPr>
        <w:t xml:space="preserve"> distinct in function and effect from the Protected Disclosures Act 2000.</w:t>
      </w:r>
      <w:r>
        <w:rPr>
          <w:rFonts w:eastAsia="Times New Roman" w:cs="Times New Roman"/>
          <w:szCs w:val="20"/>
          <w:lang w:val="en-GB" w:eastAsia="en-GB"/>
        </w:rPr>
        <w:t xml:space="preserve">  </w:t>
      </w:r>
      <w:r w:rsidRPr="00D77808">
        <w:rPr>
          <w:rFonts w:eastAsia="Times New Roman" w:cs="Times New Roman"/>
          <w:szCs w:val="20"/>
          <w:lang w:val="en-GB" w:eastAsia="en-GB"/>
        </w:rPr>
        <w:t xml:space="preserve">Because the protection is narrow and reporting is optional,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Pr>
          <w:rFonts w:eastAsia="Times New Roman" w:cs="Times New Roman"/>
          <w:szCs w:val="20"/>
          <w:lang w:val="en-GB" w:eastAsia="en-GB"/>
        </w:rPr>
        <w:t xml:space="preserve">has been concerned that it is ineffective in ensuring they receive </w:t>
      </w:r>
      <w:r w:rsidRPr="00D77808">
        <w:rPr>
          <w:rFonts w:eastAsia="Times New Roman" w:cs="Times New Roman"/>
          <w:szCs w:val="20"/>
          <w:lang w:val="en-GB" w:eastAsia="en-GB"/>
        </w:rPr>
        <w:t xml:space="preserve">information </w:t>
      </w:r>
      <w:r>
        <w:rPr>
          <w:rFonts w:eastAsia="Times New Roman" w:cs="Times New Roman"/>
          <w:szCs w:val="20"/>
          <w:lang w:val="en-GB" w:eastAsia="en-GB"/>
        </w:rPr>
        <w:t>needed to protect the public</w:t>
      </w:r>
      <w:r w:rsidRPr="00D77808">
        <w:rPr>
          <w:rFonts w:eastAsia="Times New Roman" w:cs="Times New Roman"/>
          <w:szCs w:val="20"/>
          <w:lang w:val="en-GB" w:eastAsia="en-GB"/>
        </w:rPr>
        <w:t>.</w:t>
      </w:r>
    </w:p>
    <w:p w:rsidR="00A00008" w:rsidRDefault="00A00008" w:rsidP="00177E1D">
      <w:pPr>
        <w:numPr>
          <w:ilvl w:val="0"/>
          <w:numId w:val="8"/>
        </w:numPr>
        <w:spacing w:after="240" w:line="240" w:lineRule="auto"/>
        <w:ind w:left="567" w:hanging="567"/>
        <w:rPr>
          <w:rFonts w:eastAsia="Times New Roman" w:cs="Times New Roman"/>
          <w:szCs w:val="20"/>
          <w:lang w:val="en-GB" w:eastAsia="en-GB"/>
        </w:rPr>
      </w:pPr>
      <w:r w:rsidRPr="000F2AE7">
        <w:rPr>
          <w:rFonts w:eastAsia="Times New Roman" w:cs="Times New Roman"/>
          <w:szCs w:val="20"/>
          <w:lang w:val="en-GB" w:eastAsia="en-GB"/>
        </w:rPr>
        <w:t xml:space="preserve">There is no specific requirement </w:t>
      </w:r>
      <w:r>
        <w:rPr>
          <w:rFonts w:eastAsia="Times New Roman" w:cs="Times New Roman"/>
          <w:szCs w:val="20"/>
          <w:lang w:val="en-GB" w:eastAsia="en-GB"/>
        </w:rPr>
        <w:t xml:space="preserve">in section 51 of </w:t>
      </w:r>
      <w:r w:rsidR="00CC7880">
        <w:rPr>
          <w:rFonts w:eastAsia="Times New Roman" w:cs="Times New Roman"/>
          <w:szCs w:val="20"/>
          <w:lang w:val="en-GB" w:eastAsia="en-GB"/>
        </w:rPr>
        <w:t>the SWR Act</w:t>
      </w:r>
      <w:r>
        <w:rPr>
          <w:rFonts w:eastAsia="Times New Roman" w:cs="Times New Roman"/>
          <w:szCs w:val="20"/>
          <w:lang w:val="en-GB" w:eastAsia="en-GB"/>
        </w:rPr>
        <w:t xml:space="preserve"> </w:t>
      </w:r>
      <w:r w:rsidRPr="000F2AE7">
        <w:rPr>
          <w:rFonts w:eastAsia="Times New Roman" w:cs="Times New Roman"/>
          <w:szCs w:val="20"/>
          <w:lang w:val="en-GB" w:eastAsia="en-GB"/>
        </w:rPr>
        <w:t>on any class of persons to report concerns and the class of protected disclosures is restricted to concerns about a social worker’s ability to perform social work functions adequately.</w:t>
      </w:r>
      <w:r>
        <w:rPr>
          <w:rFonts w:eastAsia="Times New Roman" w:cs="Times New Roman"/>
          <w:szCs w:val="20"/>
          <w:lang w:val="en-GB" w:eastAsia="en-GB"/>
        </w:rPr>
        <w:t xml:space="preserve"> </w:t>
      </w:r>
      <w:r w:rsidRPr="000F2AE7">
        <w:rPr>
          <w:rFonts w:eastAsia="Times New Roman" w:cs="Times New Roman"/>
          <w:szCs w:val="20"/>
          <w:lang w:val="en-GB" w:eastAsia="en-GB"/>
        </w:rPr>
        <w:t xml:space="preserve"> In context, the scheme of </w:t>
      </w:r>
      <w:r>
        <w:rPr>
          <w:rFonts w:eastAsia="Times New Roman" w:cs="Times New Roman"/>
          <w:szCs w:val="20"/>
          <w:lang w:val="en-GB" w:eastAsia="en-GB"/>
        </w:rPr>
        <w:t>the relevant subpart of the SWR Act</w:t>
      </w:r>
      <w:r w:rsidRPr="000F2AE7">
        <w:rPr>
          <w:rFonts w:eastAsia="Times New Roman" w:cs="Times New Roman"/>
          <w:szCs w:val="20"/>
          <w:lang w:val="en-GB" w:eastAsia="en-GB"/>
        </w:rPr>
        <w:t xml:space="preserve"> suggests this notification power is aimed at mental or physical stressors which affect the social worker’s role. </w:t>
      </w:r>
      <w:r>
        <w:rPr>
          <w:rFonts w:eastAsia="Times New Roman" w:cs="Times New Roman"/>
          <w:szCs w:val="20"/>
          <w:lang w:val="en-GB" w:eastAsia="en-GB"/>
        </w:rPr>
        <w:t xml:space="preserve"> </w:t>
      </w:r>
      <w:r w:rsidRPr="00D77808">
        <w:rPr>
          <w:rFonts w:eastAsia="Times New Roman" w:cs="Times New Roman"/>
          <w:szCs w:val="20"/>
          <w:lang w:val="en-GB" w:eastAsia="en-GB"/>
        </w:rPr>
        <w:t xml:space="preserve">This is too narrow to protect all types of complaints that are made to the Board about a social worker’s suitability to perform social work. </w:t>
      </w:r>
    </w:p>
    <w:p w:rsidR="00A00008" w:rsidRDefault="00A00008" w:rsidP="00177E1D">
      <w:pPr>
        <w:numPr>
          <w:ilvl w:val="0"/>
          <w:numId w:val="8"/>
        </w:numPr>
        <w:spacing w:after="240" w:line="240" w:lineRule="auto"/>
        <w:ind w:left="567" w:hanging="567"/>
        <w:rPr>
          <w:rFonts w:eastAsia="Times New Roman" w:cs="Times New Roman"/>
          <w:szCs w:val="20"/>
          <w:lang w:val="en-GB" w:eastAsia="en-GB"/>
        </w:rPr>
      </w:pPr>
      <w:r w:rsidRPr="000F2AE7">
        <w:rPr>
          <w:rFonts w:eastAsia="Times New Roman" w:cs="Times New Roman"/>
          <w:szCs w:val="20"/>
          <w:lang w:val="en-GB" w:eastAsia="en-GB"/>
        </w:rPr>
        <w:lastRenderedPageBreak/>
        <w:t xml:space="preserve">There is also no requirement to report relevant concerns. </w:t>
      </w:r>
      <w:r>
        <w:rPr>
          <w:rFonts w:eastAsia="Times New Roman" w:cs="Times New Roman"/>
          <w:szCs w:val="20"/>
          <w:lang w:val="en-GB" w:eastAsia="en-GB"/>
        </w:rPr>
        <w:t xml:space="preserve"> </w:t>
      </w:r>
      <w:r w:rsidRPr="000F2AE7">
        <w:rPr>
          <w:rFonts w:eastAsia="Times New Roman" w:cs="Times New Roman"/>
          <w:szCs w:val="20"/>
          <w:lang w:val="en-GB" w:eastAsia="en-GB"/>
        </w:rPr>
        <w:t xml:space="preserve">Without a mandatory requirement, there is a risk that registered social workers or other interested and proximate parties will not disclose risks to the Board. </w:t>
      </w:r>
      <w:r>
        <w:rPr>
          <w:rFonts w:eastAsia="Times New Roman" w:cs="Times New Roman"/>
          <w:szCs w:val="20"/>
          <w:lang w:val="en-GB" w:eastAsia="en-GB"/>
        </w:rPr>
        <w:t xml:space="preserve"> </w:t>
      </w:r>
      <w:r w:rsidRPr="000F2AE7">
        <w:rPr>
          <w:rFonts w:eastAsia="Times New Roman" w:cs="Times New Roman"/>
          <w:szCs w:val="20"/>
          <w:lang w:val="en-GB" w:eastAsia="en-GB"/>
        </w:rPr>
        <w:t xml:space="preserve">Stronger </w:t>
      </w:r>
      <w:r>
        <w:rPr>
          <w:rFonts w:eastAsia="Times New Roman" w:cs="Times New Roman"/>
          <w:szCs w:val="20"/>
          <w:lang w:val="en-GB" w:eastAsia="en-GB"/>
        </w:rPr>
        <w:t>information-sharing</w:t>
      </w:r>
      <w:r w:rsidRPr="000F2AE7">
        <w:rPr>
          <w:rFonts w:eastAsia="Times New Roman" w:cs="Times New Roman"/>
          <w:szCs w:val="20"/>
          <w:lang w:val="en-GB" w:eastAsia="en-GB"/>
        </w:rPr>
        <w:t xml:space="preserve"> requirements would encourage a more effective regulatory approach by giving the Board </w:t>
      </w:r>
      <w:r>
        <w:rPr>
          <w:rFonts w:eastAsia="Times New Roman" w:cs="Times New Roman"/>
          <w:szCs w:val="20"/>
          <w:lang w:val="en-GB" w:eastAsia="en-GB"/>
        </w:rPr>
        <w:t xml:space="preserve">more timely notice of potential problems. </w:t>
      </w:r>
    </w:p>
    <w:p w:rsidR="00A00008" w:rsidRDefault="00A00008" w:rsidP="00177E1D">
      <w:pPr>
        <w:numPr>
          <w:ilvl w:val="0"/>
          <w:numId w:val="8"/>
        </w:numPr>
        <w:spacing w:after="240" w:line="240" w:lineRule="auto"/>
        <w:ind w:left="567" w:hanging="567"/>
        <w:rPr>
          <w:rFonts w:eastAsia="Times New Roman" w:cs="Times New Roman"/>
          <w:szCs w:val="20"/>
          <w:lang w:val="en-GB" w:eastAsia="en-GB"/>
        </w:rPr>
      </w:pPr>
      <w:r w:rsidRPr="000F2AE7">
        <w:rPr>
          <w:rFonts w:eastAsia="Times New Roman" w:cs="Times New Roman"/>
          <w:szCs w:val="20"/>
          <w:lang w:val="en-GB" w:eastAsia="en-GB"/>
        </w:rPr>
        <w:t xml:space="preserve">Those practising other professions are subject to mandatory notification requirements. </w:t>
      </w:r>
      <w:r>
        <w:rPr>
          <w:rFonts w:eastAsia="Times New Roman" w:cs="Times New Roman"/>
          <w:szCs w:val="20"/>
          <w:lang w:val="en-GB" w:eastAsia="en-GB"/>
        </w:rPr>
        <w:t xml:space="preserve"> In health f</w:t>
      </w:r>
      <w:r w:rsidRPr="000F2AE7">
        <w:rPr>
          <w:rFonts w:eastAsia="Times New Roman" w:cs="Times New Roman"/>
          <w:szCs w:val="20"/>
          <w:lang w:val="en-GB" w:eastAsia="en-GB"/>
        </w:rPr>
        <w:t>or example, practitioners</w:t>
      </w:r>
      <w:r>
        <w:rPr>
          <w:rFonts w:eastAsia="Times New Roman" w:cs="Times New Roman"/>
          <w:szCs w:val="20"/>
          <w:lang w:val="en-GB" w:eastAsia="en-GB"/>
        </w:rPr>
        <w:t xml:space="preserve">, employers, and persons running health services </w:t>
      </w:r>
      <w:r w:rsidRPr="000F2AE7">
        <w:rPr>
          <w:rFonts w:eastAsia="Times New Roman" w:cs="Times New Roman"/>
          <w:szCs w:val="20"/>
          <w:lang w:val="en-GB" w:eastAsia="en-GB"/>
        </w:rPr>
        <w:t>are obliged to notify the relevant authority when concerned about the performance of another health practitioner due to a mental or physical condition</w:t>
      </w:r>
      <w:r>
        <w:rPr>
          <w:rFonts w:eastAsia="Times New Roman" w:cs="Times New Roman"/>
          <w:szCs w:val="20"/>
          <w:lang w:val="en-GB" w:eastAsia="en-GB"/>
        </w:rPr>
        <w:t>.</w:t>
      </w:r>
      <w:r w:rsidRPr="000F2AE7">
        <w:rPr>
          <w:rFonts w:eastAsia="Times New Roman" w:cs="Times New Roman"/>
          <w:szCs w:val="20"/>
          <w:lang w:val="en-GB" w:eastAsia="en-GB"/>
        </w:rPr>
        <w:t xml:space="preserve"> </w:t>
      </w:r>
      <w:r>
        <w:rPr>
          <w:rFonts w:eastAsia="Times New Roman" w:cs="Times New Roman"/>
          <w:szCs w:val="20"/>
          <w:lang w:val="en-GB" w:eastAsia="en-GB"/>
        </w:rPr>
        <w:t xml:space="preserve"> Employers of practitioners must report dismissals for reasons relating to competence. In education, employers of teachers are required to report dismissals of their teaching staff and complaints against teachers formerly employed by the school. Individual teachers are obliged to report qualifying convictions entered against them, in addition to the notification requirements that apply to court registrars.</w:t>
      </w:r>
    </w:p>
    <w:p w:rsidR="00A00008" w:rsidRPr="009F77A5" w:rsidRDefault="00A00008"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Officials recommend widening the scope of protected disclosures and strengthening obligations on employers to report certain matters. This could mean, for example, ensuring that employers are required to report to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Pr>
          <w:rFonts w:eastAsia="Times New Roman" w:cs="Times New Roman"/>
          <w:szCs w:val="20"/>
          <w:lang w:val="en-GB" w:eastAsia="en-GB"/>
        </w:rPr>
        <w:t xml:space="preserve">concerns about serious misconduct, the failure of an employee to reach required standards of competence or any competence-related dismissals. </w:t>
      </w:r>
      <w:r w:rsidRPr="00FF77F9">
        <w:rPr>
          <w:rFonts w:eastAsia="Times New Roman" w:cs="Times New Roman"/>
          <w:szCs w:val="20"/>
          <w:lang w:val="en-GB" w:eastAsia="en-GB"/>
        </w:rPr>
        <w:t>The Education Act 1989 presents a useful model for how to proceed</w:t>
      </w:r>
      <w:r>
        <w:rPr>
          <w:rFonts w:eastAsia="Times New Roman" w:cs="Times New Roman"/>
          <w:szCs w:val="20"/>
          <w:lang w:val="en-GB" w:eastAsia="en-GB"/>
        </w:rPr>
        <w:t xml:space="preserve"> in terms of employer obligations</w:t>
      </w:r>
      <w:r w:rsidRPr="00FF77F9">
        <w:rPr>
          <w:rFonts w:eastAsia="Times New Roman" w:cs="Times New Roman"/>
          <w:szCs w:val="20"/>
          <w:lang w:val="en-GB" w:eastAsia="en-GB"/>
        </w:rPr>
        <w:t>.</w:t>
      </w:r>
    </w:p>
    <w:p w:rsidR="00A00008" w:rsidRDefault="00A00008"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Means of enforcing these obligations must be considered. The Education Act</w:t>
      </w:r>
      <w:r w:rsidR="001913C7">
        <w:rPr>
          <w:rFonts w:eastAsia="Times New Roman" w:cs="Times New Roman"/>
          <w:szCs w:val="20"/>
          <w:lang w:val="en-GB" w:eastAsia="en-GB"/>
        </w:rPr>
        <w:t xml:space="preserve"> 1989</w:t>
      </w:r>
      <w:r>
        <w:rPr>
          <w:rFonts w:eastAsia="Times New Roman" w:cs="Times New Roman"/>
          <w:szCs w:val="20"/>
          <w:lang w:val="en-GB" w:eastAsia="en-GB"/>
        </w:rPr>
        <w:t xml:space="preserve"> </w:t>
      </w:r>
      <w:r w:rsidRPr="00FF77F9">
        <w:rPr>
          <w:rFonts w:eastAsia="Times New Roman" w:cs="Times New Roman"/>
          <w:szCs w:val="20"/>
          <w:lang w:val="en-GB" w:eastAsia="en-GB"/>
        </w:rPr>
        <w:t xml:space="preserve">creates a criminal offence; the </w:t>
      </w:r>
      <w:r w:rsidR="0064484F">
        <w:rPr>
          <w:rFonts w:eastAsia="Times New Roman" w:cs="Times New Roman"/>
          <w:szCs w:val="20"/>
          <w:lang w:val="en-GB" w:eastAsia="en-GB"/>
        </w:rPr>
        <w:t>HPCA Act</w:t>
      </w:r>
      <w:r w:rsidRPr="00FF77F9">
        <w:rPr>
          <w:rFonts w:eastAsia="Times New Roman" w:cs="Times New Roman"/>
          <w:szCs w:val="20"/>
          <w:lang w:val="en-GB" w:eastAsia="en-GB"/>
        </w:rPr>
        <w:t xml:space="preserve">, however, does not. </w:t>
      </w:r>
    </w:p>
    <w:p w:rsidR="00A00008" w:rsidRPr="00FF77F9" w:rsidRDefault="00A00008"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An obligation, enforceable through the disciplinary process, could also be placed on social workers to report any suspicions or beliefs, based on reasonable grounds, that another social worker cannot perform their role due to a mental of physical condition. </w:t>
      </w:r>
    </w:p>
    <w:p w:rsidR="00A00008" w:rsidRPr="00FF77F9" w:rsidRDefault="00A00008" w:rsidP="00177E1D">
      <w:pPr>
        <w:numPr>
          <w:ilvl w:val="0"/>
          <w:numId w:val="8"/>
        </w:numPr>
        <w:spacing w:after="240" w:line="240" w:lineRule="auto"/>
        <w:ind w:left="567" w:hanging="567"/>
        <w:rPr>
          <w:rFonts w:eastAsia="Times New Roman" w:cs="Times New Roman"/>
          <w:szCs w:val="20"/>
          <w:lang w:val="en-GB" w:eastAsia="en-GB"/>
        </w:rPr>
      </w:pPr>
      <w:r w:rsidRPr="00853483">
        <w:rPr>
          <w:rFonts w:eastAsia="Times New Roman" w:cs="Times New Roman"/>
          <w:szCs w:val="20"/>
          <w:lang w:val="en-GB" w:eastAsia="en-GB"/>
        </w:rPr>
        <w:t>This change in scope is generally appropriate to reflect public expectations of the social work profession and proposed changes in the definition of fitness to practice, and would improve the clarity and transparency of the protection clause</w:t>
      </w:r>
      <w:r>
        <w:rPr>
          <w:rFonts w:eastAsia="Times New Roman" w:cs="Times New Roman"/>
          <w:szCs w:val="20"/>
          <w:lang w:val="en-GB" w:eastAsia="en-GB"/>
        </w:rPr>
        <w:t xml:space="preserve">. </w:t>
      </w:r>
      <w:r w:rsidRPr="00FF77F9">
        <w:rPr>
          <w:rFonts w:eastAsia="Times New Roman" w:cs="Times New Roman"/>
          <w:szCs w:val="20"/>
          <w:lang w:val="en-GB" w:eastAsia="en-GB"/>
        </w:rPr>
        <w:t xml:space="preserve">Requiring employers to report poor behaviour and performance of social workers and placing obligations on social workers to report misconduct reflect the responsibilities and privileges of being a member of a profession.  These improvements will also improve the effectiveness of the notification regime. </w:t>
      </w:r>
    </w:p>
    <w:p w:rsidR="00391E3C" w:rsidRPr="00177E1D" w:rsidRDefault="00391E3C" w:rsidP="00177E1D">
      <w:pPr>
        <w:spacing w:after="240"/>
        <w:outlineLvl w:val="2"/>
        <w:rPr>
          <w:rFonts w:eastAsia="Times New Roman" w:cs="Times New Roman"/>
          <w:b/>
          <w:sz w:val="24"/>
          <w:szCs w:val="24"/>
          <w:lang w:val="en-GB" w:eastAsia="en-GB"/>
        </w:rPr>
      </w:pPr>
      <w:bookmarkStart w:id="65" w:name="_Toc479263586"/>
      <w:bookmarkStart w:id="66" w:name="_Toc520457895"/>
      <w:bookmarkStart w:id="67" w:name="_Toc244580365"/>
      <w:bookmarkStart w:id="68" w:name="_Toc244587041"/>
      <w:bookmarkStart w:id="69" w:name="_Toc244857275"/>
      <w:bookmarkStart w:id="70" w:name="_Toc244912540"/>
      <w:bookmarkStart w:id="71" w:name="_Toc244916997"/>
      <w:bookmarkStart w:id="72" w:name="_Toc362368106"/>
      <w:bookmarkStart w:id="73" w:name="_Toc362434947"/>
      <w:bookmarkStart w:id="74" w:name="_Toc362589333"/>
      <w:bookmarkStart w:id="75" w:name="_Toc362619033"/>
      <w:bookmarkStart w:id="76" w:name="_Toc362940597"/>
      <w:bookmarkStart w:id="77" w:name="_Toc363047105"/>
      <w:r w:rsidRPr="00177E1D">
        <w:rPr>
          <w:rFonts w:eastAsia="Times New Roman" w:cs="Times New Roman"/>
          <w:b/>
          <w:sz w:val="24"/>
          <w:szCs w:val="24"/>
          <w:lang w:val="en-GB" w:eastAsia="en-GB"/>
        </w:rPr>
        <w:t>Complaints and disciplinary processes</w:t>
      </w:r>
      <w:bookmarkEnd w:id="65"/>
      <w:bookmarkEnd w:id="66"/>
    </w:p>
    <w:p w:rsidR="0085323E" w:rsidRPr="00391E3C" w:rsidRDefault="0085323E" w:rsidP="00177E1D">
      <w:pPr>
        <w:rPr>
          <w:rFonts w:eastAsia="Times New Roman" w:cs="Times New Roman"/>
          <w:szCs w:val="20"/>
          <w:u w:val="single"/>
          <w:lang w:val="en-GB" w:eastAsia="en-GB"/>
        </w:rPr>
      </w:pPr>
      <w:r w:rsidRPr="00391E3C">
        <w:rPr>
          <w:rFonts w:eastAsia="Times New Roman" w:cs="Times New Roman"/>
          <w:szCs w:val="20"/>
          <w:u w:val="single"/>
          <w:lang w:val="en-GB" w:eastAsia="en-GB"/>
        </w:rPr>
        <w:t>Status quo and problem</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The </w:t>
      </w:r>
      <w:r w:rsidR="00D9009E">
        <w:rPr>
          <w:rFonts w:eastAsia="Times New Roman" w:cs="Times New Roman"/>
          <w:szCs w:val="20"/>
          <w:lang w:val="en-GB" w:eastAsia="en-GB"/>
        </w:rPr>
        <w:t>Social Workers Complaints and Disciplinary Tribunal</w:t>
      </w:r>
      <w:r w:rsidR="00D9009E" w:rsidRPr="00391E3C" w:rsidDel="00D9009E">
        <w:rPr>
          <w:rFonts w:eastAsia="Times New Roman" w:cs="Times New Roman"/>
          <w:szCs w:val="20"/>
          <w:lang w:val="en-GB" w:eastAsia="en-GB"/>
        </w:rPr>
        <w:t xml:space="preserve"> </w:t>
      </w:r>
      <w:r w:rsidR="00D9009E">
        <w:rPr>
          <w:rFonts w:eastAsia="Times New Roman" w:cs="Times New Roman"/>
          <w:szCs w:val="20"/>
          <w:lang w:val="en-GB" w:eastAsia="en-GB"/>
        </w:rPr>
        <w:t xml:space="preserve">(the Tribunal) </w:t>
      </w:r>
      <w:r w:rsidRPr="00391E3C">
        <w:rPr>
          <w:rFonts w:eastAsia="Times New Roman" w:cs="Times New Roman"/>
          <w:szCs w:val="20"/>
          <w:lang w:val="en-GB" w:eastAsia="en-GB"/>
        </w:rPr>
        <w:t xml:space="preserve">was established under the </w:t>
      </w:r>
      <w:r w:rsidR="002876A5">
        <w:rPr>
          <w:rFonts w:eastAsia="Times New Roman" w:cs="Times New Roman"/>
          <w:szCs w:val="20"/>
          <w:lang w:val="en-GB" w:eastAsia="en-GB"/>
        </w:rPr>
        <w:t>SWR</w:t>
      </w:r>
      <w:r w:rsidR="002876A5" w:rsidRPr="00222ED8">
        <w:rPr>
          <w:rFonts w:eastAsia="Times New Roman" w:cs="Times New Roman"/>
          <w:szCs w:val="20"/>
          <w:lang w:val="en-GB" w:eastAsia="en-GB"/>
        </w:rPr>
        <w:t xml:space="preserve"> Act</w:t>
      </w:r>
      <w:r w:rsidR="002876A5" w:rsidRPr="00391E3C" w:rsidDel="002876A5">
        <w:rPr>
          <w:rFonts w:eastAsia="Times New Roman" w:cs="Times New Roman"/>
          <w:szCs w:val="20"/>
          <w:lang w:val="en-GB" w:eastAsia="en-GB"/>
        </w:rPr>
        <w:t xml:space="preserve"> </w:t>
      </w:r>
      <w:r w:rsidRPr="00391E3C">
        <w:rPr>
          <w:rFonts w:eastAsia="Times New Roman" w:cs="Times New Roman"/>
          <w:szCs w:val="20"/>
          <w:lang w:val="en-GB" w:eastAsia="en-GB"/>
        </w:rPr>
        <w:t xml:space="preserve">to administer the complaints process and to exercise disciplinary powers.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The Board appoints </w:t>
      </w:r>
      <w:r w:rsidR="00C24DDE">
        <w:rPr>
          <w:rFonts w:eastAsia="Times New Roman" w:cs="Times New Roman"/>
          <w:szCs w:val="20"/>
          <w:lang w:val="en-GB" w:eastAsia="en-GB"/>
        </w:rPr>
        <w:t>eight</w:t>
      </w:r>
      <w:r w:rsidRPr="00391E3C">
        <w:rPr>
          <w:rFonts w:eastAsia="Times New Roman" w:cs="Times New Roman"/>
          <w:szCs w:val="20"/>
          <w:lang w:val="en-GB" w:eastAsia="en-GB"/>
        </w:rPr>
        <w:t xml:space="preserve"> members of the Tribunal and the Minister appoints one lay person.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It is unusual for a regulatory body to appoint members of a disciplinary Tribunal (most members of Tribunals are appointed by a Minister or </w:t>
      </w:r>
      <w:r>
        <w:rPr>
          <w:rFonts w:eastAsia="Times New Roman" w:cs="Times New Roman"/>
          <w:szCs w:val="20"/>
          <w:lang w:val="en-GB" w:eastAsia="en-GB"/>
        </w:rPr>
        <w:t xml:space="preserve">the </w:t>
      </w:r>
      <w:r w:rsidRPr="00391E3C">
        <w:rPr>
          <w:rFonts w:eastAsia="Times New Roman" w:cs="Times New Roman"/>
          <w:szCs w:val="20"/>
          <w:lang w:val="en-GB" w:eastAsia="en-GB"/>
        </w:rPr>
        <w:t>Governor-General).</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 It could be perceived as the Tribunal having a lack of independence from the body responsible for regulating the profession, and this risk would be more acute under a mandatory regime.</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Under </w:t>
      </w:r>
      <w:r w:rsidR="00CC7880">
        <w:rPr>
          <w:rFonts w:eastAsia="Times New Roman" w:cs="Times New Roman"/>
          <w:szCs w:val="20"/>
          <w:lang w:val="en-GB" w:eastAsia="en-GB"/>
        </w:rPr>
        <w:t>the SWR Act</w:t>
      </w:r>
      <w:r>
        <w:rPr>
          <w:rFonts w:eastAsia="Times New Roman" w:cs="Times New Roman"/>
          <w:szCs w:val="20"/>
          <w:lang w:val="en-GB" w:eastAsia="en-GB"/>
        </w:rPr>
        <w:t>, t</w:t>
      </w:r>
      <w:r w:rsidRPr="00391E3C">
        <w:rPr>
          <w:rFonts w:eastAsia="Times New Roman" w:cs="Times New Roman"/>
          <w:szCs w:val="20"/>
          <w:lang w:val="en-GB" w:eastAsia="en-GB"/>
        </w:rPr>
        <w:t xml:space="preserve">he chair of the Tribunal is responsible for screening </w:t>
      </w:r>
      <w:r>
        <w:rPr>
          <w:rFonts w:eastAsia="Times New Roman" w:cs="Times New Roman"/>
          <w:szCs w:val="20"/>
          <w:lang w:val="en-GB" w:eastAsia="en-GB"/>
        </w:rPr>
        <w:t>all complaints</w:t>
      </w:r>
      <w:r w:rsidRPr="00391E3C">
        <w:rPr>
          <w:rFonts w:eastAsia="Times New Roman" w:cs="Times New Roman"/>
          <w:szCs w:val="20"/>
          <w:lang w:val="en-GB" w:eastAsia="en-GB"/>
        </w:rPr>
        <w:t xml:space="preserve"> and </w:t>
      </w:r>
      <w:r>
        <w:rPr>
          <w:rFonts w:eastAsia="Times New Roman" w:cs="Times New Roman"/>
          <w:szCs w:val="20"/>
          <w:lang w:val="en-GB" w:eastAsia="en-GB"/>
        </w:rPr>
        <w:t xml:space="preserve">must decide whether to refer </w:t>
      </w:r>
      <w:r w:rsidRPr="00391E3C">
        <w:rPr>
          <w:rFonts w:eastAsia="Times New Roman" w:cs="Times New Roman"/>
          <w:szCs w:val="20"/>
          <w:lang w:val="en-GB" w:eastAsia="en-GB"/>
        </w:rPr>
        <w:t xml:space="preserve">it to a complaints assessment committee </w:t>
      </w:r>
      <w:r>
        <w:rPr>
          <w:rFonts w:eastAsia="Times New Roman" w:cs="Times New Roman"/>
          <w:szCs w:val="20"/>
          <w:lang w:val="en-GB" w:eastAsia="en-GB"/>
        </w:rPr>
        <w:t>for</w:t>
      </w:r>
      <w:r w:rsidRPr="00391E3C">
        <w:rPr>
          <w:rFonts w:eastAsia="Times New Roman" w:cs="Times New Roman"/>
          <w:szCs w:val="20"/>
          <w:lang w:val="en-GB" w:eastAsia="en-GB"/>
        </w:rPr>
        <w:t xml:space="preserve"> further </w:t>
      </w:r>
      <w:r>
        <w:rPr>
          <w:rFonts w:eastAsia="Times New Roman" w:cs="Times New Roman"/>
          <w:szCs w:val="20"/>
          <w:lang w:val="en-GB" w:eastAsia="en-GB"/>
        </w:rPr>
        <w:t>investigation, or to take no further actio</w:t>
      </w:r>
      <w:r w:rsidRPr="00391E3C">
        <w:rPr>
          <w:rFonts w:eastAsia="Times New Roman" w:cs="Times New Roman"/>
          <w:szCs w:val="20"/>
          <w:lang w:val="en-GB" w:eastAsia="en-GB"/>
        </w:rPr>
        <w:t xml:space="preserve">n.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A notification of a conviction (punishable by imprisonment of 3 months or longer) must be referred directly to a complaints assessment committee.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lastRenderedPageBreak/>
        <w:t>The current process is inefficient.</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 The chair of the Tribunal cannot adequately screen a complaint based on the information provided at the initial stage.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With a lack of an informed assessment, complaints can be referred to committees unnecessarily</w:t>
      </w:r>
      <w:r>
        <w:rPr>
          <w:rFonts w:eastAsia="Times New Roman" w:cs="Times New Roman"/>
          <w:szCs w:val="20"/>
          <w:lang w:val="en-GB" w:eastAsia="en-GB"/>
        </w:rPr>
        <w:t xml:space="preserve">. </w:t>
      </w:r>
      <w:r w:rsidR="003E1183">
        <w:rPr>
          <w:rFonts w:eastAsia="Times New Roman" w:cs="Times New Roman"/>
          <w:szCs w:val="20"/>
          <w:lang w:val="en-GB" w:eastAsia="en-GB"/>
        </w:rPr>
        <w:t xml:space="preserve"> </w:t>
      </w:r>
      <w:r>
        <w:rPr>
          <w:rFonts w:eastAsia="Times New Roman" w:cs="Times New Roman"/>
          <w:szCs w:val="20"/>
          <w:lang w:val="en-GB" w:eastAsia="en-GB"/>
        </w:rPr>
        <w:t>The cost of this process ranges from $1,500 to $60,000, averaging around $8,000.</w:t>
      </w:r>
      <w:r w:rsidRPr="00391E3C">
        <w:rPr>
          <w:rFonts w:eastAsia="Times New Roman" w:cs="Times New Roman"/>
          <w:szCs w:val="20"/>
          <w:lang w:val="en-GB" w:eastAsia="en-GB"/>
        </w:rPr>
        <w:t xml:space="preserve">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Referring a conviction notification directly to a committee (without screening to assess whether it warrants a further process) is also inefficient and costly.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The Tribunal is a judicial body and should not have an inquisitorial role in screening complaints and notifications</w:t>
      </w:r>
      <w:r>
        <w:rPr>
          <w:rFonts w:eastAsia="Times New Roman" w:cs="Times New Roman"/>
          <w:szCs w:val="20"/>
          <w:lang w:val="en-GB" w:eastAsia="en-GB"/>
        </w:rPr>
        <w:t xml:space="preserve"> of convictions</w:t>
      </w:r>
      <w:r w:rsidRPr="00391E3C">
        <w:rPr>
          <w:rFonts w:eastAsia="Times New Roman" w:cs="Times New Roman"/>
          <w:szCs w:val="20"/>
          <w:lang w:val="en-GB" w:eastAsia="en-GB"/>
        </w:rPr>
        <w:t xml:space="preserve">.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The Board has also identified a potential conflict of interest for the chair of the Tribunal who may preside over a charge in which they have already seen prejudicial information through the screening process.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The chair of the Tribunal is responsible for appointing, dissolving and reconstituting </w:t>
      </w:r>
      <w:r w:rsidR="00D9009E">
        <w:rPr>
          <w:rFonts w:eastAsia="Times New Roman" w:cs="Times New Roman"/>
          <w:szCs w:val="20"/>
          <w:lang w:val="en-GB" w:eastAsia="en-GB"/>
        </w:rPr>
        <w:t>complaints assessment committee</w:t>
      </w:r>
      <w:r w:rsidR="0064484F">
        <w:rPr>
          <w:rFonts w:eastAsia="Times New Roman" w:cs="Times New Roman"/>
          <w:szCs w:val="20"/>
          <w:lang w:val="en-GB" w:eastAsia="en-GB"/>
        </w:rPr>
        <w:t>s</w:t>
      </w:r>
      <w:r w:rsidRPr="00391E3C">
        <w:rPr>
          <w:rFonts w:eastAsia="Times New Roman" w:cs="Times New Roman"/>
          <w:szCs w:val="20"/>
          <w:lang w:val="en-GB" w:eastAsia="en-GB"/>
        </w:rPr>
        <w:t xml:space="preserve">. </w:t>
      </w:r>
      <w:r w:rsidR="0020415B">
        <w:rPr>
          <w:rFonts w:eastAsia="Times New Roman" w:cs="Times New Roman"/>
          <w:szCs w:val="20"/>
          <w:lang w:val="en-GB" w:eastAsia="en-GB"/>
        </w:rPr>
        <w:t xml:space="preserve"> These c</w:t>
      </w:r>
      <w:r w:rsidRPr="00391E3C">
        <w:rPr>
          <w:rFonts w:eastAsia="Times New Roman" w:cs="Times New Roman"/>
          <w:szCs w:val="20"/>
          <w:lang w:val="en-GB" w:eastAsia="en-GB"/>
        </w:rPr>
        <w:t xml:space="preserve">ommittees make determinations about complaints, including whether to frame a charge and progress to the Tribunal.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These committees have the power to carry out or arrange for any investigations they think necessary.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These investigatory powers are vague.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Clarifying this provision and strengthening the ability of committees to assess all relevant information would increase efficiencies under the complaints process</w:t>
      </w:r>
      <w:r>
        <w:rPr>
          <w:rFonts w:eastAsia="Times New Roman" w:cs="Times New Roman"/>
          <w:szCs w:val="20"/>
          <w:lang w:val="en-GB" w:eastAsia="en-GB"/>
        </w:rPr>
        <w:t>, enable them to more accurately determine the appropriate course of action</w:t>
      </w:r>
      <w:r w:rsidRPr="00391E3C">
        <w:rPr>
          <w:rFonts w:eastAsia="Times New Roman" w:cs="Times New Roman"/>
          <w:szCs w:val="20"/>
          <w:lang w:val="en-GB" w:eastAsia="en-GB"/>
        </w:rPr>
        <w:t xml:space="preserve"> and prevent charges being laid before the Tribunal unnecessarily.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Relative to other professional disciplinary bodies, the options available to the complaints assessment committees and the Tribunal when determining the outcomes of investigations or hearings are limited.</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 Expanding these options would provide these bodies with greater flexibility to resolve complaints with the most effective response.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Legislative provisions relating to the definition of professional misconduct and the Tribunal’s power to cancel registration are narrow and restrict the Tribunal’s ability to appropriately sanction some forms of misconduct.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The definition should include conduct that has discredited or likely to discredit the profession.</w:t>
      </w:r>
    </w:p>
    <w:p w:rsidR="0085323E" w:rsidRPr="00391E3C" w:rsidRDefault="0085323E" w:rsidP="00177E1D">
      <w:pPr>
        <w:spacing w:after="240" w:line="240" w:lineRule="auto"/>
        <w:rPr>
          <w:rFonts w:eastAsia="Times New Roman" w:cs="Times New Roman"/>
          <w:szCs w:val="20"/>
          <w:u w:val="single"/>
          <w:lang w:val="en-GB" w:eastAsia="en-GB"/>
        </w:rPr>
      </w:pPr>
      <w:r w:rsidRPr="00391E3C">
        <w:rPr>
          <w:rFonts w:eastAsia="Times New Roman" w:cs="Times New Roman"/>
          <w:szCs w:val="20"/>
          <w:u w:val="single"/>
          <w:lang w:val="en-GB" w:eastAsia="en-GB"/>
        </w:rPr>
        <w:t>Proposed amendments</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The </w:t>
      </w:r>
      <w:r w:rsidR="00101F12">
        <w:rPr>
          <w:rFonts w:eastAsia="Times New Roman" w:cs="Times New Roman"/>
          <w:szCs w:val="20"/>
          <w:lang w:val="en-GB" w:eastAsia="en-GB"/>
        </w:rPr>
        <w:t>Select</w:t>
      </w:r>
      <w:r w:rsidRPr="00391E3C">
        <w:rPr>
          <w:rFonts w:eastAsia="Times New Roman" w:cs="Times New Roman"/>
          <w:szCs w:val="20"/>
          <w:lang w:val="en-GB" w:eastAsia="en-GB"/>
        </w:rPr>
        <w:t xml:space="preserve"> Committee has made recommendations for legislative reform in relation to the complaints and disciplinary process to address the problems described above.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We consider that the majority of the recommendations improve efficiency and effectiveness of the complaints and disciplinary process and will support better resolution of complaints.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Aligning processes with other occupational regulatory regimes will enhance the professionalism required to practise as a registered social worker.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We have considered these recommendations in relation to the objectives of the </w:t>
      </w:r>
      <w:r w:rsidR="002876A5">
        <w:rPr>
          <w:rFonts w:eastAsia="Times New Roman" w:cs="Times New Roman"/>
          <w:szCs w:val="20"/>
          <w:lang w:val="en-GB" w:eastAsia="en-GB"/>
        </w:rPr>
        <w:t>SWR</w:t>
      </w:r>
      <w:r w:rsidR="002876A5" w:rsidRPr="00222ED8">
        <w:rPr>
          <w:rFonts w:eastAsia="Times New Roman" w:cs="Times New Roman"/>
          <w:szCs w:val="20"/>
          <w:lang w:val="en-GB" w:eastAsia="en-GB"/>
        </w:rPr>
        <w:t xml:space="preserve"> Act</w:t>
      </w:r>
      <w:r w:rsidR="002876A5" w:rsidRPr="00391E3C" w:rsidDel="002876A5">
        <w:rPr>
          <w:rFonts w:eastAsia="Times New Roman" w:cs="Times New Roman"/>
          <w:szCs w:val="20"/>
          <w:lang w:val="en-GB" w:eastAsia="en-GB"/>
        </w:rPr>
        <w:t xml:space="preserve"> </w:t>
      </w:r>
      <w:r w:rsidRPr="00391E3C">
        <w:rPr>
          <w:rFonts w:eastAsia="Times New Roman" w:cs="Times New Roman"/>
          <w:szCs w:val="20"/>
          <w:lang w:val="en-GB" w:eastAsia="en-GB"/>
        </w:rPr>
        <w:t xml:space="preserve">and criteria set out in this RIS.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For the complaints and disciplinary process, we have also considered additional objectives of natural justice and due process.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Recommendations and analysis are set out below.</w:t>
      </w:r>
    </w:p>
    <w:p w:rsidR="0085323E" w:rsidRPr="00391E3C" w:rsidRDefault="0085323E" w:rsidP="00177E1D">
      <w:pPr>
        <w:spacing w:after="240" w:line="240" w:lineRule="auto"/>
        <w:rPr>
          <w:rFonts w:eastAsia="Times New Roman" w:cs="Times New Roman"/>
          <w:i/>
          <w:szCs w:val="20"/>
          <w:lang w:val="en-GB" w:eastAsia="en-GB"/>
        </w:rPr>
      </w:pPr>
      <w:r w:rsidRPr="00391E3C">
        <w:rPr>
          <w:rFonts w:eastAsia="Times New Roman" w:cs="Times New Roman"/>
          <w:i/>
          <w:szCs w:val="20"/>
          <w:lang w:val="en-GB" w:eastAsia="en-GB"/>
        </w:rPr>
        <w:t>Administering the complaints process</w:t>
      </w:r>
    </w:p>
    <w:p w:rsidR="0085323E" w:rsidRPr="00391E3C" w:rsidRDefault="00101F12"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Select </w:t>
      </w:r>
      <w:r w:rsidR="0085323E" w:rsidRPr="00391E3C">
        <w:rPr>
          <w:rFonts w:eastAsia="Times New Roman" w:cs="Times New Roman"/>
          <w:szCs w:val="20"/>
          <w:lang w:val="en-GB" w:eastAsia="en-GB"/>
        </w:rPr>
        <w:t xml:space="preserve">Committee recommendations:  </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Assign responsibility for receiving and assessing complaints</w:t>
      </w:r>
      <w:r>
        <w:rPr>
          <w:rFonts w:eastAsia="Times New Roman" w:cs="Times New Roman"/>
          <w:szCs w:val="20"/>
          <w:lang w:val="en-GB" w:eastAsia="en-GB"/>
        </w:rPr>
        <w:t xml:space="preserve"> and notifications of convictions and whether to appoint a complaints assessment committee to the </w:t>
      </w:r>
      <w:r>
        <w:rPr>
          <w:rFonts w:eastAsia="Times New Roman" w:cs="Times New Roman"/>
          <w:szCs w:val="20"/>
          <w:lang w:val="en-GB" w:eastAsia="en-GB"/>
        </w:rPr>
        <w:lastRenderedPageBreak/>
        <w:t>Board. Additionally, a</w:t>
      </w:r>
      <w:r w:rsidRPr="00391E3C">
        <w:rPr>
          <w:rFonts w:eastAsia="Times New Roman" w:cs="Times New Roman"/>
          <w:szCs w:val="20"/>
          <w:lang w:val="en-GB" w:eastAsia="en-GB"/>
        </w:rPr>
        <w:t>ssign responsibility for appointing and reconstituting complaints assessment committees, to the Board.</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Require the Board to screen notifications of criminal convictions against social workers and decide whether to refer them to a complaints assessment committee.</w:t>
      </w:r>
    </w:p>
    <w:p w:rsidR="0085323E" w:rsidRPr="00391E3C" w:rsidRDefault="0085323E" w:rsidP="00177E1D">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The Board is more informed than the Tribunal to undertake complaints screening tasks. Efficiencies will be created by the Board triaging complaints before directing them to the right process. The Board currently funds the Tribunal’s operations so transferring these powers would have nil financial impact. </w:t>
      </w:r>
    </w:p>
    <w:p w:rsidR="0085323E" w:rsidRPr="00391E3C" w:rsidRDefault="0085323E" w:rsidP="00177E1D">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Transferring the complaints process administration to the Board removes a potential conflict of interest for the Tribunal and creates greater transparency in the process.</w:t>
      </w:r>
    </w:p>
    <w:p w:rsidR="0085323E" w:rsidRPr="00391E3C" w:rsidRDefault="0085323E" w:rsidP="00177E1D">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A triaging process </w:t>
      </w:r>
      <w:r>
        <w:rPr>
          <w:rFonts w:eastAsia="Times New Roman" w:cs="Times New Roman"/>
          <w:szCs w:val="20"/>
          <w:lang w:val="en-GB" w:eastAsia="en-GB"/>
        </w:rPr>
        <w:t xml:space="preserve">that enables screening of complaints </w:t>
      </w:r>
      <w:r w:rsidRPr="00391E3C">
        <w:rPr>
          <w:rFonts w:eastAsia="Times New Roman" w:cs="Times New Roman"/>
          <w:szCs w:val="20"/>
          <w:lang w:val="en-GB" w:eastAsia="en-GB"/>
        </w:rPr>
        <w:t>will help to protect social workers from unnecessary disciplinary processes in the case of unfounded complaints.</w:t>
      </w:r>
    </w:p>
    <w:p w:rsidR="0085323E" w:rsidRPr="00391E3C" w:rsidRDefault="0085323E" w:rsidP="00177E1D">
      <w:pPr>
        <w:spacing w:after="240" w:line="240" w:lineRule="auto"/>
        <w:rPr>
          <w:rFonts w:eastAsia="Times New Roman" w:cs="Times New Roman"/>
          <w:i/>
          <w:szCs w:val="20"/>
          <w:lang w:val="en-GB" w:eastAsia="en-GB"/>
        </w:rPr>
      </w:pPr>
      <w:r w:rsidRPr="00391E3C">
        <w:rPr>
          <w:rFonts w:eastAsia="Times New Roman" w:cs="Times New Roman"/>
          <w:i/>
          <w:szCs w:val="20"/>
          <w:lang w:val="en-GB" w:eastAsia="en-GB"/>
        </w:rPr>
        <w:t>Powers of the Complaints Assessment Committees</w:t>
      </w:r>
    </w:p>
    <w:p w:rsidR="0085323E" w:rsidRPr="00391E3C" w:rsidRDefault="00101F12"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Select </w:t>
      </w:r>
      <w:r w:rsidR="0085323E" w:rsidRPr="00391E3C">
        <w:rPr>
          <w:rFonts w:eastAsia="Times New Roman" w:cs="Times New Roman"/>
          <w:szCs w:val="20"/>
          <w:lang w:val="en-GB" w:eastAsia="en-GB"/>
        </w:rPr>
        <w:t xml:space="preserve">Committee recommendations: </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 xml:space="preserve">Expand the investigative powers of </w:t>
      </w:r>
      <w:r w:rsidR="00D9009E">
        <w:rPr>
          <w:rFonts w:eastAsia="Times New Roman" w:cs="Times New Roman"/>
          <w:szCs w:val="20"/>
          <w:lang w:val="en-GB" w:eastAsia="en-GB"/>
        </w:rPr>
        <w:t>complaints assessment committee</w:t>
      </w:r>
      <w:r w:rsidR="0064484F">
        <w:rPr>
          <w:rFonts w:eastAsia="Times New Roman" w:cs="Times New Roman"/>
          <w:szCs w:val="20"/>
          <w:lang w:val="en-GB" w:eastAsia="en-GB"/>
        </w:rPr>
        <w:t>s</w:t>
      </w:r>
      <w:r w:rsidRPr="00391E3C">
        <w:rPr>
          <w:rFonts w:eastAsia="Times New Roman" w:cs="Times New Roman"/>
          <w:szCs w:val="20"/>
          <w:lang w:val="en-GB" w:eastAsia="en-GB"/>
        </w:rPr>
        <w:t xml:space="preserve"> to include powers to request and require documents or information to be provided to them. </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 xml:space="preserve">Expand the options available to </w:t>
      </w:r>
      <w:r w:rsidR="00D9009E">
        <w:rPr>
          <w:rFonts w:eastAsia="Times New Roman" w:cs="Times New Roman"/>
          <w:szCs w:val="20"/>
          <w:lang w:val="en-GB" w:eastAsia="en-GB"/>
        </w:rPr>
        <w:t>complaints assessment committee</w:t>
      </w:r>
      <w:r w:rsidR="0064484F">
        <w:rPr>
          <w:rFonts w:eastAsia="Times New Roman" w:cs="Times New Roman"/>
          <w:szCs w:val="20"/>
          <w:lang w:val="en-GB" w:eastAsia="en-GB"/>
        </w:rPr>
        <w:t>s</w:t>
      </w:r>
      <w:r w:rsidRPr="00391E3C">
        <w:rPr>
          <w:rFonts w:eastAsia="Times New Roman" w:cs="Times New Roman"/>
          <w:szCs w:val="20"/>
          <w:lang w:val="en-GB" w:eastAsia="en-GB"/>
        </w:rPr>
        <w:t xml:space="preserve"> when determining the outcome of their investigations, to </w:t>
      </w:r>
      <w:r>
        <w:rPr>
          <w:rFonts w:eastAsia="Times New Roman" w:cs="Times New Roman"/>
          <w:szCs w:val="20"/>
          <w:lang w:val="en-GB" w:eastAsia="en-GB"/>
        </w:rPr>
        <w:t xml:space="preserve">also </w:t>
      </w:r>
      <w:r w:rsidRPr="00391E3C">
        <w:rPr>
          <w:rFonts w:eastAsia="Times New Roman" w:cs="Times New Roman"/>
          <w:szCs w:val="20"/>
          <w:lang w:val="en-GB" w:eastAsia="en-GB"/>
        </w:rPr>
        <w:t>include:</w:t>
      </w:r>
    </w:p>
    <w:p w:rsidR="0085323E" w:rsidRPr="00391E3C" w:rsidRDefault="0085323E" w:rsidP="005B5FC6">
      <w:pPr>
        <w:numPr>
          <w:ilvl w:val="2"/>
          <w:numId w:val="22"/>
        </w:numPr>
        <w:spacing w:line="240" w:lineRule="auto"/>
        <w:ind w:left="1560" w:hanging="426"/>
        <w:rPr>
          <w:rFonts w:eastAsia="Times New Roman" w:cs="Times New Roman"/>
          <w:szCs w:val="20"/>
          <w:lang w:val="en-GB" w:eastAsia="en-GB"/>
        </w:rPr>
      </w:pPr>
      <w:r w:rsidRPr="00391E3C">
        <w:rPr>
          <w:rFonts w:eastAsia="Times New Roman" w:cs="Times New Roman"/>
          <w:szCs w:val="20"/>
          <w:lang w:val="en-GB" w:eastAsia="en-GB"/>
        </w:rPr>
        <w:t>directing an apology from the social worker to the complainant</w:t>
      </w:r>
    </w:p>
    <w:p w:rsidR="0085323E" w:rsidRPr="00391E3C" w:rsidRDefault="0085323E" w:rsidP="005B5FC6">
      <w:pPr>
        <w:numPr>
          <w:ilvl w:val="2"/>
          <w:numId w:val="22"/>
        </w:numPr>
        <w:spacing w:line="240" w:lineRule="auto"/>
        <w:ind w:left="1560" w:hanging="426"/>
        <w:rPr>
          <w:rFonts w:eastAsia="Times New Roman" w:cs="Times New Roman"/>
          <w:szCs w:val="20"/>
          <w:lang w:val="en-GB" w:eastAsia="en-GB"/>
        </w:rPr>
      </w:pPr>
      <w:r w:rsidRPr="00391E3C">
        <w:rPr>
          <w:rFonts w:eastAsia="Times New Roman" w:cs="Times New Roman"/>
          <w:szCs w:val="20"/>
          <w:lang w:val="en-GB" w:eastAsia="en-GB"/>
        </w:rPr>
        <w:t>appointing an independent person to act as a conciliator</w:t>
      </w:r>
      <w:r>
        <w:rPr>
          <w:rFonts w:eastAsia="Times New Roman" w:cs="Times New Roman"/>
          <w:szCs w:val="20"/>
          <w:lang w:val="en-GB" w:eastAsia="en-GB"/>
        </w:rPr>
        <w:t xml:space="preserve"> or mediator, including in the Employment Relations Authority process</w:t>
      </w:r>
    </w:p>
    <w:p w:rsidR="0085323E" w:rsidRPr="00391E3C" w:rsidRDefault="0085323E" w:rsidP="005B5FC6">
      <w:pPr>
        <w:numPr>
          <w:ilvl w:val="2"/>
          <w:numId w:val="22"/>
        </w:numPr>
        <w:spacing w:line="240" w:lineRule="auto"/>
        <w:ind w:left="1560" w:hanging="426"/>
        <w:rPr>
          <w:rFonts w:eastAsia="Times New Roman" w:cs="Times New Roman"/>
          <w:szCs w:val="20"/>
          <w:lang w:val="en-GB" w:eastAsia="en-GB"/>
        </w:rPr>
      </w:pPr>
      <w:r w:rsidRPr="00391E3C">
        <w:rPr>
          <w:rFonts w:eastAsia="Times New Roman" w:cs="Times New Roman"/>
          <w:szCs w:val="20"/>
          <w:lang w:val="en-GB" w:eastAsia="en-GB"/>
        </w:rPr>
        <w:t xml:space="preserve">referring the subject matter of the complaint to the New Zealand Police </w:t>
      </w:r>
    </w:p>
    <w:p w:rsidR="0085323E" w:rsidRPr="00391E3C" w:rsidRDefault="0085323E" w:rsidP="005B5FC6">
      <w:pPr>
        <w:numPr>
          <w:ilvl w:val="2"/>
          <w:numId w:val="22"/>
        </w:numPr>
        <w:spacing w:line="240" w:lineRule="auto"/>
        <w:ind w:left="1560" w:hanging="426"/>
        <w:rPr>
          <w:rFonts w:eastAsia="Times New Roman" w:cs="Times New Roman"/>
          <w:szCs w:val="20"/>
          <w:lang w:val="en-GB" w:eastAsia="en-GB"/>
        </w:rPr>
      </w:pPr>
      <w:r w:rsidRPr="00391E3C">
        <w:rPr>
          <w:rFonts w:eastAsia="Times New Roman" w:cs="Times New Roman"/>
          <w:szCs w:val="20"/>
          <w:lang w:val="en-GB" w:eastAsia="en-GB"/>
        </w:rPr>
        <w:t>censuring the social worker</w:t>
      </w:r>
    </w:p>
    <w:p w:rsidR="0085323E" w:rsidRPr="00391E3C" w:rsidRDefault="0085323E" w:rsidP="005B5FC6">
      <w:pPr>
        <w:numPr>
          <w:ilvl w:val="2"/>
          <w:numId w:val="22"/>
        </w:numPr>
        <w:spacing w:line="240" w:lineRule="auto"/>
        <w:ind w:left="1560" w:hanging="426"/>
        <w:rPr>
          <w:rFonts w:eastAsia="Times New Roman" w:cs="Times New Roman"/>
          <w:szCs w:val="20"/>
          <w:lang w:val="en-GB" w:eastAsia="en-GB"/>
        </w:rPr>
      </w:pPr>
      <w:r w:rsidRPr="00391E3C">
        <w:rPr>
          <w:rFonts w:eastAsia="Times New Roman" w:cs="Times New Roman"/>
          <w:szCs w:val="20"/>
          <w:lang w:val="en-GB" w:eastAsia="en-GB"/>
        </w:rPr>
        <w:t>directing the social worker to undergo training, counselling, or mentoring.</w:t>
      </w:r>
    </w:p>
    <w:p w:rsidR="0085323E" w:rsidRPr="00391E3C" w:rsidRDefault="0085323E" w:rsidP="00177E1D">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Expanded powers of investigation would assist committees to perform their functions and make effective and informed assessments.</w:t>
      </w:r>
      <w:r w:rsidR="00412377">
        <w:rPr>
          <w:rFonts w:eastAsia="Times New Roman" w:cs="Times New Roman"/>
          <w:szCs w:val="20"/>
          <w:lang w:val="en-GB" w:eastAsia="en-GB"/>
        </w:rPr>
        <w:t xml:space="preserve"> </w:t>
      </w:r>
      <w:r w:rsidRPr="00391E3C">
        <w:rPr>
          <w:rFonts w:eastAsia="Times New Roman" w:cs="Times New Roman"/>
          <w:szCs w:val="20"/>
          <w:lang w:val="en-GB" w:eastAsia="en-GB"/>
        </w:rPr>
        <w:t xml:space="preserve"> It will allow more information to come to light </w:t>
      </w:r>
      <w:r>
        <w:rPr>
          <w:rFonts w:eastAsia="Times New Roman" w:cs="Times New Roman"/>
          <w:szCs w:val="20"/>
          <w:lang w:val="en-GB" w:eastAsia="en-GB"/>
        </w:rPr>
        <w:t>so the committee may make a more targeted and appropriate determination</w:t>
      </w:r>
      <w:r w:rsidRPr="00391E3C">
        <w:rPr>
          <w:rFonts w:eastAsia="Times New Roman" w:cs="Times New Roman"/>
          <w:szCs w:val="20"/>
          <w:lang w:val="en-GB" w:eastAsia="en-GB"/>
        </w:rPr>
        <w:t xml:space="preserve">. </w:t>
      </w:r>
      <w:r w:rsidR="00412377">
        <w:rPr>
          <w:rFonts w:eastAsia="Times New Roman" w:cs="Times New Roman"/>
          <w:szCs w:val="20"/>
          <w:lang w:val="en-GB" w:eastAsia="en-GB"/>
        </w:rPr>
        <w:t xml:space="preserve"> </w:t>
      </w:r>
      <w:r w:rsidRPr="00391E3C">
        <w:rPr>
          <w:rFonts w:eastAsia="Times New Roman" w:cs="Times New Roman"/>
          <w:szCs w:val="20"/>
          <w:lang w:val="en-GB" w:eastAsia="en-GB"/>
        </w:rPr>
        <w:t xml:space="preserve">Additional powers to require information will assist the committee assess whether a charge should be laid or if some other course of action is appropriate. </w:t>
      </w:r>
      <w:r w:rsidR="00412377">
        <w:rPr>
          <w:rFonts w:eastAsia="Times New Roman" w:cs="Times New Roman"/>
          <w:szCs w:val="20"/>
          <w:lang w:val="en-GB" w:eastAsia="en-GB"/>
        </w:rPr>
        <w:t xml:space="preserve"> </w:t>
      </w:r>
      <w:r w:rsidRPr="00391E3C">
        <w:rPr>
          <w:rFonts w:eastAsia="Times New Roman" w:cs="Times New Roman"/>
          <w:szCs w:val="20"/>
          <w:lang w:val="en-GB" w:eastAsia="en-GB"/>
        </w:rPr>
        <w:t>With respect to due process, conditions of relevancy for requesting information would need to apply, as is standard for comparable professional complaints processes.</w:t>
      </w:r>
      <w:r>
        <w:rPr>
          <w:rFonts w:eastAsia="Times New Roman" w:cs="Times New Roman"/>
          <w:szCs w:val="20"/>
          <w:lang w:val="en-GB" w:eastAsia="en-GB"/>
        </w:rPr>
        <w:t xml:space="preserve"> </w:t>
      </w:r>
      <w:r w:rsidR="00FB7C2A">
        <w:rPr>
          <w:rFonts w:eastAsia="Times New Roman" w:cs="Times New Roman"/>
          <w:szCs w:val="20"/>
          <w:lang w:val="en-GB" w:eastAsia="en-GB"/>
        </w:rPr>
        <w:t xml:space="preserve"> These expanded</w:t>
      </w:r>
      <w:r w:rsidR="00FB7C2A" w:rsidRPr="00B0287A">
        <w:rPr>
          <w:rFonts w:eastAsia="Times New Roman" w:cs="Times New Roman"/>
          <w:szCs w:val="20"/>
          <w:lang w:val="en-GB" w:eastAsia="en-GB"/>
        </w:rPr>
        <w:t xml:space="preserve"> power</w:t>
      </w:r>
      <w:r w:rsidR="00FB7C2A">
        <w:rPr>
          <w:rFonts w:eastAsia="Times New Roman" w:cs="Times New Roman"/>
          <w:szCs w:val="20"/>
          <w:lang w:val="en-GB" w:eastAsia="en-GB"/>
        </w:rPr>
        <w:t>s will</w:t>
      </w:r>
      <w:r w:rsidR="00FB7C2A" w:rsidRPr="00B0287A">
        <w:rPr>
          <w:rFonts w:eastAsia="Times New Roman" w:cs="Times New Roman"/>
          <w:szCs w:val="20"/>
          <w:lang w:val="en-GB" w:eastAsia="en-GB"/>
        </w:rPr>
        <w:t xml:space="preserve"> not require a person to provide any information or produce any document that would be privileged in a court of law or would breach a statutory obligation (other than the Privacy Act or the Official Information Act) of secrecy or non-disclosure.</w:t>
      </w:r>
      <w:r w:rsidR="00412377">
        <w:rPr>
          <w:rFonts w:eastAsia="Times New Roman" w:cs="Times New Roman"/>
          <w:szCs w:val="20"/>
          <w:lang w:val="en-GB" w:eastAsia="en-GB"/>
        </w:rPr>
        <w:t xml:space="preserve"> </w:t>
      </w:r>
      <w:r w:rsidR="00FB7C2A">
        <w:rPr>
          <w:rFonts w:eastAsia="Times New Roman" w:cs="Times New Roman"/>
          <w:szCs w:val="20"/>
          <w:lang w:val="en-GB" w:eastAsia="en-GB"/>
        </w:rPr>
        <w:t xml:space="preserve"> </w:t>
      </w:r>
      <w:r w:rsidR="009D4A62">
        <w:rPr>
          <w:rFonts w:eastAsia="Times New Roman" w:cs="Times New Roman"/>
          <w:szCs w:val="20"/>
          <w:lang w:val="en-GB" w:eastAsia="en-GB"/>
        </w:rPr>
        <w:t>The Privacy Commission has advised that they have no comment to make at this time, observing that the proposal is based on the HPCA Act and is unlikely to cause any issues.</w:t>
      </w:r>
    </w:p>
    <w:p w:rsidR="00CC48C5" w:rsidRPr="003B680A" w:rsidRDefault="0085323E" w:rsidP="003B680A">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Expanding options available to committees when determining outcomes ensures that committees can choose the most effective option for the wide range of circumstances they consider, whether that be a situation where serious harm has occurred and must be remedied, simply poor practice which the social worker can be supported to improve</w:t>
      </w:r>
      <w:r>
        <w:rPr>
          <w:rFonts w:eastAsia="Times New Roman" w:cs="Times New Roman"/>
          <w:szCs w:val="20"/>
          <w:lang w:val="en-GB" w:eastAsia="en-GB"/>
        </w:rPr>
        <w:t>, or a situation where no further action is needed.</w:t>
      </w:r>
    </w:p>
    <w:p w:rsidR="002A3937" w:rsidRDefault="002A3937">
      <w:pPr>
        <w:spacing w:after="0" w:line="240" w:lineRule="auto"/>
        <w:rPr>
          <w:rFonts w:eastAsia="Times New Roman" w:cs="Times New Roman"/>
          <w:i/>
          <w:szCs w:val="20"/>
          <w:lang w:val="en-GB" w:eastAsia="en-GB"/>
        </w:rPr>
      </w:pPr>
      <w:r>
        <w:rPr>
          <w:rFonts w:eastAsia="Times New Roman" w:cs="Times New Roman"/>
          <w:i/>
          <w:szCs w:val="20"/>
          <w:lang w:val="en-GB" w:eastAsia="en-GB"/>
        </w:rPr>
        <w:br w:type="page"/>
      </w:r>
    </w:p>
    <w:p w:rsidR="0085323E" w:rsidRPr="00391E3C" w:rsidRDefault="0085323E" w:rsidP="00177E1D">
      <w:pPr>
        <w:spacing w:after="240" w:line="240" w:lineRule="auto"/>
        <w:rPr>
          <w:rFonts w:eastAsia="Times New Roman" w:cs="Times New Roman"/>
          <w:i/>
          <w:szCs w:val="20"/>
          <w:lang w:val="en-GB" w:eastAsia="en-GB"/>
        </w:rPr>
      </w:pPr>
      <w:r w:rsidRPr="00391E3C">
        <w:rPr>
          <w:rFonts w:eastAsia="Times New Roman" w:cs="Times New Roman"/>
          <w:i/>
          <w:szCs w:val="20"/>
          <w:lang w:val="en-GB" w:eastAsia="en-GB"/>
        </w:rPr>
        <w:lastRenderedPageBreak/>
        <w:t>Professional misconduct</w:t>
      </w:r>
    </w:p>
    <w:p w:rsidR="0085323E" w:rsidRPr="00391E3C" w:rsidRDefault="00101F12"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Select </w:t>
      </w:r>
      <w:r w:rsidR="0085323E" w:rsidRPr="00391E3C">
        <w:rPr>
          <w:rFonts w:eastAsia="Times New Roman" w:cs="Times New Roman"/>
          <w:szCs w:val="20"/>
          <w:lang w:val="en-GB" w:eastAsia="en-GB"/>
        </w:rPr>
        <w:t xml:space="preserve">Committee recommendations: </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 xml:space="preserve">Widen the definition of “professional misconduct” in section 82(2) of the </w:t>
      </w:r>
      <w:r w:rsidR="0064484F">
        <w:rPr>
          <w:rFonts w:eastAsia="Times New Roman" w:cs="Times New Roman"/>
          <w:szCs w:val="20"/>
          <w:lang w:val="en-GB" w:eastAsia="en-GB"/>
        </w:rPr>
        <w:t>SWR</w:t>
      </w:r>
      <w:r w:rsidR="00412377">
        <w:rPr>
          <w:rFonts w:eastAsia="Times New Roman" w:cs="Times New Roman"/>
          <w:szCs w:val="20"/>
          <w:lang w:val="en-GB" w:eastAsia="en-GB"/>
        </w:rPr>
        <w:t xml:space="preserve"> Act</w:t>
      </w:r>
      <w:r w:rsidRPr="00391E3C">
        <w:rPr>
          <w:rFonts w:eastAsia="Times New Roman" w:cs="Times New Roman"/>
          <w:szCs w:val="20"/>
          <w:lang w:val="en-GB" w:eastAsia="en-GB"/>
        </w:rPr>
        <w:t xml:space="preserve"> to include any conduct that has brought or that is likely to bring discredit on the social work profession.</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Pr>
          <w:rFonts w:eastAsia="Times New Roman" w:cs="Times New Roman"/>
          <w:szCs w:val="20"/>
          <w:lang w:val="en-GB" w:eastAsia="en-GB"/>
        </w:rPr>
        <w:t>A</w:t>
      </w:r>
      <w:r w:rsidRPr="00391E3C">
        <w:rPr>
          <w:rFonts w:eastAsia="Times New Roman" w:cs="Times New Roman"/>
          <w:szCs w:val="20"/>
          <w:lang w:val="en-GB" w:eastAsia="en-GB"/>
        </w:rPr>
        <w:t xml:space="preserve">llow the Tribunal to cancel a social worker’s registration on any ground of discipline, including removing the threshold of “gross or severe” professional misconduct before registration can be cancelled for professional misconduct. </w:t>
      </w:r>
    </w:p>
    <w:p w:rsidR="0085323E" w:rsidRPr="00391E3C" w:rsidRDefault="0085323E" w:rsidP="00177E1D">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A definition of professional misconduct that includes discrediting the profession aligns with comparable professional </w:t>
      </w:r>
      <w:r>
        <w:rPr>
          <w:rFonts w:eastAsia="Times New Roman" w:cs="Times New Roman"/>
          <w:szCs w:val="20"/>
          <w:lang w:val="en-GB" w:eastAsia="en-GB"/>
        </w:rPr>
        <w:t>standards</w:t>
      </w:r>
      <w:r w:rsidRPr="00391E3C">
        <w:rPr>
          <w:rFonts w:eastAsia="Times New Roman" w:cs="Times New Roman"/>
          <w:szCs w:val="20"/>
          <w:lang w:val="en-GB" w:eastAsia="en-GB"/>
        </w:rPr>
        <w:t xml:space="preserve"> and indicates the importance of trust to the public. A refined definition would align the definition with principle 9 of the social worker Code of Conduct (to maintain public trust and confidence in the social work profession), and would align with the approach taken in other professions, such as health practitioners and lawyers.</w:t>
      </w:r>
    </w:p>
    <w:p w:rsidR="00FB7C2A" w:rsidRDefault="00FB7C2A" w:rsidP="00FB7C2A">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Cancelling</w:t>
      </w:r>
      <w:r w:rsidRPr="00391E3C">
        <w:rPr>
          <w:rFonts w:eastAsia="Times New Roman" w:cs="Times New Roman"/>
          <w:szCs w:val="20"/>
          <w:lang w:val="en-GB" w:eastAsia="en-GB"/>
        </w:rPr>
        <w:t xml:space="preserve"> the current threshold for cancelling registration would increase the power of Tribunal to cancel a social worker's registration in light of risk of harm to the public.  We </w:t>
      </w:r>
      <w:r>
        <w:rPr>
          <w:rFonts w:eastAsia="Times New Roman" w:cs="Times New Roman"/>
          <w:szCs w:val="20"/>
          <w:lang w:val="en-GB" w:eastAsia="en-GB"/>
        </w:rPr>
        <w:t>consider</w:t>
      </w:r>
      <w:r w:rsidRPr="00391E3C">
        <w:rPr>
          <w:rFonts w:eastAsia="Times New Roman" w:cs="Times New Roman"/>
          <w:szCs w:val="20"/>
          <w:lang w:val="en-GB" w:eastAsia="en-GB"/>
        </w:rPr>
        <w:t xml:space="preserve"> that the threshold </w:t>
      </w:r>
      <w:r>
        <w:rPr>
          <w:rFonts w:eastAsia="Times New Roman" w:cs="Times New Roman"/>
          <w:szCs w:val="20"/>
          <w:lang w:val="en-GB" w:eastAsia="en-GB"/>
        </w:rPr>
        <w:t>for cancelling registration on the grounds of professional misconduct c</w:t>
      </w:r>
      <w:r w:rsidRPr="00391E3C">
        <w:rPr>
          <w:rFonts w:eastAsia="Times New Roman" w:cs="Times New Roman"/>
          <w:szCs w:val="20"/>
          <w:lang w:val="en-GB" w:eastAsia="en-GB"/>
        </w:rPr>
        <w:t>ould be lowered rather than removed entirely</w:t>
      </w:r>
      <w:r>
        <w:rPr>
          <w:rFonts w:eastAsia="Times New Roman" w:cs="Times New Roman"/>
          <w:szCs w:val="20"/>
          <w:lang w:val="en-GB" w:eastAsia="en-GB"/>
        </w:rPr>
        <w:t>. The</w:t>
      </w:r>
      <w:r w:rsidRPr="00671C9B">
        <w:rPr>
          <w:rFonts w:eastAsia="Times New Roman" w:cs="Times New Roman"/>
          <w:szCs w:val="20"/>
          <w:lang w:val="en-GB" w:eastAsia="en-GB"/>
        </w:rPr>
        <w:t xml:space="preserve"> Education Act </w:t>
      </w:r>
      <w:r>
        <w:rPr>
          <w:rFonts w:eastAsia="Times New Roman" w:cs="Times New Roman"/>
          <w:szCs w:val="20"/>
          <w:lang w:val="en-GB" w:eastAsia="en-GB"/>
        </w:rPr>
        <w:t xml:space="preserve">1989 </w:t>
      </w:r>
      <w:r w:rsidRPr="00671C9B">
        <w:rPr>
          <w:rFonts w:eastAsia="Times New Roman" w:cs="Times New Roman"/>
          <w:szCs w:val="20"/>
          <w:lang w:val="en-GB" w:eastAsia="en-GB"/>
        </w:rPr>
        <w:t xml:space="preserve">contains a comparable model that </w:t>
      </w:r>
      <w:r>
        <w:rPr>
          <w:rFonts w:eastAsia="Times New Roman" w:cs="Times New Roman"/>
          <w:szCs w:val="20"/>
          <w:lang w:val="en-GB" w:eastAsia="en-GB"/>
        </w:rPr>
        <w:t>will be</w:t>
      </w:r>
      <w:r w:rsidRPr="00671C9B">
        <w:rPr>
          <w:rFonts w:eastAsia="Times New Roman" w:cs="Times New Roman"/>
          <w:szCs w:val="20"/>
          <w:lang w:val="en-GB" w:eastAsia="en-GB"/>
        </w:rPr>
        <w:t xml:space="preserve"> considered during the legislative drafting process to ensure there are the appropriate checks and balances on the Tribunal's powers when it comes to cancelling registration.</w:t>
      </w:r>
    </w:p>
    <w:p w:rsidR="00FB7C2A" w:rsidRDefault="00FB7C2A" w:rsidP="00FB7C2A">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We recommend that the Tribunal have the power to cancel a registration for other types of serious misconduct (for example</w:t>
      </w:r>
      <w:r w:rsidR="000F1702">
        <w:rPr>
          <w:rFonts w:eastAsia="Times New Roman" w:cs="Times New Roman"/>
          <w:szCs w:val="20"/>
          <w:lang w:val="en-GB" w:eastAsia="en-GB"/>
        </w:rPr>
        <w:t>,</w:t>
      </w:r>
      <w:r>
        <w:rPr>
          <w:rFonts w:eastAsia="Times New Roman" w:cs="Times New Roman"/>
          <w:szCs w:val="20"/>
          <w:lang w:val="en-GB" w:eastAsia="en-GB"/>
        </w:rPr>
        <w:t xml:space="preserve"> a serious conviction).</w:t>
      </w:r>
    </w:p>
    <w:p w:rsidR="0085323E" w:rsidRPr="00391E3C" w:rsidRDefault="0085323E" w:rsidP="00177E1D">
      <w:pPr>
        <w:spacing w:after="240" w:line="240" w:lineRule="auto"/>
        <w:rPr>
          <w:rFonts w:eastAsia="Times New Roman" w:cs="Times New Roman"/>
          <w:i/>
          <w:szCs w:val="20"/>
          <w:lang w:val="en-GB" w:eastAsia="en-GB"/>
        </w:rPr>
      </w:pPr>
      <w:r w:rsidRPr="00391E3C">
        <w:rPr>
          <w:rFonts w:eastAsia="Times New Roman" w:cs="Times New Roman"/>
          <w:i/>
          <w:szCs w:val="20"/>
          <w:lang w:val="en-GB" w:eastAsia="en-GB"/>
        </w:rPr>
        <w:t>Interim suspension powers</w:t>
      </w:r>
    </w:p>
    <w:p w:rsidR="0085323E" w:rsidRPr="00391E3C" w:rsidRDefault="00101F12"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Select </w:t>
      </w:r>
      <w:r w:rsidR="0085323E" w:rsidRPr="00391E3C">
        <w:rPr>
          <w:rFonts w:eastAsia="Times New Roman" w:cs="Times New Roman"/>
          <w:szCs w:val="20"/>
          <w:lang w:val="en-GB" w:eastAsia="en-GB"/>
        </w:rPr>
        <w:t xml:space="preserve">Committee recommendation: </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Allow immediate interim suspension or conditions to be imposed</w:t>
      </w:r>
      <w:r>
        <w:rPr>
          <w:rFonts w:eastAsia="Times New Roman" w:cs="Times New Roman"/>
          <w:szCs w:val="20"/>
          <w:lang w:val="en-GB" w:eastAsia="en-GB"/>
        </w:rPr>
        <w:t xml:space="preserve"> by the Board</w:t>
      </w:r>
      <w:r w:rsidRPr="00391E3C">
        <w:rPr>
          <w:rFonts w:eastAsia="Times New Roman" w:cs="Times New Roman"/>
          <w:szCs w:val="20"/>
          <w:lang w:val="en-GB" w:eastAsia="en-GB"/>
        </w:rPr>
        <w:t xml:space="preserve"> on a social worker when there are reasonable grounds to believe that:</w:t>
      </w:r>
    </w:p>
    <w:p w:rsidR="0085323E" w:rsidRPr="00391E3C" w:rsidRDefault="0085323E" w:rsidP="00177E1D">
      <w:pPr>
        <w:spacing w:line="240" w:lineRule="auto"/>
        <w:ind w:left="851"/>
        <w:rPr>
          <w:rFonts w:eastAsia="Times New Roman" w:cs="Times New Roman"/>
          <w:szCs w:val="20"/>
          <w:lang w:val="en-GB" w:eastAsia="en-GB"/>
        </w:rPr>
      </w:pPr>
      <w:r w:rsidRPr="00391E3C">
        <w:rPr>
          <w:rFonts w:eastAsia="Times New Roman" w:cs="Times New Roman"/>
          <w:szCs w:val="20"/>
          <w:lang w:val="en-GB" w:eastAsia="en-GB"/>
        </w:rPr>
        <w:t>(a) the social worker is not competent or fit to practise social work or is not able (for example, because of a physical or mental condition) to perform adequately the functions required to practise social work satisfactorily, and</w:t>
      </w:r>
    </w:p>
    <w:p w:rsidR="0085323E" w:rsidRPr="00391E3C" w:rsidRDefault="0085323E" w:rsidP="00177E1D">
      <w:pPr>
        <w:spacing w:after="240" w:line="240" w:lineRule="auto"/>
        <w:ind w:left="851"/>
        <w:rPr>
          <w:rFonts w:eastAsia="Times New Roman" w:cs="Times New Roman"/>
          <w:szCs w:val="20"/>
          <w:lang w:val="en-GB" w:eastAsia="en-GB"/>
        </w:rPr>
      </w:pPr>
      <w:r w:rsidRPr="00391E3C">
        <w:rPr>
          <w:rFonts w:eastAsia="Times New Roman" w:cs="Times New Roman"/>
          <w:szCs w:val="20"/>
          <w:lang w:val="en-GB" w:eastAsia="en-GB"/>
        </w:rPr>
        <w:t xml:space="preserve">(b) the suspension or conditions are reasonably necessary in light of the purposes of the </w:t>
      </w:r>
      <w:r w:rsidR="0064484F">
        <w:rPr>
          <w:rFonts w:eastAsia="Times New Roman" w:cs="Times New Roman"/>
          <w:szCs w:val="20"/>
          <w:lang w:val="en-GB" w:eastAsia="en-GB"/>
        </w:rPr>
        <w:t>SWR Act</w:t>
      </w:r>
      <w:r w:rsidRPr="00391E3C">
        <w:rPr>
          <w:rFonts w:eastAsia="Times New Roman" w:cs="Times New Roman"/>
          <w:szCs w:val="20"/>
          <w:lang w:val="en-GB" w:eastAsia="en-GB"/>
        </w:rPr>
        <w:t>.</w:t>
      </w:r>
    </w:p>
    <w:p w:rsidR="003B680A" w:rsidRDefault="0085323E" w:rsidP="00FB7C2A">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The grounds proposed for interim suspension are broad and could be perceived as giving too much power to the Board.  We propose that </w:t>
      </w:r>
      <w:r>
        <w:rPr>
          <w:rFonts w:eastAsia="Times New Roman" w:cs="Times New Roman"/>
          <w:szCs w:val="20"/>
          <w:lang w:val="en-GB" w:eastAsia="en-GB"/>
        </w:rPr>
        <w:t>any changes generally</w:t>
      </w:r>
      <w:r w:rsidRPr="00391E3C">
        <w:rPr>
          <w:rFonts w:eastAsia="Times New Roman" w:cs="Times New Roman"/>
          <w:szCs w:val="20"/>
          <w:lang w:val="en-GB" w:eastAsia="en-GB"/>
        </w:rPr>
        <w:t xml:space="preserve"> align with provisions under the HPCA</w:t>
      </w:r>
      <w:r w:rsidR="0064484F">
        <w:rPr>
          <w:rFonts w:eastAsia="Times New Roman" w:cs="Times New Roman"/>
          <w:szCs w:val="20"/>
          <w:lang w:val="en-GB" w:eastAsia="en-GB"/>
        </w:rPr>
        <w:t xml:space="preserve"> </w:t>
      </w:r>
      <w:r w:rsidRPr="00391E3C">
        <w:rPr>
          <w:rFonts w:eastAsia="Times New Roman" w:cs="Times New Roman"/>
          <w:szCs w:val="20"/>
          <w:lang w:val="en-GB" w:eastAsia="en-GB"/>
        </w:rPr>
        <w:t>A</w:t>
      </w:r>
      <w:r w:rsidR="0064484F">
        <w:rPr>
          <w:rFonts w:eastAsia="Times New Roman" w:cs="Times New Roman"/>
          <w:szCs w:val="20"/>
          <w:lang w:val="en-GB" w:eastAsia="en-GB"/>
        </w:rPr>
        <w:t>ct</w:t>
      </w:r>
      <w:r w:rsidRPr="00391E3C">
        <w:rPr>
          <w:rFonts w:eastAsia="Times New Roman" w:cs="Times New Roman"/>
          <w:szCs w:val="20"/>
          <w:lang w:val="en-GB" w:eastAsia="en-GB"/>
        </w:rPr>
        <w:t xml:space="preserve"> which specify when an interim suspension can be imposed by the regulatory body. This would ensure the Board has specific grounds to impose an immediate interim suspension when necessary, but ring-fences its application to ensure due process. </w:t>
      </w:r>
    </w:p>
    <w:p w:rsidR="0085323E" w:rsidRPr="00391E3C" w:rsidRDefault="00101F12"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Select </w:t>
      </w:r>
      <w:r w:rsidR="0085323E" w:rsidRPr="00391E3C">
        <w:rPr>
          <w:rFonts w:eastAsia="Times New Roman" w:cs="Times New Roman"/>
          <w:szCs w:val="20"/>
          <w:lang w:val="en-GB" w:eastAsia="en-GB"/>
        </w:rPr>
        <w:t xml:space="preserve">Committee recommendation: </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Remove from legislation the 10-day time limit for interim extensions.</w:t>
      </w:r>
    </w:p>
    <w:p w:rsidR="00FB7C2A" w:rsidRDefault="00FB7C2A" w:rsidP="00FB7C2A">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An unlimited timeframe for interim suspension could be perceived as not aligned with natural justice standards to give the resolution procedure priority and respond in a timely manner. A specific timeframe will be particularly important if the Board is provided with the additional suspension powers described above.  We recommend that the interim suspension period be amended to include the power to extend the length on reasonable grounds. </w:t>
      </w:r>
    </w:p>
    <w:p w:rsidR="00FB7C2A" w:rsidRPr="00FB7C2A" w:rsidRDefault="00FB7C2A" w:rsidP="00FB7C2A">
      <w:pPr>
        <w:numPr>
          <w:ilvl w:val="0"/>
          <w:numId w:val="8"/>
        </w:numPr>
        <w:spacing w:line="240" w:lineRule="auto"/>
        <w:ind w:left="567" w:hanging="567"/>
        <w:rPr>
          <w:rFonts w:eastAsia="Times New Roman" w:cs="Times New Roman"/>
          <w:szCs w:val="20"/>
          <w:lang w:val="en-GB" w:eastAsia="en-GB"/>
        </w:rPr>
      </w:pPr>
      <w:r w:rsidRPr="00FB7C2A">
        <w:rPr>
          <w:rFonts w:eastAsia="Times New Roman" w:cs="Times New Roman"/>
          <w:szCs w:val="20"/>
          <w:lang w:val="en-GB" w:eastAsia="en-GB"/>
        </w:rPr>
        <w:t xml:space="preserve">As </w:t>
      </w:r>
      <w:r w:rsidR="00D9009E">
        <w:rPr>
          <w:rFonts w:eastAsia="Times New Roman" w:cs="Times New Roman"/>
          <w:szCs w:val="20"/>
          <w:lang w:val="en-GB" w:eastAsia="en-GB"/>
        </w:rPr>
        <w:t xml:space="preserve">with </w:t>
      </w:r>
      <w:r w:rsidRPr="00FB7C2A">
        <w:rPr>
          <w:rFonts w:eastAsia="Times New Roman" w:cs="Times New Roman"/>
          <w:szCs w:val="20"/>
          <w:lang w:val="en-GB" w:eastAsia="en-GB"/>
        </w:rPr>
        <w:t xml:space="preserve">the HPCA Act, there will be requirements on the Board to only make an order for interim suspension if it has informed the social worker on the grounds and </w:t>
      </w:r>
      <w:r w:rsidRPr="00FB7C2A">
        <w:rPr>
          <w:rFonts w:eastAsia="Times New Roman" w:cs="Times New Roman"/>
          <w:szCs w:val="20"/>
          <w:lang w:val="en-GB" w:eastAsia="en-GB"/>
        </w:rPr>
        <w:lastRenderedPageBreak/>
        <w:t xml:space="preserve">given the social worker reasonable opportunity to respond and be heard on the proposed suspension. </w:t>
      </w:r>
    </w:p>
    <w:p w:rsidR="0085323E" w:rsidRPr="00391E3C" w:rsidRDefault="0085323E" w:rsidP="00177E1D">
      <w:pPr>
        <w:spacing w:after="240" w:line="240" w:lineRule="auto"/>
        <w:rPr>
          <w:rFonts w:eastAsia="Times New Roman" w:cs="Times New Roman"/>
          <w:i/>
          <w:szCs w:val="20"/>
          <w:lang w:val="en-GB" w:eastAsia="en-GB"/>
        </w:rPr>
      </w:pPr>
      <w:r w:rsidRPr="00391E3C">
        <w:rPr>
          <w:rFonts w:eastAsia="Times New Roman" w:cs="Times New Roman"/>
          <w:i/>
          <w:szCs w:val="20"/>
          <w:lang w:val="en-GB" w:eastAsia="en-GB"/>
        </w:rPr>
        <w:t xml:space="preserve">Powers and status of the </w:t>
      </w:r>
      <w:r w:rsidR="00D9009E" w:rsidRPr="00412377">
        <w:rPr>
          <w:rFonts w:eastAsia="Times New Roman" w:cs="Times New Roman"/>
          <w:i/>
          <w:szCs w:val="20"/>
          <w:lang w:val="en-GB" w:eastAsia="en-GB"/>
        </w:rPr>
        <w:t>Social Workers Complaints and Disciplinary Tribunal</w:t>
      </w:r>
    </w:p>
    <w:p w:rsidR="0085323E" w:rsidRPr="00391E3C" w:rsidRDefault="00101F12"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Select </w:t>
      </w:r>
      <w:r w:rsidR="0085323E" w:rsidRPr="00391E3C">
        <w:rPr>
          <w:rFonts w:eastAsia="Times New Roman" w:cs="Times New Roman"/>
          <w:szCs w:val="20"/>
          <w:lang w:val="en-GB" w:eastAsia="en-GB"/>
        </w:rPr>
        <w:t xml:space="preserve">Committee recommendation: </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Expand the sanctions available to the Tribunal, to include powers to:</w:t>
      </w:r>
    </w:p>
    <w:p w:rsidR="0085323E" w:rsidRPr="00391E3C" w:rsidRDefault="0085323E" w:rsidP="005B5FC6">
      <w:pPr>
        <w:numPr>
          <w:ilvl w:val="1"/>
          <w:numId w:val="20"/>
        </w:numPr>
        <w:spacing w:after="60" w:line="240" w:lineRule="auto"/>
        <w:rPr>
          <w:rFonts w:eastAsia="Times New Roman" w:cs="Times New Roman"/>
          <w:szCs w:val="20"/>
          <w:lang w:val="en-GB" w:eastAsia="en-GB"/>
        </w:rPr>
      </w:pPr>
      <w:r w:rsidRPr="00391E3C">
        <w:rPr>
          <w:rFonts w:eastAsia="Times New Roman" w:cs="Times New Roman"/>
          <w:szCs w:val="20"/>
          <w:lang w:val="en-GB" w:eastAsia="en-GB"/>
        </w:rPr>
        <w:t>suspend a social worker for a period of up to three years</w:t>
      </w:r>
    </w:p>
    <w:p w:rsidR="0085323E" w:rsidRPr="00391E3C" w:rsidRDefault="0085323E" w:rsidP="005B5FC6">
      <w:pPr>
        <w:numPr>
          <w:ilvl w:val="1"/>
          <w:numId w:val="20"/>
        </w:numPr>
        <w:spacing w:line="240" w:lineRule="auto"/>
        <w:rPr>
          <w:rFonts w:eastAsia="Times New Roman" w:cs="Times New Roman"/>
          <w:szCs w:val="20"/>
          <w:lang w:val="en-GB" w:eastAsia="en-GB"/>
        </w:rPr>
      </w:pPr>
      <w:r w:rsidRPr="00391E3C">
        <w:rPr>
          <w:rFonts w:eastAsia="Times New Roman" w:cs="Times New Roman"/>
          <w:szCs w:val="20"/>
          <w:lang w:val="en-GB" w:eastAsia="en-GB"/>
        </w:rPr>
        <w:t>take any course of action that is available to a complaints assessment committee.</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Increasing the sanction powers of the Tribunal provides greater flexibility in resolving complaints.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In addition to the Inquiry recommendations, we recommend that the power to appoint Tribunal members be transferred from the Board to the Minister. This approach is consistent with best practice for disciplinary Tribunals. </w:t>
      </w:r>
      <w:r>
        <w:rPr>
          <w:rFonts w:eastAsia="Times New Roman" w:cs="Times New Roman"/>
          <w:szCs w:val="20"/>
          <w:lang w:val="en-GB" w:eastAsia="en-GB"/>
        </w:rPr>
        <w:t xml:space="preserve"> </w:t>
      </w:r>
      <w:r w:rsidRPr="00391E3C">
        <w:rPr>
          <w:rFonts w:eastAsia="Times New Roman" w:cs="Times New Roman"/>
          <w:szCs w:val="20"/>
          <w:lang w:val="en-GB" w:eastAsia="en-GB"/>
        </w:rPr>
        <w:t xml:space="preserve">A Tribunal should be independent from the regulatory body – an independent appointment process is an important signal of that. </w:t>
      </w:r>
    </w:p>
    <w:p w:rsidR="0046740B" w:rsidRPr="0046740B" w:rsidRDefault="0046740B" w:rsidP="0046740B">
      <w:pPr>
        <w:spacing w:after="240"/>
        <w:outlineLvl w:val="2"/>
        <w:rPr>
          <w:rFonts w:eastAsia="Times New Roman" w:cs="Times New Roman"/>
          <w:b/>
          <w:i/>
          <w:sz w:val="24"/>
          <w:szCs w:val="24"/>
          <w:lang w:val="en-GB" w:eastAsia="en-GB"/>
        </w:rPr>
      </w:pPr>
      <w:bookmarkStart w:id="78" w:name="_Toc520457896"/>
      <w:r>
        <w:rPr>
          <w:rFonts w:eastAsia="Times New Roman" w:cs="Times New Roman"/>
          <w:b/>
          <w:i/>
          <w:sz w:val="24"/>
          <w:szCs w:val="24"/>
          <w:lang w:val="en-GB" w:eastAsia="en-GB"/>
        </w:rPr>
        <w:t>Additional powers to support investigations</w:t>
      </w:r>
      <w:r w:rsidR="00FE1E77" w:rsidRPr="00FE1E77">
        <w:rPr>
          <w:rFonts w:eastAsia="Times New Roman" w:cs="Times New Roman"/>
          <w:b/>
          <w:i/>
          <w:sz w:val="24"/>
          <w:szCs w:val="24"/>
          <w:lang w:val="en-GB" w:eastAsia="en-GB"/>
        </w:rPr>
        <w:t xml:space="preserve"> </w:t>
      </w:r>
      <w:r w:rsidR="00FE1E77">
        <w:rPr>
          <w:rFonts w:eastAsia="Times New Roman" w:cs="Times New Roman"/>
          <w:b/>
          <w:i/>
          <w:sz w:val="24"/>
          <w:szCs w:val="24"/>
          <w:lang w:val="en-GB" w:eastAsia="en-GB"/>
        </w:rPr>
        <w:t>and enforce confidentiality</w:t>
      </w:r>
      <w:bookmarkEnd w:id="78"/>
      <w:r w:rsidR="00FE1E77">
        <w:rPr>
          <w:rFonts w:eastAsia="Times New Roman" w:cs="Times New Roman"/>
          <w:b/>
          <w:i/>
          <w:sz w:val="24"/>
          <w:szCs w:val="24"/>
          <w:lang w:val="en-GB" w:eastAsia="en-GB"/>
        </w:rPr>
        <w:t xml:space="preserve"> </w:t>
      </w:r>
    </w:p>
    <w:p w:rsidR="00FE1E77" w:rsidRPr="0046740B" w:rsidRDefault="00FE1E77" w:rsidP="00FE1E77">
      <w:pPr>
        <w:rPr>
          <w:rFonts w:eastAsia="Times New Roman" w:cs="Times New Roman"/>
          <w:i/>
          <w:szCs w:val="20"/>
          <w:u w:val="single"/>
          <w:lang w:val="en-GB" w:eastAsia="en-GB"/>
        </w:rPr>
      </w:pPr>
      <w:r>
        <w:rPr>
          <w:rFonts w:eastAsia="Times New Roman" w:cs="Times New Roman"/>
          <w:i/>
          <w:szCs w:val="20"/>
          <w:u w:val="single"/>
          <w:lang w:val="en-GB" w:eastAsia="en-GB"/>
        </w:rPr>
        <w:t>The</w:t>
      </w:r>
      <w:r w:rsidRPr="0046740B">
        <w:rPr>
          <w:rFonts w:eastAsia="Times New Roman" w:cs="Times New Roman"/>
          <w:i/>
          <w:szCs w:val="20"/>
          <w:u w:val="single"/>
          <w:lang w:val="en-GB" w:eastAsia="en-GB"/>
        </w:rPr>
        <w:t xml:space="preserve"> problem</w:t>
      </w:r>
      <w:r>
        <w:rPr>
          <w:rFonts w:eastAsia="Times New Roman" w:cs="Times New Roman"/>
          <w:i/>
          <w:szCs w:val="20"/>
          <w:u w:val="single"/>
          <w:lang w:val="en-GB" w:eastAsia="en-GB"/>
        </w:rPr>
        <w:t xml:space="preserve"> – lack of legal authority to obtain information for enforcement purposes</w:t>
      </w:r>
    </w:p>
    <w:p w:rsidR="00FE1E77" w:rsidRPr="0046740B" w:rsidRDefault="00FE1E77" w:rsidP="00FE1E77">
      <w:pPr>
        <w:numPr>
          <w:ilvl w:val="0"/>
          <w:numId w:val="8"/>
        </w:numPr>
        <w:spacing w:after="240" w:line="240" w:lineRule="auto"/>
        <w:ind w:left="567" w:hanging="567"/>
        <w:rPr>
          <w:rFonts w:eastAsia="Times New Roman" w:cs="Times New Roman"/>
          <w:i/>
          <w:szCs w:val="20"/>
          <w:lang w:val="en-GB" w:eastAsia="en-GB"/>
        </w:rPr>
      </w:pPr>
      <w:r>
        <w:rPr>
          <w:rFonts w:eastAsia="Times New Roman" w:cs="Times New Roman"/>
          <w:i/>
          <w:szCs w:val="20"/>
          <w:lang w:val="en-GB" w:eastAsia="en-GB"/>
        </w:rPr>
        <w:t>Where a complaint is received about person who is allegedly holding themselves out to be a social worker when they are not, it is likely to be necessary to collect information to carry out the investigation.  At present there is no requirement for people to provide relevant information and therefore enforcement of title protection would be compromised.</w:t>
      </w:r>
    </w:p>
    <w:p w:rsidR="00FE1E77" w:rsidRPr="00AA51CF" w:rsidRDefault="00FE1E77" w:rsidP="00FE1E77">
      <w:pPr>
        <w:pStyle w:val="ListParagraph"/>
        <w:spacing w:after="240" w:line="240" w:lineRule="auto"/>
        <w:ind w:left="0"/>
        <w:rPr>
          <w:rFonts w:eastAsia="Times New Roman" w:cs="Times New Roman"/>
          <w:i/>
          <w:szCs w:val="20"/>
          <w:u w:val="single"/>
          <w:lang w:val="en-GB" w:eastAsia="en-GB"/>
        </w:rPr>
      </w:pPr>
      <w:r w:rsidRPr="00AA51CF">
        <w:rPr>
          <w:rFonts w:eastAsia="Times New Roman" w:cs="Times New Roman"/>
          <w:i/>
          <w:szCs w:val="20"/>
          <w:u w:val="single"/>
          <w:lang w:val="en-GB" w:eastAsia="en-GB"/>
        </w:rPr>
        <w:t>Proposed amendment</w:t>
      </w:r>
    </w:p>
    <w:p w:rsidR="00FE1E77" w:rsidRPr="004255EB" w:rsidRDefault="00FE1E77" w:rsidP="00FE1E77">
      <w:pPr>
        <w:numPr>
          <w:ilvl w:val="0"/>
          <w:numId w:val="8"/>
        </w:numPr>
        <w:spacing w:after="240" w:line="240" w:lineRule="auto"/>
        <w:ind w:left="567" w:hanging="567"/>
        <w:rPr>
          <w:rFonts w:eastAsia="Times New Roman" w:cs="Times New Roman"/>
          <w:i/>
          <w:szCs w:val="20"/>
          <w:lang w:val="en-GB" w:eastAsia="en-GB"/>
        </w:rPr>
      </w:pPr>
      <w:r w:rsidRPr="00AF3F4B">
        <w:rPr>
          <w:rFonts w:eastAsia="Times New Roman" w:cs="Times New Roman"/>
          <w:i/>
          <w:szCs w:val="20"/>
          <w:lang w:val="en-GB" w:eastAsia="en-GB"/>
        </w:rPr>
        <w:t xml:space="preserve">The HPCA Act has powers of search and surveillance for enforcement purposes, but </w:t>
      </w:r>
      <w:r>
        <w:rPr>
          <w:rFonts w:eastAsia="Times New Roman" w:cs="Times New Roman"/>
          <w:i/>
          <w:szCs w:val="20"/>
          <w:lang w:val="en-GB" w:eastAsia="en-GB"/>
        </w:rPr>
        <w:t xml:space="preserve">we consider that </w:t>
      </w:r>
      <w:r w:rsidRPr="00AF3F4B">
        <w:rPr>
          <w:rFonts w:eastAsia="Times New Roman" w:cs="Times New Roman"/>
          <w:i/>
          <w:szCs w:val="20"/>
          <w:lang w:val="en-GB" w:eastAsia="en-GB"/>
        </w:rPr>
        <w:t xml:space="preserve">such powers would be unnecessarily intrusive in a social work context.  </w:t>
      </w:r>
      <w:r>
        <w:rPr>
          <w:rFonts w:eastAsia="Times New Roman" w:cs="Times New Roman"/>
          <w:i/>
          <w:szCs w:val="20"/>
          <w:lang w:val="en-GB" w:eastAsia="en-GB"/>
        </w:rPr>
        <w:t>Finding evidence of unregulated health services may require searching premises for medical equipment or monitoring patients attending appointments.  This type of investigation is unlikely to be needed to show evidence of unregulated social work services.  W</w:t>
      </w:r>
      <w:r w:rsidRPr="00AF3F4B">
        <w:rPr>
          <w:rFonts w:eastAsia="Times New Roman" w:cs="Times New Roman"/>
          <w:i/>
          <w:szCs w:val="20"/>
          <w:lang w:val="en-GB" w:eastAsia="en-GB"/>
        </w:rPr>
        <w:t>e recommend a narrower power (based on section 11 of the Social Security Act 1964), authorising the department responsible for administering the Act to require information, including an offence provision for failure or refusal to provide the required information.</w:t>
      </w:r>
      <w:r>
        <w:rPr>
          <w:rFonts w:eastAsia="Times New Roman" w:cs="Times New Roman"/>
          <w:i/>
          <w:szCs w:val="20"/>
          <w:lang w:val="en-GB" w:eastAsia="en-GB"/>
        </w:rPr>
        <w:t xml:space="preserve">  </w:t>
      </w:r>
    </w:p>
    <w:p w:rsidR="0046740B" w:rsidRPr="0046740B" w:rsidRDefault="0046740B" w:rsidP="0046740B">
      <w:pPr>
        <w:rPr>
          <w:rFonts w:eastAsia="Times New Roman" w:cs="Times New Roman"/>
          <w:i/>
          <w:szCs w:val="20"/>
          <w:u w:val="single"/>
          <w:lang w:val="en-GB" w:eastAsia="en-GB"/>
        </w:rPr>
      </w:pPr>
      <w:r>
        <w:rPr>
          <w:rFonts w:eastAsia="Times New Roman" w:cs="Times New Roman"/>
          <w:i/>
          <w:szCs w:val="20"/>
          <w:u w:val="single"/>
          <w:lang w:val="en-GB" w:eastAsia="en-GB"/>
        </w:rPr>
        <w:t>The</w:t>
      </w:r>
      <w:r w:rsidRPr="0046740B">
        <w:rPr>
          <w:rFonts w:eastAsia="Times New Roman" w:cs="Times New Roman"/>
          <w:i/>
          <w:szCs w:val="20"/>
          <w:u w:val="single"/>
          <w:lang w:val="en-GB" w:eastAsia="en-GB"/>
        </w:rPr>
        <w:t xml:space="preserve"> problem</w:t>
      </w:r>
      <w:r w:rsidR="004E35D6">
        <w:rPr>
          <w:rFonts w:eastAsia="Times New Roman" w:cs="Times New Roman"/>
          <w:i/>
          <w:szCs w:val="20"/>
          <w:u w:val="single"/>
          <w:lang w:val="en-GB" w:eastAsia="en-GB"/>
        </w:rPr>
        <w:t xml:space="preserve"> – enforcing the confidentiality of client records being used to assess a social worker’s competence</w:t>
      </w:r>
    </w:p>
    <w:p w:rsidR="0046740B" w:rsidRPr="004255EB" w:rsidRDefault="0046740B" w:rsidP="0046740B">
      <w:pPr>
        <w:numPr>
          <w:ilvl w:val="0"/>
          <w:numId w:val="8"/>
        </w:numPr>
        <w:spacing w:after="240" w:line="240" w:lineRule="auto"/>
        <w:ind w:left="567" w:hanging="567"/>
        <w:rPr>
          <w:rFonts w:eastAsia="Times New Roman" w:cs="Times New Roman"/>
          <w:i/>
          <w:szCs w:val="20"/>
          <w:lang w:val="en-GB" w:eastAsia="en-GB"/>
        </w:rPr>
      </w:pPr>
      <w:r w:rsidRPr="004255EB">
        <w:rPr>
          <w:i/>
          <w:lang w:val="en-GB" w:eastAsia="en-GB"/>
        </w:rPr>
        <w:t xml:space="preserve">People who are assessing the competence of a social worker may examine the records made or kept by that social worker for the purpose of assessing their competence.  Such records are likely to contain client information and other sensitive matters and are subject to a statutory obligation of </w:t>
      </w:r>
      <w:r w:rsidR="000610A3">
        <w:rPr>
          <w:i/>
          <w:lang w:val="en-GB" w:eastAsia="en-GB"/>
        </w:rPr>
        <w:t>confidentiality</w:t>
      </w:r>
      <w:r w:rsidR="000610A3" w:rsidRPr="004255EB">
        <w:rPr>
          <w:i/>
          <w:lang w:val="en-GB" w:eastAsia="en-GB"/>
        </w:rPr>
        <w:t xml:space="preserve"> </w:t>
      </w:r>
      <w:r w:rsidRPr="004255EB">
        <w:rPr>
          <w:i/>
          <w:lang w:val="en-GB" w:eastAsia="en-GB"/>
        </w:rPr>
        <w:t>under the SWR Act.  However there is no specific criminal offence to enforce these obligations if they are breached</w:t>
      </w:r>
      <w:r w:rsidR="000610A3">
        <w:rPr>
          <w:i/>
          <w:lang w:val="en-GB" w:eastAsia="en-GB"/>
        </w:rPr>
        <w:t>, which means the level of protection for confidential personal information about members of the public is lower than that provided under the HPCA Act</w:t>
      </w:r>
      <w:r w:rsidRPr="004255EB">
        <w:rPr>
          <w:i/>
          <w:lang w:val="en-GB" w:eastAsia="en-GB"/>
        </w:rPr>
        <w:t>.</w:t>
      </w:r>
    </w:p>
    <w:p w:rsidR="002A3937" w:rsidRDefault="002A3937">
      <w:pPr>
        <w:spacing w:after="0" w:line="240" w:lineRule="auto"/>
        <w:rPr>
          <w:rFonts w:eastAsia="Times New Roman" w:cs="Times New Roman"/>
          <w:i/>
          <w:szCs w:val="20"/>
          <w:u w:val="single"/>
          <w:lang w:val="en-GB" w:eastAsia="en-GB"/>
        </w:rPr>
      </w:pPr>
      <w:r>
        <w:rPr>
          <w:rFonts w:eastAsia="Times New Roman" w:cs="Times New Roman"/>
          <w:i/>
          <w:szCs w:val="20"/>
          <w:u w:val="single"/>
          <w:lang w:val="en-GB" w:eastAsia="en-GB"/>
        </w:rPr>
        <w:br w:type="page"/>
      </w:r>
    </w:p>
    <w:p w:rsidR="0046740B" w:rsidRPr="00AA51CF" w:rsidRDefault="0046740B" w:rsidP="0046740B">
      <w:pPr>
        <w:pStyle w:val="ListParagraph"/>
        <w:spacing w:after="240" w:line="240" w:lineRule="auto"/>
        <w:ind w:left="0"/>
        <w:rPr>
          <w:rFonts w:eastAsia="Times New Roman" w:cs="Times New Roman"/>
          <w:i/>
          <w:szCs w:val="20"/>
          <w:u w:val="single"/>
          <w:lang w:val="en-GB" w:eastAsia="en-GB"/>
        </w:rPr>
      </w:pPr>
      <w:r w:rsidRPr="00AA51CF">
        <w:rPr>
          <w:rFonts w:eastAsia="Times New Roman" w:cs="Times New Roman"/>
          <w:i/>
          <w:szCs w:val="20"/>
          <w:u w:val="single"/>
          <w:lang w:val="en-GB" w:eastAsia="en-GB"/>
        </w:rPr>
        <w:lastRenderedPageBreak/>
        <w:t>Proposed amendment</w:t>
      </w:r>
    </w:p>
    <w:p w:rsidR="0046740B" w:rsidRPr="00563500" w:rsidRDefault="004255EB" w:rsidP="00222BA0">
      <w:pPr>
        <w:numPr>
          <w:ilvl w:val="0"/>
          <w:numId w:val="8"/>
        </w:numPr>
        <w:spacing w:after="240" w:line="240" w:lineRule="auto"/>
        <w:ind w:left="567" w:hanging="567"/>
        <w:rPr>
          <w:rFonts w:eastAsia="Times New Roman" w:cs="Times New Roman"/>
          <w:i/>
          <w:szCs w:val="20"/>
          <w:lang w:val="en-GB" w:eastAsia="en-GB"/>
        </w:rPr>
      </w:pPr>
      <w:r w:rsidRPr="00222BA0">
        <w:rPr>
          <w:i/>
          <w:lang w:val="en-GB" w:eastAsia="en-GB"/>
        </w:rPr>
        <w:t xml:space="preserve">A </w:t>
      </w:r>
      <w:r w:rsidR="0046740B" w:rsidRPr="00222BA0">
        <w:rPr>
          <w:i/>
          <w:lang w:val="en-GB" w:eastAsia="en-GB"/>
        </w:rPr>
        <w:t>new offence provision to enforce existing obligations of confidence applying to persons assessing the competence of social workers</w:t>
      </w:r>
      <w:r w:rsidRPr="00563500">
        <w:rPr>
          <w:i/>
          <w:lang w:val="en-GB" w:eastAsia="en-GB"/>
        </w:rPr>
        <w:t xml:space="preserve"> is pr</w:t>
      </w:r>
      <w:r w:rsidR="003B5848" w:rsidRPr="00563500">
        <w:rPr>
          <w:i/>
          <w:lang w:val="en-GB" w:eastAsia="en-GB"/>
        </w:rPr>
        <w:t>oposed</w:t>
      </w:r>
      <w:r w:rsidR="000610A3">
        <w:rPr>
          <w:i/>
          <w:lang w:val="en-GB" w:eastAsia="en-GB"/>
        </w:rPr>
        <w:t xml:space="preserve">, based on </w:t>
      </w:r>
      <w:r w:rsidR="003B5848" w:rsidRPr="00563500">
        <w:rPr>
          <w:i/>
          <w:lang w:val="en-GB" w:eastAsia="en-GB"/>
        </w:rPr>
        <w:t>the corres</w:t>
      </w:r>
      <w:r w:rsidR="003B5848" w:rsidRPr="00AF3F4B">
        <w:rPr>
          <w:i/>
          <w:lang w:val="en-GB" w:eastAsia="en-GB"/>
        </w:rPr>
        <w:t xml:space="preserve">ponding offence in the HPCA Act. </w:t>
      </w:r>
      <w:r w:rsidR="000610A3">
        <w:rPr>
          <w:i/>
          <w:lang w:val="en-GB" w:eastAsia="en-GB"/>
        </w:rPr>
        <w:t xml:space="preserve"> </w:t>
      </w:r>
      <w:r w:rsidR="003B5848" w:rsidRPr="00222BA0">
        <w:rPr>
          <w:i/>
          <w:lang w:val="en-GB" w:eastAsia="en-GB"/>
        </w:rPr>
        <w:t xml:space="preserve">Such an offence would </w:t>
      </w:r>
      <w:r w:rsidR="003B5848" w:rsidRPr="00563500">
        <w:rPr>
          <w:i/>
          <w:lang w:val="en-GB" w:eastAsia="en-GB"/>
        </w:rPr>
        <w:t>not affect social work practice because it r</w:t>
      </w:r>
      <w:r w:rsidR="003B5848" w:rsidRPr="00AF3F4B">
        <w:rPr>
          <w:i/>
          <w:lang w:val="en-GB" w:eastAsia="en-GB"/>
        </w:rPr>
        <w:t>elates solely to competence assessments</w:t>
      </w:r>
      <w:r w:rsidR="000610A3">
        <w:rPr>
          <w:i/>
          <w:lang w:val="en-GB" w:eastAsia="en-GB"/>
        </w:rPr>
        <w:t xml:space="preserve"> for individual social workers</w:t>
      </w:r>
      <w:r w:rsidR="003B5848" w:rsidRPr="00222BA0">
        <w:rPr>
          <w:i/>
          <w:lang w:val="en-GB" w:eastAsia="en-GB"/>
        </w:rPr>
        <w:t xml:space="preserve"> and does not change existing obligations of client confidentiality.</w:t>
      </w:r>
      <w:r w:rsidR="000610A3">
        <w:rPr>
          <w:i/>
          <w:lang w:val="en-GB" w:eastAsia="en-GB"/>
        </w:rPr>
        <w:t xml:space="preserve"> </w:t>
      </w:r>
    </w:p>
    <w:p w:rsidR="004B74CF" w:rsidRPr="00177E1D" w:rsidRDefault="004B74CF" w:rsidP="004B74CF">
      <w:pPr>
        <w:spacing w:after="240" w:line="240" w:lineRule="auto"/>
        <w:outlineLvl w:val="1"/>
        <w:rPr>
          <w:rFonts w:eastAsia="Times New Roman" w:cs="Times New Roman"/>
          <w:b/>
          <w:color w:val="1F497D" w:themeColor="text2"/>
          <w:sz w:val="28"/>
          <w:szCs w:val="28"/>
          <w:lang w:val="en-GB" w:eastAsia="en-GB"/>
        </w:rPr>
      </w:pPr>
      <w:bookmarkStart w:id="79" w:name="_Toc520457897"/>
      <w:r w:rsidRPr="00177E1D">
        <w:rPr>
          <w:rFonts w:eastAsia="Times New Roman" w:cs="Times New Roman"/>
          <w:b/>
          <w:color w:val="1F497D" w:themeColor="text2"/>
          <w:sz w:val="28"/>
          <w:szCs w:val="28"/>
          <w:lang w:val="en-GB" w:eastAsia="en-GB"/>
        </w:rPr>
        <w:t>Financial and operational implications of preferred options</w:t>
      </w:r>
      <w:bookmarkEnd w:id="79"/>
    </w:p>
    <w:p w:rsidR="004B74CF" w:rsidRPr="00177E1D" w:rsidRDefault="004B74CF" w:rsidP="004B74CF">
      <w:pPr>
        <w:numPr>
          <w:ilvl w:val="0"/>
          <w:numId w:val="8"/>
        </w:numPr>
        <w:spacing w:before="240" w:after="240" w:line="240" w:lineRule="auto"/>
        <w:ind w:left="567" w:hanging="567"/>
        <w:rPr>
          <w:rFonts w:eastAsia="Times New Roman" w:cs="Times New Roman"/>
          <w:szCs w:val="20"/>
          <w:lang w:val="en-GB" w:eastAsia="en-GB"/>
        </w:rPr>
      </w:pPr>
      <w:r w:rsidRPr="00177E1D">
        <w:rPr>
          <w:rFonts w:eastAsia="Times New Roman" w:cs="Times New Roman"/>
          <w:szCs w:val="20"/>
          <w:lang w:val="en-GB" w:eastAsia="en-GB"/>
        </w:rPr>
        <w:t xml:space="preserve">Implementation of </w:t>
      </w:r>
      <w:r>
        <w:rPr>
          <w:rFonts w:eastAsia="Times New Roman" w:cs="Times New Roman"/>
          <w:szCs w:val="20"/>
          <w:lang w:val="en-GB" w:eastAsia="en-GB"/>
        </w:rPr>
        <w:t xml:space="preserve">mandatory </w:t>
      </w:r>
      <w:r w:rsidRPr="00177E1D">
        <w:rPr>
          <w:rFonts w:eastAsia="Times New Roman" w:cs="Times New Roman"/>
          <w:szCs w:val="20"/>
          <w:lang w:val="en-GB" w:eastAsia="en-GB"/>
        </w:rPr>
        <w:t xml:space="preserve">certification and title protection will have financial and economic implications for government, NGOs and individual social workers and prospective social workers.  Ultimately most of these costs will fall back to government as the primary employer and funder of social work services, but individuals and NGOs who are not contracted to government will bear some additional costs.  These additional costs will result in an increase in quality and value from social work services, but this cannot be realistically quantified.  Further extension to the levels of task licencing or occupational licencing is not expected to cause significant additional </w:t>
      </w:r>
      <w:r>
        <w:rPr>
          <w:rFonts w:eastAsia="Times New Roman" w:cs="Times New Roman"/>
          <w:szCs w:val="20"/>
          <w:lang w:val="en-GB" w:eastAsia="en-GB"/>
        </w:rPr>
        <w:t xml:space="preserve">financial </w:t>
      </w:r>
      <w:r w:rsidRPr="00177E1D">
        <w:rPr>
          <w:rFonts w:eastAsia="Times New Roman" w:cs="Times New Roman"/>
          <w:szCs w:val="20"/>
          <w:lang w:val="en-GB" w:eastAsia="en-GB"/>
        </w:rPr>
        <w:t>costs</w:t>
      </w:r>
      <w:r>
        <w:rPr>
          <w:rFonts w:eastAsia="Times New Roman" w:cs="Times New Roman"/>
          <w:szCs w:val="20"/>
          <w:lang w:val="en-GB" w:eastAsia="en-GB"/>
        </w:rPr>
        <w:t xml:space="preserve"> but will have economic costs in terms of compliance issues and efficiency losses (over and above the shift from voluntary to mandatory certification)</w:t>
      </w:r>
      <w:r w:rsidRPr="00177E1D">
        <w:rPr>
          <w:rFonts w:eastAsia="Times New Roman" w:cs="Times New Roman"/>
          <w:szCs w:val="20"/>
          <w:lang w:val="en-GB" w:eastAsia="en-GB"/>
        </w:rPr>
        <w:t>.</w:t>
      </w:r>
    </w:p>
    <w:p w:rsidR="004B74CF" w:rsidRPr="00177E1D" w:rsidRDefault="004B74CF" w:rsidP="004B74CF">
      <w:pPr>
        <w:numPr>
          <w:ilvl w:val="0"/>
          <w:numId w:val="8"/>
        </w:numPr>
        <w:spacing w:before="240" w:after="240" w:line="240" w:lineRule="auto"/>
        <w:ind w:left="567" w:hanging="567"/>
        <w:rPr>
          <w:rFonts w:eastAsia="Times New Roman" w:cs="Times New Roman"/>
          <w:szCs w:val="20"/>
          <w:lang w:val="en-GB" w:eastAsia="en-GB"/>
        </w:rPr>
      </w:pPr>
      <w:r w:rsidRPr="00177E1D">
        <w:rPr>
          <w:rFonts w:eastAsia="Times New Roman" w:cs="Times New Roman"/>
          <w:szCs w:val="20"/>
          <w:lang w:val="en-GB" w:eastAsia="en-GB"/>
        </w:rPr>
        <w:t xml:space="preserve">Costs will arise in </w:t>
      </w:r>
      <w:r w:rsidR="00381E8F" w:rsidRPr="00AF3F4B">
        <w:rPr>
          <w:rFonts w:eastAsia="Times New Roman" w:cs="Times New Roman"/>
          <w:szCs w:val="20"/>
          <w:lang w:val="en-GB" w:eastAsia="en-GB"/>
        </w:rPr>
        <w:t>three</w:t>
      </w:r>
      <w:r w:rsidR="00381E8F" w:rsidRPr="00177E1D">
        <w:rPr>
          <w:rFonts w:eastAsia="Times New Roman" w:cs="Times New Roman"/>
          <w:szCs w:val="20"/>
          <w:lang w:val="en-GB" w:eastAsia="en-GB"/>
        </w:rPr>
        <w:t xml:space="preserve"> </w:t>
      </w:r>
      <w:r w:rsidRPr="00177E1D">
        <w:rPr>
          <w:rFonts w:eastAsia="Times New Roman" w:cs="Times New Roman"/>
          <w:szCs w:val="20"/>
          <w:lang w:val="en-GB" w:eastAsia="en-GB"/>
        </w:rPr>
        <w:t xml:space="preserve">ways: </w:t>
      </w:r>
    </w:p>
    <w:p w:rsidR="004B74CF" w:rsidRPr="00177E1D" w:rsidRDefault="004B74CF" w:rsidP="005B5FC6">
      <w:pPr>
        <w:numPr>
          <w:ilvl w:val="1"/>
          <w:numId w:val="17"/>
        </w:numPr>
        <w:spacing w:before="120" w:line="240" w:lineRule="auto"/>
        <w:ind w:left="1134" w:hanging="425"/>
        <w:rPr>
          <w:rFonts w:eastAsia="Times New Roman" w:cs="Times New Roman"/>
          <w:szCs w:val="20"/>
          <w:lang w:val="en-GB" w:eastAsia="en-GB"/>
        </w:rPr>
      </w:pPr>
      <w:r w:rsidRPr="00177E1D">
        <w:rPr>
          <w:rFonts w:eastAsia="Times New Roman" w:cs="Times New Roman"/>
          <w:szCs w:val="20"/>
          <w:lang w:val="en-GB" w:eastAsia="en-GB"/>
        </w:rPr>
        <w:t xml:space="preserve">a one-off transitional cost of up-skilling current social workers who will need to obtain </w:t>
      </w:r>
      <w:r>
        <w:rPr>
          <w:rFonts w:eastAsia="Times New Roman" w:cs="Times New Roman"/>
          <w:szCs w:val="20"/>
          <w:lang w:val="en-GB" w:eastAsia="en-GB"/>
        </w:rPr>
        <w:t>a recognised</w:t>
      </w:r>
      <w:r w:rsidRPr="00177E1D">
        <w:rPr>
          <w:rFonts w:eastAsia="Times New Roman" w:cs="Times New Roman"/>
          <w:szCs w:val="20"/>
          <w:lang w:val="en-GB" w:eastAsia="en-GB"/>
        </w:rPr>
        <w:t xml:space="preserve"> social work qualificat</w:t>
      </w:r>
      <w:r>
        <w:rPr>
          <w:rFonts w:eastAsia="Times New Roman" w:cs="Times New Roman"/>
          <w:szCs w:val="20"/>
          <w:lang w:val="en-GB" w:eastAsia="en-GB"/>
        </w:rPr>
        <w:t>ion</w:t>
      </w:r>
      <w:r w:rsidRPr="00177E1D">
        <w:rPr>
          <w:rFonts w:eastAsia="Times New Roman" w:cs="Times New Roman"/>
          <w:szCs w:val="20"/>
          <w:lang w:val="en-GB" w:eastAsia="en-GB"/>
        </w:rPr>
        <w:t xml:space="preserve"> </w:t>
      </w:r>
    </w:p>
    <w:p w:rsidR="005E6548" w:rsidRDefault="004B74CF" w:rsidP="005B5FC6">
      <w:pPr>
        <w:numPr>
          <w:ilvl w:val="1"/>
          <w:numId w:val="17"/>
        </w:numPr>
        <w:spacing w:before="120" w:line="240" w:lineRule="auto"/>
        <w:ind w:left="1134" w:hanging="425"/>
        <w:rPr>
          <w:rFonts w:eastAsia="Times New Roman" w:cs="Times New Roman"/>
          <w:szCs w:val="20"/>
          <w:lang w:val="en-GB" w:eastAsia="en-GB"/>
        </w:rPr>
      </w:pPr>
      <w:r w:rsidRPr="00177E1D">
        <w:rPr>
          <w:rFonts w:eastAsia="Times New Roman" w:cs="Times New Roman"/>
          <w:szCs w:val="20"/>
          <w:lang w:val="en-GB" w:eastAsia="en-GB"/>
        </w:rPr>
        <w:t>on-going cost increases from registration, annual practicing certificate renewals</w:t>
      </w:r>
      <w:r>
        <w:rPr>
          <w:rFonts w:eastAsia="Times New Roman" w:cs="Times New Roman"/>
          <w:szCs w:val="20"/>
          <w:lang w:val="en-GB" w:eastAsia="en-GB"/>
        </w:rPr>
        <w:t>,</w:t>
      </w:r>
      <w:r w:rsidRPr="00177E1D">
        <w:rPr>
          <w:rFonts w:eastAsia="Times New Roman" w:cs="Times New Roman"/>
          <w:szCs w:val="20"/>
          <w:lang w:val="en-GB" w:eastAsia="en-GB"/>
        </w:rPr>
        <w:t xml:space="preserve"> </w:t>
      </w:r>
      <w:r>
        <w:rPr>
          <w:rFonts w:eastAsia="Times New Roman" w:cs="Times New Roman"/>
          <w:szCs w:val="20"/>
          <w:lang w:val="en-GB" w:eastAsia="en-GB"/>
        </w:rPr>
        <w:t xml:space="preserve">continuing </w:t>
      </w:r>
      <w:r w:rsidRPr="00177E1D">
        <w:rPr>
          <w:rFonts w:eastAsia="Times New Roman" w:cs="Times New Roman"/>
          <w:szCs w:val="20"/>
          <w:lang w:val="en-GB" w:eastAsia="en-GB"/>
        </w:rPr>
        <w:t xml:space="preserve">professional </w:t>
      </w:r>
      <w:r w:rsidRPr="004B74CF">
        <w:rPr>
          <w:rFonts w:eastAsia="Times New Roman" w:cs="Times New Roman"/>
          <w:szCs w:val="20"/>
          <w:lang w:val="en-GB" w:eastAsia="en-GB"/>
        </w:rPr>
        <w:t xml:space="preserve">development and supervision for newly registered social workers </w:t>
      </w:r>
    </w:p>
    <w:p w:rsidR="004B74CF" w:rsidRDefault="005E6548"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increased professionalism and expectations of increasing quality may lead to pressures to increase salary levels,</w:t>
      </w:r>
      <w:r w:rsidR="00AA51CF">
        <w:rPr>
          <w:rFonts w:eastAsia="Times New Roman" w:cs="Times New Roman"/>
          <w:szCs w:val="20"/>
          <w:lang w:val="en-GB" w:eastAsia="en-GB"/>
        </w:rPr>
        <w:t xml:space="preserve"> particularly in the NGO sector</w:t>
      </w:r>
      <w:r w:rsidR="00381E8F">
        <w:rPr>
          <w:rFonts w:eastAsia="Times New Roman" w:cs="Times New Roman"/>
          <w:szCs w:val="20"/>
          <w:lang w:val="en-GB" w:eastAsia="en-GB"/>
        </w:rPr>
        <w:t>.</w:t>
      </w:r>
    </w:p>
    <w:p w:rsidR="004B74CF" w:rsidRPr="004B74CF" w:rsidRDefault="00880438" w:rsidP="005B5FC6">
      <w:pPr>
        <w:numPr>
          <w:ilvl w:val="0"/>
          <w:numId w:val="23"/>
        </w:numPr>
        <w:spacing w:after="240" w:line="240" w:lineRule="auto"/>
        <w:ind w:left="567" w:hanging="567"/>
        <w:rPr>
          <w:rFonts w:eastAsia="Times New Roman"/>
          <w:szCs w:val="20"/>
          <w:lang w:val="en-GB" w:eastAsia="en-GB"/>
        </w:rPr>
      </w:pPr>
      <w:r>
        <w:t xml:space="preserve">Because </w:t>
      </w:r>
      <w:r w:rsidR="00412377">
        <w:t>of</w:t>
      </w:r>
      <w:r w:rsidR="004B74CF" w:rsidRPr="004B74CF">
        <w:t xml:space="preserve"> incomplete information about the numbers and circumstances of the estimated 2,000 unregistered social workers, it is very difficult estimate how many are likely to need to undertake training.</w:t>
      </w:r>
    </w:p>
    <w:p w:rsidR="005970B3" w:rsidRPr="005970B3" w:rsidRDefault="005970B3" w:rsidP="005B5FC6">
      <w:pPr>
        <w:numPr>
          <w:ilvl w:val="0"/>
          <w:numId w:val="23"/>
        </w:numPr>
        <w:spacing w:after="240" w:line="240" w:lineRule="auto"/>
        <w:ind w:left="567" w:hanging="567"/>
        <w:rPr>
          <w:rFonts w:eastAsia="Times New Roman"/>
          <w:szCs w:val="20"/>
          <w:lang w:val="en-GB" w:eastAsia="en-GB"/>
        </w:rPr>
      </w:pPr>
      <w:r w:rsidRPr="005970B3">
        <w:t>Based on our earlier estimates of unregistered social workers, up to 1,200 practising social workers are likely to be tertiary qualified already. Many may already have Board recognised social work qualifications and have chosen not to register as a social worker for various reasons.  However, a proportion of these tertiary qualified people may have other qualifications (such as a Bachelor of Arts in psychology, sociology, or anthropology) that may be “cross creditable” and only require completion of a reduced length social work qualification before they can register as social workers. The</w:t>
      </w:r>
      <w:r w:rsidR="00F51DD6">
        <w:t>s</w:t>
      </w:r>
      <w:r w:rsidRPr="005970B3">
        <w:t>e people are “</w:t>
      </w:r>
      <w:r w:rsidR="005E562D">
        <w:t>registrable</w:t>
      </w:r>
      <w:r w:rsidRPr="005970B3">
        <w:t>” on the basis that they could qualify for provisional registration under section 10.</w:t>
      </w:r>
      <w:r w:rsidRPr="005970B3">
        <w:rPr>
          <w:rStyle w:val="FootnoteReference"/>
        </w:rPr>
        <w:footnoteReference w:id="24"/>
      </w:r>
    </w:p>
    <w:p w:rsidR="005970B3" w:rsidRPr="005970B3" w:rsidRDefault="005970B3" w:rsidP="005B5FC6">
      <w:pPr>
        <w:numPr>
          <w:ilvl w:val="0"/>
          <w:numId w:val="23"/>
        </w:numPr>
        <w:spacing w:after="240" w:line="240" w:lineRule="auto"/>
        <w:ind w:left="567" w:hanging="567"/>
        <w:rPr>
          <w:rFonts w:eastAsia="Times New Roman"/>
          <w:szCs w:val="20"/>
          <w:lang w:val="en-GB" w:eastAsia="en-GB"/>
        </w:rPr>
      </w:pPr>
      <w:r w:rsidRPr="005970B3">
        <w:t xml:space="preserve">Around 330 are likely to be able to qualify via section 13, so will not require additional training to gain registration.  However, it is possible that some of these people may elect to up-skill anyway, to formalise their knowledge and gain peer recognition.  </w:t>
      </w:r>
    </w:p>
    <w:p w:rsidR="005970B3" w:rsidRPr="005970B3" w:rsidRDefault="005970B3" w:rsidP="005B5FC6">
      <w:pPr>
        <w:numPr>
          <w:ilvl w:val="0"/>
          <w:numId w:val="23"/>
        </w:numPr>
        <w:spacing w:after="240" w:line="240" w:lineRule="auto"/>
        <w:ind w:left="567" w:hanging="567"/>
        <w:rPr>
          <w:rFonts w:eastAsia="Times New Roman"/>
          <w:szCs w:val="20"/>
          <w:lang w:val="en-GB" w:eastAsia="en-GB"/>
        </w:rPr>
      </w:pPr>
      <w:r w:rsidRPr="005970B3">
        <w:t xml:space="preserve">Of the remaining 470, some may have no tertiary qualification, and will need to undertake a four year tertiary course if they want to be employed as registered </w:t>
      </w:r>
      <w:r w:rsidRPr="005970B3">
        <w:lastRenderedPageBreak/>
        <w:t>social workers.  For others, we simply do not know and have to presume they will require tertiary training.</w:t>
      </w:r>
    </w:p>
    <w:p w:rsidR="005970B3" w:rsidRPr="005970B3" w:rsidRDefault="005970B3" w:rsidP="005B5FC6">
      <w:pPr>
        <w:pStyle w:val="ListParagraph"/>
        <w:numPr>
          <w:ilvl w:val="0"/>
          <w:numId w:val="23"/>
        </w:numPr>
        <w:spacing w:after="0" w:line="240" w:lineRule="auto"/>
        <w:ind w:left="567" w:hanging="567"/>
        <w:rPr>
          <w:rFonts w:ascii="Times New Roman" w:hAnsi="Times New Roman" w:cs="Times New Roman"/>
          <w:sz w:val="24"/>
          <w:szCs w:val="24"/>
          <w:lang w:eastAsia="en-NZ"/>
        </w:rPr>
      </w:pPr>
      <w:r w:rsidRPr="005970B3">
        <w:t>Indicative cost estimates have been based on 500 full-time equivalent social work students per year who need to up-skill by taking a tertiary course of study, either for a full four years or for a reduced two year programme.  Some students may choose to study part time and take longer to up-skill.</w:t>
      </w:r>
      <w:r w:rsidRPr="005970B3">
        <w:rPr>
          <w:rFonts w:ascii="Times New Roman" w:hAnsi="Times New Roman" w:cs="Times New Roman"/>
          <w:sz w:val="24"/>
          <w:szCs w:val="24"/>
          <w:lang w:eastAsia="en-NZ"/>
        </w:rPr>
        <w:t xml:space="preserve"> </w:t>
      </w:r>
    </w:p>
    <w:p w:rsidR="005970B3" w:rsidRPr="005970B3" w:rsidRDefault="005970B3" w:rsidP="005970B3">
      <w:pPr>
        <w:pStyle w:val="ListParagraph"/>
        <w:spacing w:after="0" w:line="240" w:lineRule="auto"/>
        <w:ind w:left="567"/>
        <w:rPr>
          <w:rFonts w:ascii="Times New Roman" w:hAnsi="Times New Roman" w:cs="Times New Roman"/>
          <w:sz w:val="24"/>
          <w:szCs w:val="24"/>
          <w:lang w:eastAsia="en-NZ"/>
        </w:rPr>
      </w:pPr>
    </w:p>
    <w:p w:rsidR="005970B3" w:rsidRPr="005970B3" w:rsidRDefault="005970B3" w:rsidP="005B5FC6">
      <w:pPr>
        <w:numPr>
          <w:ilvl w:val="0"/>
          <w:numId w:val="23"/>
        </w:numPr>
        <w:spacing w:after="240" w:line="240" w:lineRule="auto"/>
        <w:ind w:left="567" w:hanging="567"/>
        <w:rPr>
          <w:rFonts w:eastAsia="Times New Roman"/>
          <w:szCs w:val="20"/>
          <w:lang w:val="en-GB" w:eastAsia="en-GB"/>
        </w:rPr>
      </w:pPr>
      <w:r w:rsidRPr="005970B3">
        <w:rPr>
          <w:rFonts w:eastAsia="Times New Roman"/>
          <w:szCs w:val="20"/>
          <w:lang w:val="en-GB" w:eastAsia="en-GB"/>
        </w:rPr>
        <w:t>Educational costs of up to $5 million per year are estimated in the first few years until up-skilling of the currently practising insufficiently qualified social workers is complete.</w:t>
      </w:r>
      <w:r w:rsidRPr="005970B3">
        <w:rPr>
          <w:rStyle w:val="FootnoteReference"/>
        </w:rPr>
        <w:t xml:space="preserve"> </w:t>
      </w:r>
      <w:r w:rsidRPr="005970B3">
        <w:rPr>
          <w:rStyle w:val="FootnoteReference"/>
        </w:rPr>
        <w:footnoteReference w:id="25"/>
      </w:r>
      <w:r w:rsidRPr="005970B3">
        <w:t xml:space="preserve"> </w:t>
      </w:r>
      <w:r w:rsidRPr="005970B3">
        <w:rPr>
          <w:rFonts w:eastAsia="Times New Roman"/>
          <w:szCs w:val="20"/>
          <w:lang w:val="en-GB" w:eastAsia="en-GB"/>
        </w:rPr>
        <w:t xml:space="preserve"> Options to recognise and accredit work experience and previous study toward the required qualifications may reduce costs.  </w:t>
      </w:r>
    </w:p>
    <w:p w:rsidR="00123E1A" w:rsidRPr="00177E1D" w:rsidRDefault="00123E1A" w:rsidP="005B5FC6">
      <w:pPr>
        <w:numPr>
          <w:ilvl w:val="0"/>
          <w:numId w:val="23"/>
        </w:numPr>
        <w:spacing w:after="240" w:line="240" w:lineRule="auto"/>
        <w:ind w:left="567" w:hanging="567"/>
        <w:rPr>
          <w:rFonts w:ascii="Times New Roman" w:hAnsi="Times New Roman" w:cs="Times New Roman"/>
          <w:sz w:val="24"/>
          <w:szCs w:val="24"/>
          <w:lang w:eastAsia="en-NZ"/>
        </w:rPr>
      </w:pPr>
      <w:r w:rsidRPr="00177E1D">
        <w:rPr>
          <w:rFonts w:eastAsia="Times New Roman"/>
          <w:szCs w:val="20"/>
          <w:lang w:val="en-GB" w:eastAsia="en-GB"/>
        </w:rPr>
        <w:t>On-going cost increases will arise from new registrations, annual practi</w:t>
      </w:r>
      <w:r>
        <w:rPr>
          <w:rFonts w:eastAsia="Times New Roman"/>
          <w:szCs w:val="20"/>
          <w:lang w:val="en-GB" w:eastAsia="en-GB"/>
        </w:rPr>
        <w:t>s</w:t>
      </w:r>
      <w:r w:rsidRPr="00177E1D">
        <w:rPr>
          <w:rFonts w:eastAsia="Times New Roman"/>
          <w:szCs w:val="20"/>
          <w:lang w:val="en-GB" w:eastAsia="en-GB"/>
        </w:rPr>
        <w:t xml:space="preserve">ing certificates and continuing professional development. </w:t>
      </w:r>
      <w:r w:rsidR="005E6548">
        <w:rPr>
          <w:rFonts w:eastAsia="Times New Roman" w:cs="Times New Roman"/>
          <w:szCs w:val="20"/>
          <w:lang w:val="en-GB" w:eastAsia="en-GB"/>
        </w:rPr>
        <w:t xml:space="preserve"> </w:t>
      </w:r>
      <w:r w:rsidR="005E6548">
        <w:rPr>
          <w:rFonts w:eastAsia="Times New Roman"/>
          <w:szCs w:val="20"/>
          <w:lang w:val="en-GB" w:eastAsia="en-GB"/>
        </w:rPr>
        <w:t>At present rates</w:t>
      </w:r>
      <w:r w:rsidRPr="00177E1D">
        <w:rPr>
          <w:rFonts w:eastAsia="Times New Roman"/>
          <w:szCs w:val="20"/>
          <w:lang w:val="en-GB" w:eastAsia="en-GB"/>
        </w:rPr>
        <w:t xml:space="preserve">, an additional 2,000 registrations would give rise to a total of $690,000 in new registration fees, and $736,000 in annual practicing certificate fees.  </w:t>
      </w:r>
      <w:r w:rsidR="005E6548">
        <w:rPr>
          <w:rFonts w:eastAsia="Times New Roman" w:cs="Times New Roman"/>
          <w:szCs w:val="20"/>
          <w:lang w:val="en-GB" w:eastAsia="en-GB"/>
        </w:rPr>
        <w:t>However t</w:t>
      </w:r>
      <w:r w:rsidR="005E6548" w:rsidRPr="004B74CF">
        <w:rPr>
          <w:rFonts w:eastAsia="Times New Roman" w:cs="Times New Roman"/>
          <w:szCs w:val="20"/>
          <w:lang w:val="en-GB" w:eastAsia="en-GB"/>
        </w:rPr>
        <w:t xml:space="preserve">he Board </w:t>
      </w:r>
      <w:r w:rsidR="005E6548">
        <w:rPr>
          <w:rFonts w:eastAsia="Times New Roman" w:cs="Times New Roman"/>
          <w:szCs w:val="20"/>
          <w:lang w:val="en-GB" w:eastAsia="en-GB"/>
        </w:rPr>
        <w:t>has estimated</w:t>
      </w:r>
      <w:r w:rsidR="005E6548" w:rsidRPr="004B74CF">
        <w:rPr>
          <w:rFonts w:eastAsia="Times New Roman" w:cs="Times New Roman"/>
          <w:szCs w:val="20"/>
          <w:lang w:val="en-GB" w:eastAsia="en-GB"/>
        </w:rPr>
        <w:t xml:space="preserve"> a 30% reduction in annual practicing certificate costs to individuals, because of economies of scale</w:t>
      </w:r>
      <w:r w:rsidR="005E6548">
        <w:rPr>
          <w:rFonts w:eastAsia="Times New Roman" w:cs="Times New Roman"/>
          <w:szCs w:val="20"/>
          <w:lang w:val="en-GB" w:eastAsia="en-GB"/>
        </w:rPr>
        <w:t xml:space="preserve">.  </w:t>
      </w:r>
      <w:r w:rsidRPr="00177E1D">
        <w:rPr>
          <w:rFonts w:eastAsia="Times New Roman"/>
          <w:szCs w:val="20"/>
          <w:lang w:val="en-GB" w:eastAsia="en-GB"/>
        </w:rPr>
        <w:t xml:space="preserve">Employers may also have to meet extra costs from staff taking time away from core social work activities for the proposed 20 hours per year </w:t>
      </w:r>
      <w:r w:rsidR="00D9009E">
        <w:rPr>
          <w:rFonts w:eastAsia="Times New Roman"/>
          <w:szCs w:val="20"/>
          <w:lang w:val="en-GB" w:eastAsia="en-GB"/>
        </w:rPr>
        <w:t xml:space="preserve">of </w:t>
      </w:r>
      <w:r w:rsidR="00D9009E" w:rsidRPr="00177E1D">
        <w:rPr>
          <w:rFonts w:eastAsia="Times New Roman"/>
          <w:szCs w:val="20"/>
          <w:lang w:val="en-GB" w:eastAsia="en-GB"/>
        </w:rPr>
        <w:t>continuing professional development</w:t>
      </w:r>
      <w:r w:rsidRPr="00177E1D">
        <w:rPr>
          <w:rFonts w:eastAsia="Times New Roman"/>
          <w:szCs w:val="20"/>
          <w:lang w:val="en-GB" w:eastAsia="en-GB"/>
        </w:rPr>
        <w:t>.</w:t>
      </w:r>
      <w:r w:rsidRPr="00177E1D">
        <w:rPr>
          <w:rFonts w:ascii="Arial" w:hAnsi="Arial"/>
          <w:sz w:val="23"/>
          <w:szCs w:val="23"/>
        </w:rPr>
        <w:t xml:space="preserve"> </w:t>
      </w:r>
    </w:p>
    <w:p w:rsidR="00123E1A" w:rsidRPr="003D1DF6" w:rsidRDefault="00123E1A" w:rsidP="003D1DF6">
      <w:pPr>
        <w:spacing w:after="240" w:line="240" w:lineRule="auto"/>
        <w:rPr>
          <w:rFonts w:eastAsia="Times New Roman" w:cs="Times New Roman"/>
          <w:i/>
          <w:szCs w:val="20"/>
          <w:lang w:val="en-GB" w:eastAsia="en-GB"/>
        </w:rPr>
      </w:pPr>
      <w:r w:rsidRPr="003D1DF6">
        <w:rPr>
          <w:rFonts w:eastAsia="Times New Roman" w:cs="Times New Roman"/>
          <w:i/>
          <w:szCs w:val="20"/>
          <w:lang w:val="en-GB" w:eastAsia="en-GB"/>
        </w:rPr>
        <w:t>Impacts of cost increases</w:t>
      </w:r>
    </w:p>
    <w:p w:rsidR="004B74CF" w:rsidRPr="00177E1D" w:rsidRDefault="004B74CF" w:rsidP="005B5FC6">
      <w:pPr>
        <w:numPr>
          <w:ilvl w:val="0"/>
          <w:numId w:val="23"/>
        </w:numPr>
        <w:spacing w:after="240" w:line="240" w:lineRule="auto"/>
        <w:ind w:left="567" w:hanging="567"/>
        <w:rPr>
          <w:rFonts w:eastAsia="Times New Roman"/>
          <w:szCs w:val="20"/>
          <w:lang w:val="en-GB" w:eastAsia="en-GB"/>
        </w:rPr>
      </w:pPr>
      <w:r w:rsidRPr="00177E1D">
        <w:rPr>
          <w:rFonts w:eastAsia="Times New Roman"/>
          <w:szCs w:val="20"/>
          <w:lang w:val="en-GB" w:eastAsia="en-GB"/>
        </w:rPr>
        <w:t>Increased training costs for both currently practi</w:t>
      </w:r>
      <w:r>
        <w:rPr>
          <w:rFonts w:eastAsia="Times New Roman"/>
          <w:szCs w:val="20"/>
          <w:lang w:val="en-GB" w:eastAsia="en-GB"/>
        </w:rPr>
        <w:t>s</w:t>
      </w:r>
      <w:r w:rsidRPr="00177E1D">
        <w:rPr>
          <w:rFonts w:eastAsia="Times New Roman"/>
          <w:szCs w:val="20"/>
          <w:lang w:val="en-GB" w:eastAsia="en-GB"/>
        </w:rPr>
        <w:t>ing social workers and future social workers will fall primarily in the education sector,</w:t>
      </w:r>
      <w:r>
        <w:rPr>
          <w:rFonts w:eastAsia="Times New Roman"/>
          <w:szCs w:val="20"/>
          <w:lang w:val="en-GB" w:eastAsia="en-GB"/>
        </w:rPr>
        <w:t xml:space="preserve"> to tertiary training providers, </w:t>
      </w:r>
      <w:r w:rsidRPr="00177E1D">
        <w:rPr>
          <w:rFonts w:eastAsia="Times New Roman"/>
          <w:szCs w:val="20"/>
          <w:lang w:val="en-GB" w:eastAsia="en-GB"/>
        </w:rPr>
        <w:t xml:space="preserve">student </w:t>
      </w:r>
      <w:r>
        <w:rPr>
          <w:rFonts w:eastAsia="Times New Roman"/>
          <w:szCs w:val="20"/>
          <w:lang w:val="en-GB" w:eastAsia="en-GB"/>
        </w:rPr>
        <w:t xml:space="preserve">allowances and the student </w:t>
      </w:r>
      <w:r w:rsidR="00DA34E5">
        <w:rPr>
          <w:rFonts w:eastAsia="Times New Roman"/>
          <w:szCs w:val="20"/>
          <w:lang w:val="en-GB" w:eastAsia="en-GB"/>
        </w:rPr>
        <w:t>loan scheme.</w:t>
      </w:r>
      <w:r w:rsidRPr="00177E1D">
        <w:rPr>
          <w:rFonts w:eastAsia="Times New Roman"/>
          <w:szCs w:val="20"/>
          <w:lang w:val="en-GB" w:eastAsia="en-GB"/>
        </w:rPr>
        <w:t xml:space="preserve">  It would require additional funding or reprioritisation within the sector.</w:t>
      </w:r>
    </w:p>
    <w:p w:rsidR="00123E1A" w:rsidRPr="003D1DF6" w:rsidRDefault="001C354D" w:rsidP="005B5FC6">
      <w:pPr>
        <w:numPr>
          <w:ilvl w:val="0"/>
          <w:numId w:val="23"/>
        </w:numPr>
        <w:spacing w:after="240" w:line="240" w:lineRule="auto"/>
        <w:ind w:left="567" w:hanging="567"/>
        <w:rPr>
          <w:rFonts w:ascii="Times New Roman" w:hAnsi="Times New Roman" w:cs="Times New Roman"/>
          <w:sz w:val="24"/>
          <w:szCs w:val="24"/>
          <w:lang w:eastAsia="en-NZ"/>
        </w:rPr>
      </w:pPr>
      <w:r>
        <w:rPr>
          <w:rFonts w:eastAsia="Times New Roman"/>
          <w:szCs w:val="20"/>
          <w:lang w:val="en-GB" w:eastAsia="en-GB"/>
        </w:rPr>
        <w:t>Increased annual</w:t>
      </w:r>
      <w:r w:rsidR="00123E1A" w:rsidRPr="00177E1D">
        <w:rPr>
          <w:rFonts w:eastAsia="Times New Roman"/>
          <w:szCs w:val="20"/>
          <w:lang w:val="en-GB" w:eastAsia="en-GB"/>
        </w:rPr>
        <w:t xml:space="preserve"> costs </w:t>
      </w:r>
      <w:r>
        <w:rPr>
          <w:rFonts w:eastAsia="Times New Roman"/>
          <w:szCs w:val="20"/>
          <w:lang w:val="en-GB" w:eastAsia="en-GB"/>
        </w:rPr>
        <w:t>will</w:t>
      </w:r>
      <w:r w:rsidR="00123E1A" w:rsidRPr="00177E1D">
        <w:rPr>
          <w:rFonts w:eastAsia="Times New Roman"/>
          <w:szCs w:val="20"/>
          <w:lang w:val="en-GB" w:eastAsia="en-GB"/>
        </w:rPr>
        <w:t xml:space="preserve"> </w:t>
      </w:r>
      <w:r>
        <w:rPr>
          <w:rFonts w:eastAsia="Times New Roman"/>
          <w:szCs w:val="20"/>
          <w:lang w:val="en-GB" w:eastAsia="en-GB"/>
        </w:rPr>
        <w:t xml:space="preserve">immediately </w:t>
      </w:r>
      <w:r w:rsidR="00123E1A" w:rsidRPr="00177E1D">
        <w:rPr>
          <w:rFonts w:eastAsia="Times New Roman"/>
          <w:szCs w:val="20"/>
          <w:lang w:val="en-GB" w:eastAsia="en-GB"/>
        </w:rPr>
        <w:t xml:space="preserve">be met by individual social workers, </w:t>
      </w:r>
      <w:r>
        <w:rPr>
          <w:rFonts w:eastAsia="Times New Roman"/>
          <w:szCs w:val="20"/>
          <w:lang w:val="en-GB" w:eastAsia="en-GB"/>
        </w:rPr>
        <w:t xml:space="preserve">but </w:t>
      </w:r>
      <w:r w:rsidRPr="00177E1D">
        <w:rPr>
          <w:rFonts w:eastAsia="Times New Roman"/>
          <w:szCs w:val="20"/>
          <w:lang w:val="en-GB" w:eastAsia="en-GB"/>
        </w:rPr>
        <w:t xml:space="preserve">ultimately </w:t>
      </w:r>
      <w:r>
        <w:rPr>
          <w:rFonts w:eastAsia="Times New Roman"/>
          <w:szCs w:val="20"/>
          <w:lang w:val="en-GB" w:eastAsia="en-GB"/>
        </w:rPr>
        <w:t xml:space="preserve">flow to </w:t>
      </w:r>
      <w:r w:rsidR="00123E1A" w:rsidRPr="00177E1D">
        <w:rPr>
          <w:rFonts w:eastAsia="Times New Roman"/>
          <w:szCs w:val="20"/>
          <w:lang w:val="en-GB" w:eastAsia="en-GB"/>
        </w:rPr>
        <w:t xml:space="preserve">their employers.  There will be </w:t>
      </w:r>
      <w:r>
        <w:rPr>
          <w:rFonts w:eastAsia="Times New Roman"/>
          <w:szCs w:val="20"/>
          <w:lang w:val="en-GB" w:eastAsia="en-GB"/>
        </w:rPr>
        <w:t>a</w:t>
      </w:r>
      <w:r w:rsidR="00123E1A" w:rsidRPr="00177E1D">
        <w:rPr>
          <w:rFonts w:eastAsia="Times New Roman"/>
          <w:szCs w:val="20"/>
          <w:lang w:val="en-GB" w:eastAsia="en-GB"/>
        </w:rPr>
        <w:t xml:space="preserve"> financial impact on the NGO sector, and they are likely to look to government agencies to support them financially to make this transition. </w:t>
      </w:r>
    </w:p>
    <w:p w:rsidR="001B6B7B" w:rsidRPr="00B73299" w:rsidRDefault="001C354D"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 xml:space="preserve">However </w:t>
      </w:r>
      <w:r w:rsidR="00DA34E5">
        <w:rPr>
          <w:rFonts w:eastAsia="Times New Roman"/>
          <w:szCs w:val="20"/>
          <w:lang w:val="en-GB" w:eastAsia="en-GB"/>
        </w:rPr>
        <w:t>a</w:t>
      </w:r>
      <w:r w:rsidR="00215573">
        <w:rPr>
          <w:rFonts w:eastAsia="Times New Roman"/>
          <w:szCs w:val="20"/>
          <w:lang w:val="en-GB" w:eastAsia="en-GB"/>
        </w:rPr>
        <w:t xml:space="preserve"> possible risk</w:t>
      </w:r>
      <w:r w:rsidR="005E6548" w:rsidRPr="00123E1A">
        <w:rPr>
          <w:rFonts w:eastAsia="Times New Roman"/>
          <w:szCs w:val="20"/>
          <w:lang w:val="en-GB" w:eastAsia="en-GB"/>
        </w:rPr>
        <w:t xml:space="preserve"> </w:t>
      </w:r>
      <w:r w:rsidR="00215573">
        <w:rPr>
          <w:rFonts w:eastAsia="Times New Roman"/>
          <w:szCs w:val="20"/>
          <w:lang w:val="en-GB" w:eastAsia="en-GB"/>
        </w:rPr>
        <w:t xml:space="preserve">to NGOs arising from the proposed changes is not from </w:t>
      </w:r>
      <w:r w:rsidR="005E6548" w:rsidRPr="00123E1A">
        <w:rPr>
          <w:rFonts w:eastAsia="Times New Roman"/>
          <w:szCs w:val="20"/>
          <w:lang w:val="en-GB" w:eastAsia="en-GB"/>
        </w:rPr>
        <w:t xml:space="preserve">the payment of the registration fee or even </w:t>
      </w:r>
      <w:r w:rsidR="000F1702">
        <w:rPr>
          <w:rFonts w:eastAsia="Times New Roman"/>
          <w:szCs w:val="20"/>
          <w:lang w:val="en-GB" w:eastAsia="en-GB"/>
        </w:rPr>
        <w:t>annual practicing certificate</w:t>
      </w:r>
      <w:r w:rsidR="005E6548" w:rsidRPr="00123E1A">
        <w:rPr>
          <w:rFonts w:eastAsia="Times New Roman"/>
          <w:szCs w:val="20"/>
          <w:lang w:val="en-GB" w:eastAsia="en-GB"/>
        </w:rPr>
        <w:t xml:space="preserve">, but rather the </w:t>
      </w:r>
      <w:r w:rsidR="001B6B7B">
        <w:rPr>
          <w:rFonts w:eastAsia="Times New Roman"/>
          <w:szCs w:val="20"/>
          <w:lang w:val="en-GB" w:eastAsia="en-GB"/>
        </w:rPr>
        <w:t xml:space="preserve">increasing </w:t>
      </w:r>
      <w:r w:rsidR="005E6548" w:rsidRPr="00123E1A">
        <w:rPr>
          <w:rFonts w:eastAsia="Times New Roman"/>
          <w:szCs w:val="20"/>
          <w:lang w:val="en-GB" w:eastAsia="en-GB"/>
        </w:rPr>
        <w:t xml:space="preserve">cost of paying for </w:t>
      </w:r>
      <w:r>
        <w:rPr>
          <w:rFonts w:eastAsia="Times New Roman"/>
          <w:szCs w:val="20"/>
          <w:lang w:val="en-GB" w:eastAsia="en-GB"/>
        </w:rPr>
        <w:t xml:space="preserve">better </w:t>
      </w:r>
      <w:r w:rsidR="005E6548" w:rsidRPr="00123E1A">
        <w:rPr>
          <w:rFonts w:eastAsia="Times New Roman"/>
          <w:szCs w:val="20"/>
          <w:lang w:val="en-GB" w:eastAsia="en-GB"/>
        </w:rPr>
        <w:t xml:space="preserve">qualified </w:t>
      </w:r>
      <w:r w:rsidR="003D1DF6" w:rsidRPr="00123E1A">
        <w:rPr>
          <w:rFonts w:eastAsia="Times New Roman"/>
          <w:szCs w:val="20"/>
          <w:lang w:val="en-GB" w:eastAsia="en-GB"/>
        </w:rPr>
        <w:t>staff,</w:t>
      </w:r>
      <w:r>
        <w:rPr>
          <w:rFonts w:eastAsia="Times New Roman"/>
          <w:szCs w:val="20"/>
          <w:lang w:val="en-GB" w:eastAsia="en-GB"/>
        </w:rPr>
        <w:t xml:space="preserve"> including </w:t>
      </w:r>
      <w:r w:rsidR="005E6548" w:rsidRPr="00123E1A">
        <w:rPr>
          <w:rFonts w:eastAsia="Times New Roman"/>
          <w:szCs w:val="20"/>
          <w:lang w:val="en-GB" w:eastAsia="en-GB"/>
        </w:rPr>
        <w:t xml:space="preserve">providing them with time for </w:t>
      </w:r>
      <w:r w:rsidRPr="00123E1A">
        <w:rPr>
          <w:rFonts w:eastAsia="Times New Roman"/>
          <w:szCs w:val="20"/>
          <w:lang w:val="en-GB" w:eastAsia="en-GB"/>
        </w:rPr>
        <w:t>C</w:t>
      </w:r>
      <w:r>
        <w:rPr>
          <w:rFonts w:eastAsia="Times New Roman"/>
          <w:szCs w:val="20"/>
          <w:lang w:val="en-GB" w:eastAsia="en-GB"/>
        </w:rPr>
        <w:t xml:space="preserve">ontinuing </w:t>
      </w:r>
      <w:r w:rsidR="005E6548" w:rsidRPr="00123E1A">
        <w:rPr>
          <w:rFonts w:eastAsia="Times New Roman"/>
          <w:szCs w:val="20"/>
          <w:lang w:val="en-GB" w:eastAsia="en-GB"/>
        </w:rPr>
        <w:t>P</w:t>
      </w:r>
      <w:r>
        <w:rPr>
          <w:rFonts w:eastAsia="Times New Roman"/>
          <w:szCs w:val="20"/>
          <w:lang w:val="en-GB" w:eastAsia="en-GB"/>
        </w:rPr>
        <w:t xml:space="preserve">rofessional </w:t>
      </w:r>
      <w:r w:rsidR="005E6548" w:rsidRPr="00123E1A">
        <w:rPr>
          <w:rFonts w:eastAsia="Times New Roman"/>
          <w:szCs w:val="20"/>
          <w:lang w:val="en-GB" w:eastAsia="en-GB"/>
        </w:rPr>
        <w:t>D</w:t>
      </w:r>
      <w:r>
        <w:rPr>
          <w:rFonts w:eastAsia="Times New Roman"/>
          <w:szCs w:val="20"/>
          <w:lang w:val="en-GB" w:eastAsia="en-GB"/>
        </w:rPr>
        <w:t>evelopment</w:t>
      </w:r>
      <w:r w:rsidR="005E6548" w:rsidRPr="00123E1A">
        <w:rPr>
          <w:rFonts w:eastAsia="Times New Roman"/>
          <w:szCs w:val="20"/>
          <w:lang w:val="en-GB" w:eastAsia="en-GB"/>
        </w:rPr>
        <w:t xml:space="preserve">. </w:t>
      </w:r>
      <w:r w:rsidR="00215573">
        <w:rPr>
          <w:rFonts w:eastAsia="Times New Roman"/>
          <w:szCs w:val="20"/>
          <w:lang w:val="en-GB" w:eastAsia="en-GB"/>
        </w:rPr>
        <w:t xml:space="preserve"> </w:t>
      </w:r>
      <w:r w:rsidR="005E6548" w:rsidRPr="00123E1A">
        <w:rPr>
          <w:rFonts w:eastAsia="Times New Roman"/>
          <w:szCs w:val="20"/>
          <w:lang w:val="en-GB" w:eastAsia="en-GB"/>
        </w:rPr>
        <w:t xml:space="preserve">These costs, if not met, </w:t>
      </w:r>
      <w:r w:rsidR="00215573">
        <w:rPr>
          <w:rFonts w:eastAsia="Times New Roman"/>
          <w:szCs w:val="20"/>
          <w:lang w:val="en-GB" w:eastAsia="en-GB"/>
        </w:rPr>
        <w:t xml:space="preserve">may </w:t>
      </w:r>
      <w:r w:rsidR="005E6548" w:rsidRPr="00123E1A">
        <w:rPr>
          <w:rFonts w:eastAsia="Times New Roman"/>
          <w:szCs w:val="20"/>
          <w:lang w:val="en-GB" w:eastAsia="en-GB"/>
        </w:rPr>
        <w:t xml:space="preserve">lead to staff leaving, going to larger NGOs or government agencies who can afford to pay </w:t>
      </w:r>
      <w:r w:rsidR="00803023">
        <w:rPr>
          <w:rFonts w:eastAsia="Times New Roman"/>
          <w:szCs w:val="20"/>
          <w:lang w:val="en-GB" w:eastAsia="en-GB"/>
        </w:rPr>
        <w:t>better</w:t>
      </w:r>
      <w:r w:rsidR="005E6548" w:rsidRPr="00123E1A">
        <w:rPr>
          <w:rFonts w:eastAsia="Times New Roman"/>
          <w:szCs w:val="20"/>
          <w:lang w:val="en-GB" w:eastAsia="en-GB"/>
        </w:rPr>
        <w:t xml:space="preserve"> rates and offer the</w:t>
      </w:r>
      <w:r w:rsidR="00DA34E5">
        <w:rPr>
          <w:rFonts w:eastAsia="Times New Roman"/>
          <w:szCs w:val="20"/>
          <w:lang w:val="en-GB" w:eastAsia="en-GB"/>
        </w:rPr>
        <w:t xml:space="preserve"> professional support required.</w:t>
      </w:r>
    </w:p>
    <w:p w:rsidR="005E6548" w:rsidRPr="00123E1A" w:rsidRDefault="00215573"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A move to mandatory registration</w:t>
      </w:r>
      <w:r w:rsidR="005E6548" w:rsidRPr="00123E1A">
        <w:rPr>
          <w:rFonts w:eastAsia="Times New Roman"/>
          <w:szCs w:val="20"/>
          <w:lang w:val="en-GB" w:eastAsia="en-GB"/>
        </w:rPr>
        <w:t xml:space="preserve"> </w:t>
      </w:r>
      <w:r>
        <w:rPr>
          <w:rFonts w:eastAsia="Times New Roman"/>
          <w:szCs w:val="20"/>
          <w:lang w:val="en-GB" w:eastAsia="en-GB"/>
        </w:rPr>
        <w:t>could leave smaller NGO</w:t>
      </w:r>
      <w:r w:rsidR="003D1DF6">
        <w:rPr>
          <w:rFonts w:eastAsia="Times New Roman"/>
          <w:szCs w:val="20"/>
          <w:lang w:val="en-GB" w:eastAsia="en-GB"/>
        </w:rPr>
        <w:t>s</w:t>
      </w:r>
      <w:r>
        <w:rPr>
          <w:rFonts w:eastAsia="Times New Roman"/>
          <w:szCs w:val="20"/>
          <w:lang w:val="en-GB" w:eastAsia="en-GB"/>
        </w:rPr>
        <w:t xml:space="preserve"> </w:t>
      </w:r>
      <w:r w:rsidR="005E6548" w:rsidRPr="00123E1A">
        <w:rPr>
          <w:rFonts w:eastAsia="Times New Roman"/>
          <w:szCs w:val="20"/>
          <w:lang w:val="en-GB" w:eastAsia="en-GB"/>
        </w:rPr>
        <w:t>having to either recruit inexperienced staff, or being unable to meet the requirement for holding government contracts (typically either MSD or DHB</w:t>
      </w:r>
      <w:r>
        <w:rPr>
          <w:rFonts w:eastAsia="Times New Roman"/>
          <w:szCs w:val="20"/>
          <w:lang w:val="en-GB" w:eastAsia="en-GB"/>
        </w:rPr>
        <w:t xml:space="preserve"> contracts</w:t>
      </w:r>
      <w:r w:rsidR="005E6548" w:rsidRPr="00123E1A">
        <w:rPr>
          <w:rFonts w:eastAsia="Times New Roman"/>
          <w:szCs w:val="20"/>
          <w:lang w:val="en-GB" w:eastAsia="en-GB"/>
        </w:rPr>
        <w:t xml:space="preserve">). </w:t>
      </w:r>
      <w:r>
        <w:rPr>
          <w:rFonts w:eastAsia="Times New Roman"/>
          <w:szCs w:val="20"/>
          <w:lang w:val="en-GB" w:eastAsia="en-GB"/>
        </w:rPr>
        <w:t xml:space="preserve"> </w:t>
      </w:r>
      <w:r w:rsidR="00DA34E5">
        <w:rPr>
          <w:szCs w:val="20"/>
          <w:lang w:val="en-GB" w:eastAsia="en-GB"/>
        </w:rPr>
        <w:t xml:space="preserve">Some smaller NGOs may </w:t>
      </w:r>
      <w:r w:rsidR="00DA34E5">
        <w:rPr>
          <w:rFonts w:eastAsia="Times New Roman"/>
          <w:szCs w:val="20"/>
          <w:lang w:val="en-GB" w:eastAsia="en-GB"/>
        </w:rPr>
        <w:t xml:space="preserve">need to </w:t>
      </w:r>
      <w:r w:rsidR="00DA34E5">
        <w:rPr>
          <w:szCs w:val="20"/>
          <w:lang w:val="en-GB" w:eastAsia="en-GB"/>
        </w:rPr>
        <w:t>reassess their approach, for example they could consider whether to amalgamate with other NGOs</w:t>
      </w:r>
      <w:r w:rsidR="00DA34E5" w:rsidRPr="00F87BE4">
        <w:rPr>
          <w:lang w:val="en-GB" w:eastAsia="en-GB"/>
        </w:rPr>
        <w:t>.</w:t>
      </w:r>
      <w:r w:rsidR="005E6548" w:rsidRPr="00123E1A">
        <w:rPr>
          <w:rFonts w:eastAsia="Times New Roman"/>
          <w:szCs w:val="20"/>
          <w:lang w:val="en-GB" w:eastAsia="en-GB"/>
        </w:rPr>
        <w:t xml:space="preserve"> </w:t>
      </w:r>
      <w:r>
        <w:rPr>
          <w:rFonts w:eastAsia="Times New Roman"/>
          <w:szCs w:val="20"/>
          <w:lang w:val="en-GB" w:eastAsia="en-GB"/>
        </w:rPr>
        <w:t xml:space="preserve"> </w:t>
      </w:r>
    </w:p>
    <w:p w:rsidR="004B74CF" w:rsidRDefault="004B74CF" w:rsidP="005B5FC6">
      <w:pPr>
        <w:numPr>
          <w:ilvl w:val="0"/>
          <w:numId w:val="23"/>
        </w:numPr>
        <w:spacing w:after="240" w:line="240" w:lineRule="auto"/>
        <w:ind w:left="567" w:hanging="567"/>
        <w:rPr>
          <w:rFonts w:eastAsia="Times New Roman"/>
          <w:szCs w:val="20"/>
          <w:lang w:val="en-GB" w:eastAsia="en-GB"/>
        </w:rPr>
      </w:pPr>
      <w:r w:rsidRPr="00177E1D">
        <w:rPr>
          <w:rFonts w:eastAsia="Times New Roman"/>
          <w:szCs w:val="20"/>
          <w:lang w:val="en-GB" w:eastAsia="en-GB"/>
        </w:rPr>
        <w:t xml:space="preserve">There will also be some costs for </w:t>
      </w:r>
      <w:r>
        <w:rPr>
          <w:rFonts w:eastAsia="Times New Roman"/>
          <w:szCs w:val="20"/>
          <w:lang w:val="en-GB" w:eastAsia="en-GB"/>
        </w:rPr>
        <w:t xml:space="preserve">government funded </w:t>
      </w:r>
      <w:r w:rsidRPr="00177E1D">
        <w:rPr>
          <w:rFonts w:eastAsia="Times New Roman"/>
          <w:szCs w:val="20"/>
          <w:lang w:val="en-GB" w:eastAsia="en-GB"/>
        </w:rPr>
        <w:t>employers in reviewing employment contracts and contracts for services to ensure they understand the implications under the new regime</w:t>
      </w:r>
      <w:r>
        <w:rPr>
          <w:rFonts w:eastAsia="Times New Roman"/>
          <w:szCs w:val="20"/>
          <w:lang w:val="en-GB" w:eastAsia="en-GB"/>
        </w:rPr>
        <w:t>, but these are unlikely to add materially to the expected cost contract renewal processes</w:t>
      </w:r>
      <w:r w:rsidRPr="00177E1D">
        <w:rPr>
          <w:rFonts w:eastAsia="Times New Roman"/>
          <w:szCs w:val="20"/>
          <w:lang w:val="en-GB" w:eastAsia="en-GB"/>
        </w:rPr>
        <w:t xml:space="preserve">.  </w:t>
      </w:r>
    </w:p>
    <w:p w:rsidR="004B74CF" w:rsidRDefault="004B74CF"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lastRenderedPageBreak/>
        <w:t>T</w:t>
      </w:r>
      <w:r w:rsidRPr="00112962">
        <w:rPr>
          <w:rFonts w:eastAsia="Times New Roman"/>
          <w:szCs w:val="20"/>
          <w:lang w:val="en-GB" w:eastAsia="en-GB"/>
        </w:rPr>
        <w:t>he overwhelming majority of social workers are women and there is current</w:t>
      </w:r>
      <w:r>
        <w:rPr>
          <w:rFonts w:eastAsia="Times New Roman"/>
          <w:szCs w:val="20"/>
          <w:lang w:val="en-GB" w:eastAsia="en-GB"/>
        </w:rPr>
        <w:t>ly a</w:t>
      </w:r>
      <w:r w:rsidRPr="00112962">
        <w:rPr>
          <w:rFonts w:eastAsia="Times New Roman"/>
          <w:szCs w:val="20"/>
          <w:lang w:val="en-GB" w:eastAsia="en-GB"/>
        </w:rPr>
        <w:t xml:space="preserve"> pay equity claim on behalf of social workers employed by </w:t>
      </w:r>
      <w:r w:rsidR="001913C7">
        <w:rPr>
          <w:rFonts w:eastAsia="Times New Roman"/>
          <w:szCs w:val="20"/>
          <w:lang w:val="en-GB" w:eastAsia="en-GB"/>
        </w:rPr>
        <w:t xml:space="preserve">the </w:t>
      </w:r>
      <w:r w:rsidR="001913C7" w:rsidRPr="007A6992">
        <w:rPr>
          <w:rFonts w:eastAsia="Times New Roman"/>
          <w:szCs w:val="20"/>
          <w:lang w:val="en-GB" w:eastAsia="en-GB"/>
        </w:rPr>
        <w:t>Ministry for Vulne</w:t>
      </w:r>
      <w:r w:rsidR="001913C7">
        <w:rPr>
          <w:rFonts w:eastAsia="Times New Roman"/>
          <w:szCs w:val="20"/>
          <w:lang w:val="en-GB" w:eastAsia="en-GB"/>
        </w:rPr>
        <w:t>rable Children, Oranga Tamariki.</w:t>
      </w:r>
      <w:r w:rsidR="00D9009E">
        <w:rPr>
          <w:rFonts w:eastAsia="Times New Roman"/>
          <w:szCs w:val="20"/>
          <w:lang w:val="en-GB" w:eastAsia="en-GB"/>
        </w:rPr>
        <w:t xml:space="preserve"> </w:t>
      </w:r>
      <w:r w:rsidR="003D1DF6">
        <w:rPr>
          <w:rFonts w:eastAsia="Times New Roman"/>
          <w:szCs w:val="20"/>
          <w:lang w:val="en-GB" w:eastAsia="en-GB"/>
        </w:rPr>
        <w:t xml:space="preserve"> </w:t>
      </w:r>
      <w:r w:rsidR="006D44F9">
        <w:rPr>
          <w:rFonts w:eastAsia="Times New Roman"/>
          <w:szCs w:val="20"/>
          <w:lang w:val="en-GB" w:eastAsia="en-GB"/>
        </w:rPr>
        <w:t>However, a</w:t>
      </w:r>
      <w:r w:rsidRPr="00112962">
        <w:rPr>
          <w:rFonts w:eastAsia="Times New Roman"/>
          <w:szCs w:val="20"/>
          <w:lang w:val="en-GB" w:eastAsia="en-GB"/>
        </w:rPr>
        <w:t>s the nature of the work performed will not be changed, the proposals are unlikely to have a material impact on assessing pay equity claims.</w:t>
      </w:r>
    </w:p>
    <w:p w:rsidR="00AA51CF" w:rsidRPr="004E35D6" w:rsidRDefault="007C6789" w:rsidP="004E35D6">
      <w:pPr>
        <w:spacing w:after="240" w:line="240" w:lineRule="auto"/>
        <w:outlineLvl w:val="1"/>
        <w:rPr>
          <w:rFonts w:eastAsia="Times New Roman" w:cs="Times New Roman"/>
          <w:b/>
          <w:i/>
          <w:color w:val="1F497D" w:themeColor="text2"/>
          <w:sz w:val="28"/>
          <w:szCs w:val="28"/>
          <w:lang w:val="en-GB" w:eastAsia="en-GB"/>
        </w:rPr>
      </w:pPr>
      <w:bookmarkStart w:id="80" w:name="_Toc520457898"/>
      <w:r w:rsidRPr="004E35D6">
        <w:rPr>
          <w:rFonts w:eastAsia="Times New Roman" w:cs="Times New Roman"/>
          <w:b/>
          <w:i/>
          <w:color w:val="1F497D" w:themeColor="text2"/>
          <w:sz w:val="28"/>
          <w:szCs w:val="28"/>
          <w:lang w:val="en-GB" w:eastAsia="en-GB"/>
        </w:rPr>
        <w:t>Financial Implications of the proposed SOP</w:t>
      </w:r>
      <w:bookmarkEnd w:id="80"/>
    </w:p>
    <w:p w:rsidR="00BB324A" w:rsidRDefault="007C6789" w:rsidP="00E80FF9">
      <w:pPr>
        <w:numPr>
          <w:ilvl w:val="0"/>
          <w:numId w:val="23"/>
        </w:numPr>
        <w:spacing w:after="240" w:line="240" w:lineRule="auto"/>
        <w:ind w:left="567" w:hanging="567"/>
        <w:rPr>
          <w:rFonts w:eastAsia="Times New Roman"/>
          <w:i/>
          <w:szCs w:val="20"/>
          <w:lang w:val="en-GB" w:eastAsia="en-GB"/>
        </w:rPr>
      </w:pPr>
      <w:r w:rsidRPr="00E80FF9">
        <w:rPr>
          <w:rFonts w:eastAsia="Times New Roman"/>
          <w:i/>
          <w:szCs w:val="20"/>
          <w:lang w:val="en-GB" w:eastAsia="en-GB"/>
        </w:rPr>
        <w:t xml:space="preserve">None of the changes proposed for the SOP are expected to significantly alter the financial implications of the </w:t>
      </w:r>
      <w:r w:rsidR="00A37B1C" w:rsidRPr="00E80FF9">
        <w:rPr>
          <w:rFonts w:eastAsia="Times New Roman"/>
          <w:i/>
          <w:szCs w:val="20"/>
          <w:lang w:val="en-GB" w:eastAsia="en-GB"/>
        </w:rPr>
        <w:t xml:space="preserve">whole </w:t>
      </w:r>
      <w:r w:rsidRPr="00E80FF9">
        <w:rPr>
          <w:rFonts w:eastAsia="Times New Roman"/>
          <w:i/>
          <w:szCs w:val="20"/>
          <w:lang w:val="en-GB" w:eastAsia="en-GB"/>
        </w:rPr>
        <w:t xml:space="preserve">Bill. </w:t>
      </w:r>
    </w:p>
    <w:p w:rsidR="00BB324A" w:rsidRPr="00BB324A" w:rsidRDefault="007C6789" w:rsidP="00E80FF9">
      <w:pPr>
        <w:numPr>
          <w:ilvl w:val="0"/>
          <w:numId w:val="23"/>
        </w:numPr>
        <w:spacing w:after="240" w:line="240" w:lineRule="auto"/>
        <w:ind w:left="567" w:hanging="567"/>
        <w:rPr>
          <w:rFonts w:eastAsia="Times New Roman"/>
          <w:i/>
          <w:szCs w:val="20"/>
          <w:lang w:val="en-GB" w:eastAsia="en-GB"/>
        </w:rPr>
      </w:pPr>
      <w:r w:rsidRPr="00BB324A">
        <w:rPr>
          <w:rFonts w:eastAsia="Times New Roman"/>
          <w:i/>
          <w:szCs w:val="20"/>
          <w:lang w:val="en-GB" w:eastAsia="en-GB"/>
        </w:rPr>
        <w:t xml:space="preserve"> </w:t>
      </w:r>
      <w:r w:rsidR="00E80FF9" w:rsidRPr="00BB324A">
        <w:rPr>
          <w:rFonts w:eastAsia="Times New Roman"/>
          <w:i/>
          <w:szCs w:val="20"/>
          <w:lang w:val="en-GB" w:eastAsia="en-GB"/>
        </w:rPr>
        <w:t>However we have reviewed our previous analysis for the initial Bill in the light of submissions to the Select Committee and subsequent consultation with the sector.  This review work has confirmed the areas of expected cost increases, but we are still not able to confidentially estimate the level of extra costs that may arise.</w:t>
      </w:r>
      <w:r w:rsidR="00BB324A" w:rsidRPr="00BB324A">
        <w:rPr>
          <w:rFonts w:eastAsia="Times New Roman"/>
          <w:i/>
          <w:szCs w:val="20"/>
          <w:lang w:val="en-GB" w:eastAsia="en-GB"/>
        </w:rPr>
        <w:t xml:space="preserve">  </w:t>
      </w:r>
      <w:r w:rsidR="00BB324A">
        <w:rPr>
          <w:rFonts w:eastAsia="Times New Roman"/>
          <w:i/>
          <w:szCs w:val="20"/>
          <w:lang w:val="en-GB" w:eastAsia="en-GB"/>
        </w:rPr>
        <w:t>T</w:t>
      </w:r>
      <w:r w:rsidR="00BB324A" w:rsidRPr="00BB324A">
        <w:rPr>
          <w:rFonts w:eastAsia="Times New Roman"/>
          <w:i/>
          <w:szCs w:val="20"/>
          <w:lang w:val="en-GB" w:eastAsia="en-GB"/>
        </w:rPr>
        <w:t>here is some greater certainty about implementation costs for the Board</w:t>
      </w:r>
      <w:r w:rsidR="00BB324A">
        <w:rPr>
          <w:rFonts w:eastAsia="Times New Roman"/>
          <w:i/>
          <w:szCs w:val="20"/>
          <w:lang w:val="en-GB" w:eastAsia="en-GB"/>
        </w:rPr>
        <w:t>, as detailed below.</w:t>
      </w:r>
      <w:r w:rsidR="00BB324A" w:rsidRPr="00BB324A">
        <w:rPr>
          <w:rFonts w:eastAsia="Times New Roman"/>
          <w:i/>
          <w:szCs w:val="20"/>
          <w:lang w:val="en-GB" w:eastAsia="en-GB"/>
        </w:rPr>
        <w:t xml:space="preserve"> </w:t>
      </w:r>
    </w:p>
    <w:p w:rsidR="00BB324A" w:rsidRPr="00E80FF9" w:rsidRDefault="00BB324A" w:rsidP="00E80FF9">
      <w:pPr>
        <w:spacing w:after="240" w:line="240" w:lineRule="auto"/>
        <w:rPr>
          <w:rFonts w:eastAsia="Times New Roman" w:cs="Times New Roman"/>
          <w:i/>
          <w:szCs w:val="20"/>
          <w:lang w:val="en-GB" w:eastAsia="en-GB"/>
        </w:rPr>
      </w:pPr>
      <w:r>
        <w:rPr>
          <w:rFonts w:eastAsia="Times New Roman" w:cs="Times New Roman"/>
          <w:i/>
          <w:szCs w:val="20"/>
          <w:lang w:val="en-GB" w:eastAsia="en-GB"/>
        </w:rPr>
        <w:t>Costs of up-skilling insufficiently qualified current social workers</w:t>
      </w:r>
    </w:p>
    <w:p w:rsidR="00E80FF9" w:rsidRDefault="00E80FF9" w:rsidP="00E80FF9">
      <w:pPr>
        <w:numPr>
          <w:ilvl w:val="0"/>
          <w:numId w:val="23"/>
        </w:numPr>
        <w:spacing w:after="240" w:line="240" w:lineRule="auto"/>
        <w:ind w:left="567" w:hanging="567"/>
        <w:rPr>
          <w:rFonts w:eastAsia="Times New Roman"/>
          <w:i/>
          <w:szCs w:val="20"/>
          <w:lang w:val="en-GB" w:eastAsia="en-GB"/>
        </w:rPr>
      </w:pPr>
      <w:r w:rsidRPr="00E80FF9">
        <w:rPr>
          <w:rFonts w:eastAsia="Times New Roman"/>
          <w:i/>
          <w:szCs w:val="20"/>
          <w:lang w:val="en-GB" w:eastAsia="en-GB"/>
        </w:rPr>
        <w:t xml:space="preserve">The most substantial component of estimated additional cost </w:t>
      </w:r>
      <w:r>
        <w:rPr>
          <w:rFonts w:eastAsia="Times New Roman"/>
          <w:i/>
          <w:szCs w:val="20"/>
          <w:lang w:val="en-GB" w:eastAsia="en-GB"/>
        </w:rPr>
        <w:t>- t</w:t>
      </w:r>
      <w:r w:rsidRPr="00E80FF9">
        <w:rPr>
          <w:rFonts w:eastAsia="Times New Roman"/>
          <w:i/>
          <w:szCs w:val="20"/>
          <w:lang w:val="en-GB" w:eastAsia="en-GB"/>
        </w:rPr>
        <w:t xml:space="preserve">he costs up-skilling </w:t>
      </w:r>
      <w:r w:rsidR="00BB324A">
        <w:rPr>
          <w:rFonts w:eastAsia="Times New Roman"/>
          <w:i/>
          <w:szCs w:val="20"/>
          <w:lang w:val="en-GB" w:eastAsia="en-GB"/>
        </w:rPr>
        <w:t xml:space="preserve">existing social workers - </w:t>
      </w:r>
      <w:r w:rsidRPr="00E80FF9">
        <w:rPr>
          <w:rFonts w:eastAsia="Times New Roman"/>
          <w:i/>
          <w:szCs w:val="20"/>
          <w:lang w:val="en-GB" w:eastAsia="en-GB"/>
        </w:rPr>
        <w:t>re</w:t>
      </w:r>
      <w:r w:rsidR="00BB324A">
        <w:rPr>
          <w:rFonts w:eastAsia="Times New Roman"/>
          <w:i/>
          <w:szCs w:val="20"/>
          <w:lang w:val="en-GB" w:eastAsia="en-GB"/>
        </w:rPr>
        <w:t>mains</w:t>
      </w:r>
      <w:r w:rsidRPr="00E80FF9">
        <w:rPr>
          <w:rFonts w:eastAsia="Times New Roman"/>
          <w:i/>
          <w:szCs w:val="20"/>
          <w:lang w:val="en-GB" w:eastAsia="en-GB"/>
        </w:rPr>
        <w:t xml:space="preserve"> very hard to quantify because </w:t>
      </w:r>
      <w:r w:rsidR="00BB324A">
        <w:rPr>
          <w:rFonts w:eastAsia="Times New Roman"/>
          <w:i/>
          <w:szCs w:val="20"/>
          <w:lang w:val="en-GB" w:eastAsia="en-GB"/>
        </w:rPr>
        <w:t>it</w:t>
      </w:r>
      <w:r w:rsidRPr="00E80FF9">
        <w:rPr>
          <w:rFonts w:eastAsia="Times New Roman"/>
          <w:i/>
          <w:szCs w:val="20"/>
          <w:lang w:val="en-GB" w:eastAsia="en-GB"/>
        </w:rPr>
        <w:t xml:space="preserve"> will depend very much on the number of social workers who undertake further training, and the level of training they require. This could range from some final papers, a full four year degree course or a two year post graduate programme.</w:t>
      </w:r>
      <w:r w:rsidR="00BB324A">
        <w:rPr>
          <w:rFonts w:eastAsia="Times New Roman"/>
          <w:i/>
          <w:szCs w:val="20"/>
          <w:lang w:val="en-GB" w:eastAsia="en-GB"/>
        </w:rPr>
        <w:t xml:space="preserve"> </w:t>
      </w:r>
      <w:r w:rsidRPr="00E80FF9">
        <w:rPr>
          <w:rFonts w:eastAsia="Times New Roman"/>
          <w:i/>
          <w:szCs w:val="20"/>
          <w:lang w:val="en-GB" w:eastAsia="en-GB"/>
        </w:rPr>
        <w:t xml:space="preserve"> At most</w:t>
      </w:r>
      <w:r w:rsidR="00BB324A">
        <w:rPr>
          <w:rFonts w:eastAsia="Times New Roman"/>
          <w:i/>
          <w:szCs w:val="20"/>
          <w:lang w:val="en-GB" w:eastAsia="en-GB"/>
        </w:rPr>
        <w:t>,</w:t>
      </w:r>
      <w:r w:rsidRPr="00E80FF9">
        <w:rPr>
          <w:rFonts w:eastAsia="Times New Roman"/>
          <w:i/>
          <w:szCs w:val="20"/>
          <w:lang w:val="en-GB" w:eastAsia="en-GB"/>
        </w:rPr>
        <w:t xml:space="preserve"> </w:t>
      </w:r>
      <w:r w:rsidR="00BB324A">
        <w:rPr>
          <w:rFonts w:eastAsia="Times New Roman"/>
          <w:i/>
          <w:szCs w:val="20"/>
          <w:lang w:val="en-GB" w:eastAsia="en-GB"/>
        </w:rPr>
        <w:t xml:space="preserve">we estimate </w:t>
      </w:r>
      <w:r w:rsidRPr="00E80FF9">
        <w:rPr>
          <w:rFonts w:eastAsia="Times New Roman"/>
          <w:i/>
          <w:szCs w:val="20"/>
          <w:lang w:val="en-GB" w:eastAsia="en-GB"/>
        </w:rPr>
        <w:t xml:space="preserve">it could be in the order to $5 million per year in the first few years. </w:t>
      </w:r>
      <w:r w:rsidR="00BB324A">
        <w:rPr>
          <w:rFonts w:eastAsia="Times New Roman"/>
          <w:i/>
          <w:szCs w:val="20"/>
          <w:lang w:val="en-GB" w:eastAsia="en-GB"/>
        </w:rPr>
        <w:t xml:space="preserve"> </w:t>
      </w:r>
      <w:r w:rsidRPr="00E80FF9">
        <w:rPr>
          <w:rFonts w:eastAsia="Times New Roman"/>
          <w:i/>
          <w:szCs w:val="20"/>
          <w:lang w:val="en-GB" w:eastAsia="en-GB"/>
        </w:rPr>
        <w:t>Increased training costs for both currently practising social workers and future social workers will fall primarily in the education sector, to tertiary training providers, student allowances and the student loan scheme.</w:t>
      </w:r>
      <w:r w:rsidR="00BB324A">
        <w:rPr>
          <w:rFonts w:eastAsia="Times New Roman"/>
          <w:i/>
          <w:szCs w:val="20"/>
          <w:lang w:val="en-GB" w:eastAsia="en-GB"/>
        </w:rPr>
        <w:t xml:space="preserve"> </w:t>
      </w:r>
      <w:r w:rsidRPr="00E80FF9">
        <w:rPr>
          <w:rFonts w:eastAsia="Times New Roman"/>
          <w:i/>
          <w:szCs w:val="20"/>
          <w:lang w:val="en-GB" w:eastAsia="en-GB"/>
        </w:rPr>
        <w:t xml:space="preserve"> It would require additional funding or reprioritisation within the sector.</w:t>
      </w:r>
    </w:p>
    <w:p w:rsidR="00BB324A" w:rsidRPr="00BB324A" w:rsidRDefault="00BB324A" w:rsidP="00BB324A">
      <w:pPr>
        <w:spacing w:after="240" w:line="240" w:lineRule="auto"/>
        <w:rPr>
          <w:rFonts w:eastAsia="Times New Roman" w:cs="Times New Roman"/>
          <w:i/>
          <w:szCs w:val="20"/>
          <w:lang w:val="en-GB" w:eastAsia="en-GB"/>
        </w:rPr>
      </w:pPr>
      <w:r w:rsidRPr="00BB324A">
        <w:rPr>
          <w:rFonts w:eastAsia="Times New Roman" w:cs="Times New Roman"/>
          <w:i/>
          <w:szCs w:val="20"/>
          <w:lang w:val="en-GB" w:eastAsia="en-GB"/>
        </w:rPr>
        <w:t>On-going registration and administration costs</w:t>
      </w:r>
    </w:p>
    <w:p w:rsidR="00E80FF9" w:rsidRPr="00E80FF9" w:rsidRDefault="00BB324A" w:rsidP="00E80FF9">
      <w:pPr>
        <w:numPr>
          <w:ilvl w:val="0"/>
          <w:numId w:val="23"/>
        </w:numPr>
        <w:spacing w:after="240" w:line="240" w:lineRule="auto"/>
        <w:ind w:left="567" w:hanging="567"/>
        <w:rPr>
          <w:rFonts w:eastAsia="Times New Roman"/>
          <w:i/>
          <w:szCs w:val="20"/>
          <w:lang w:val="en-GB" w:eastAsia="en-GB"/>
        </w:rPr>
      </w:pPr>
      <w:r>
        <w:rPr>
          <w:rFonts w:eastAsia="Times New Roman"/>
          <w:i/>
          <w:szCs w:val="20"/>
          <w:lang w:val="en-GB" w:eastAsia="en-GB"/>
        </w:rPr>
        <w:t xml:space="preserve">The Board is no longer anticipating an immediate reduction in registration costs, although this is still expected in the longer term.  </w:t>
      </w:r>
      <w:r w:rsidR="00E80FF9" w:rsidRPr="00E80FF9">
        <w:rPr>
          <w:rFonts w:eastAsia="Times New Roman"/>
          <w:i/>
          <w:szCs w:val="20"/>
          <w:lang w:val="en-GB" w:eastAsia="en-GB"/>
        </w:rPr>
        <w:t xml:space="preserve">At present rates, an additional 2,000 registrations would give rise to a total cost of $690,000 in new registration fees, and $736,000 in annual practicing certificate fees. </w:t>
      </w:r>
      <w:r>
        <w:rPr>
          <w:rFonts w:eastAsia="Times New Roman"/>
          <w:i/>
          <w:szCs w:val="20"/>
          <w:lang w:val="en-GB" w:eastAsia="en-GB"/>
        </w:rPr>
        <w:t xml:space="preserve"> </w:t>
      </w:r>
      <w:r w:rsidR="00E80FF9" w:rsidRPr="00E80FF9">
        <w:rPr>
          <w:rFonts w:eastAsia="Times New Roman"/>
          <w:i/>
          <w:szCs w:val="20"/>
          <w:lang w:val="en-GB" w:eastAsia="en-GB"/>
        </w:rPr>
        <w:t xml:space="preserve">However, current social workers (or their employers) will benefit from the ending of the current requirement for a separate competency assessment, a saving of $255 per person on initial assessment, and $155 every five years after that. </w:t>
      </w:r>
      <w:r>
        <w:rPr>
          <w:rFonts w:eastAsia="Times New Roman"/>
          <w:i/>
          <w:szCs w:val="20"/>
          <w:lang w:val="en-GB" w:eastAsia="en-GB"/>
        </w:rPr>
        <w:t xml:space="preserve"> </w:t>
      </w:r>
      <w:r w:rsidR="00E80FF9" w:rsidRPr="00E80FF9">
        <w:rPr>
          <w:rFonts w:eastAsia="Times New Roman"/>
          <w:i/>
          <w:szCs w:val="20"/>
          <w:lang w:val="en-GB" w:eastAsia="en-GB"/>
        </w:rPr>
        <w:t>Th</w:t>
      </w:r>
      <w:r w:rsidR="00FB72CE">
        <w:rPr>
          <w:rFonts w:eastAsia="Times New Roman"/>
          <w:i/>
          <w:szCs w:val="20"/>
          <w:lang w:val="en-GB" w:eastAsia="en-GB"/>
        </w:rPr>
        <w:t xml:space="preserve">is will lead to an overall offsetting saving to the sector of </w:t>
      </w:r>
      <w:r w:rsidR="00E80FF9" w:rsidRPr="00E80FF9">
        <w:rPr>
          <w:rFonts w:eastAsia="Times New Roman"/>
          <w:i/>
          <w:szCs w:val="20"/>
          <w:lang w:val="en-GB" w:eastAsia="en-GB"/>
        </w:rPr>
        <w:t>around $230,000 per year.</w:t>
      </w:r>
    </w:p>
    <w:p w:rsidR="00E80FF9" w:rsidRPr="00BB324A" w:rsidRDefault="00BB324A" w:rsidP="00BB324A">
      <w:pPr>
        <w:numPr>
          <w:ilvl w:val="0"/>
          <w:numId w:val="23"/>
        </w:numPr>
        <w:spacing w:after="240" w:line="240" w:lineRule="auto"/>
        <w:ind w:left="567" w:hanging="567"/>
        <w:rPr>
          <w:rFonts w:eastAsia="Times New Roman"/>
          <w:i/>
          <w:szCs w:val="20"/>
          <w:lang w:val="en-GB" w:eastAsia="en-GB"/>
        </w:rPr>
      </w:pPr>
      <w:r>
        <w:rPr>
          <w:rFonts w:eastAsia="Times New Roman"/>
          <w:i/>
          <w:szCs w:val="20"/>
          <w:lang w:val="en-GB" w:eastAsia="en-GB"/>
        </w:rPr>
        <w:t>S</w:t>
      </w:r>
      <w:r w:rsidR="00E80FF9" w:rsidRPr="00E80FF9">
        <w:rPr>
          <w:rFonts w:eastAsia="Times New Roman"/>
          <w:i/>
          <w:szCs w:val="20"/>
          <w:lang w:val="en-GB" w:eastAsia="en-GB"/>
        </w:rPr>
        <w:t xml:space="preserve">ome </w:t>
      </w:r>
      <w:r>
        <w:rPr>
          <w:rFonts w:eastAsia="Times New Roman"/>
          <w:i/>
          <w:szCs w:val="20"/>
          <w:lang w:val="en-GB" w:eastAsia="en-GB"/>
        </w:rPr>
        <w:t xml:space="preserve">new </w:t>
      </w:r>
      <w:r w:rsidR="00E80FF9" w:rsidRPr="00E80FF9">
        <w:rPr>
          <w:rFonts w:eastAsia="Times New Roman"/>
          <w:i/>
          <w:szCs w:val="20"/>
          <w:lang w:val="en-GB" w:eastAsia="en-GB"/>
        </w:rPr>
        <w:t xml:space="preserve">one-off transitional costs for the Board </w:t>
      </w:r>
      <w:r>
        <w:rPr>
          <w:rFonts w:eastAsia="Times New Roman"/>
          <w:i/>
          <w:szCs w:val="20"/>
          <w:lang w:val="en-GB" w:eastAsia="en-GB"/>
        </w:rPr>
        <w:t xml:space="preserve">have been identified, </w:t>
      </w:r>
      <w:r w:rsidR="00E80FF9" w:rsidRPr="00E80FF9">
        <w:rPr>
          <w:rFonts w:eastAsia="Times New Roman"/>
          <w:i/>
          <w:szCs w:val="20"/>
          <w:lang w:val="en-GB" w:eastAsia="en-GB"/>
        </w:rPr>
        <w:t xml:space="preserve">to cover communication and implementation issues, as well as the cost of new registration database. This may be the subject of a Budget bid in 2019 </w:t>
      </w:r>
      <w:r>
        <w:rPr>
          <w:rFonts w:eastAsia="Times New Roman"/>
          <w:i/>
          <w:szCs w:val="20"/>
          <w:lang w:val="en-GB" w:eastAsia="en-GB"/>
        </w:rPr>
        <w:t xml:space="preserve">for up to $800,000 </w:t>
      </w:r>
      <w:r w:rsidR="00E80FF9" w:rsidRPr="00E80FF9">
        <w:rPr>
          <w:rFonts w:eastAsia="Times New Roman"/>
          <w:i/>
          <w:szCs w:val="20"/>
          <w:lang w:val="en-GB" w:eastAsia="en-GB"/>
        </w:rPr>
        <w:t xml:space="preserve">(the Board currently is funded entirely by fees, and receives no separate government funding). </w:t>
      </w:r>
      <w:r>
        <w:rPr>
          <w:rFonts w:eastAsia="Times New Roman"/>
          <w:i/>
          <w:szCs w:val="20"/>
          <w:lang w:val="en-GB" w:eastAsia="en-GB"/>
        </w:rPr>
        <w:t xml:space="preserve"> </w:t>
      </w:r>
      <w:r w:rsidR="00E80FF9" w:rsidRPr="00E80FF9">
        <w:rPr>
          <w:rFonts w:eastAsia="Times New Roman"/>
          <w:i/>
          <w:szCs w:val="20"/>
          <w:lang w:val="en-GB" w:eastAsia="en-GB"/>
        </w:rPr>
        <w:t xml:space="preserve">The SWRB is undertaking a Funding Model Review in Q3 of 2018/19, including a review of their fee structure and which would inform any bid. </w:t>
      </w:r>
      <w:r>
        <w:rPr>
          <w:rFonts w:eastAsia="Times New Roman"/>
          <w:i/>
          <w:szCs w:val="20"/>
          <w:lang w:val="en-GB" w:eastAsia="en-GB"/>
        </w:rPr>
        <w:t xml:space="preserve"> </w:t>
      </w:r>
      <w:r w:rsidR="00E80FF9" w:rsidRPr="00E80FF9">
        <w:rPr>
          <w:rFonts w:eastAsia="Times New Roman"/>
          <w:i/>
          <w:szCs w:val="20"/>
          <w:lang w:val="en-GB" w:eastAsia="en-GB"/>
        </w:rPr>
        <w:t xml:space="preserve">However, in the longer term, overall cost reductions are </w:t>
      </w:r>
      <w:r>
        <w:rPr>
          <w:rFonts w:eastAsia="Times New Roman"/>
          <w:i/>
          <w:szCs w:val="20"/>
          <w:lang w:val="en-GB" w:eastAsia="en-GB"/>
        </w:rPr>
        <w:t xml:space="preserve">still </w:t>
      </w:r>
      <w:r w:rsidR="00E80FF9" w:rsidRPr="00E80FF9">
        <w:rPr>
          <w:rFonts w:eastAsia="Times New Roman"/>
          <w:i/>
          <w:szCs w:val="20"/>
          <w:lang w:val="en-GB" w:eastAsia="en-GB"/>
        </w:rPr>
        <w:t xml:space="preserve">expected because of economies of scale and the streamlining of </w:t>
      </w:r>
      <w:r>
        <w:rPr>
          <w:rFonts w:eastAsia="Times New Roman"/>
          <w:i/>
          <w:szCs w:val="20"/>
          <w:lang w:val="en-GB" w:eastAsia="en-GB"/>
        </w:rPr>
        <w:t xml:space="preserve">the </w:t>
      </w:r>
      <w:r w:rsidR="00E80FF9" w:rsidRPr="00E80FF9">
        <w:rPr>
          <w:rFonts w:eastAsia="Times New Roman"/>
          <w:i/>
          <w:szCs w:val="20"/>
          <w:lang w:val="en-GB" w:eastAsia="en-GB"/>
        </w:rPr>
        <w:t xml:space="preserve">competency assessment processes.  </w:t>
      </w:r>
    </w:p>
    <w:p w:rsidR="007C6789" w:rsidRPr="00AF3F4B" w:rsidRDefault="007C6789" w:rsidP="00AF3F4B">
      <w:pPr>
        <w:numPr>
          <w:ilvl w:val="0"/>
          <w:numId w:val="23"/>
        </w:numPr>
        <w:spacing w:after="240" w:line="240" w:lineRule="auto"/>
        <w:ind w:left="567" w:hanging="567"/>
        <w:rPr>
          <w:rFonts w:eastAsia="Times New Roman"/>
          <w:i/>
          <w:szCs w:val="20"/>
          <w:lang w:val="en-GB" w:eastAsia="en-GB"/>
        </w:rPr>
      </w:pPr>
      <w:r w:rsidRPr="00222BA0">
        <w:rPr>
          <w:rFonts w:eastAsia="Times New Roman"/>
          <w:i/>
          <w:szCs w:val="20"/>
          <w:lang w:val="en-GB" w:eastAsia="en-GB"/>
        </w:rPr>
        <w:t>Agency consultation</w:t>
      </w:r>
      <w:r w:rsidR="00FB72CE">
        <w:rPr>
          <w:rFonts w:eastAsia="Times New Roman"/>
          <w:i/>
          <w:szCs w:val="20"/>
          <w:lang w:val="en-GB" w:eastAsia="en-GB"/>
        </w:rPr>
        <w:t xml:space="preserve"> also</w:t>
      </w:r>
      <w:r w:rsidRPr="00222BA0">
        <w:rPr>
          <w:rFonts w:eastAsia="Times New Roman"/>
          <w:i/>
          <w:szCs w:val="20"/>
          <w:lang w:val="en-GB" w:eastAsia="en-GB"/>
        </w:rPr>
        <w:t xml:space="preserve"> identified the need to identify who will be responsible for enforcement of title protection - investigating allegations of people claiming to be social workers when they are not registered, and where necessary to prosecute alleged breache</w:t>
      </w:r>
      <w:r w:rsidRPr="00AF3F4B">
        <w:rPr>
          <w:rFonts w:eastAsia="Times New Roman"/>
          <w:i/>
          <w:szCs w:val="20"/>
          <w:lang w:val="en-GB" w:eastAsia="en-GB"/>
        </w:rPr>
        <w:t xml:space="preserve">s. The Board’s mandate is to manage registered social workers only.  </w:t>
      </w:r>
    </w:p>
    <w:p w:rsidR="00BB324A" w:rsidRDefault="007C6789" w:rsidP="00BB324A">
      <w:pPr>
        <w:numPr>
          <w:ilvl w:val="0"/>
          <w:numId w:val="23"/>
        </w:numPr>
        <w:spacing w:after="240" w:line="240" w:lineRule="auto"/>
        <w:ind w:left="567" w:hanging="567"/>
        <w:rPr>
          <w:rFonts w:eastAsia="Times New Roman"/>
          <w:i/>
          <w:szCs w:val="20"/>
          <w:lang w:val="en-GB" w:eastAsia="en-GB"/>
        </w:rPr>
      </w:pPr>
      <w:r w:rsidRPr="00AF3F4B">
        <w:rPr>
          <w:rFonts w:eastAsia="Times New Roman"/>
          <w:i/>
          <w:szCs w:val="20"/>
          <w:lang w:val="en-GB" w:eastAsia="en-GB"/>
        </w:rPr>
        <w:t xml:space="preserve">An investigation and prosecution function will not be required until 2020 at the earliest and the initial requirements for this are currently being scoped.  It is likely </w:t>
      </w:r>
      <w:r w:rsidRPr="00AF3F4B">
        <w:rPr>
          <w:rFonts w:eastAsia="Times New Roman"/>
          <w:i/>
          <w:szCs w:val="20"/>
          <w:lang w:val="en-GB" w:eastAsia="en-GB"/>
        </w:rPr>
        <w:lastRenderedPageBreak/>
        <w:t xml:space="preserve">to fall to MSD as the department responsible for administering the SWR Act.  </w:t>
      </w:r>
      <w:r w:rsidR="00A37B1C">
        <w:rPr>
          <w:rFonts w:eastAsia="Times New Roman"/>
          <w:i/>
          <w:szCs w:val="20"/>
          <w:lang w:val="en-GB" w:eastAsia="en-GB"/>
        </w:rPr>
        <w:t>T</w:t>
      </w:r>
      <w:r w:rsidRPr="00222BA0">
        <w:rPr>
          <w:rFonts w:eastAsia="Times New Roman"/>
          <w:i/>
          <w:szCs w:val="20"/>
          <w:lang w:val="en-GB" w:eastAsia="en-GB"/>
        </w:rPr>
        <w:t xml:space="preserve">he Ministry of Health </w:t>
      </w:r>
      <w:r w:rsidR="00A37B1C">
        <w:rPr>
          <w:rFonts w:eastAsia="Times New Roman"/>
          <w:i/>
          <w:szCs w:val="20"/>
          <w:lang w:val="en-GB" w:eastAsia="en-GB"/>
        </w:rPr>
        <w:t xml:space="preserve">undertakes this role for the HPCA Act.  </w:t>
      </w:r>
      <w:r w:rsidR="00A37B1C" w:rsidRPr="003A20FE">
        <w:rPr>
          <w:rFonts w:eastAsia="Times New Roman"/>
          <w:i/>
          <w:szCs w:val="20"/>
          <w:lang w:val="en-GB" w:eastAsia="en-GB"/>
        </w:rPr>
        <w:t xml:space="preserve">Preliminary discussions with </w:t>
      </w:r>
      <w:r w:rsidR="00A37B1C">
        <w:rPr>
          <w:rFonts w:eastAsia="Times New Roman"/>
          <w:i/>
          <w:szCs w:val="20"/>
          <w:lang w:val="en-GB" w:eastAsia="en-GB"/>
        </w:rPr>
        <w:t xml:space="preserve">them </w:t>
      </w:r>
      <w:r w:rsidRPr="00222BA0">
        <w:rPr>
          <w:rFonts w:eastAsia="Times New Roman"/>
          <w:i/>
          <w:szCs w:val="20"/>
          <w:lang w:val="en-GB" w:eastAsia="en-GB"/>
        </w:rPr>
        <w:t xml:space="preserve">on the resourcing required to enforce these aspects of the HPCA Act suggest the costs will not be significant.  </w:t>
      </w:r>
      <w:r w:rsidR="00563500">
        <w:rPr>
          <w:rFonts w:eastAsia="Times New Roman"/>
          <w:i/>
          <w:szCs w:val="20"/>
          <w:lang w:val="en-GB" w:eastAsia="en-GB"/>
        </w:rPr>
        <w:t>And initially, education would be the preferred approach to addressing misuse of the use of the title Social Worker.</w:t>
      </w:r>
      <w:r w:rsidR="00BB324A" w:rsidRPr="00BB324A">
        <w:rPr>
          <w:rFonts w:eastAsia="Times New Roman"/>
          <w:i/>
          <w:szCs w:val="20"/>
          <w:lang w:val="en-GB" w:eastAsia="en-GB"/>
        </w:rPr>
        <w:t xml:space="preserve"> </w:t>
      </w:r>
    </w:p>
    <w:p w:rsidR="00BB324A" w:rsidRDefault="00FB72CE" w:rsidP="00FB72CE">
      <w:pPr>
        <w:spacing w:after="240" w:line="240" w:lineRule="auto"/>
        <w:rPr>
          <w:rFonts w:eastAsia="Times New Roman"/>
          <w:i/>
          <w:szCs w:val="20"/>
          <w:lang w:val="en-GB" w:eastAsia="en-GB"/>
        </w:rPr>
      </w:pPr>
      <w:r>
        <w:rPr>
          <w:rFonts w:eastAsia="Times New Roman"/>
          <w:i/>
          <w:szCs w:val="20"/>
          <w:lang w:val="en-GB" w:eastAsia="en-GB"/>
        </w:rPr>
        <w:t>Indirect effects on sector costs</w:t>
      </w:r>
    </w:p>
    <w:p w:rsidR="00BA5AA4" w:rsidRPr="00BB324A" w:rsidRDefault="00BB324A" w:rsidP="00BB324A">
      <w:pPr>
        <w:numPr>
          <w:ilvl w:val="0"/>
          <w:numId w:val="23"/>
        </w:numPr>
        <w:spacing w:after="240" w:line="240" w:lineRule="auto"/>
        <w:ind w:left="567" w:hanging="567"/>
        <w:rPr>
          <w:rFonts w:eastAsia="Times New Roman"/>
          <w:i/>
          <w:szCs w:val="20"/>
          <w:lang w:val="en-GB" w:eastAsia="en-GB"/>
        </w:rPr>
      </w:pPr>
      <w:r w:rsidRPr="00E80FF9">
        <w:rPr>
          <w:rFonts w:eastAsia="Times New Roman"/>
          <w:i/>
          <w:szCs w:val="20"/>
          <w:lang w:val="en-GB" w:eastAsia="en-GB"/>
        </w:rPr>
        <w:t>The intended effect of the changes to increase professionalism and raise quality may well lead to pressures to increase salary levels, and contract rates.</w:t>
      </w:r>
      <w:r>
        <w:rPr>
          <w:rFonts w:eastAsia="Times New Roman"/>
          <w:i/>
          <w:szCs w:val="20"/>
          <w:lang w:val="en-GB" w:eastAsia="en-GB"/>
        </w:rPr>
        <w:t xml:space="preserve"> </w:t>
      </w:r>
      <w:r w:rsidRPr="00E80FF9">
        <w:rPr>
          <w:rFonts w:eastAsia="Times New Roman"/>
          <w:i/>
          <w:szCs w:val="20"/>
          <w:lang w:val="en-GB" w:eastAsia="en-GB"/>
        </w:rPr>
        <w:t xml:space="preserve"> Salary levels in the NGO sector are distinctly lower than for direct government employees. Additionally, employers may also have to meet extra costs from staff taking time away from core social work activities for the proposed 20 hours per year continuing professional development. </w:t>
      </w:r>
      <w:r>
        <w:rPr>
          <w:rFonts w:eastAsia="Times New Roman"/>
          <w:i/>
          <w:szCs w:val="20"/>
          <w:lang w:val="en-GB" w:eastAsia="en-GB"/>
        </w:rPr>
        <w:t xml:space="preserve"> </w:t>
      </w:r>
      <w:r w:rsidRPr="00E80FF9">
        <w:rPr>
          <w:rFonts w:eastAsia="Times New Roman"/>
          <w:i/>
          <w:szCs w:val="20"/>
          <w:lang w:val="en-GB" w:eastAsia="en-GB"/>
        </w:rPr>
        <w:t xml:space="preserve">These increased cost pressures were raised in a number of submissions to the Select Committee, and NGOs are likely to look to government agencies to support them financially to make this transition.  This is part of the wider picture of </w:t>
      </w:r>
      <w:r>
        <w:rPr>
          <w:rFonts w:eastAsia="Times New Roman"/>
          <w:i/>
          <w:szCs w:val="20"/>
          <w:lang w:val="en-GB" w:eastAsia="en-GB"/>
        </w:rPr>
        <w:t>known</w:t>
      </w:r>
      <w:r w:rsidRPr="00E80FF9">
        <w:rPr>
          <w:rFonts w:eastAsia="Times New Roman"/>
          <w:i/>
          <w:szCs w:val="20"/>
          <w:lang w:val="en-GB" w:eastAsia="en-GB"/>
        </w:rPr>
        <w:t xml:space="preserve"> funding pressures for NGOs contracted to deliver social services, which need to be considered in implementation planning.  </w:t>
      </w:r>
    </w:p>
    <w:p w:rsidR="00C05771" w:rsidRPr="00177E1D" w:rsidRDefault="00C05771" w:rsidP="00AF3F4B">
      <w:pPr>
        <w:spacing w:after="240" w:line="240" w:lineRule="auto"/>
        <w:rPr>
          <w:rFonts w:eastAsia="Times New Roman" w:cs="Times New Roman"/>
          <w:b/>
          <w:color w:val="1F497D" w:themeColor="text2"/>
          <w:sz w:val="28"/>
          <w:szCs w:val="28"/>
          <w:lang w:val="en-GB" w:eastAsia="en-GB"/>
        </w:rPr>
      </w:pPr>
      <w:r w:rsidRPr="00177E1D">
        <w:rPr>
          <w:rFonts w:eastAsia="Times New Roman" w:cs="Times New Roman"/>
          <w:b/>
          <w:color w:val="1F497D" w:themeColor="text2"/>
          <w:sz w:val="28"/>
          <w:szCs w:val="28"/>
          <w:lang w:val="en-GB" w:eastAsia="en-GB"/>
        </w:rPr>
        <w:t>Consultation</w:t>
      </w:r>
    </w:p>
    <w:p w:rsidR="00C05771" w:rsidRPr="00177E1D" w:rsidRDefault="00460C2A" w:rsidP="00177E1D">
      <w:pPr>
        <w:numPr>
          <w:ilvl w:val="0"/>
          <w:numId w:val="8"/>
        </w:numPr>
        <w:spacing w:after="240" w:line="240" w:lineRule="auto"/>
        <w:ind w:left="567" w:hanging="567"/>
        <w:rPr>
          <w:rFonts w:eastAsia="Times New Roman" w:cs="Times New Roman"/>
          <w:szCs w:val="20"/>
          <w:lang w:eastAsia="en-GB"/>
        </w:rPr>
      </w:pPr>
      <w:r>
        <w:rPr>
          <w:rFonts w:eastAsia="Times New Roman" w:cs="Times New Roman"/>
          <w:szCs w:val="20"/>
          <w:lang w:eastAsia="en-GB"/>
        </w:rPr>
        <w:t xml:space="preserve">Preparation of the RIS has been informed by reviewing the submissions made to the Select Committee as part of its inquiry.  </w:t>
      </w:r>
      <w:r w:rsidR="000F1702">
        <w:rPr>
          <w:rFonts w:eastAsia="Times New Roman" w:cs="Times New Roman"/>
          <w:szCs w:val="20"/>
          <w:lang w:eastAsia="en-GB"/>
        </w:rPr>
        <w:t>Thirty</w:t>
      </w:r>
      <w:r>
        <w:rPr>
          <w:rFonts w:eastAsia="Times New Roman" w:cs="Times New Roman"/>
          <w:szCs w:val="20"/>
          <w:lang w:eastAsia="en-GB"/>
        </w:rPr>
        <w:t xml:space="preserve"> submissions were received </w:t>
      </w:r>
      <w:r w:rsidRPr="000473EF">
        <w:rPr>
          <w:rFonts w:eastAsia="Times New Roman" w:cs="Times New Roman"/>
          <w:szCs w:val="20"/>
          <w:lang w:eastAsia="en-GB"/>
        </w:rPr>
        <w:t>from a</w:t>
      </w:r>
      <w:r w:rsidR="00191E07" w:rsidRPr="000473EF">
        <w:rPr>
          <w:rFonts w:eastAsia="Times New Roman" w:cs="Times New Roman"/>
          <w:szCs w:val="20"/>
          <w:lang w:eastAsia="en-GB"/>
        </w:rPr>
        <w:t xml:space="preserve"> range</w:t>
      </w:r>
      <w:r w:rsidR="00191E07" w:rsidRPr="005C347E">
        <w:rPr>
          <w:rFonts w:eastAsia="Times New Roman" w:cs="Times New Roman"/>
          <w:szCs w:val="20"/>
          <w:lang w:eastAsia="en-GB"/>
        </w:rPr>
        <w:t xml:space="preserve"> of agencies and individuals</w:t>
      </w:r>
      <w:r w:rsidR="006B00AF" w:rsidRPr="005C347E">
        <w:rPr>
          <w:rFonts w:eastAsia="Times New Roman" w:cs="Times New Roman"/>
          <w:szCs w:val="20"/>
          <w:lang w:eastAsia="en-GB"/>
        </w:rPr>
        <w:t>, including NGO e</w:t>
      </w:r>
      <w:r w:rsidR="00191E07" w:rsidRPr="005C347E">
        <w:rPr>
          <w:rFonts w:eastAsia="Times New Roman" w:cs="Times New Roman"/>
          <w:szCs w:val="20"/>
          <w:lang w:eastAsia="en-GB"/>
        </w:rPr>
        <w:t>mployers</w:t>
      </w:r>
      <w:r w:rsidR="006B00AF" w:rsidRPr="005C347E">
        <w:rPr>
          <w:rFonts w:eastAsia="Times New Roman" w:cs="Times New Roman"/>
          <w:szCs w:val="20"/>
          <w:lang w:eastAsia="en-GB"/>
        </w:rPr>
        <w:t xml:space="preserve"> of social workers</w:t>
      </w:r>
      <w:r w:rsidR="00191E07" w:rsidRPr="005C347E">
        <w:rPr>
          <w:rFonts w:eastAsia="Times New Roman" w:cs="Times New Roman"/>
          <w:szCs w:val="20"/>
          <w:lang w:eastAsia="en-GB"/>
        </w:rPr>
        <w:t xml:space="preserve">, </w:t>
      </w:r>
      <w:r w:rsidR="006B00AF" w:rsidRPr="005C347E">
        <w:rPr>
          <w:rFonts w:eastAsia="Times New Roman" w:cs="Times New Roman"/>
          <w:szCs w:val="20"/>
          <w:lang w:eastAsia="en-GB"/>
        </w:rPr>
        <w:t xml:space="preserve">individual social workers, </w:t>
      </w:r>
      <w:r w:rsidR="00191E07" w:rsidRPr="005C347E">
        <w:rPr>
          <w:rFonts w:eastAsia="Times New Roman" w:cs="Times New Roman"/>
          <w:szCs w:val="20"/>
          <w:lang w:eastAsia="en-GB"/>
        </w:rPr>
        <w:t>training providers</w:t>
      </w:r>
      <w:r w:rsidR="006B00AF" w:rsidRPr="00824574">
        <w:rPr>
          <w:rFonts w:eastAsia="Times New Roman" w:cs="Times New Roman"/>
          <w:szCs w:val="20"/>
          <w:lang w:eastAsia="en-GB"/>
        </w:rPr>
        <w:t>,</w:t>
      </w:r>
      <w:r w:rsidR="006B00AF">
        <w:rPr>
          <w:rFonts w:eastAsia="Times New Roman" w:cs="Times New Roman"/>
          <w:szCs w:val="20"/>
          <w:lang w:eastAsia="en-GB"/>
        </w:rPr>
        <w:t xml:space="preserve"> and agencies which have a mandate to advocate for social work clients (including the</w:t>
      </w:r>
      <w:r w:rsidR="005C431E">
        <w:rPr>
          <w:rFonts w:eastAsia="Times New Roman" w:cs="Times New Roman"/>
          <w:szCs w:val="20"/>
          <w:lang w:eastAsia="en-GB"/>
        </w:rPr>
        <w:t xml:space="preserve"> NZ Council of Christian Social Services and the Children’s Commissioner).</w:t>
      </w:r>
    </w:p>
    <w:p w:rsidR="005C431E" w:rsidRPr="000473EF" w:rsidRDefault="00C05771" w:rsidP="000473EF">
      <w:pPr>
        <w:numPr>
          <w:ilvl w:val="0"/>
          <w:numId w:val="8"/>
        </w:numPr>
        <w:spacing w:after="240" w:line="240" w:lineRule="auto"/>
        <w:ind w:left="567" w:hanging="567"/>
        <w:rPr>
          <w:rFonts w:eastAsia="Times New Roman" w:cs="Times New Roman"/>
          <w:szCs w:val="20"/>
          <w:lang w:eastAsia="en-GB"/>
        </w:rPr>
      </w:pPr>
      <w:r w:rsidRPr="00177E1D">
        <w:rPr>
          <w:rFonts w:eastAsia="Times New Roman" w:cs="Times New Roman"/>
          <w:szCs w:val="20"/>
          <w:lang w:eastAsia="en-GB"/>
        </w:rPr>
        <w:t>Officials have con</w:t>
      </w:r>
      <w:r w:rsidR="0079316C" w:rsidRPr="00177E1D">
        <w:rPr>
          <w:rFonts w:eastAsia="Times New Roman" w:cs="Times New Roman"/>
          <w:szCs w:val="20"/>
          <w:lang w:eastAsia="en-GB"/>
        </w:rPr>
        <w:t>sulted on the proposals with</w:t>
      </w:r>
      <w:r w:rsidR="005C431E" w:rsidRPr="000473EF">
        <w:rPr>
          <w:rFonts w:eastAsia="Times New Roman" w:cs="Times New Roman"/>
          <w:szCs w:val="20"/>
          <w:lang w:eastAsia="en-GB"/>
        </w:rPr>
        <w:t xml:space="preserve">: the Ministry for Vulnerable Children, Oranga Tamariki; the Accident Compensation Corporation; the Departments of Corrections, and Internal Affairs; the Ministries for Pacific Peoples, and Women; the Ministries of Business Innovation and Employment, Defence, Education, Health, and Justice; the New Zealand Police; the New Zealand Qualifications Authority; Te Puni Kōkiri, the Tertiary Education Commission; the State Services Commission; and the Treasury. </w:t>
      </w:r>
    </w:p>
    <w:p w:rsidR="00C05771" w:rsidRPr="004375D8" w:rsidRDefault="005C431E" w:rsidP="005C431E">
      <w:pPr>
        <w:numPr>
          <w:ilvl w:val="0"/>
          <w:numId w:val="8"/>
        </w:numPr>
        <w:spacing w:after="240" w:line="240" w:lineRule="auto"/>
        <w:ind w:left="567" w:hanging="567"/>
        <w:rPr>
          <w:rFonts w:eastAsia="Times New Roman" w:cs="Times New Roman"/>
          <w:szCs w:val="20"/>
          <w:lang w:eastAsia="en-GB"/>
        </w:rPr>
      </w:pPr>
      <w:r>
        <w:t xml:space="preserve">The Board was also consulted during the development </w:t>
      </w:r>
      <w:r w:rsidRPr="00824574">
        <w:t>of the proposals.</w:t>
      </w:r>
    </w:p>
    <w:p w:rsidR="004375D8" w:rsidRPr="004E35D6" w:rsidRDefault="00A37B1C" w:rsidP="00AF3F4B">
      <w:pPr>
        <w:spacing w:after="240" w:line="240" w:lineRule="auto"/>
        <w:rPr>
          <w:rFonts w:eastAsia="Times New Roman" w:cs="Times New Roman"/>
          <w:b/>
          <w:i/>
          <w:color w:val="1F497D" w:themeColor="text2"/>
          <w:sz w:val="28"/>
          <w:szCs w:val="28"/>
          <w:lang w:val="en-GB" w:eastAsia="en-GB"/>
        </w:rPr>
      </w:pPr>
      <w:r w:rsidRPr="004E35D6">
        <w:rPr>
          <w:rFonts w:eastAsia="Times New Roman" w:cs="Times New Roman"/>
          <w:b/>
          <w:i/>
          <w:color w:val="1F497D" w:themeColor="text2"/>
          <w:sz w:val="28"/>
          <w:szCs w:val="28"/>
          <w:lang w:val="en-GB" w:eastAsia="en-GB"/>
        </w:rPr>
        <w:t>Consultation on SOP Proposals</w:t>
      </w:r>
    </w:p>
    <w:p w:rsidR="00A37B1C" w:rsidRPr="00A37B1C" w:rsidRDefault="00A37B1C" w:rsidP="00AF3F4B">
      <w:pPr>
        <w:numPr>
          <w:ilvl w:val="0"/>
          <w:numId w:val="8"/>
        </w:numPr>
        <w:spacing w:after="240" w:line="240" w:lineRule="auto"/>
        <w:ind w:left="567" w:hanging="567"/>
        <w:rPr>
          <w:i/>
        </w:rPr>
      </w:pPr>
      <w:r w:rsidRPr="00A37B1C">
        <w:rPr>
          <w:i/>
        </w:rPr>
        <w:t xml:space="preserve">The following government agencies were consulted during the development of </w:t>
      </w:r>
      <w:r>
        <w:rPr>
          <w:i/>
        </w:rPr>
        <w:t>the proposed SOP</w:t>
      </w:r>
      <w:r w:rsidRPr="00A37B1C">
        <w:rPr>
          <w:i/>
        </w:rPr>
        <w:t>: the Ministries for Children Oranga Tamariki, Pacific Peoples, and Women; the Ministries of Business, Innovation and Employment, Defence, Education, Health, and Justice; the Departments of Corrections, Internal Affairs and Prime Minister and Cabinet; New Zealand Police; the Accident Compensation Corporation; the New Zealand Qualifications Authority; Te Puni Kokiri, the Tertiary Education Commission; the State Services Commission; the Privacy Commission; and the Treasury.  Comments were also received from the District Health Boards' Health Social Work Leaders' Council.</w:t>
      </w:r>
    </w:p>
    <w:p w:rsidR="00A37B1C" w:rsidRPr="00A37B1C" w:rsidRDefault="00A37B1C" w:rsidP="00AF3F4B">
      <w:pPr>
        <w:numPr>
          <w:ilvl w:val="0"/>
          <w:numId w:val="8"/>
        </w:numPr>
        <w:spacing w:after="240" w:line="240" w:lineRule="auto"/>
        <w:ind w:left="567" w:hanging="567"/>
        <w:rPr>
          <w:i/>
        </w:rPr>
      </w:pPr>
      <w:r w:rsidRPr="00A37B1C">
        <w:rPr>
          <w:i/>
        </w:rPr>
        <w:t xml:space="preserve">The Board has been consulted on the contents of the Bill throughout the policy and drafting processes, and also during the Select Committee stage with approval from the Social Services and Community Committee. </w:t>
      </w:r>
    </w:p>
    <w:p w:rsidR="00A37B1C" w:rsidRPr="00AF3F4B" w:rsidRDefault="00A37B1C" w:rsidP="00AF3F4B">
      <w:pPr>
        <w:numPr>
          <w:ilvl w:val="0"/>
          <w:numId w:val="8"/>
        </w:numPr>
        <w:spacing w:after="240" w:line="240" w:lineRule="auto"/>
        <w:ind w:left="567" w:hanging="567"/>
        <w:rPr>
          <w:i/>
        </w:rPr>
      </w:pPr>
      <w:r w:rsidRPr="00222BA0">
        <w:rPr>
          <w:i/>
        </w:rPr>
        <w:t xml:space="preserve">The Select Committee received over 100 submissions from a range of agencies and </w:t>
      </w:r>
      <w:r w:rsidRPr="00AF3F4B">
        <w:rPr>
          <w:i/>
        </w:rPr>
        <w:t>individuals, including NGO employers of social workers, individual social workers, training providers, and agencies who have a mandate to advocate for social work clients.  Those submissions informed the proposals in this paper.</w:t>
      </w:r>
    </w:p>
    <w:p w:rsidR="004375D8" w:rsidRPr="004E35D6" w:rsidRDefault="00A37B1C" w:rsidP="00A37B1C">
      <w:pPr>
        <w:numPr>
          <w:ilvl w:val="0"/>
          <w:numId w:val="8"/>
        </w:numPr>
        <w:spacing w:after="240" w:line="240" w:lineRule="auto"/>
        <w:ind w:left="567" w:hanging="567"/>
        <w:rPr>
          <w:rFonts w:eastAsia="Times New Roman" w:cs="Times New Roman"/>
          <w:i/>
          <w:szCs w:val="20"/>
          <w:lang w:eastAsia="en-GB"/>
        </w:rPr>
      </w:pPr>
      <w:r w:rsidRPr="00AF3F4B">
        <w:rPr>
          <w:i/>
        </w:rPr>
        <w:lastRenderedPageBreak/>
        <w:t>In addition, officials have consulted with the 'Social Work Alliance' as a cross-sector representative body, specifically in relation to the utility and design of a 'scopes of practice' approach to social worker registration.  The Alliance is convened by the Board, and includes the following groups: Aotearoa New Zealand Association of Social Workers, Careerforce, Council for Social Work Education Aotearoa New Zealand, DHB Professional Social Work Leaders, Ministry for Children/Oranga Tamariki, New Zealand Council of Christian Social Services, Social Service Providers Aotearoa, Social Workers Registration Board, Tangata Whenua Social Workers Association, and The New Zealand Public Service Association.</w:t>
      </w:r>
    </w:p>
    <w:p w:rsidR="004E35D6" w:rsidRPr="001E22FD" w:rsidRDefault="004E35D6" w:rsidP="004E35D6">
      <w:pPr>
        <w:spacing w:after="240" w:line="240" w:lineRule="auto"/>
        <w:rPr>
          <w:rFonts w:eastAsia="Times New Roman"/>
          <w:i/>
          <w:color w:val="000000"/>
          <w:kern w:val="22"/>
          <w:szCs w:val="20"/>
          <w:lang w:eastAsia="en-NZ"/>
        </w:rPr>
      </w:pPr>
      <w:bookmarkStart w:id="81" w:name="_Toc515011837"/>
      <w:r w:rsidRPr="001E22FD">
        <w:rPr>
          <w:rFonts w:eastAsia="Times New Roman"/>
          <w:i/>
          <w:color w:val="000000"/>
          <w:kern w:val="22"/>
          <w:szCs w:val="20"/>
          <w:lang w:eastAsia="en-NZ"/>
        </w:rPr>
        <w:t>Including scopes in the Bill may not achieve what some submitters appear to expect</w:t>
      </w:r>
      <w:bookmarkEnd w:id="81"/>
    </w:p>
    <w:p w:rsidR="004E35D6" w:rsidRDefault="004E35D6" w:rsidP="004E35D6">
      <w:pPr>
        <w:numPr>
          <w:ilvl w:val="0"/>
          <w:numId w:val="8"/>
        </w:numPr>
        <w:spacing w:after="240" w:line="240" w:lineRule="auto"/>
        <w:ind w:left="567" w:hanging="567"/>
        <w:rPr>
          <w:i/>
        </w:rPr>
      </w:pPr>
      <w:r w:rsidRPr="004E35D6">
        <w:rPr>
          <w:i/>
        </w:rPr>
        <w:t xml:space="preserve">We have some </w:t>
      </w:r>
      <w:r>
        <w:rPr>
          <w:i/>
        </w:rPr>
        <w:t xml:space="preserve">remaining </w:t>
      </w:r>
      <w:r w:rsidRPr="004E35D6">
        <w:rPr>
          <w:i/>
        </w:rPr>
        <w:t xml:space="preserve">concerns that the effect of including scopes will not meet some of the sector’s </w:t>
      </w:r>
      <w:r>
        <w:rPr>
          <w:i/>
        </w:rPr>
        <w:t>expectations</w:t>
      </w:r>
      <w:r w:rsidRPr="004E35D6">
        <w:rPr>
          <w:i/>
        </w:rPr>
        <w:t>.  Some of the public commentary appear</w:t>
      </w:r>
      <w:r>
        <w:rPr>
          <w:i/>
        </w:rPr>
        <w:t>ed</w:t>
      </w:r>
      <w:r w:rsidRPr="004E35D6">
        <w:rPr>
          <w:i/>
        </w:rPr>
        <w:t xml:space="preserve"> to assume that a scope of practice model would function as a licensing regime, meaning that anyone doing work covered by the scope would be required to be a registered social worker.  This is incorrect – in the HPCA Act model scopes only apply to people who are already registered or undertake restricted activities.</w:t>
      </w:r>
    </w:p>
    <w:p w:rsidR="004E35D6" w:rsidRPr="004E35D6" w:rsidRDefault="004E35D6" w:rsidP="004E35D6">
      <w:pPr>
        <w:numPr>
          <w:ilvl w:val="0"/>
          <w:numId w:val="8"/>
        </w:numPr>
        <w:spacing w:after="240" w:line="240" w:lineRule="auto"/>
        <w:ind w:left="567" w:hanging="567"/>
        <w:rPr>
          <w:i/>
        </w:rPr>
      </w:pPr>
      <w:r>
        <w:rPr>
          <w:i/>
        </w:rPr>
        <w:t>However</w:t>
      </w:r>
      <w:r w:rsidRPr="004E35D6">
        <w:rPr>
          <w:i/>
        </w:rPr>
        <w:t xml:space="preserve"> </w:t>
      </w:r>
      <w:r>
        <w:rPr>
          <w:i/>
        </w:rPr>
        <w:t>during c</w:t>
      </w:r>
      <w:r w:rsidRPr="004E35D6">
        <w:rPr>
          <w:i/>
        </w:rPr>
        <w:t xml:space="preserve">onsultation with senior sector representatives </w:t>
      </w:r>
      <w:r>
        <w:rPr>
          <w:i/>
        </w:rPr>
        <w:t xml:space="preserve">we were assured that </w:t>
      </w:r>
      <w:r w:rsidRPr="004E35D6">
        <w:rPr>
          <w:i/>
        </w:rPr>
        <w:t>the HPCA Act scopes model is well understood and would be widely accepted by the sector.</w:t>
      </w:r>
    </w:p>
    <w:p w:rsidR="004E35D6" w:rsidRPr="004E35D6" w:rsidRDefault="004E35D6" w:rsidP="004E35D6">
      <w:pPr>
        <w:numPr>
          <w:ilvl w:val="0"/>
          <w:numId w:val="8"/>
        </w:numPr>
        <w:spacing w:after="240" w:line="240" w:lineRule="auto"/>
        <w:ind w:left="567" w:hanging="567"/>
        <w:rPr>
          <w:i/>
        </w:rPr>
      </w:pPr>
      <w:r w:rsidRPr="004E35D6">
        <w:rPr>
          <w:i/>
        </w:rPr>
        <w:t xml:space="preserve">Nevertheless, as well as some differences of opinion, there does seem to </w:t>
      </w:r>
      <w:r w:rsidR="00FB72CE">
        <w:rPr>
          <w:i/>
        </w:rPr>
        <w:t xml:space="preserve">have </w:t>
      </w:r>
      <w:r w:rsidRPr="004E35D6">
        <w:rPr>
          <w:i/>
        </w:rPr>
        <w:t>be</w:t>
      </w:r>
      <w:r w:rsidR="00FB72CE">
        <w:rPr>
          <w:i/>
        </w:rPr>
        <w:t>en</w:t>
      </w:r>
      <w:r w:rsidRPr="004E35D6">
        <w:rPr>
          <w:i/>
        </w:rPr>
        <w:t xml:space="preserve"> a level of misunderstanding in the debate around the current Bill.  For this reason, as part of the process of adding provision for scopes to the Bill, it will be important to work closely with key stakeholders to ensure their concerns and their suggested amendments have been correctly understood</w:t>
      </w:r>
      <w:r w:rsidR="009F2E90">
        <w:rPr>
          <w:i/>
        </w:rPr>
        <w:t>, and that there is an agreed understanding of how the Bill will operate</w:t>
      </w:r>
      <w:r w:rsidRPr="004E35D6">
        <w:rPr>
          <w:i/>
        </w:rPr>
        <w:t xml:space="preserve">.  </w:t>
      </w:r>
      <w:r w:rsidR="009F2E90">
        <w:rPr>
          <w:i/>
        </w:rPr>
        <w:t xml:space="preserve">This will also support the achievement of the intentions of the Bill. </w:t>
      </w:r>
    </w:p>
    <w:p w:rsidR="00C05771" w:rsidRPr="00177E1D" w:rsidRDefault="00C05771" w:rsidP="00177E1D">
      <w:pPr>
        <w:spacing w:after="240" w:line="240" w:lineRule="auto"/>
        <w:outlineLvl w:val="1"/>
        <w:rPr>
          <w:rFonts w:eastAsia="Times New Roman" w:cs="Times New Roman"/>
          <w:b/>
          <w:color w:val="1F497D" w:themeColor="text2"/>
          <w:sz w:val="28"/>
          <w:szCs w:val="28"/>
          <w:lang w:val="en-GB" w:eastAsia="en-GB"/>
        </w:rPr>
      </w:pPr>
      <w:bookmarkStart w:id="82" w:name="_Toc458533101"/>
      <w:bookmarkStart w:id="83" w:name="_Toc520457899"/>
      <w:r w:rsidRPr="00177E1D">
        <w:rPr>
          <w:rFonts w:eastAsia="Times New Roman" w:cs="Times New Roman"/>
          <w:b/>
          <w:color w:val="1F497D" w:themeColor="text2"/>
          <w:sz w:val="28"/>
          <w:szCs w:val="28"/>
          <w:lang w:val="en-GB" w:eastAsia="en-GB"/>
        </w:rPr>
        <w:t>Conclusions and recommendations</w:t>
      </w:r>
      <w:bookmarkEnd w:id="82"/>
      <w:bookmarkEnd w:id="83"/>
    </w:p>
    <w:p w:rsidR="00E81C43" w:rsidRDefault="00E81C43" w:rsidP="005B5FC6">
      <w:pPr>
        <w:numPr>
          <w:ilvl w:val="0"/>
          <w:numId w:val="23"/>
        </w:numPr>
        <w:spacing w:after="240" w:line="240" w:lineRule="auto"/>
        <w:ind w:left="567" w:hanging="567"/>
        <w:rPr>
          <w:rFonts w:eastAsia="Times New Roman"/>
          <w:szCs w:val="20"/>
          <w:lang w:val="en-GB" w:eastAsia="en-GB"/>
        </w:rPr>
      </w:pPr>
      <w:bookmarkStart w:id="84" w:name="_Toc458533102"/>
      <w:r w:rsidRPr="00177E1D">
        <w:rPr>
          <w:rFonts w:eastAsia="Times New Roman"/>
          <w:szCs w:val="20"/>
          <w:lang w:val="en-GB" w:eastAsia="en-GB"/>
        </w:rPr>
        <w:t xml:space="preserve">The </w:t>
      </w:r>
      <w:r w:rsidR="001067CC">
        <w:rPr>
          <w:rFonts w:eastAsia="Times New Roman"/>
          <w:szCs w:val="20"/>
          <w:lang w:val="en-GB" w:eastAsia="en-GB"/>
        </w:rPr>
        <w:t>recommended</w:t>
      </w:r>
      <w:r w:rsidR="001067CC" w:rsidRPr="00177E1D">
        <w:rPr>
          <w:rFonts w:eastAsia="Times New Roman"/>
          <w:szCs w:val="20"/>
          <w:lang w:val="en-GB" w:eastAsia="en-GB"/>
        </w:rPr>
        <w:t xml:space="preserve"> </w:t>
      </w:r>
      <w:r w:rsidRPr="00177E1D">
        <w:rPr>
          <w:rFonts w:eastAsia="Times New Roman"/>
          <w:szCs w:val="20"/>
          <w:lang w:val="en-GB" w:eastAsia="en-GB"/>
        </w:rPr>
        <w:t xml:space="preserve">form of occupational regulation to achieve the objectives is one of mandatory certification and title protection so that only those who </w:t>
      </w:r>
      <w:r w:rsidR="001067CC">
        <w:rPr>
          <w:rFonts w:eastAsia="Times New Roman"/>
          <w:szCs w:val="20"/>
          <w:lang w:val="en-GB" w:eastAsia="en-GB"/>
        </w:rPr>
        <w:t xml:space="preserve">are </w:t>
      </w:r>
      <w:r w:rsidRPr="00177E1D">
        <w:rPr>
          <w:rFonts w:eastAsia="Times New Roman"/>
          <w:szCs w:val="20"/>
          <w:lang w:val="en-GB" w:eastAsia="en-GB"/>
        </w:rPr>
        <w:t>register</w:t>
      </w:r>
      <w:r w:rsidR="001067CC">
        <w:rPr>
          <w:rFonts w:eastAsia="Times New Roman"/>
          <w:szCs w:val="20"/>
          <w:lang w:val="en-GB" w:eastAsia="en-GB"/>
        </w:rPr>
        <w:t>ed</w:t>
      </w:r>
      <w:r w:rsidRPr="00177E1D">
        <w:rPr>
          <w:rFonts w:eastAsia="Times New Roman"/>
          <w:szCs w:val="20"/>
          <w:lang w:val="en-GB" w:eastAsia="en-GB"/>
        </w:rPr>
        <w:t xml:space="preserve"> are able to call themselves </w:t>
      </w:r>
      <w:r w:rsidR="00DF4203">
        <w:rPr>
          <w:rFonts w:eastAsia="Times New Roman"/>
          <w:szCs w:val="20"/>
          <w:lang w:val="en-GB" w:eastAsia="en-GB"/>
        </w:rPr>
        <w:t>“</w:t>
      </w:r>
      <w:r w:rsidRPr="00177E1D">
        <w:rPr>
          <w:rFonts w:eastAsia="Times New Roman"/>
          <w:szCs w:val="20"/>
          <w:lang w:val="en-GB" w:eastAsia="en-GB"/>
        </w:rPr>
        <w:t>social workers</w:t>
      </w:r>
      <w:r w:rsidR="00DF4203">
        <w:rPr>
          <w:rFonts w:eastAsia="Times New Roman"/>
          <w:szCs w:val="20"/>
          <w:lang w:val="en-GB" w:eastAsia="en-GB"/>
        </w:rPr>
        <w:t>”</w:t>
      </w:r>
      <w:r w:rsidRPr="00177E1D">
        <w:rPr>
          <w:rFonts w:eastAsia="Times New Roman"/>
          <w:szCs w:val="20"/>
          <w:lang w:val="en-GB" w:eastAsia="en-GB"/>
        </w:rPr>
        <w:t>.  Under this approach, it would be an offence to represent oneself as a social worker unless registered with the Board.  This will allow employing and contacting agencies to speci</w:t>
      </w:r>
      <w:r w:rsidR="000F1702">
        <w:rPr>
          <w:rFonts w:eastAsia="Times New Roman"/>
          <w:szCs w:val="20"/>
          <w:lang w:val="en-GB" w:eastAsia="en-GB"/>
        </w:rPr>
        <w:t>fy where and when</w:t>
      </w:r>
      <w:r w:rsidRPr="00177E1D">
        <w:rPr>
          <w:rFonts w:eastAsia="Times New Roman"/>
          <w:szCs w:val="20"/>
          <w:lang w:val="en-GB" w:eastAsia="en-GB"/>
        </w:rPr>
        <w:t xml:space="preserve"> social workers and social work skills are required</w:t>
      </w:r>
      <w:r w:rsidR="00191E07" w:rsidRPr="000473EF">
        <w:rPr>
          <w:rFonts w:eastAsia="Times New Roman"/>
          <w:szCs w:val="20"/>
          <w:lang w:val="en-GB" w:eastAsia="en-GB"/>
        </w:rPr>
        <w:t xml:space="preserve">, ensuring a precise form of task </w:t>
      </w:r>
      <w:r w:rsidR="00191E07" w:rsidRPr="009A1C49">
        <w:rPr>
          <w:rFonts w:eastAsia="Times New Roman"/>
          <w:szCs w:val="20"/>
          <w:lang w:val="en-GB" w:eastAsia="en-GB"/>
        </w:rPr>
        <w:t>licencing</w:t>
      </w:r>
      <w:r w:rsidR="00CE0CB0" w:rsidRPr="009A1C49">
        <w:rPr>
          <w:rFonts w:eastAsia="Times New Roman"/>
          <w:szCs w:val="20"/>
          <w:lang w:val="en-GB" w:eastAsia="en-GB"/>
        </w:rPr>
        <w:t xml:space="preserve"> </w:t>
      </w:r>
      <w:r w:rsidR="009A1C49">
        <w:rPr>
          <w:rFonts w:eastAsia="Times New Roman"/>
          <w:szCs w:val="20"/>
          <w:lang w:val="en-GB" w:eastAsia="en-GB"/>
        </w:rPr>
        <w:t>as and</w:t>
      </w:r>
      <w:r w:rsidR="00CE0CB0" w:rsidRPr="009A1C49">
        <w:rPr>
          <w:rFonts w:eastAsia="Times New Roman"/>
          <w:szCs w:val="20"/>
          <w:lang w:val="en-GB" w:eastAsia="en-GB"/>
        </w:rPr>
        <w:t xml:space="preserve"> where appropriate</w:t>
      </w:r>
      <w:r w:rsidR="004B1D2F" w:rsidRPr="009A1C49">
        <w:rPr>
          <w:rFonts w:eastAsia="Times New Roman"/>
          <w:szCs w:val="20"/>
          <w:lang w:val="en-GB" w:eastAsia="en-GB"/>
        </w:rPr>
        <w:t>.</w:t>
      </w:r>
      <w:r w:rsidRPr="00177E1D">
        <w:rPr>
          <w:rFonts w:eastAsia="Times New Roman"/>
          <w:szCs w:val="20"/>
          <w:lang w:val="en-GB" w:eastAsia="en-GB"/>
        </w:rPr>
        <w:t xml:space="preserve"> </w:t>
      </w:r>
      <w:r w:rsidR="00D76064">
        <w:rPr>
          <w:rFonts w:eastAsia="Times New Roman"/>
          <w:szCs w:val="20"/>
          <w:lang w:val="en-GB" w:eastAsia="en-GB"/>
        </w:rPr>
        <w:t xml:space="preserve"> </w:t>
      </w:r>
      <w:r w:rsidR="004B1D2F">
        <w:rPr>
          <w:rFonts w:eastAsia="Times New Roman"/>
          <w:szCs w:val="20"/>
          <w:lang w:val="en-GB" w:eastAsia="en-GB"/>
        </w:rPr>
        <w:t xml:space="preserve">In contrast our analysis indicates that </w:t>
      </w:r>
      <w:r w:rsidRPr="00177E1D">
        <w:rPr>
          <w:rFonts w:eastAsia="Times New Roman"/>
          <w:szCs w:val="20"/>
          <w:lang w:val="en-GB" w:eastAsia="en-GB"/>
        </w:rPr>
        <w:t>generic task or occupational licencing would be highly disruptive to the social services sector because of the difficulties in distinctly defining social work, and run counter to the multidisciplinary environment in which most social work happens.</w:t>
      </w:r>
    </w:p>
    <w:p w:rsidR="001067CC" w:rsidRPr="00177E1D" w:rsidRDefault="001067CC"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 xml:space="preserve">The amendments recommended in Part Two </w:t>
      </w:r>
      <w:r w:rsidR="009F2E90">
        <w:rPr>
          <w:rFonts w:eastAsia="Times New Roman"/>
          <w:szCs w:val="20"/>
          <w:lang w:val="en-GB" w:eastAsia="en-GB"/>
        </w:rPr>
        <w:t xml:space="preserve">of the RIS </w:t>
      </w:r>
      <w:r>
        <w:rPr>
          <w:rFonts w:eastAsia="Times New Roman"/>
          <w:szCs w:val="20"/>
          <w:lang w:val="en-GB" w:eastAsia="en-GB"/>
        </w:rPr>
        <w:t xml:space="preserve">are expected to improve the effective functioning of </w:t>
      </w:r>
      <w:r w:rsidR="00CC7880">
        <w:rPr>
          <w:rFonts w:eastAsia="Times New Roman"/>
          <w:szCs w:val="20"/>
          <w:lang w:val="en-GB" w:eastAsia="en-GB"/>
        </w:rPr>
        <w:t>the SWR Act</w:t>
      </w:r>
      <w:r>
        <w:rPr>
          <w:rFonts w:eastAsia="Times New Roman"/>
          <w:szCs w:val="20"/>
          <w:lang w:val="en-GB" w:eastAsia="en-GB"/>
        </w:rPr>
        <w:t xml:space="preserve"> and reducing compliance costs.  They would be of value even if the recommended changes to registration are not accepted.</w:t>
      </w:r>
    </w:p>
    <w:p w:rsidR="00C05771" w:rsidRPr="00F87BA3" w:rsidRDefault="00C05771" w:rsidP="00177E1D">
      <w:pPr>
        <w:spacing w:after="240" w:line="240" w:lineRule="auto"/>
        <w:outlineLvl w:val="1"/>
        <w:rPr>
          <w:rFonts w:eastAsia="Times New Roman" w:cs="Times New Roman"/>
          <w:b/>
          <w:color w:val="1F497D" w:themeColor="text2"/>
          <w:sz w:val="28"/>
          <w:szCs w:val="28"/>
          <w:lang w:val="en-GB" w:eastAsia="en-GB"/>
        </w:rPr>
      </w:pPr>
      <w:bookmarkStart w:id="85" w:name="_Toc520457900"/>
      <w:r w:rsidRPr="00F87BA3">
        <w:rPr>
          <w:rFonts w:eastAsia="Times New Roman" w:cs="Times New Roman"/>
          <w:b/>
          <w:color w:val="1F497D" w:themeColor="text2"/>
          <w:sz w:val="28"/>
          <w:szCs w:val="28"/>
          <w:lang w:val="en-GB" w:eastAsia="en-GB"/>
        </w:rPr>
        <w:t>Implementation plan</w:t>
      </w:r>
      <w:bookmarkEnd w:id="84"/>
      <w:bookmarkEnd w:id="85"/>
    </w:p>
    <w:p w:rsidR="00C15335" w:rsidRDefault="005415F4" w:rsidP="00177E1D">
      <w:pPr>
        <w:numPr>
          <w:ilvl w:val="0"/>
          <w:numId w:val="8"/>
        </w:numPr>
        <w:spacing w:after="240" w:line="240" w:lineRule="auto"/>
        <w:ind w:left="567" w:hanging="567"/>
        <w:rPr>
          <w:rFonts w:eastAsia="Times New Roman" w:cs="Times New Roman"/>
          <w:szCs w:val="20"/>
          <w:lang w:val="en-GB" w:eastAsia="en-GB"/>
        </w:rPr>
      </w:pPr>
      <w:bookmarkStart w:id="86" w:name="_Toc458533103"/>
      <w:r w:rsidRPr="009A1C49">
        <w:rPr>
          <w:rFonts w:eastAsia="Times New Roman" w:cs="Times New Roman"/>
          <w:szCs w:val="20"/>
          <w:lang w:val="en-GB" w:eastAsia="en-GB"/>
        </w:rPr>
        <w:t xml:space="preserve">The </w:t>
      </w:r>
      <w:r w:rsidR="00CE0CB0" w:rsidRPr="009A1C49">
        <w:rPr>
          <w:rFonts w:eastAsia="Times New Roman" w:cs="Times New Roman"/>
          <w:szCs w:val="20"/>
          <w:lang w:val="en-GB" w:eastAsia="en-GB"/>
        </w:rPr>
        <w:t xml:space="preserve">majority of </w:t>
      </w:r>
      <w:r w:rsidRPr="009A1C49">
        <w:rPr>
          <w:rFonts w:eastAsia="Times New Roman" w:cs="Times New Roman"/>
          <w:szCs w:val="20"/>
          <w:lang w:val="en-GB" w:eastAsia="en-GB"/>
        </w:rPr>
        <w:t>amendments</w:t>
      </w:r>
      <w:r>
        <w:rPr>
          <w:rFonts w:eastAsia="Times New Roman" w:cs="Times New Roman"/>
          <w:szCs w:val="20"/>
          <w:lang w:val="en-GB" w:eastAsia="en-GB"/>
        </w:rPr>
        <w:t xml:space="preserve"> proposed in Part Two could come into effect immediately on the passing of the new legislation and will ease the transition to m</w:t>
      </w:r>
      <w:r w:rsidRPr="00B4151C">
        <w:rPr>
          <w:rFonts w:eastAsia="Times New Roman" w:cs="Times New Roman"/>
          <w:szCs w:val="20"/>
          <w:lang w:val="en-GB" w:eastAsia="en-GB"/>
        </w:rPr>
        <w:t xml:space="preserve">andatory social worker registration </w:t>
      </w:r>
      <w:r>
        <w:rPr>
          <w:rFonts w:eastAsia="Times New Roman" w:cs="Times New Roman"/>
          <w:szCs w:val="20"/>
          <w:lang w:val="en-GB" w:eastAsia="en-GB"/>
        </w:rPr>
        <w:t xml:space="preserve">recommended in Part One.  </w:t>
      </w:r>
      <w:r w:rsidR="000C69AC" w:rsidRPr="00B4151C">
        <w:rPr>
          <w:rFonts w:eastAsia="Times New Roman" w:cs="Times New Roman"/>
          <w:szCs w:val="20"/>
          <w:lang w:val="en-GB" w:eastAsia="en-GB"/>
        </w:rPr>
        <w:t xml:space="preserve">Mandatory social worker registration will be phased in over a </w:t>
      </w:r>
      <w:r w:rsidR="00B4151C" w:rsidRPr="006D44F9">
        <w:rPr>
          <w:rFonts w:eastAsia="Times New Roman" w:cs="Times New Roman"/>
          <w:szCs w:val="20"/>
          <w:lang w:val="en-GB" w:eastAsia="en-GB"/>
        </w:rPr>
        <w:t>two</w:t>
      </w:r>
      <w:r w:rsidR="000C69AC" w:rsidRPr="00B4151C">
        <w:rPr>
          <w:rFonts w:eastAsia="Times New Roman" w:cs="Times New Roman"/>
          <w:szCs w:val="20"/>
          <w:lang w:val="en-GB" w:eastAsia="en-GB"/>
        </w:rPr>
        <w:t xml:space="preserve"> year period from the time the amended legislation comes into force. </w:t>
      </w:r>
      <w:r w:rsidR="00B4151C" w:rsidRPr="00B4151C">
        <w:rPr>
          <w:rFonts w:eastAsia="Times New Roman" w:cs="Times New Roman"/>
          <w:szCs w:val="20"/>
          <w:lang w:val="en-GB" w:eastAsia="en-GB"/>
        </w:rPr>
        <w:t xml:space="preserve"> </w:t>
      </w:r>
      <w:r w:rsidR="000C69AC" w:rsidRPr="00B4151C">
        <w:rPr>
          <w:rFonts w:eastAsia="Times New Roman" w:cs="Times New Roman"/>
          <w:szCs w:val="20"/>
          <w:lang w:val="en-GB" w:eastAsia="en-GB"/>
        </w:rPr>
        <w:t xml:space="preserve">The Board has stated that it has the capacity to successfully handle the projected increase in registration. </w:t>
      </w:r>
      <w:r w:rsidR="00B4151C">
        <w:rPr>
          <w:rFonts w:eastAsia="Times New Roman" w:cs="Times New Roman"/>
          <w:szCs w:val="20"/>
          <w:lang w:val="en-GB" w:eastAsia="en-GB"/>
        </w:rPr>
        <w:t xml:space="preserve"> </w:t>
      </w:r>
      <w:r w:rsidR="000C69AC" w:rsidRPr="00B4151C">
        <w:rPr>
          <w:rFonts w:eastAsia="Times New Roman" w:cs="Times New Roman"/>
          <w:szCs w:val="20"/>
          <w:lang w:val="en-GB" w:eastAsia="en-GB"/>
        </w:rPr>
        <w:t xml:space="preserve">MSD will work with the Board to ensure the social work sector is aware of the change to mandatory registration, and provide guidance to </w:t>
      </w:r>
      <w:r w:rsidR="00B4151C">
        <w:rPr>
          <w:rFonts w:eastAsia="Times New Roman" w:cs="Times New Roman"/>
          <w:szCs w:val="20"/>
          <w:lang w:val="en-GB" w:eastAsia="en-GB"/>
        </w:rPr>
        <w:t xml:space="preserve">unregistered </w:t>
      </w:r>
      <w:r w:rsidR="000C69AC" w:rsidRPr="00B4151C">
        <w:rPr>
          <w:rFonts w:eastAsia="Times New Roman" w:cs="Times New Roman"/>
          <w:szCs w:val="20"/>
          <w:lang w:val="en-GB" w:eastAsia="en-GB"/>
        </w:rPr>
        <w:t xml:space="preserve">social workers, in particular the </w:t>
      </w:r>
      <w:r w:rsidR="000C69AC" w:rsidRPr="00B4151C">
        <w:rPr>
          <w:rFonts w:eastAsia="Times New Roman" w:cs="Times New Roman"/>
          <w:szCs w:val="20"/>
          <w:lang w:val="en-GB" w:eastAsia="en-GB"/>
        </w:rPr>
        <w:lastRenderedPageBreak/>
        <w:t xml:space="preserve">NGO sector, on how to gain registration. </w:t>
      </w:r>
      <w:r w:rsidR="00B4151C">
        <w:rPr>
          <w:rFonts w:eastAsia="Times New Roman" w:cs="Times New Roman"/>
          <w:szCs w:val="20"/>
          <w:lang w:val="en-GB" w:eastAsia="en-GB"/>
        </w:rPr>
        <w:t xml:space="preserve"> </w:t>
      </w:r>
      <w:r w:rsidR="000C69AC" w:rsidRPr="00B4151C">
        <w:rPr>
          <w:rFonts w:eastAsia="Times New Roman" w:cs="Times New Roman"/>
          <w:szCs w:val="20"/>
          <w:lang w:val="en-GB" w:eastAsia="en-GB"/>
        </w:rPr>
        <w:t>This will include providing information about up</w:t>
      </w:r>
      <w:r w:rsidR="005970B3">
        <w:rPr>
          <w:rFonts w:eastAsia="Times New Roman" w:cs="Times New Roman"/>
          <w:szCs w:val="20"/>
          <w:lang w:val="en-GB" w:eastAsia="en-GB"/>
        </w:rPr>
        <w:t>-</w:t>
      </w:r>
      <w:r w:rsidR="000C69AC" w:rsidRPr="00B4151C">
        <w:rPr>
          <w:rFonts w:eastAsia="Times New Roman" w:cs="Times New Roman"/>
          <w:szCs w:val="20"/>
          <w:lang w:val="en-GB" w:eastAsia="en-GB"/>
        </w:rPr>
        <w:t>skilling and gaining a Board recognised qualification or equivalent experience</w:t>
      </w:r>
      <w:r w:rsidR="00B4151C">
        <w:rPr>
          <w:rFonts w:eastAsia="Times New Roman" w:cs="Times New Roman"/>
          <w:szCs w:val="20"/>
          <w:lang w:val="en-GB" w:eastAsia="en-GB"/>
        </w:rPr>
        <w:t>.</w:t>
      </w:r>
    </w:p>
    <w:p w:rsidR="004375D8" w:rsidRPr="004E35D6" w:rsidRDefault="004375D8" w:rsidP="004E35D6">
      <w:pPr>
        <w:spacing w:after="240" w:line="240" w:lineRule="auto"/>
        <w:outlineLvl w:val="1"/>
        <w:rPr>
          <w:rFonts w:eastAsia="Times New Roman" w:cs="Times New Roman"/>
          <w:b/>
          <w:i/>
          <w:color w:val="1F497D" w:themeColor="text2"/>
          <w:sz w:val="28"/>
          <w:szCs w:val="28"/>
          <w:lang w:val="en-GB" w:eastAsia="en-GB"/>
        </w:rPr>
      </w:pPr>
      <w:bookmarkStart w:id="87" w:name="_Toc520457901"/>
      <w:r w:rsidRPr="004E35D6">
        <w:rPr>
          <w:rFonts w:eastAsia="Times New Roman" w:cs="Times New Roman"/>
          <w:b/>
          <w:i/>
          <w:color w:val="1F497D" w:themeColor="text2"/>
          <w:sz w:val="28"/>
          <w:szCs w:val="28"/>
          <w:lang w:val="en-GB" w:eastAsia="en-GB"/>
        </w:rPr>
        <w:t>U</w:t>
      </w:r>
      <w:r w:rsidR="00AE4126" w:rsidRPr="004E35D6">
        <w:rPr>
          <w:rFonts w:eastAsia="Times New Roman" w:cs="Times New Roman"/>
          <w:b/>
          <w:i/>
          <w:color w:val="1F497D" w:themeColor="text2"/>
          <w:sz w:val="28"/>
          <w:szCs w:val="28"/>
          <w:lang w:val="en-GB" w:eastAsia="en-GB"/>
        </w:rPr>
        <w:t>pdate</w:t>
      </w:r>
      <w:r w:rsidRPr="004E35D6">
        <w:rPr>
          <w:rFonts w:eastAsia="Times New Roman" w:cs="Times New Roman"/>
          <w:b/>
          <w:i/>
          <w:color w:val="1F497D" w:themeColor="text2"/>
          <w:sz w:val="28"/>
          <w:szCs w:val="28"/>
          <w:lang w:val="en-GB" w:eastAsia="en-GB"/>
        </w:rPr>
        <w:t xml:space="preserve"> </w:t>
      </w:r>
      <w:r w:rsidR="00222BA0" w:rsidRPr="004E35D6">
        <w:rPr>
          <w:rFonts w:eastAsia="Times New Roman" w:cs="Times New Roman"/>
          <w:b/>
          <w:i/>
          <w:color w:val="1F497D" w:themeColor="text2"/>
          <w:sz w:val="28"/>
          <w:szCs w:val="28"/>
          <w:lang w:val="en-GB" w:eastAsia="en-GB"/>
        </w:rPr>
        <w:t>on implementation issues</w:t>
      </w:r>
      <w:bookmarkEnd w:id="87"/>
    </w:p>
    <w:p w:rsidR="00222BA0" w:rsidRPr="00AF3F4B" w:rsidRDefault="00222BA0" w:rsidP="00AF3F4B">
      <w:pPr>
        <w:numPr>
          <w:ilvl w:val="0"/>
          <w:numId w:val="8"/>
        </w:numPr>
        <w:spacing w:after="240" w:line="240" w:lineRule="auto"/>
        <w:ind w:left="567" w:hanging="567"/>
        <w:rPr>
          <w:rFonts w:eastAsia="Times New Roman" w:cs="Times New Roman"/>
          <w:i/>
          <w:szCs w:val="20"/>
          <w:lang w:val="en-GB" w:eastAsia="en-GB"/>
        </w:rPr>
      </w:pPr>
      <w:r w:rsidRPr="00AF3F4B">
        <w:rPr>
          <w:rFonts w:eastAsia="Times New Roman" w:cs="Times New Roman"/>
          <w:i/>
          <w:szCs w:val="20"/>
          <w:lang w:val="en-GB" w:eastAsia="en-GB"/>
        </w:rPr>
        <w:t xml:space="preserve">Detailed cross-sector implementation planning </w:t>
      </w:r>
      <w:r>
        <w:rPr>
          <w:rFonts w:eastAsia="Times New Roman" w:cs="Times New Roman"/>
          <w:i/>
          <w:szCs w:val="20"/>
          <w:lang w:val="en-GB" w:eastAsia="en-GB"/>
        </w:rPr>
        <w:t>is being scoped</w:t>
      </w:r>
      <w:r w:rsidRPr="00AF3F4B">
        <w:rPr>
          <w:rFonts w:eastAsia="Times New Roman" w:cs="Times New Roman"/>
          <w:i/>
          <w:szCs w:val="20"/>
          <w:lang w:val="en-GB" w:eastAsia="en-GB"/>
        </w:rPr>
        <w:t xml:space="preserve">, </w:t>
      </w:r>
      <w:r>
        <w:rPr>
          <w:rFonts w:eastAsia="Times New Roman" w:cs="Times New Roman"/>
          <w:i/>
          <w:szCs w:val="20"/>
          <w:lang w:val="en-GB" w:eastAsia="en-GB"/>
        </w:rPr>
        <w:t>and</w:t>
      </w:r>
      <w:r w:rsidRPr="00AF3F4B">
        <w:rPr>
          <w:rFonts w:eastAsia="Times New Roman" w:cs="Times New Roman"/>
          <w:i/>
          <w:szCs w:val="20"/>
          <w:lang w:val="en-GB" w:eastAsia="en-GB"/>
        </w:rPr>
        <w:t xml:space="preserve"> will need to involve input from a range of stakeholders, including the Board, sector representatives and major employers.  </w:t>
      </w:r>
      <w:r>
        <w:rPr>
          <w:rFonts w:eastAsia="Times New Roman" w:cs="Times New Roman"/>
          <w:i/>
          <w:szCs w:val="20"/>
          <w:lang w:val="en-GB" w:eastAsia="en-GB"/>
        </w:rPr>
        <w:t>Identified</w:t>
      </w:r>
      <w:r w:rsidRPr="00AF3F4B">
        <w:rPr>
          <w:rFonts w:eastAsia="Times New Roman" w:cs="Times New Roman"/>
          <w:i/>
          <w:szCs w:val="20"/>
          <w:lang w:val="en-GB" w:eastAsia="en-GB"/>
        </w:rPr>
        <w:t xml:space="preserve"> implementation </w:t>
      </w:r>
      <w:r>
        <w:rPr>
          <w:rFonts w:eastAsia="Times New Roman" w:cs="Times New Roman"/>
          <w:i/>
          <w:szCs w:val="20"/>
          <w:lang w:val="en-GB" w:eastAsia="en-GB"/>
        </w:rPr>
        <w:t>needs</w:t>
      </w:r>
      <w:r w:rsidRPr="00AF3F4B">
        <w:rPr>
          <w:rFonts w:eastAsia="Times New Roman" w:cs="Times New Roman"/>
          <w:i/>
          <w:szCs w:val="20"/>
          <w:lang w:val="en-GB" w:eastAsia="en-GB"/>
        </w:rPr>
        <w:t xml:space="preserve"> includ</w:t>
      </w:r>
      <w:r>
        <w:rPr>
          <w:rFonts w:eastAsia="Times New Roman" w:cs="Times New Roman"/>
          <w:i/>
          <w:szCs w:val="20"/>
          <w:lang w:val="en-GB" w:eastAsia="en-GB"/>
        </w:rPr>
        <w:t>e</w:t>
      </w:r>
      <w:r w:rsidRPr="00AF3F4B">
        <w:rPr>
          <w:rFonts w:eastAsia="Times New Roman" w:cs="Times New Roman"/>
          <w:i/>
          <w:szCs w:val="20"/>
          <w:lang w:val="en-GB" w:eastAsia="en-GB"/>
        </w:rPr>
        <w:t xml:space="preserve">: </w:t>
      </w:r>
    </w:p>
    <w:p w:rsidR="00222BA0" w:rsidRPr="00AF3F4B" w:rsidRDefault="00222BA0" w:rsidP="00AF3F4B">
      <w:pPr>
        <w:numPr>
          <w:ilvl w:val="1"/>
          <w:numId w:val="17"/>
        </w:numPr>
        <w:spacing w:before="120" w:line="240" w:lineRule="auto"/>
        <w:ind w:left="1134" w:hanging="425"/>
        <w:rPr>
          <w:rFonts w:eastAsia="Times New Roman" w:cs="Times New Roman"/>
          <w:i/>
          <w:szCs w:val="20"/>
          <w:lang w:val="en-GB" w:eastAsia="en-GB"/>
        </w:rPr>
      </w:pPr>
      <w:r w:rsidRPr="00AF3F4B">
        <w:rPr>
          <w:rFonts w:eastAsia="Times New Roman" w:cs="Times New Roman"/>
          <w:i/>
          <w:szCs w:val="20"/>
          <w:lang w:val="en-GB" w:eastAsia="en-GB"/>
        </w:rPr>
        <w:t>Information and promotion of the new requirements and timeframes to current social workers and employers, as well as training providers and current and prospective students</w:t>
      </w:r>
      <w:r w:rsidR="009C07D8">
        <w:rPr>
          <w:rFonts w:eastAsia="Times New Roman" w:cs="Times New Roman"/>
          <w:i/>
          <w:szCs w:val="20"/>
          <w:lang w:val="en-GB" w:eastAsia="en-GB"/>
        </w:rPr>
        <w:t>.</w:t>
      </w:r>
    </w:p>
    <w:p w:rsidR="00222BA0" w:rsidRPr="00AF3F4B" w:rsidRDefault="00222BA0" w:rsidP="00AF3F4B">
      <w:pPr>
        <w:numPr>
          <w:ilvl w:val="1"/>
          <w:numId w:val="17"/>
        </w:numPr>
        <w:spacing w:before="120" w:line="240" w:lineRule="auto"/>
        <w:ind w:left="1134" w:hanging="425"/>
        <w:rPr>
          <w:rFonts w:eastAsia="Times New Roman" w:cs="Times New Roman"/>
          <w:i/>
          <w:szCs w:val="20"/>
          <w:lang w:val="en-GB" w:eastAsia="en-GB"/>
        </w:rPr>
      </w:pPr>
      <w:r>
        <w:rPr>
          <w:rFonts w:eastAsia="Times New Roman" w:cs="Times New Roman"/>
          <w:i/>
          <w:szCs w:val="20"/>
          <w:lang w:val="en-GB" w:eastAsia="en-GB"/>
        </w:rPr>
        <w:t xml:space="preserve">Consideration of </w:t>
      </w:r>
      <w:r w:rsidRPr="00AF3F4B">
        <w:rPr>
          <w:rFonts w:eastAsia="Times New Roman" w:cs="Times New Roman"/>
          <w:i/>
          <w:szCs w:val="20"/>
          <w:lang w:val="en-GB" w:eastAsia="en-GB"/>
        </w:rPr>
        <w:t>funding implications for the sector</w:t>
      </w:r>
      <w:r w:rsidR="009F2E90">
        <w:rPr>
          <w:rFonts w:eastAsia="Times New Roman" w:cs="Times New Roman"/>
          <w:i/>
          <w:szCs w:val="20"/>
          <w:lang w:val="en-GB" w:eastAsia="en-GB"/>
        </w:rPr>
        <w:t xml:space="preserve">.  Given the consistent concerns expressed by NGO submitters on the Bill, government agencies who contract for social work services from NGOs will need to consider reassessing funding levels for NGOs who will otherwise struggle to meet </w:t>
      </w:r>
      <w:r w:rsidR="009C07D8">
        <w:rPr>
          <w:rFonts w:eastAsia="Times New Roman" w:cs="Times New Roman"/>
          <w:i/>
          <w:szCs w:val="20"/>
          <w:lang w:val="en-GB" w:eastAsia="en-GB"/>
        </w:rPr>
        <w:t xml:space="preserve">cost increases arising from having to employ only registered social workers.  If mandatory registration uncovers a significant shortfall in appropriately qualified social workers schemes such as the </w:t>
      </w:r>
      <w:r w:rsidR="009C07D8" w:rsidRPr="00FB72CE">
        <w:rPr>
          <w:rFonts w:eastAsia="Times New Roman" w:cs="Times New Roman"/>
          <w:i/>
          <w:szCs w:val="20"/>
          <w:lang w:val="en-GB" w:eastAsia="en-GB"/>
        </w:rPr>
        <w:t>previous NGO Scholarship Awards</w:t>
      </w:r>
      <w:r w:rsidR="009C07D8">
        <w:rPr>
          <w:rFonts w:eastAsia="Times New Roman" w:cs="Times New Roman"/>
          <w:i/>
          <w:szCs w:val="20"/>
          <w:lang w:val="en-GB" w:eastAsia="en-GB"/>
        </w:rPr>
        <w:t xml:space="preserve"> may need to be revisited.</w:t>
      </w:r>
    </w:p>
    <w:p w:rsidR="00222BA0" w:rsidRPr="00AF3F4B" w:rsidRDefault="00222BA0" w:rsidP="00AF3F4B">
      <w:pPr>
        <w:numPr>
          <w:ilvl w:val="1"/>
          <w:numId w:val="17"/>
        </w:numPr>
        <w:spacing w:before="120" w:line="240" w:lineRule="auto"/>
        <w:ind w:left="1134" w:hanging="425"/>
        <w:rPr>
          <w:rFonts w:eastAsia="Times New Roman" w:cs="Times New Roman"/>
          <w:i/>
          <w:szCs w:val="20"/>
          <w:lang w:val="en-GB" w:eastAsia="en-GB"/>
        </w:rPr>
      </w:pPr>
      <w:r w:rsidRPr="00AF3F4B">
        <w:rPr>
          <w:rFonts w:eastAsia="Times New Roman" w:cs="Times New Roman"/>
          <w:i/>
          <w:szCs w:val="20"/>
          <w:lang w:val="en-GB" w:eastAsia="en-GB"/>
        </w:rPr>
        <w:t>Linkages with related policy work currently being scoped by the New Zealand Qualifications Authority looking at social work education and training needs, and workforce planning issues.</w:t>
      </w:r>
      <w:r w:rsidR="009C07D8">
        <w:rPr>
          <w:rFonts w:eastAsia="Times New Roman" w:cs="Times New Roman"/>
          <w:i/>
          <w:szCs w:val="20"/>
          <w:lang w:val="en-GB" w:eastAsia="en-GB"/>
        </w:rPr>
        <w:t xml:space="preserve">  </w:t>
      </w:r>
    </w:p>
    <w:p w:rsidR="009C07D8" w:rsidRPr="00AF3F4B" w:rsidRDefault="009C07D8" w:rsidP="009C07D8">
      <w:pPr>
        <w:numPr>
          <w:ilvl w:val="1"/>
          <w:numId w:val="17"/>
        </w:numPr>
        <w:spacing w:before="120" w:line="240" w:lineRule="auto"/>
        <w:ind w:left="1134" w:hanging="425"/>
        <w:rPr>
          <w:rFonts w:eastAsia="Times New Roman" w:cs="Times New Roman"/>
          <w:i/>
          <w:szCs w:val="20"/>
          <w:lang w:val="en-GB" w:eastAsia="en-GB"/>
        </w:rPr>
      </w:pPr>
      <w:r>
        <w:rPr>
          <w:rFonts w:eastAsia="Times New Roman" w:cs="Times New Roman"/>
          <w:i/>
          <w:szCs w:val="20"/>
          <w:lang w:val="en-GB" w:eastAsia="en-GB"/>
        </w:rPr>
        <w:t>E</w:t>
      </w:r>
      <w:r w:rsidRPr="00AF3F4B">
        <w:rPr>
          <w:rFonts w:eastAsia="Times New Roman" w:cs="Times New Roman"/>
          <w:i/>
          <w:szCs w:val="20"/>
          <w:lang w:val="en-GB" w:eastAsia="en-GB"/>
        </w:rPr>
        <w:t>nforcement capability and resourcing to investigate concerns of people claiming to be social workers when they are not registered and, where necessary, to prosecute those individuals</w:t>
      </w:r>
      <w:r>
        <w:rPr>
          <w:rFonts w:eastAsia="Times New Roman" w:cs="Times New Roman"/>
          <w:i/>
          <w:szCs w:val="20"/>
          <w:lang w:val="en-GB" w:eastAsia="en-GB"/>
        </w:rPr>
        <w:t>.</w:t>
      </w:r>
      <w:r w:rsidRPr="00AF3F4B">
        <w:rPr>
          <w:rFonts w:eastAsia="Times New Roman" w:cs="Times New Roman"/>
          <w:i/>
          <w:szCs w:val="20"/>
          <w:lang w:val="en-GB" w:eastAsia="en-GB"/>
        </w:rPr>
        <w:t xml:space="preserve"> </w:t>
      </w:r>
    </w:p>
    <w:p w:rsidR="00222BA0" w:rsidRDefault="00222BA0" w:rsidP="00AF3F4B">
      <w:pPr>
        <w:pStyle w:val="BodyText"/>
        <w:spacing w:before="240" w:after="0" w:line="240" w:lineRule="auto"/>
        <w:ind w:left="988"/>
        <w:jc w:val="both"/>
      </w:pPr>
    </w:p>
    <w:p w:rsidR="00C05771" w:rsidRPr="00F87BA3" w:rsidRDefault="00C05771" w:rsidP="00177E1D">
      <w:pPr>
        <w:spacing w:after="240" w:line="240" w:lineRule="auto"/>
        <w:outlineLvl w:val="1"/>
        <w:rPr>
          <w:rFonts w:eastAsia="Times New Roman" w:cs="Times New Roman"/>
          <w:b/>
          <w:color w:val="1F497D" w:themeColor="text2"/>
          <w:sz w:val="28"/>
          <w:szCs w:val="28"/>
          <w:lang w:val="en-GB" w:eastAsia="en-GB"/>
        </w:rPr>
      </w:pPr>
      <w:bookmarkStart w:id="88" w:name="_Toc520457902"/>
      <w:r w:rsidRPr="00F87BA3">
        <w:rPr>
          <w:rFonts w:eastAsia="Times New Roman" w:cs="Times New Roman"/>
          <w:b/>
          <w:color w:val="1F497D" w:themeColor="text2"/>
          <w:sz w:val="28"/>
          <w:szCs w:val="28"/>
          <w:lang w:val="en-GB" w:eastAsia="en-GB"/>
        </w:rPr>
        <w:t>Monitoring, evaluation and review</w:t>
      </w:r>
      <w:bookmarkEnd w:id="86"/>
      <w:bookmarkEnd w:id="88"/>
      <w:r w:rsidRPr="00F87BA3">
        <w:rPr>
          <w:rFonts w:eastAsia="Times New Roman" w:cs="Times New Roman"/>
          <w:b/>
          <w:color w:val="1F497D" w:themeColor="text2"/>
          <w:sz w:val="28"/>
          <w:szCs w:val="28"/>
          <w:lang w:val="en-GB" w:eastAsia="en-GB"/>
        </w:rPr>
        <w:t xml:space="preserve"> </w:t>
      </w:r>
    </w:p>
    <w:bookmarkEnd w:id="15"/>
    <w:bookmarkEnd w:id="16"/>
    <w:bookmarkEnd w:id="17"/>
    <w:bookmarkEnd w:id="18"/>
    <w:bookmarkEnd w:id="19"/>
    <w:bookmarkEnd w:id="20"/>
    <w:bookmarkEnd w:id="21"/>
    <w:bookmarkEnd w:id="22"/>
    <w:bookmarkEnd w:id="23"/>
    <w:bookmarkEnd w:id="24"/>
    <w:bookmarkEnd w:id="67"/>
    <w:bookmarkEnd w:id="68"/>
    <w:bookmarkEnd w:id="69"/>
    <w:bookmarkEnd w:id="70"/>
    <w:bookmarkEnd w:id="71"/>
    <w:bookmarkEnd w:id="72"/>
    <w:bookmarkEnd w:id="73"/>
    <w:bookmarkEnd w:id="74"/>
    <w:bookmarkEnd w:id="75"/>
    <w:bookmarkEnd w:id="76"/>
    <w:bookmarkEnd w:id="77"/>
    <w:p w:rsidR="0098614C" w:rsidRDefault="00843F43" w:rsidP="00AF3F4B">
      <w:pPr>
        <w:numPr>
          <w:ilvl w:val="0"/>
          <w:numId w:val="8"/>
        </w:numPr>
        <w:tabs>
          <w:tab w:val="left" w:pos="3119"/>
        </w:tabs>
        <w:spacing w:after="240" w:line="240" w:lineRule="auto"/>
        <w:ind w:left="567" w:hanging="567"/>
        <w:rPr>
          <w:rFonts w:eastAsia="Times New Roman" w:cs="Times New Roman"/>
          <w:szCs w:val="20"/>
          <w:lang w:val="en-GB" w:eastAsia="en-GB"/>
        </w:rPr>
      </w:pPr>
      <w:r w:rsidRPr="004254B7">
        <w:rPr>
          <w:rFonts w:eastAsia="Times New Roman" w:cs="Times New Roman"/>
          <w:szCs w:val="20"/>
          <w:lang w:val="en-GB" w:eastAsia="en-GB"/>
        </w:rPr>
        <w:t>As described previously, the Board is subject to Crown Entity reporting requirements and publishes quarterly reports covering trends and activities</w:t>
      </w:r>
      <w:r w:rsidR="004254B7">
        <w:rPr>
          <w:rFonts w:eastAsia="Times New Roman" w:cs="Times New Roman"/>
          <w:szCs w:val="20"/>
          <w:lang w:val="en-GB" w:eastAsia="en-GB"/>
        </w:rPr>
        <w:t xml:space="preserve"> (</w:t>
      </w:r>
      <w:r w:rsidR="00340B40">
        <w:rPr>
          <w:rFonts w:eastAsia="Times New Roman" w:cs="Times New Roman"/>
          <w:szCs w:val="20"/>
          <w:lang w:val="en-GB" w:eastAsia="en-GB"/>
        </w:rPr>
        <w:t>eg</w:t>
      </w:r>
      <w:r w:rsidR="004254B7">
        <w:rPr>
          <w:rFonts w:eastAsia="Times New Roman" w:cs="Times New Roman"/>
          <w:szCs w:val="20"/>
          <w:lang w:val="en-GB" w:eastAsia="en-GB"/>
        </w:rPr>
        <w:t xml:space="preserve"> membership trends, Tribunal findings)</w:t>
      </w:r>
      <w:r w:rsidRPr="004254B7">
        <w:rPr>
          <w:rFonts w:eastAsia="Times New Roman" w:cs="Times New Roman"/>
          <w:szCs w:val="20"/>
          <w:lang w:val="en-GB" w:eastAsia="en-GB"/>
        </w:rPr>
        <w:t xml:space="preserve">. </w:t>
      </w:r>
      <w:r>
        <w:rPr>
          <w:rFonts w:eastAsia="Times New Roman" w:cs="Times New Roman"/>
          <w:szCs w:val="20"/>
          <w:lang w:val="en-GB" w:eastAsia="en-GB"/>
        </w:rPr>
        <w:t xml:space="preserve"> </w:t>
      </w:r>
      <w:r w:rsidR="0098614C">
        <w:rPr>
          <w:rFonts w:eastAsia="Times New Roman" w:cs="Times New Roman"/>
          <w:szCs w:val="20"/>
          <w:lang w:val="en-GB" w:eastAsia="en-GB"/>
        </w:rPr>
        <w:t xml:space="preserve">MSD will work with the Board to ensure that these </w:t>
      </w:r>
      <w:r w:rsidR="004254B7">
        <w:rPr>
          <w:rFonts w:eastAsia="Times New Roman" w:cs="Times New Roman"/>
          <w:szCs w:val="20"/>
          <w:lang w:val="en-GB" w:eastAsia="en-GB"/>
        </w:rPr>
        <w:t xml:space="preserve">reports </w:t>
      </w:r>
      <w:r w:rsidR="0098614C">
        <w:rPr>
          <w:rFonts w:eastAsia="Times New Roman" w:cs="Times New Roman"/>
          <w:szCs w:val="20"/>
          <w:lang w:val="en-GB" w:eastAsia="en-GB"/>
        </w:rPr>
        <w:t>are adapted, where necessary, to monitor the impact of the proposals on the public, social workers, and social work employers.</w:t>
      </w:r>
    </w:p>
    <w:p w:rsidR="007C36CA" w:rsidRDefault="00E01C6B"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Section 104 of the SWR Act provides for regular reviews of </w:t>
      </w:r>
      <w:r w:rsidR="00CC7880">
        <w:rPr>
          <w:rFonts w:eastAsia="Times New Roman" w:cs="Times New Roman"/>
          <w:szCs w:val="20"/>
          <w:lang w:val="en-GB" w:eastAsia="en-GB"/>
        </w:rPr>
        <w:t>the SWR Act</w:t>
      </w:r>
      <w:r>
        <w:rPr>
          <w:rFonts w:eastAsia="Times New Roman" w:cs="Times New Roman"/>
          <w:szCs w:val="20"/>
          <w:lang w:val="en-GB" w:eastAsia="en-GB"/>
        </w:rPr>
        <w:t xml:space="preserve">. </w:t>
      </w:r>
      <w:r w:rsidR="00B4151C">
        <w:rPr>
          <w:rFonts w:eastAsia="Times New Roman" w:cs="Times New Roman"/>
          <w:szCs w:val="20"/>
          <w:lang w:val="en-GB" w:eastAsia="en-GB"/>
        </w:rPr>
        <w:t xml:space="preserve"> </w:t>
      </w:r>
      <w:r>
        <w:rPr>
          <w:rFonts w:eastAsia="Times New Roman" w:cs="Times New Roman"/>
          <w:szCs w:val="20"/>
          <w:lang w:val="en-GB" w:eastAsia="en-GB"/>
        </w:rPr>
        <w:t xml:space="preserve">At intervals of not more than 5 years, the Board must review the operation of </w:t>
      </w:r>
      <w:r w:rsidR="00CC7880">
        <w:rPr>
          <w:rFonts w:eastAsia="Times New Roman" w:cs="Times New Roman"/>
          <w:szCs w:val="20"/>
          <w:lang w:val="en-GB" w:eastAsia="en-GB"/>
        </w:rPr>
        <w:t>the SWR Act</w:t>
      </w:r>
      <w:r w:rsidR="007C36CA">
        <w:rPr>
          <w:rFonts w:eastAsia="Times New Roman" w:cs="Times New Roman"/>
          <w:szCs w:val="20"/>
          <w:lang w:val="en-GB" w:eastAsia="en-GB"/>
        </w:rPr>
        <w:t xml:space="preserve">, and its own operations. </w:t>
      </w:r>
      <w:r w:rsidR="00460C2A">
        <w:rPr>
          <w:rFonts w:eastAsia="Times New Roman" w:cs="Times New Roman"/>
          <w:szCs w:val="20"/>
          <w:lang w:val="en-GB" w:eastAsia="en-GB"/>
        </w:rPr>
        <w:t xml:space="preserve"> </w:t>
      </w:r>
      <w:r w:rsidR="007C36CA">
        <w:rPr>
          <w:rFonts w:eastAsia="Times New Roman" w:cs="Times New Roman"/>
          <w:szCs w:val="20"/>
          <w:lang w:val="en-GB" w:eastAsia="en-GB"/>
        </w:rPr>
        <w:t xml:space="preserve">Under the current review process the Board must </w:t>
      </w:r>
      <w:r>
        <w:rPr>
          <w:rFonts w:eastAsia="Times New Roman" w:cs="Times New Roman"/>
          <w:szCs w:val="20"/>
          <w:lang w:val="en-GB" w:eastAsia="en-GB"/>
        </w:rPr>
        <w:t>consider</w:t>
      </w:r>
      <w:r w:rsidR="007C36CA">
        <w:rPr>
          <w:rFonts w:eastAsia="Times New Roman" w:cs="Times New Roman"/>
          <w:szCs w:val="20"/>
          <w:lang w:val="en-GB" w:eastAsia="en-GB"/>
        </w:rPr>
        <w:t>:</w:t>
      </w:r>
    </w:p>
    <w:p w:rsidR="007C36CA" w:rsidRDefault="00E01C6B"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 xml:space="preserve">the extent to which </w:t>
      </w:r>
      <w:r w:rsidR="00CC7880">
        <w:rPr>
          <w:rFonts w:eastAsia="Times New Roman" w:cs="Times New Roman"/>
          <w:szCs w:val="20"/>
          <w:lang w:val="en-GB" w:eastAsia="en-GB"/>
        </w:rPr>
        <w:t>the SWR Act</w:t>
      </w:r>
      <w:r>
        <w:rPr>
          <w:rFonts w:eastAsia="Times New Roman" w:cs="Times New Roman"/>
          <w:szCs w:val="20"/>
          <w:lang w:val="en-GB" w:eastAsia="en-GB"/>
        </w:rPr>
        <w:t xml:space="preserve"> (and the system of vo</w:t>
      </w:r>
      <w:r w:rsidR="007C36CA">
        <w:rPr>
          <w:rFonts w:eastAsia="Times New Roman" w:cs="Times New Roman"/>
          <w:szCs w:val="20"/>
          <w:lang w:val="en-GB" w:eastAsia="en-GB"/>
        </w:rPr>
        <w:t xml:space="preserve">luntary registration it provides for) </w:t>
      </w:r>
      <w:r>
        <w:rPr>
          <w:rFonts w:eastAsia="Times New Roman" w:cs="Times New Roman"/>
          <w:szCs w:val="20"/>
          <w:lang w:val="en-GB" w:eastAsia="en-GB"/>
        </w:rPr>
        <w:t xml:space="preserve">are achieving the purposes </w:t>
      </w:r>
      <w:r w:rsidR="007C36CA">
        <w:rPr>
          <w:rFonts w:eastAsia="Times New Roman" w:cs="Times New Roman"/>
          <w:szCs w:val="20"/>
          <w:lang w:val="en-GB" w:eastAsia="en-GB"/>
        </w:rPr>
        <w:t>of p</w:t>
      </w:r>
      <w:r w:rsidR="007C36CA" w:rsidRPr="007C36CA">
        <w:rPr>
          <w:rFonts w:eastAsia="Times New Roman" w:cs="Times New Roman"/>
          <w:szCs w:val="20"/>
          <w:lang w:val="en-GB" w:eastAsia="en-GB"/>
        </w:rPr>
        <w:t>rotecting public safety and enhancing the pr</w:t>
      </w:r>
      <w:r w:rsidR="007C36CA">
        <w:rPr>
          <w:rFonts w:eastAsia="Times New Roman" w:cs="Times New Roman"/>
          <w:szCs w:val="20"/>
          <w:lang w:val="en-GB" w:eastAsia="en-GB"/>
        </w:rPr>
        <w:t>ofessionalism of social workers</w:t>
      </w:r>
    </w:p>
    <w:p w:rsidR="007C36CA" w:rsidRDefault="007C36CA"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 xml:space="preserve">whether any amendments to </w:t>
      </w:r>
      <w:r w:rsidR="00CC7880">
        <w:rPr>
          <w:rFonts w:eastAsia="Times New Roman" w:cs="Times New Roman"/>
          <w:szCs w:val="20"/>
          <w:lang w:val="en-GB" w:eastAsia="en-GB"/>
        </w:rPr>
        <w:t>the SWR Act</w:t>
      </w:r>
      <w:r>
        <w:rPr>
          <w:rFonts w:eastAsia="Times New Roman" w:cs="Times New Roman"/>
          <w:szCs w:val="20"/>
          <w:lang w:val="en-GB" w:eastAsia="en-GB"/>
        </w:rPr>
        <w:t xml:space="preserve"> are necessary or desirable.</w:t>
      </w:r>
    </w:p>
    <w:p w:rsidR="007C36CA" w:rsidRDefault="007C36CA"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The Board is required to report its findings to the responsible Minister, and the responsible Minister must also present a copy of the report to the House of Representatives.</w:t>
      </w:r>
    </w:p>
    <w:p w:rsidR="00294107" w:rsidRPr="00B73299" w:rsidRDefault="00353B00" w:rsidP="003D1DF6">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w:t>
      </w:r>
      <w:r w:rsidR="007C36CA">
        <w:rPr>
          <w:rFonts w:eastAsia="Times New Roman" w:cs="Times New Roman"/>
          <w:szCs w:val="20"/>
          <w:lang w:val="en-GB" w:eastAsia="en-GB"/>
        </w:rPr>
        <w:t xml:space="preserve">his </w:t>
      </w:r>
      <w:r>
        <w:rPr>
          <w:rFonts w:eastAsia="Times New Roman" w:cs="Times New Roman"/>
          <w:szCs w:val="20"/>
          <w:lang w:val="en-GB" w:eastAsia="en-GB"/>
        </w:rPr>
        <w:t xml:space="preserve">existing </w:t>
      </w:r>
      <w:r w:rsidR="007C36CA">
        <w:rPr>
          <w:rFonts w:eastAsia="Times New Roman" w:cs="Times New Roman"/>
          <w:szCs w:val="20"/>
          <w:lang w:val="en-GB" w:eastAsia="en-GB"/>
        </w:rPr>
        <w:t xml:space="preserve">review process </w:t>
      </w:r>
      <w:r>
        <w:rPr>
          <w:rFonts w:eastAsia="Times New Roman" w:cs="Times New Roman"/>
          <w:szCs w:val="20"/>
          <w:lang w:val="en-GB" w:eastAsia="en-GB"/>
        </w:rPr>
        <w:t xml:space="preserve">will </w:t>
      </w:r>
      <w:r w:rsidR="007C36CA">
        <w:rPr>
          <w:rFonts w:eastAsia="Times New Roman" w:cs="Times New Roman"/>
          <w:szCs w:val="20"/>
          <w:lang w:val="en-GB" w:eastAsia="en-GB"/>
        </w:rPr>
        <w:t xml:space="preserve">be used </w:t>
      </w:r>
      <w:r w:rsidR="0098614C">
        <w:rPr>
          <w:rFonts w:eastAsia="Times New Roman" w:cs="Times New Roman"/>
          <w:szCs w:val="20"/>
          <w:lang w:val="en-GB" w:eastAsia="en-GB"/>
        </w:rPr>
        <w:t xml:space="preserve">by the Board </w:t>
      </w:r>
      <w:r w:rsidR="007C36CA">
        <w:rPr>
          <w:rFonts w:eastAsia="Times New Roman" w:cs="Times New Roman"/>
          <w:szCs w:val="20"/>
          <w:lang w:val="en-GB" w:eastAsia="en-GB"/>
        </w:rPr>
        <w:t xml:space="preserve">to review the implementation of the recommended proposals.  </w:t>
      </w:r>
      <w:r w:rsidR="00460C2A">
        <w:rPr>
          <w:rFonts w:eastAsia="Times New Roman" w:cs="Times New Roman"/>
          <w:szCs w:val="20"/>
          <w:lang w:val="en-GB" w:eastAsia="en-GB"/>
        </w:rPr>
        <w:t>MSD will also monitor wider trends in the social workforce.</w:t>
      </w:r>
    </w:p>
    <w:sectPr w:rsidR="00294107" w:rsidRPr="00B73299" w:rsidSect="00C05771">
      <w:headerReference w:type="even" r:id="rId12"/>
      <w:headerReference w:type="default" r:id="rId13"/>
      <w:footerReference w:type="default" r:id="rId14"/>
      <w:headerReference w:type="first" r:id="rId15"/>
      <w:pgSz w:w="11907" w:h="16840" w:code="9"/>
      <w:pgMar w:top="1418" w:right="1418" w:bottom="1134" w:left="1418" w:header="454"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3CD" w:rsidRDefault="00AA63CD" w:rsidP="00C05771">
      <w:pPr>
        <w:spacing w:after="0" w:line="240" w:lineRule="auto"/>
      </w:pPr>
      <w:r>
        <w:separator/>
      </w:r>
    </w:p>
  </w:endnote>
  <w:endnote w:type="continuationSeparator" w:id="0">
    <w:p w:rsidR="00AA63CD" w:rsidRDefault="00AA63CD" w:rsidP="00C0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804299"/>
      <w:docPartObj>
        <w:docPartGallery w:val="Page Numbers (Bottom of Page)"/>
        <w:docPartUnique/>
      </w:docPartObj>
    </w:sdtPr>
    <w:sdtEndPr>
      <w:rPr>
        <w:noProof/>
      </w:rPr>
    </w:sdtEndPr>
    <w:sdtContent>
      <w:p w:rsidR="00024283" w:rsidRDefault="00024283">
        <w:pPr>
          <w:pStyle w:val="Footer"/>
          <w:jc w:val="right"/>
        </w:pPr>
        <w:r>
          <w:fldChar w:fldCharType="begin"/>
        </w:r>
        <w:r>
          <w:instrText xml:space="preserve"> PAGE   \* MERGEFORMAT </w:instrText>
        </w:r>
        <w:r>
          <w:fldChar w:fldCharType="separate"/>
        </w:r>
        <w:r w:rsidR="003E6B30">
          <w:rPr>
            <w:noProof/>
          </w:rPr>
          <w:t>3</w:t>
        </w:r>
        <w:r>
          <w:rPr>
            <w:noProof/>
          </w:rPr>
          <w:fldChar w:fldCharType="end"/>
        </w:r>
      </w:p>
    </w:sdtContent>
  </w:sdt>
  <w:p w:rsidR="00024283" w:rsidRPr="00C00FEF" w:rsidRDefault="00024283" w:rsidP="00C00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3CD" w:rsidRDefault="00AA63CD" w:rsidP="00C05771">
      <w:pPr>
        <w:spacing w:after="0" w:line="240" w:lineRule="auto"/>
      </w:pPr>
      <w:r>
        <w:separator/>
      </w:r>
    </w:p>
  </w:footnote>
  <w:footnote w:type="continuationSeparator" w:id="0">
    <w:p w:rsidR="00AA63CD" w:rsidRDefault="00AA63CD" w:rsidP="00C05771">
      <w:pPr>
        <w:spacing w:after="0" w:line="240" w:lineRule="auto"/>
      </w:pPr>
      <w:r>
        <w:continuationSeparator/>
      </w:r>
    </w:p>
  </w:footnote>
  <w:footnote w:id="1">
    <w:p w:rsidR="00024283" w:rsidRDefault="00024283">
      <w:pPr>
        <w:pStyle w:val="FootnoteText"/>
      </w:pPr>
      <w:r>
        <w:rPr>
          <w:rStyle w:val="FootnoteReference"/>
        </w:rPr>
        <w:footnoteRef/>
      </w:r>
      <w:r>
        <w:t xml:space="preserve"> Section 148(2).</w:t>
      </w:r>
    </w:p>
  </w:footnote>
  <w:footnote w:id="2">
    <w:p w:rsidR="00024283" w:rsidRDefault="00024283">
      <w:pPr>
        <w:pStyle w:val="FootnoteText"/>
      </w:pPr>
      <w:r>
        <w:rPr>
          <w:rStyle w:val="FootnoteReference"/>
        </w:rPr>
        <w:footnoteRef/>
      </w:r>
      <w:r>
        <w:t xml:space="preserve"> Section 97.</w:t>
      </w:r>
    </w:p>
  </w:footnote>
  <w:footnote w:id="3">
    <w:p w:rsidR="00024283" w:rsidRDefault="00024283">
      <w:pPr>
        <w:pStyle w:val="FootnoteText"/>
      </w:pPr>
      <w:r>
        <w:rPr>
          <w:rStyle w:val="FootnoteReference"/>
        </w:rPr>
        <w:footnoteRef/>
      </w:r>
      <w:r>
        <w:t xml:space="preserve"> Section 106.</w:t>
      </w:r>
    </w:p>
  </w:footnote>
  <w:footnote w:id="4">
    <w:p w:rsidR="00024283" w:rsidRDefault="00024283">
      <w:pPr>
        <w:pStyle w:val="FootnoteText"/>
      </w:pPr>
      <w:r>
        <w:rPr>
          <w:rStyle w:val="FootnoteReference"/>
        </w:rPr>
        <w:footnoteRef/>
      </w:r>
      <w:r>
        <w:t xml:space="preserve"> Schedule 1, clause 2. Clause 2 also requires the Minister, in appointing members, to take all reasonable steps to ensure the Board will be representative of the social work profession, advocates for consumers of services provided by social workers, social work educators, Māori, and different ethnic and cultural groups in New Zealand.</w:t>
      </w:r>
    </w:p>
  </w:footnote>
  <w:footnote w:id="5">
    <w:p w:rsidR="00024283" w:rsidRDefault="00024283">
      <w:pPr>
        <w:pStyle w:val="FootnoteText"/>
      </w:pPr>
      <w:r>
        <w:rPr>
          <w:rStyle w:val="FootnoteReference"/>
        </w:rPr>
        <w:footnoteRef/>
      </w:r>
      <w:r>
        <w:t xml:space="preserve"> Section 99.</w:t>
      </w:r>
    </w:p>
  </w:footnote>
  <w:footnote w:id="6">
    <w:p w:rsidR="00024283" w:rsidRDefault="00024283">
      <w:pPr>
        <w:pStyle w:val="FootnoteText"/>
      </w:pPr>
      <w:r>
        <w:rPr>
          <w:rStyle w:val="FootnoteReference"/>
        </w:rPr>
        <w:footnoteRef/>
      </w:r>
      <w:r>
        <w:t xml:space="preserve"> Section 114.</w:t>
      </w:r>
    </w:p>
  </w:footnote>
  <w:footnote w:id="7">
    <w:p w:rsidR="00024283" w:rsidRDefault="00024283">
      <w:pPr>
        <w:pStyle w:val="FootnoteText"/>
      </w:pPr>
      <w:r>
        <w:rPr>
          <w:rStyle w:val="FootnoteReference"/>
        </w:rPr>
        <w:footnoteRef/>
      </w:r>
      <w:r>
        <w:t xml:space="preserve"> Section 99(1)(m), section 116(1).</w:t>
      </w:r>
    </w:p>
  </w:footnote>
  <w:footnote w:id="8">
    <w:p w:rsidR="00024283" w:rsidRDefault="00024283">
      <w:pPr>
        <w:pStyle w:val="FootnoteText"/>
      </w:pPr>
      <w:r>
        <w:rPr>
          <w:rStyle w:val="FootnoteReference"/>
        </w:rPr>
        <w:footnoteRef/>
      </w:r>
      <w:r>
        <w:t xml:space="preserve"> Section 66.</w:t>
      </w:r>
    </w:p>
  </w:footnote>
  <w:footnote w:id="9">
    <w:p w:rsidR="00024283" w:rsidRDefault="00024283" w:rsidP="001131B4">
      <w:pPr>
        <w:pStyle w:val="FootnoteText"/>
      </w:pPr>
      <w:r>
        <w:rPr>
          <w:rStyle w:val="FootnoteReference"/>
        </w:rPr>
        <w:footnoteRef/>
      </w:r>
      <w:r>
        <w:t xml:space="preserve"> </w:t>
      </w:r>
      <w:r w:rsidRPr="00937D41">
        <w:t xml:space="preserve">The Board’s estimate of 8,000 </w:t>
      </w:r>
      <w:r>
        <w:t xml:space="preserve">from census data </w:t>
      </w:r>
      <w:r w:rsidRPr="00937D41">
        <w:t>was made by counting the number of people with relevant job titles and tertiary level qualifications.  However it was not possible to confirm how many had social work qualifications.</w:t>
      </w:r>
    </w:p>
  </w:footnote>
  <w:footnote w:id="10">
    <w:p w:rsidR="00024283" w:rsidRDefault="00024283" w:rsidP="00CA7299">
      <w:pPr>
        <w:pStyle w:val="FootnoteText"/>
      </w:pPr>
      <w:r>
        <w:rPr>
          <w:rStyle w:val="FootnoteReference"/>
        </w:rPr>
        <w:footnoteRef/>
      </w:r>
      <w:r>
        <w:t xml:space="preserve"> Social Workers Registration Board –Third  Quarter Report 2016/17</w:t>
      </w:r>
    </w:p>
  </w:footnote>
  <w:footnote w:id="11">
    <w:p w:rsidR="00024283" w:rsidRDefault="00024283" w:rsidP="00CA7299">
      <w:pPr>
        <w:pStyle w:val="FootnoteText"/>
      </w:pPr>
      <w:r>
        <w:rPr>
          <w:rStyle w:val="FootnoteReference"/>
        </w:rPr>
        <w:footnoteRef/>
      </w:r>
      <w:r>
        <w:t xml:space="preserve"> </w:t>
      </w:r>
      <w:r w:rsidRPr="00937D41">
        <w:t xml:space="preserve">This has been </w:t>
      </w:r>
      <w:r>
        <w:t>calculated</w:t>
      </w:r>
      <w:r w:rsidRPr="00937D41">
        <w:t xml:space="preserve"> from the proportion of ANZASW members who have </w:t>
      </w:r>
      <w:r>
        <w:t>a tertiary qualification</w:t>
      </w:r>
      <w:r w:rsidRPr="00937D41">
        <w:t xml:space="preserve"> but are not registered.</w:t>
      </w:r>
    </w:p>
  </w:footnote>
  <w:footnote w:id="12">
    <w:p w:rsidR="00024283" w:rsidRDefault="00024283" w:rsidP="00CA7299">
      <w:pPr>
        <w:pStyle w:val="FootnoteText"/>
      </w:pPr>
      <w:r>
        <w:rPr>
          <w:rStyle w:val="FootnoteReference"/>
        </w:rPr>
        <w:footnoteRef/>
      </w:r>
      <w:r>
        <w:t xml:space="preserve"> Section 13 enables the Board to register a social worker who does not have a recognised social work qualification but does have the requisite degree of practical experience and meets the other registration criteria.</w:t>
      </w:r>
    </w:p>
  </w:footnote>
  <w:footnote w:id="13">
    <w:p w:rsidR="00024283" w:rsidRDefault="00024283" w:rsidP="00F4679C">
      <w:pPr>
        <w:pStyle w:val="FootnoteText"/>
      </w:pPr>
      <w:r>
        <w:rPr>
          <w:rStyle w:val="FootnoteReference"/>
        </w:rPr>
        <w:footnoteRef/>
      </w:r>
      <w:r>
        <w:t xml:space="preserve"> Section 104.</w:t>
      </w:r>
    </w:p>
  </w:footnote>
  <w:footnote w:id="14">
    <w:p w:rsidR="00024283" w:rsidRDefault="00024283" w:rsidP="0094357E">
      <w:pPr>
        <w:pStyle w:val="FootnoteText"/>
        <w:tabs>
          <w:tab w:val="left" w:pos="1924"/>
        </w:tabs>
      </w:pPr>
      <w:r>
        <w:rPr>
          <w:rStyle w:val="FootnoteReference"/>
        </w:rPr>
        <w:footnoteRef/>
      </w:r>
      <w:r>
        <w:t xml:space="preserve"> See generally Gloria Kirwan and Brian Melaugh “Taking Care: Criticality and reflexivity in the context of social work registration” (2015) 45(3) British Journal of Social Work 1050.</w:t>
      </w:r>
    </w:p>
  </w:footnote>
  <w:footnote w:id="15">
    <w:p w:rsidR="00024283" w:rsidRDefault="00024283">
      <w:pPr>
        <w:pStyle w:val="FootnoteText"/>
      </w:pPr>
      <w:r>
        <w:rPr>
          <w:rStyle w:val="FootnoteReference"/>
        </w:rPr>
        <w:footnoteRef/>
      </w:r>
      <w:r>
        <w:t xml:space="preserve"> Policy Framework for Occupational Regulation, CO (99) 6 </w:t>
      </w:r>
      <w:hyperlink r:id="rId1" w:history="1">
        <w:r w:rsidRPr="00DA53A4">
          <w:rPr>
            <w:rStyle w:val="Hyperlink"/>
          </w:rPr>
          <w:t>https://www.dpmc.govt.nz/cabinet/circulars/co99/6</w:t>
        </w:r>
      </w:hyperlink>
    </w:p>
  </w:footnote>
  <w:footnote w:id="16">
    <w:p w:rsidR="00024283" w:rsidRDefault="00024283" w:rsidP="006638A8">
      <w:pPr>
        <w:pStyle w:val="FootnoteText"/>
      </w:pPr>
      <w:r>
        <w:rPr>
          <w:rStyle w:val="FootnoteReference"/>
        </w:rPr>
        <w:footnoteRef/>
      </w:r>
      <w:r>
        <w:t xml:space="preserve"> Social Workers Registration Board “Issues Paper: Proposed legislative reform of the Social Workers Registration Act 2003” (advice to the Social Services Committee Inquiry, June 2016).</w:t>
      </w:r>
    </w:p>
  </w:footnote>
  <w:footnote w:id="17">
    <w:p w:rsidR="00024283" w:rsidRDefault="00024283">
      <w:pPr>
        <w:pStyle w:val="FootnoteText"/>
      </w:pPr>
      <w:r>
        <w:rPr>
          <w:rStyle w:val="FootnoteReference"/>
        </w:rPr>
        <w:footnoteRef/>
      </w:r>
      <w:r>
        <w:t xml:space="preserve"> Social Workers Registration Board, </w:t>
      </w:r>
      <w:r w:rsidRPr="00404CC4">
        <w:rPr>
          <w:i/>
        </w:rPr>
        <w:t>2015 Review of the Social Workers Registration Act 2003</w:t>
      </w:r>
      <w:r>
        <w:t>, page 13</w:t>
      </w:r>
    </w:p>
  </w:footnote>
  <w:footnote w:id="18">
    <w:p w:rsidR="00024283" w:rsidRDefault="00024283" w:rsidP="006638A8">
      <w:r>
        <w:rPr>
          <w:rStyle w:val="FootnoteReference"/>
        </w:rPr>
        <w:footnoteRef/>
      </w:r>
      <w:r>
        <w:t xml:space="preserve"> </w:t>
      </w:r>
      <w:hyperlink r:id="rId2" w:history="1">
        <w:r w:rsidRPr="000F3A11">
          <w:rPr>
            <w:rStyle w:val="Hyperlink"/>
          </w:rPr>
          <w:t>http://www.swrb.govt.nz/doc-man/publications-1/346-annual-report</w:t>
        </w:r>
      </w:hyperlink>
      <w:r>
        <w:t xml:space="preserve"> (page 16)</w:t>
      </w:r>
    </w:p>
  </w:footnote>
  <w:footnote w:id="19">
    <w:p w:rsidR="00024283" w:rsidRDefault="00024283" w:rsidP="005970B3">
      <w:pPr>
        <w:pStyle w:val="FootnoteText"/>
        <w:jc w:val="both"/>
      </w:pPr>
      <w:r>
        <w:rPr>
          <w:rStyle w:val="FootnoteReference"/>
        </w:rPr>
        <w:footnoteRef/>
      </w:r>
      <w:r>
        <w:t xml:space="preserve"> Jo Moriarty, Mary Baginsky and Jill Manthorpe </w:t>
      </w:r>
      <w:r>
        <w:rPr>
          <w:i/>
        </w:rPr>
        <w:t xml:space="preserve">Literature Review of roles and issues within the social work profession in England </w:t>
      </w:r>
      <w:r>
        <w:t>(Professional Standards Authority UK, March 2015), page 4.</w:t>
      </w:r>
    </w:p>
  </w:footnote>
  <w:footnote w:id="20">
    <w:p w:rsidR="00024283" w:rsidRDefault="00024283" w:rsidP="006638A8">
      <w:pPr>
        <w:pStyle w:val="FootnoteText"/>
      </w:pPr>
      <w:r>
        <w:rPr>
          <w:rStyle w:val="FootnoteReference"/>
        </w:rPr>
        <w:footnoteRef/>
      </w:r>
      <w:r>
        <w:t xml:space="preserve"> Ibid, page 3.</w:t>
      </w:r>
    </w:p>
  </w:footnote>
  <w:footnote w:id="21">
    <w:p w:rsidR="00024283" w:rsidRPr="001E22FD" w:rsidRDefault="00024283" w:rsidP="00344EA4">
      <w:pPr>
        <w:pStyle w:val="FootnoteText"/>
        <w:rPr>
          <w:rFonts w:eastAsia="Times New Roman"/>
          <w:i/>
          <w:szCs w:val="16"/>
          <w:lang w:eastAsia="x-none"/>
        </w:rPr>
      </w:pPr>
      <w:r w:rsidRPr="001E22FD">
        <w:rPr>
          <w:rStyle w:val="FootnoteReference"/>
          <w:i/>
        </w:rPr>
        <w:footnoteRef/>
      </w:r>
      <w:r w:rsidRPr="001E22FD">
        <w:rPr>
          <w:i/>
        </w:rPr>
        <w:t xml:space="preserve"> The restricted activities can only be carried out by health practitioners whose scope of practice permits them to undertake or perform them (except in an emergency).</w:t>
      </w:r>
    </w:p>
  </w:footnote>
  <w:footnote w:id="22">
    <w:p w:rsidR="00024283" w:rsidRPr="001E22FD" w:rsidRDefault="00024283" w:rsidP="00344EA4">
      <w:pPr>
        <w:pStyle w:val="FootnoteText"/>
        <w:rPr>
          <w:i/>
        </w:rPr>
      </w:pPr>
      <w:r w:rsidRPr="001E22FD">
        <w:rPr>
          <w:rStyle w:val="FootnoteReference"/>
          <w:i/>
        </w:rPr>
        <w:footnoteRef/>
      </w:r>
      <w:r w:rsidRPr="001E22FD">
        <w:rPr>
          <w:i/>
        </w:rPr>
        <w:t xml:space="preserve"> The HPCAA specifies that notices of scopes of practice are disallowable instruments for the purpose of the Legislation Act 2012. They therefore are regulations as defined in the Interpretation Act 1999 and are subject to review by the Regulations Review Committee of Parliament.</w:t>
      </w:r>
    </w:p>
  </w:footnote>
  <w:footnote w:id="23">
    <w:p w:rsidR="00024283" w:rsidRDefault="00024283" w:rsidP="00A00008">
      <w:pPr>
        <w:pStyle w:val="FootnoteText"/>
      </w:pPr>
      <w:r>
        <w:rPr>
          <w:rStyle w:val="FootnoteReference"/>
        </w:rPr>
        <w:footnoteRef/>
      </w:r>
      <w:r>
        <w:t xml:space="preserve"> “Enough” practical experience is defined in policy set by the Board and includes, for example, the length and quality of work experience; see Policy Statement: </w:t>
      </w:r>
      <w:r w:rsidRPr="008E26F9">
        <w:rPr>
          <w:i/>
        </w:rPr>
        <w:t>Criteria for section 13 registration- enough practical experience without a recognised social work qualification</w:t>
      </w:r>
      <w:r>
        <w:t>,</w:t>
      </w:r>
      <w:r w:rsidRPr="008E26F9">
        <w:t xml:space="preserve"> http://www.swrb.govt.nz/policy</w:t>
      </w:r>
      <w:r>
        <w:t>.</w:t>
      </w:r>
    </w:p>
  </w:footnote>
  <w:footnote w:id="24">
    <w:p w:rsidR="00024283" w:rsidRDefault="00024283" w:rsidP="005970B3">
      <w:pPr>
        <w:pStyle w:val="FootnoteText"/>
      </w:pPr>
      <w:r w:rsidRPr="00F51DD6">
        <w:rPr>
          <w:rStyle w:val="FootnoteReference"/>
        </w:rPr>
        <w:footnoteRef/>
      </w:r>
      <w:r w:rsidRPr="00F51DD6">
        <w:t xml:space="preserve"> Section 10 enables the Board to provisionally register a social worker who is working towards a recognised social work qualification and meets the other registration criteria.</w:t>
      </w:r>
      <w:r>
        <w:t xml:space="preserve"> </w:t>
      </w:r>
    </w:p>
  </w:footnote>
  <w:footnote w:id="25">
    <w:p w:rsidR="00024283" w:rsidRDefault="00024283" w:rsidP="005970B3">
      <w:pPr>
        <w:pStyle w:val="FootnoteText"/>
      </w:pPr>
      <w:r>
        <w:rPr>
          <w:rStyle w:val="FootnoteReference"/>
        </w:rPr>
        <w:footnoteRef/>
      </w:r>
      <w:r>
        <w:t xml:space="preserve"> The Ministry of Education confirmed the basis for the cost estimates.  There have recently been training capacity constraints because of a limit on the number of field placements across public and private sectors, but this is not expected to be such an issue for social work students who are already employed in the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83" w:rsidRDefault="000242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83" w:rsidRDefault="000242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83" w:rsidRPr="00C00FEF" w:rsidRDefault="00024283" w:rsidP="00C00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B8B1DC"/>
    <w:lvl w:ilvl="0">
      <w:start w:val="1"/>
      <w:numFmt w:val="decimal"/>
      <w:lvlText w:val="%1."/>
      <w:lvlJc w:val="left"/>
      <w:pPr>
        <w:tabs>
          <w:tab w:val="num" w:pos="1492"/>
        </w:tabs>
        <w:ind w:left="1492" w:hanging="360"/>
      </w:pPr>
    </w:lvl>
  </w:abstractNum>
  <w:abstractNum w:abstractNumId="1">
    <w:nsid w:val="FFFFFF7D"/>
    <w:multiLevelType w:val="singleLevel"/>
    <w:tmpl w:val="DDCA1634"/>
    <w:lvl w:ilvl="0">
      <w:start w:val="1"/>
      <w:numFmt w:val="decimal"/>
      <w:lvlText w:val="%1."/>
      <w:lvlJc w:val="left"/>
      <w:pPr>
        <w:tabs>
          <w:tab w:val="num" w:pos="1209"/>
        </w:tabs>
        <w:ind w:left="1209" w:hanging="360"/>
      </w:pPr>
    </w:lvl>
  </w:abstractNum>
  <w:abstractNum w:abstractNumId="2">
    <w:nsid w:val="FFFFFF7E"/>
    <w:multiLevelType w:val="singleLevel"/>
    <w:tmpl w:val="0A4A0A22"/>
    <w:lvl w:ilvl="0">
      <w:start w:val="1"/>
      <w:numFmt w:val="decimal"/>
      <w:lvlText w:val="%1."/>
      <w:lvlJc w:val="left"/>
      <w:pPr>
        <w:tabs>
          <w:tab w:val="num" w:pos="926"/>
        </w:tabs>
        <w:ind w:left="926" w:hanging="360"/>
      </w:pPr>
    </w:lvl>
  </w:abstractNum>
  <w:abstractNum w:abstractNumId="3">
    <w:nsid w:val="FFFFFF7F"/>
    <w:multiLevelType w:val="singleLevel"/>
    <w:tmpl w:val="E4C622D0"/>
    <w:lvl w:ilvl="0">
      <w:start w:val="1"/>
      <w:numFmt w:val="decimal"/>
      <w:lvlText w:val="%1."/>
      <w:lvlJc w:val="left"/>
      <w:pPr>
        <w:tabs>
          <w:tab w:val="num" w:pos="643"/>
        </w:tabs>
        <w:ind w:left="643" w:hanging="360"/>
      </w:pPr>
    </w:lvl>
  </w:abstractNum>
  <w:abstractNum w:abstractNumId="4">
    <w:nsid w:val="FFFFFF80"/>
    <w:multiLevelType w:val="singleLevel"/>
    <w:tmpl w:val="321813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B88A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C07C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08E8C8A"/>
    <w:lvl w:ilvl="0">
      <w:start w:val="1"/>
      <w:numFmt w:val="decimal"/>
      <w:lvlText w:val="%1."/>
      <w:lvlJc w:val="left"/>
      <w:pPr>
        <w:tabs>
          <w:tab w:val="num" w:pos="360"/>
        </w:tabs>
        <w:ind w:left="360" w:hanging="360"/>
      </w:pPr>
    </w:lvl>
  </w:abstractNum>
  <w:abstractNum w:abstractNumId="9">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174EA"/>
    <w:multiLevelType w:val="hybridMultilevel"/>
    <w:tmpl w:val="09F65ED2"/>
    <w:styleLink w:val="ImportedStyle30"/>
    <w:lvl w:ilvl="0" w:tplc="1FA2CE38">
      <w:start w:val="1"/>
      <w:numFmt w:val="bullet"/>
      <w:lvlText w:val="•"/>
      <w:lvlJc w:val="left"/>
      <w:pPr>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D878EB4E">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FA02828">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21E69AE">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FD460EA">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B0AD2D4">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018D3DC">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B467BB4">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0289F8">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nsid w:val="04124E4A"/>
    <w:multiLevelType w:val="multilevel"/>
    <w:tmpl w:val="4E068F56"/>
    <w:lvl w:ilvl="0">
      <w:start w:val="1"/>
      <w:numFmt w:val="bullet"/>
      <w:lvlText w:val=""/>
      <w:lvlJc w:val="left"/>
      <w:pPr>
        <w:ind w:left="786" w:hanging="360"/>
      </w:pPr>
      <w:rPr>
        <w:rFonts w:ascii="Symbol" w:hAnsi="Symbol" w:hint="default"/>
        <w:b w:val="0"/>
        <w:color w:val="auto"/>
        <w:sz w:val="20"/>
        <w:szCs w:val="2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4684902"/>
    <w:multiLevelType w:val="hybridMultilevel"/>
    <w:tmpl w:val="1C880EA8"/>
    <w:lvl w:ilvl="0" w:tplc="259E62E2">
      <w:start w:val="1"/>
      <w:numFmt w:val="decimal"/>
      <w:lvlText w:val="%1"/>
      <w:lvlJc w:val="left"/>
      <w:pPr>
        <w:ind w:left="720" w:hanging="360"/>
      </w:pPr>
      <w:rPr>
        <w:rFonts w:hint="default"/>
        <w:b w:val="0"/>
        <w:color w:val="auto"/>
        <w:sz w:val="20"/>
        <w:szCs w:val="20"/>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06CE44C8"/>
    <w:multiLevelType w:val="singleLevel"/>
    <w:tmpl w:val="14090011"/>
    <w:lvl w:ilvl="0">
      <w:start w:val="1"/>
      <w:numFmt w:val="decimal"/>
      <w:lvlText w:val="%1)"/>
      <w:lvlJc w:val="left"/>
      <w:pPr>
        <w:ind w:left="786" w:hanging="360"/>
      </w:pPr>
      <w:rPr>
        <w:rFonts w:hint="default"/>
        <w:b w:val="0"/>
        <w:color w:val="auto"/>
        <w:sz w:val="20"/>
        <w:szCs w:val="20"/>
      </w:rPr>
    </w:lvl>
  </w:abstractNum>
  <w:abstractNum w:abstractNumId="14">
    <w:nsid w:val="0D5648E8"/>
    <w:multiLevelType w:val="multilevel"/>
    <w:tmpl w:val="5450F33C"/>
    <w:lvl w:ilvl="0">
      <w:start w:val="1"/>
      <w:numFmt w:val="bullet"/>
      <w:lvlText w:val=""/>
      <w:lvlJc w:val="left"/>
      <w:pPr>
        <w:ind w:left="678" w:hanging="360"/>
      </w:pPr>
      <w:rPr>
        <w:rFonts w:ascii="Symbol" w:hAnsi="Symbol" w:hint="default"/>
        <w:b w:val="0"/>
        <w:color w:val="auto"/>
        <w:sz w:val="20"/>
        <w:szCs w:val="20"/>
      </w:rPr>
    </w:lvl>
    <w:lvl w:ilvl="1">
      <w:start w:val="1"/>
      <w:numFmt w:val="bullet"/>
      <w:lvlText w:val=""/>
      <w:lvlJc w:val="left"/>
      <w:pPr>
        <w:ind w:left="1332" w:hanging="360"/>
      </w:pPr>
      <w:rPr>
        <w:rFonts w:ascii="Symbol" w:hAnsi="Symbol" w:hint="default"/>
      </w:rPr>
    </w:lvl>
    <w:lvl w:ilvl="2">
      <w:start w:val="1"/>
      <w:numFmt w:val="lowerRoman"/>
      <w:lvlText w:val="%3."/>
      <w:lvlJc w:val="right"/>
      <w:pPr>
        <w:ind w:left="2052" w:hanging="180"/>
      </w:pPr>
    </w:lvl>
    <w:lvl w:ilvl="3" w:tentative="1">
      <w:start w:val="1"/>
      <w:numFmt w:val="decimal"/>
      <w:lvlText w:val="%4."/>
      <w:lvlJc w:val="left"/>
      <w:pPr>
        <w:ind w:left="2772" w:hanging="360"/>
      </w:pPr>
    </w:lvl>
    <w:lvl w:ilvl="4" w:tentative="1">
      <w:start w:val="1"/>
      <w:numFmt w:val="lowerLetter"/>
      <w:lvlText w:val="%5."/>
      <w:lvlJc w:val="left"/>
      <w:pPr>
        <w:ind w:left="3492" w:hanging="360"/>
      </w:pPr>
    </w:lvl>
    <w:lvl w:ilvl="5" w:tentative="1">
      <w:start w:val="1"/>
      <w:numFmt w:val="lowerRoman"/>
      <w:lvlText w:val="%6."/>
      <w:lvlJc w:val="right"/>
      <w:pPr>
        <w:ind w:left="4212" w:hanging="180"/>
      </w:pPr>
    </w:lvl>
    <w:lvl w:ilvl="6" w:tentative="1">
      <w:start w:val="1"/>
      <w:numFmt w:val="decimal"/>
      <w:lvlText w:val="%7."/>
      <w:lvlJc w:val="left"/>
      <w:pPr>
        <w:ind w:left="4932" w:hanging="360"/>
      </w:pPr>
    </w:lvl>
    <w:lvl w:ilvl="7" w:tentative="1">
      <w:start w:val="1"/>
      <w:numFmt w:val="lowerLetter"/>
      <w:lvlText w:val="%8."/>
      <w:lvlJc w:val="left"/>
      <w:pPr>
        <w:ind w:left="5652" w:hanging="360"/>
      </w:pPr>
    </w:lvl>
    <w:lvl w:ilvl="8" w:tentative="1">
      <w:start w:val="1"/>
      <w:numFmt w:val="lowerRoman"/>
      <w:lvlText w:val="%9."/>
      <w:lvlJc w:val="right"/>
      <w:pPr>
        <w:ind w:left="6372" w:hanging="180"/>
      </w:pPr>
    </w:lvl>
  </w:abstractNum>
  <w:abstractNum w:abstractNumId="15">
    <w:nsid w:val="0DAC1F94"/>
    <w:multiLevelType w:val="hybridMultilevel"/>
    <w:tmpl w:val="4D90E1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109150DD"/>
    <w:multiLevelType w:val="hybridMultilevel"/>
    <w:tmpl w:val="DF66DFC8"/>
    <w:lvl w:ilvl="0" w:tplc="259E62E2">
      <w:start w:val="1"/>
      <w:numFmt w:val="decimal"/>
      <w:lvlText w:val="%1"/>
      <w:lvlJc w:val="left"/>
      <w:pPr>
        <w:ind w:left="720" w:hanging="360"/>
      </w:pPr>
      <w:rPr>
        <w:rFonts w:hint="default"/>
        <w:b w:val="0"/>
        <w:color w:val="auto"/>
        <w:sz w:val="20"/>
        <w:szCs w:val="20"/>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180"/>
      </w:pPr>
      <w:rPr>
        <w:rFonts w:ascii="Courier New" w:hAnsi="Courier New" w:cs="Courier New"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nsid w:val="1E8E5BBA"/>
    <w:multiLevelType w:val="hybridMultilevel"/>
    <w:tmpl w:val="5290B120"/>
    <w:styleLink w:val="ImportedStyle3"/>
    <w:lvl w:ilvl="0" w:tplc="9D5AF072">
      <w:start w:val="1"/>
      <w:numFmt w:val="decimal"/>
      <w:lvlText w:val="%1."/>
      <w:lvlJc w:val="left"/>
      <w:pPr>
        <w:ind w:left="56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C91E0776">
      <w:start w:val="1"/>
      <w:numFmt w:val="decimal"/>
      <w:lvlText w:val="%2."/>
      <w:lvlJc w:val="left"/>
      <w:pPr>
        <w:ind w:left="1287" w:hanging="52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7AEA79C">
      <w:start w:val="1"/>
      <w:numFmt w:val="lowerRoman"/>
      <w:lvlText w:val="%3."/>
      <w:lvlJc w:val="left"/>
      <w:pPr>
        <w:ind w:left="2007" w:hanging="4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9F3AF2EE">
      <w:start w:val="1"/>
      <w:numFmt w:val="decimal"/>
      <w:lvlText w:val="%4."/>
      <w:lvlJc w:val="left"/>
      <w:pPr>
        <w:ind w:left="272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2A14C598">
      <w:start w:val="1"/>
      <w:numFmt w:val="lowerLetter"/>
      <w:lvlText w:val="%5."/>
      <w:lvlJc w:val="left"/>
      <w:pPr>
        <w:ind w:left="344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EB165E84">
      <w:start w:val="1"/>
      <w:numFmt w:val="lowerRoman"/>
      <w:lvlText w:val="%6."/>
      <w:lvlJc w:val="left"/>
      <w:pPr>
        <w:ind w:left="4167" w:hanging="4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466C1D12">
      <w:start w:val="1"/>
      <w:numFmt w:val="decimal"/>
      <w:lvlText w:val="%7."/>
      <w:lvlJc w:val="left"/>
      <w:pPr>
        <w:ind w:left="488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C23E590C">
      <w:start w:val="1"/>
      <w:numFmt w:val="lowerLetter"/>
      <w:lvlText w:val="%8."/>
      <w:lvlJc w:val="left"/>
      <w:pPr>
        <w:ind w:left="560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9C20EC26">
      <w:start w:val="1"/>
      <w:numFmt w:val="lowerRoman"/>
      <w:lvlText w:val="%9."/>
      <w:lvlJc w:val="left"/>
      <w:pPr>
        <w:ind w:left="6327" w:hanging="4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21">
    <w:nsid w:val="257F2A3C"/>
    <w:multiLevelType w:val="hybridMultilevel"/>
    <w:tmpl w:val="11462FF2"/>
    <w:lvl w:ilvl="0" w:tplc="14090011">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nsid w:val="282D138B"/>
    <w:multiLevelType w:val="hybridMultilevel"/>
    <w:tmpl w:val="F2D0B0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3174597C"/>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4">
    <w:nsid w:val="31AC5BCC"/>
    <w:multiLevelType w:val="multilevel"/>
    <w:tmpl w:val="6FB2A3BA"/>
    <w:lvl w:ilvl="0">
      <w:start w:val="1"/>
      <w:numFmt w:val="decimal"/>
      <w:pStyle w:val="CabStandard"/>
      <w:lvlText w:val="%1"/>
      <w:lvlJc w:val="left"/>
      <w:pPr>
        <w:tabs>
          <w:tab w:val="num" w:pos="862"/>
        </w:tabs>
        <w:ind w:left="862" w:hanging="720"/>
      </w:pPr>
      <w:rPr>
        <w:rFonts w:ascii="Arial" w:hAnsi="Arial" w:cs="Arial" w:hint="default"/>
        <w:b w:val="0"/>
        <w:sz w:val="23"/>
        <w:szCs w:val="23"/>
      </w:rPr>
    </w:lvl>
    <w:lvl w:ilvl="1">
      <w:start w:val="1"/>
      <w:numFmt w:val="decimal"/>
      <w:lvlText w:val="%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5">
    <w:nsid w:val="36690922"/>
    <w:multiLevelType w:val="multilevel"/>
    <w:tmpl w:val="4E068F56"/>
    <w:lvl w:ilvl="0">
      <w:start w:val="1"/>
      <w:numFmt w:val="bullet"/>
      <w:lvlText w:val=""/>
      <w:lvlJc w:val="left"/>
      <w:pPr>
        <w:ind w:left="786" w:hanging="360"/>
      </w:pPr>
      <w:rPr>
        <w:rFonts w:ascii="Symbol" w:hAnsi="Symbol" w:hint="default"/>
        <w:b w:val="0"/>
        <w:color w:val="auto"/>
        <w:sz w:val="20"/>
        <w:szCs w:val="2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8DE5A8D"/>
    <w:multiLevelType w:val="hybridMultilevel"/>
    <w:tmpl w:val="A342C94C"/>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3AEF240C"/>
    <w:multiLevelType w:val="multilevel"/>
    <w:tmpl w:val="D152F526"/>
    <w:lvl w:ilvl="0">
      <w:start w:val="1"/>
      <w:numFmt w:val="bullet"/>
      <w:lvlText w:val=""/>
      <w:lvlJc w:val="left"/>
      <w:pPr>
        <w:ind w:left="927" w:hanging="360"/>
      </w:pPr>
      <w:rPr>
        <w:rFonts w:ascii="Symbol" w:hAnsi="Symbol" w:hint="default"/>
        <w:b w:val="0"/>
        <w:color w:val="auto"/>
        <w:sz w:val="20"/>
        <w:szCs w:val="20"/>
      </w:rPr>
    </w:lvl>
    <w:lvl w:ilvl="1">
      <w:start w:val="1"/>
      <w:numFmt w:val="bullet"/>
      <w:lvlText w:val=""/>
      <w:lvlJc w:val="left"/>
      <w:pPr>
        <w:ind w:left="1581" w:hanging="360"/>
      </w:pPr>
      <w:rPr>
        <w:rFonts w:ascii="Symbol" w:hAnsi="Symbol" w:hint="default"/>
      </w:rPr>
    </w:lvl>
    <w:lvl w:ilvl="2">
      <w:start w:val="1"/>
      <w:numFmt w:val="lowerRoman"/>
      <w:lvlText w:val="%3."/>
      <w:lvlJc w:val="right"/>
      <w:pPr>
        <w:ind w:left="2301" w:hanging="180"/>
      </w:pPr>
    </w:lvl>
    <w:lvl w:ilvl="3" w:tentative="1">
      <w:start w:val="1"/>
      <w:numFmt w:val="decimal"/>
      <w:lvlText w:val="%4."/>
      <w:lvlJc w:val="left"/>
      <w:pPr>
        <w:ind w:left="3021" w:hanging="360"/>
      </w:pPr>
    </w:lvl>
    <w:lvl w:ilvl="4" w:tentative="1">
      <w:start w:val="1"/>
      <w:numFmt w:val="lowerLetter"/>
      <w:lvlText w:val="%5."/>
      <w:lvlJc w:val="left"/>
      <w:pPr>
        <w:ind w:left="3741" w:hanging="360"/>
      </w:pPr>
    </w:lvl>
    <w:lvl w:ilvl="5" w:tentative="1">
      <w:start w:val="1"/>
      <w:numFmt w:val="lowerRoman"/>
      <w:lvlText w:val="%6."/>
      <w:lvlJc w:val="right"/>
      <w:pPr>
        <w:ind w:left="4461" w:hanging="180"/>
      </w:pPr>
    </w:lvl>
    <w:lvl w:ilvl="6" w:tentative="1">
      <w:start w:val="1"/>
      <w:numFmt w:val="decimal"/>
      <w:lvlText w:val="%7."/>
      <w:lvlJc w:val="left"/>
      <w:pPr>
        <w:ind w:left="5181" w:hanging="360"/>
      </w:pPr>
    </w:lvl>
    <w:lvl w:ilvl="7" w:tentative="1">
      <w:start w:val="1"/>
      <w:numFmt w:val="lowerLetter"/>
      <w:lvlText w:val="%8."/>
      <w:lvlJc w:val="left"/>
      <w:pPr>
        <w:ind w:left="5901" w:hanging="360"/>
      </w:pPr>
    </w:lvl>
    <w:lvl w:ilvl="8" w:tentative="1">
      <w:start w:val="1"/>
      <w:numFmt w:val="lowerRoman"/>
      <w:lvlText w:val="%9."/>
      <w:lvlJc w:val="right"/>
      <w:pPr>
        <w:ind w:left="6621" w:hanging="180"/>
      </w:pPr>
    </w:lvl>
  </w:abstractNum>
  <w:abstractNum w:abstractNumId="28">
    <w:nsid w:val="3D8736D6"/>
    <w:multiLevelType w:val="hybridMultilevel"/>
    <w:tmpl w:val="D8A013C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180"/>
      </w:pPr>
      <w:rPr>
        <w:rFonts w:ascii="Courier New" w:hAnsi="Courier New" w:cs="Courier New"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3E1023BD"/>
    <w:multiLevelType w:val="hybridMultilevel"/>
    <w:tmpl w:val="8948FE5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43850732"/>
    <w:multiLevelType w:val="hybridMultilevel"/>
    <w:tmpl w:val="814A6888"/>
    <w:styleLink w:val="ImportedStyle5"/>
    <w:lvl w:ilvl="0" w:tplc="7F1A9B42">
      <w:start w:val="1"/>
      <w:numFmt w:val="decimal"/>
      <w:lvlText w:val="%1."/>
      <w:lvlJc w:val="left"/>
      <w:pPr>
        <w:ind w:left="72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D0CE0636">
      <w:start w:val="1"/>
      <w:numFmt w:val="decimal"/>
      <w:lvlText w:val="%2."/>
      <w:lvlJc w:val="left"/>
      <w:pPr>
        <w:ind w:left="72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BF98A102">
      <w:start w:val="1"/>
      <w:numFmt w:val="decimal"/>
      <w:lvlText w:val="%3."/>
      <w:lvlJc w:val="left"/>
      <w:pPr>
        <w:tabs>
          <w:tab w:val="left" w:pos="720"/>
        </w:tabs>
        <w:ind w:left="144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49801DB4">
      <w:start w:val="1"/>
      <w:numFmt w:val="decimal"/>
      <w:lvlText w:val="%4."/>
      <w:lvlJc w:val="left"/>
      <w:pPr>
        <w:tabs>
          <w:tab w:val="left" w:pos="720"/>
        </w:tabs>
        <w:ind w:left="216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FFD4F224">
      <w:start w:val="1"/>
      <w:numFmt w:val="decimal"/>
      <w:lvlText w:val="%5."/>
      <w:lvlJc w:val="left"/>
      <w:pPr>
        <w:tabs>
          <w:tab w:val="left" w:pos="720"/>
        </w:tabs>
        <w:ind w:left="288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D488FB46">
      <w:start w:val="1"/>
      <w:numFmt w:val="decimal"/>
      <w:lvlText w:val="%6."/>
      <w:lvlJc w:val="left"/>
      <w:pPr>
        <w:tabs>
          <w:tab w:val="left" w:pos="720"/>
        </w:tabs>
        <w:ind w:left="360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57782B2E">
      <w:start w:val="1"/>
      <w:numFmt w:val="decimal"/>
      <w:lvlText w:val="%7."/>
      <w:lvlJc w:val="left"/>
      <w:pPr>
        <w:tabs>
          <w:tab w:val="left" w:pos="720"/>
        </w:tabs>
        <w:ind w:left="432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0002C3C0">
      <w:start w:val="1"/>
      <w:numFmt w:val="decimal"/>
      <w:lvlText w:val="%8."/>
      <w:lvlJc w:val="left"/>
      <w:pPr>
        <w:tabs>
          <w:tab w:val="left" w:pos="720"/>
        </w:tabs>
        <w:ind w:left="504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55FE456C">
      <w:start w:val="1"/>
      <w:numFmt w:val="decimal"/>
      <w:lvlText w:val="%9."/>
      <w:lvlJc w:val="left"/>
      <w:pPr>
        <w:tabs>
          <w:tab w:val="left" w:pos="720"/>
        </w:tabs>
        <w:ind w:left="576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nsid w:val="4AB42C2C"/>
    <w:multiLevelType w:val="multilevel"/>
    <w:tmpl w:val="201C5098"/>
    <w:styleLink w:val="BodyList1"/>
    <w:lvl w:ilvl="0">
      <w:start w:val="1"/>
      <w:numFmt w:val="decimal"/>
      <w:lvlText w:val="%1"/>
      <w:lvlJc w:val="left"/>
      <w:pPr>
        <w:ind w:left="786" w:hanging="360"/>
      </w:pPr>
      <w:rPr>
        <w:rFonts w:ascii="Verdana" w:hAnsi="Verdana" w:cs="Arial" w:hint="default"/>
        <w:b w:val="0"/>
        <w:color w:val="auto"/>
        <w:sz w:val="20"/>
        <w:szCs w:val="2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FCE649D"/>
    <w:multiLevelType w:val="multilevel"/>
    <w:tmpl w:val="562A06A6"/>
    <w:lvl w:ilvl="0">
      <w:start w:val="1"/>
      <w:numFmt w:val="decimal"/>
      <w:lvlText w:val="%1"/>
      <w:lvlJc w:val="left"/>
      <w:pPr>
        <w:tabs>
          <w:tab w:val="num" w:pos="493"/>
        </w:tabs>
        <w:ind w:left="493" w:hanging="493"/>
      </w:pPr>
      <w:rPr>
        <w:rFonts w:hint="default"/>
      </w:rPr>
    </w:lvl>
    <w:lvl w:ilvl="1">
      <w:start w:val="1"/>
      <w:numFmt w:val="bullet"/>
      <w:lvlText w:val=""/>
      <w:lvlJc w:val="left"/>
      <w:pPr>
        <w:tabs>
          <w:tab w:val="num" w:pos="493"/>
        </w:tabs>
        <w:ind w:left="987"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3">
    <w:nsid w:val="50650345"/>
    <w:multiLevelType w:val="hybridMultilevel"/>
    <w:tmpl w:val="3A148814"/>
    <w:lvl w:ilvl="0" w:tplc="75C0CE34">
      <w:start w:val="1"/>
      <w:numFmt w:val="bullet"/>
      <w:pStyle w:val="Bullet1"/>
      <w:lvlText w:val=""/>
      <w:lvlJc w:val="left"/>
      <w:pPr>
        <w:ind w:left="2082" w:hanging="360"/>
      </w:pPr>
      <w:rPr>
        <w:rFonts w:ascii="Symbol" w:hAnsi="Symbol" w:hint="default"/>
      </w:rPr>
    </w:lvl>
    <w:lvl w:ilvl="1" w:tplc="32705A00" w:tentative="1">
      <w:start w:val="1"/>
      <w:numFmt w:val="bullet"/>
      <w:lvlText w:val="o"/>
      <w:lvlJc w:val="left"/>
      <w:pPr>
        <w:ind w:left="2802" w:hanging="360"/>
      </w:pPr>
      <w:rPr>
        <w:rFonts w:ascii="Courier New" w:hAnsi="Courier New" w:cs="Courier New" w:hint="default"/>
      </w:rPr>
    </w:lvl>
    <w:lvl w:ilvl="2" w:tplc="2026CF70" w:tentative="1">
      <w:start w:val="1"/>
      <w:numFmt w:val="bullet"/>
      <w:lvlText w:val=""/>
      <w:lvlJc w:val="left"/>
      <w:pPr>
        <w:ind w:left="3522" w:hanging="360"/>
      </w:pPr>
      <w:rPr>
        <w:rFonts w:ascii="Wingdings" w:hAnsi="Wingdings" w:hint="default"/>
      </w:rPr>
    </w:lvl>
    <w:lvl w:ilvl="3" w:tplc="A20AEF96" w:tentative="1">
      <w:start w:val="1"/>
      <w:numFmt w:val="bullet"/>
      <w:lvlText w:val=""/>
      <w:lvlJc w:val="left"/>
      <w:pPr>
        <w:ind w:left="4242" w:hanging="360"/>
      </w:pPr>
      <w:rPr>
        <w:rFonts w:ascii="Symbol" w:hAnsi="Symbol" w:hint="default"/>
      </w:rPr>
    </w:lvl>
    <w:lvl w:ilvl="4" w:tplc="11F8A418" w:tentative="1">
      <w:start w:val="1"/>
      <w:numFmt w:val="bullet"/>
      <w:lvlText w:val="o"/>
      <w:lvlJc w:val="left"/>
      <w:pPr>
        <w:ind w:left="4962" w:hanging="360"/>
      </w:pPr>
      <w:rPr>
        <w:rFonts w:ascii="Courier New" w:hAnsi="Courier New" w:cs="Courier New" w:hint="default"/>
      </w:rPr>
    </w:lvl>
    <w:lvl w:ilvl="5" w:tplc="A0E86CC4" w:tentative="1">
      <w:start w:val="1"/>
      <w:numFmt w:val="bullet"/>
      <w:lvlText w:val=""/>
      <w:lvlJc w:val="left"/>
      <w:pPr>
        <w:ind w:left="5682" w:hanging="360"/>
      </w:pPr>
      <w:rPr>
        <w:rFonts w:ascii="Wingdings" w:hAnsi="Wingdings" w:hint="default"/>
      </w:rPr>
    </w:lvl>
    <w:lvl w:ilvl="6" w:tplc="03286814" w:tentative="1">
      <w:start w:val="1"/>
      <w:numFmt w:val="bullet"/>
      <w:lvlText w:val=""/>
      <w:lvlJc w:val="left"/>
      <w:pPr>
        <w:ind w:left="6402" w:hanging="360"/>
      </w:pPr>
      <w:rPr>
        <w:rFonts w:ascii="Symbol" w:hAnsi="Symbol" w:hint="default"/>
      </w:rPr>
    </w:lvl>
    <w:lvl w:ilvl="7" w:tplc="25661F36" w:tentative="1">
      <w:start w:val="1"/>
      <w:numFmt w:val="bullet"/>
      <w:lvlText w:val="o"/>
      <w:lvlJc w:val="left"/>
      <w:pPr>
        <w:ind w:left="7122" w:hanging="360"/>
      </w:pPr>
      <w:rPr>
        <w:rFonts w:ascii="Courier New" w:hAnsi="Courier New" w:cs="Courier New" w:hint="default"/>
      </w:rPr>
    </w:lvl>
    <w:lvl w:ilvl="8" w:tplc="B518FE12" w:tentative="1">
      <w:start w:val="1"/>
      <w:numFmt w:val="bullet"/>
      <w:lvlText w:val=""/>
      <w:lvlJc w:val="left"/>
      <w:pPr>
        <w:ind w:left="7842" w:hanging="360"/>
      </w:pPr>
      <w:rPr>
        <w:rFonts w:ascii="Wingdings" w:hAnsi="Wingdings" w:hint="default"/>
      </w:rPr>
    </w:lvl>
  </w:abstractNum>
  <w:abstractNum w:abstractNumId="34">
    <w:nsid w:val="54227195"/>
    <w:multiLevelType w:val="multilevel"/>
    <w:tmpl w:val="576A0058"/>
    <w:lvl w:ilvl="0">
      <w:start w:val="1"/>
      <w:numFmt w:val="bullet"/>
      <w:lvlText w:val=""/>
      <w:lvlJc w:val="left"/>
      <w:pPr>
        <w:ind w:left="786" w:hanging="360"/>
      </w:pPr>
      <w:rPr>
        <w:rFonts w:ascii="Symbol" w:hAnsi="Symbol" w:hint="default"/>
        <w:b w:val="0"/>
        <w:color w:val="auto"/>
        <w:sz w:val="20"/>
        <w:szCs w:val="2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9C11496"/>
    <w:multiLevelType w:val="multilevel"/>
    <w:tmpl w:val="D5549296"/>
    <w:lvl w:ilvl="0">
      <w:start w:val="1"/>
      <w:numFmt w:val="bullet"/>
      <w:lvlText w:val=""/>
      <w:lvlJc w:val="left"/>
      <w:pPr>
        <w:tabs>
          <w:tab w:val="num" w:pos="995"/>
        </w:tabs>
        <w:ind w:left="995" w:hanging="493"/>
      </w:pPr>
      <w:rPr>
        <w:rFonts w:ascii="Symbol" w:hAnsi="Symbol" w:hint="default"/>
      </w:rPr>
    </w:lvl>
    <w:lvl w:ilvl="1">
      <w:start w:val="1"/>
      <w:numFmt w:val="bullet"/>
      <w:lvlText w:val=""/>
      <w:lvlJc w:val="left"/>
      <w:pPr>
        <w:tabs>
          <w:tab w:val="num" w:pos="995"/>
        </w:tabs>
        <w:ind w:left="1489" w:hanging="494"/>
      </w:pPr>
      <w:rPr>
        <w:rFonts w:ascii="Symbol" w:hAnsi="Symbol" w:hint="default"/>
      </w:rPr>
    </w:lvl>
    <w:lvl w:ilvl="2">
      <w:start w:val="1"/>
      <w:numFmt w:val="decimal"/>
      <w:lvlText w:val="%1.%2.%3"/>
      <w:lvlJc w:val="left"/>
      <w:pPr>
        <w:tabs>
          <w:tab w:val="num" w:pos="2056"/>
        </w:tabs>
        <w:ind w:left="2056" w:hanging="567"/>
      </w:pPr>
      <w:rPr>
        <w:rFonts w:hint="default"/>
      </w:rPr>
    </w:lvl>
    <w:lvl w:ilvl="3">
      <w:start w:val="1"/>
      <w:numFmt w:val="decimal"/>
      <w:lvlText w:val="%1.%2.%3.%4."/>
      <w:lvlJc w:val="left"/>
      <w:pPr>
        <w:tabs>
          <w:tab w:val="num" w:pos="2635"/>
        </w:tabs>
        <w:ind w:left="2203" w:hanging="648"/>
      </w:pPr>
      <w:rPr>
        <w:rFonts w:hint="default"/>
      </w:rPr>
    </w:lvl>
    <w:lvl w:ilvl="4">
      <w:start w:val="1"/>
      <w:numFmt w:val="decimal"/>
      <w:lvlText w:val="%1.%2.%3.%4.%5."/>
      <w:lvlJc w:val="left"/>
      <w:pPr>
        <w:tabs>
          <w:tab w:val="num" w:pos="2995"/>
        </w:tabs>
        <w:ind w:left="2707" w:hanging="792"/>
      </w:pPr>
      <w:rPr>
        <w:rFonts w:hint="default"/>
      </w:rPr>
    </w:lvl>
    <w:lvl w:ilvl="5">
      <w:start w:val="1"/>
      <w:numFmt w:val="decimal"/>
      <w:lvlText w:val="%1.%2.%3.%4.%5.%6."/>
      <w:lvlJc w:val="left"/>
      <w:pPr>
        <w:tabs>
          <w:tab w:val="num" w:pos="3715"/>
        </w:tabs>
        <w:ind w:left="3211" w:hanging="936"/>
      </w:pPr>
      <w:rPr>
        <w:rFonts w:hint="default"/>
      </w:rPr>
    </w:lvl>
    <w:lvl w:ilvl="6">
      <w:start w:val="1"/>
      <w:numFmt w:val="decimal"/>
      <w:lvlText w:val="%1.%2.%3.%4.%5.%6.%7."/>
      <w:lvlJc w:val="left"/>
      <w:pPr>
        <w:tabs>
          <w:tab w:val="num" w:pos="4075"/>
        </w:tabs>
        <w:ind w:left="3715" w:hanging="1080"/>
      </w:pPr>
      <w:rPr>
        <w:rFonts w:hint="default"/>
      </w:rPr>
    </w:lvl>
    <w:lvl w:ilvl="7">
      <w:start w:val="1"/>
      <w:numFmt w:val="decimal"/>
      <w:lvlText w:val="%1.%2.%3.%4.%5.%6.%7.%8."/>
      <w:lvlJc w:val="left"/>
      <w:pPr>
        <w:tabs>
          <w:tab w:val="num" w:pos="4795"/>
        </w:tabs>
        <w:ind w:left="4219" w:hanging="1224"/>
      </w:pPr>
      <w:rPr>
        <w:rFonts w:hint="default"/>
      </w:rPr>
    </w:lvl>
    <w:lvl w:ilvl="8">
      <w:start w:val="1"/>
      <w:numFmt w:val="decimal"/>
      <w:lvlText w:val="%1.%2.%3.%4.%5.%6.%7.%8.%9."/>
      <w:lvlJc w:val="left"/>
      <w:pPr>
        <w:tabs>
          <w:tab w:val="num" w:pos="5155"/>
        </w:tabs>
        <w:ind w:left="4795" w:hanging="1440"/>
      </w:pPr>
      <w:rPr>
        <w:rFonts w:hint="default"/>
      </w:rPr>
    </w:lvl>
  </w:abstractNum>
  <w:abstractNum w:abstractNumId="36">
    <w:nsid w:val="59F54BCE"/>
    <w:multiLevelType w:val="multilevel"/>
    <w:tmpl w:val="C890E1A6"/>
    <w:styleLink w:val="BodyList"/>
    <w:lvl w:ilvl="0">
      <w:start w:val="1"/>
      <w:numFmt w:val="decimal"/>
      <w:lvlText w:val="%1"/>
      <w:lvlJc w:val="left"/>
      <w:pPr>
        <w:tabs>
          <w:tab w:val="num" w:pos="494"/>
        </w:tabs>
        <w:ind w:left="494" w:hanging="494"/>
      </w:pPr>
    </w:lvl>
    <w:lvl w:ilvl="1">
      <w:start w:val="1"/>
      <w:numFmt w:val="decimal"/>
      <w:lvlText w:val="%1.%2"/>
      <w:lvlJc w:val="left"/>
      <w:pPr>
        <w:tabs>
          <w:tab w:val="num" w:pos="493"/>
        </w:tabs>
        <w:ind w:left="987" w:hanging="493"/>
      </w:pPr>
    </w:lvl>
    <w:lvl w:ilvl="2">
      <w:start w:val="1"/>
      <w:numFmt w:val="decimal"/>
      <w:lvlText w:val="%1.%2.%3"/>
      <w:lvlJc w:val="left"/>
      <w:pPr>
        <w:tabs>
          <w:tab w:val="num" w:pos="680"/>
        </w:tabs>
        <w:ind w:left="1667" w:hanging="680"/>
      </w:pPr>
    </w:lvl>
    <w:lvl w:ilvl="3">
      <w:start w:val="1"/>
      <w:numFmt w:val="decimal"/>
      <w:lvlText w:val="%1.%2.%3.%4."/>
      <w:lvlJc w:val="left"/>
      <w:pPr>
        <w:tabs>
          <w:tab w:val="num" w:pos="1640"/>
        </w:tabs>
        <w:ind w:left="1208" w:hanging="648"/>
      </w:pPr>
    </w:lvl>
    <w:lvl w:ilvl="4">
      <w:start w:val="1"/>
      <w:numFmt w:val="decimal"/>
      <w:lvlText w:val="%1.%2.%3.%4.%5."/>
      <w:lvlJc w:val="left"/>
      <w:pPr>
        <w:tabs>
          <w:tab w:val="num" w:pos="2000"/>
        </w:tabs>
        <w:ind w:left="1712" w:hanging="792"/>
      </w:pPr>
    </w:lvl>
    <w:lvl w:ilvl="5">
      <w:start w:val="1"/>
      <w:numFmt w:val="decimal"/>
      <w:lvlText w:val="%1.%2.%3.%4.%5.%6."/>
      <w:lvlJc w:val="left"/>
      <w:pPr>
        <w:tabs>
          <w:tab w:val="num" w:pos="2720"/>
        </w:tabs>
        <w:ind w:left="2216" w:hanging="936"/>
      </w:pPr>
    </w:lvl>
    <w:lvl w:ilvl="6">
      <w:start w:val="1"/>
      <w:numFmt w:val="decimal"/>
      <w:lvlText w:val="%1.%2.%3.%4.%5.%6.%7."/>
      <w:lvlJc w:val="left"/>
      <w:pPr>
        <w:tabs>
          <w:tab w:val="num" w:pos="3080"/>
        </w:tabs>
        <w:ind w:left="2720" w:hanging="1080"/>
      </w:pPr>
    </w:lvl>
    <w:lvl w:ilvl="7">
      <w:start w:val="1"/>
      <w:numFmt w:val="decimal"/>
      <w:lvlText w:val="%1.%2.%3.%4.%5.%6.%7.%8."/>
      <w:lvlJc w:val="left"/>
      <w:pPr>
        <w:tabs>
          <w:tab w:val="num" w:pos="3800"/>
        </w:tabs>
        <w:ind w:left="3224" w:hanging="1224"/>
      </w:pPr>
    </w:lvl>
    <w:lvl w:ilvl="8">
      <w:start w:val="1"/>
      <w:numFmt w:val="decimal"/>
      <w:lvlText w:val="%1.%2.%3.%4.%5.%6.%7.%8.%9."/>
      <w:lvlJc w:val="left"/>
      <w:pPr>
        <w:tabs>
          <w:tab w:val="num" w:pos="4160"/>
        </w:tabs>
        <w:ind w:left="3800" w:hanging="1440"/>
      </w:pPr>
    </w:lvl>
  </w:abstractNum>
  <w:abstractNum w:abstractNumId="37">
    <w:nsid w:val="5AD1498E"/>
    <w:multiLevelType w:val="hybridMultilevel"/>
    <w:tmpl w:val="2F9CBAC8"/>
    <w:lvl w:ilvl="0" w:tplc="D2245190">
      <w:numFmt w:val="bullet"/>
      <w:lvlText w:val="•"/>
      <w:lvlJc w:val="left"/>
      <w:pPr>
        <w:ind w:left="1080" w:hanging="72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nsid w:val="5C45076D"/>
    <w:multiLevelType w:val="multilevel"/>
    <w:tmpl w:val="7D5E1ACA"/>
    <w:lvl w:ilvl="0">
      <w:start w:val="1"/>
      <w:numFmt w:val="bullet"/>
      <w:lvlText w:val=""/>
      <w:lvlJc w:val="left"/>
      <w:pPr>
        <w:tabs>
          <w:tab w:val="num" w:pos="988"/>
        </w:tabs>
        <w:ind w:left="988" w:hanging="494"/>
      </w:pPr>
      <w:rPr>
        <w:rFonts w:ascii="Symbol" w:hAnsi="Symbol" w:hint="default"/>
      </w:rPr>
    </w:lvl>
    <w:lvl w:ilvl="1">
      <w:start w:val="1"/>
      <w:numFmt w:val="decimal"/>
      <w:lvlText w:val="%1.%2"/>
      <w:lvlJc w:val="left"/>
      <w:pPr>
        <w:tabs>
          <w:tab w:val="num" w:pos="987"/>
        </w:tabs>
        <w:ind w:left="1481" w:hanging="493"/>
      </w:pPr>
      <w:rPr>
        <w:rFonts w:hint="default"/>
      </w:rPr>
    </w:lvl>
    <w:lvl w:ilvl="2">
      <w:start w:val="1"/>
      <w:numFmt w:val="decimal"/>
      <w:lvlText w:val="%1.%2.%3"/>
      <w:lvlJc w:val="left"/>
      <w:pPr>
        <w:tabs>
          <w:tab w:val="num" w:pos="1174"/>
        </w:tabs>
        <w:ind w:left="2161" w:hanging="680"/>
      </w:pPr>
      <w:rPr>
        <w:rFonts w:hint="default"/>
      </w:rPr>
    </w:lvl>
    <w:lvl w:ilvl="3">
      <w:start w:val="1"/>
      <w:numFmt w:val="decimal"/>
      <w:lvlText w:val="%1.%2.%3.%4."/>
      <w:lvlJc w:val="left"/>
      <w:pPr>
        <w:tabs>
          <w:tab w:val="num" w:pos="2134"/>
        </w:tabs>
        <w:ind w:left="1702" w:hanging="648"/>
      </w:pPr>
      <w:rPr>
        <w:rFonts w:hint="default"/>
      </w:rPr>
    </w:lvl>
    <w:lvl w:ilvl="4">
      <w:start w:val="1"/>
      <w:numFmt w:val="decimal"/>
      <w:lvlText w:val="%1.%2.%3.%4.%5."/>
      <w:lvlJc w:val="left"/>
      <w:pPr>
        <w:tabs>
          <w:tab w:val="num" w:pos="2494"/>
        </w:tabs>
        <w:ind w:left="2206" w:hanging="792"/>
      </w:pPr>
      <w:rPr>
        <w:rFonts w:hint="default"/>
      </w:rPr>
    </w:lvl>
    <w:lvl w:ilvl="5">
      <w:start w:val="1"/>
      <w:numFmt w:val="decimal"/>
      <w:lvlText w:val="%1.%2.%3.%4.%5.%6."/>
      <w:lvlJc w:val="left"/>
      <w:pPr>
        <w:tabs>
          <w:tab w:val="num" w:pos="3214"/>
        </w:tabs>
        <w:ind w:left="2710" w:hanging="936"/>
      </w:pPr>
      <w:rPr>
        <w:rFonts w:hint="default"/>
      </w:rPr>
    </w:lvl>
    <w:lvl w:ilvl="6">
      <w:start w:val="1"/>
      <w:numFmt w:val="decimal"/>
      <w:lvlText w:val="%1.%2.%3.%4.%5.%6.%7."/>
      <w:lvlJc w:val="left"/>
      <w:pPr>
        <w:tabs>
          <w:tab w:val="num" w:pos="3574"/>
        </w:tabs>
        <w:ind w:left="3214" w:hanging="1080"/>
      </w:pPr>
      <w:rPr>
        <w:rFonts w:hint="default"/>
      </w:rPr>
    </w:lvl>
    <w:lvl w:ilvl="7">
      <w:start w:val="1"/>
      <w:numFmt w:val="decimal"/>
      <w:lvlText w:val="%1.%2.%3.%4.%5.%6.%7.%8."/>
      <w:lvlJc w:val="left"/>
      <w:pPr>
        <w:tabs>
          <w:tab w:val="num" w:pos="4294"/>
        </w:tabs>
        <w:ind w:left="3718" w:hanging="1224"/>
      </w:pPr>
      <w:rPr>
        <w:rFonts w:hint="default"/>
      </w:rPr>
    </w:lvl>
    <w:lvl w:ilvl="8">
      <w:start w:val="1"/>
      <w:numFmt w:val="decimal"/>
      <w:lvlText w:val="%1.%2.%3.%4.%5.%6.%7.%8.%9."/>
      <w:lvlJc w:val="left"/>
      <w:pPr>
        <w:tabs>
          <w:tab w:val="num" w:pos="4654"/>
        </w:tabs>
        <w:ind w:left="4294" w:hanging="1440"/>
      </w:pPr>
      <w:rPr>
        <w:rFonts w:hint="default"/>
      </w:rPr>
    </w:lvl>
  </w:abstractNum>
  <w:abstractNum w:abstractNumId="39">
    <w:nsid w:val="77245F4D"/>
    <w:multiLevelType w:val="multilevel"/>
    <w:tmpl w:val="59B27C08"/>
    <w:lvl w:ilvl="0">
      <w:start w:val="1"/>
      <w:numFmt w:val="decimal"/>
      <w:lvlText w:val="%1"/>
      <w:lvlJc w:val="left"/>
      <w:pPr>
        <w:tabs>
          <w:tab w:val="num" w:pos="493"/>
        </w:tabs>
        <w:ind w:left="493" w:hanging="493"/>
      </w:pPr>
    </w:lvl>
    <w:lvl w:ilvl="1">
      <w:start w:val="1"/>
      <w:numFmt w:val="decimal"/>
      <w:lvlText w:val="%1.%2"/>
      <w:lvlJc w:val="left"/>
      <w:pPr>
        <w:tabs>
          <w:tab w:val="num" w:pos="493"/>
        </w:tabs>
        <w:ind w:left="987" w:hanging="494"/>
      </w:pPr>
    </w:lvl>
    <w:lvl w:ilvl="2">
      <w:start w:val="1"/>
      <w:numFmt w:val="decimal"/>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num w:numId="1">
    <w:abstractNumId w:val="19"/>
  </w:num>
  <w:num w:numId="2">
    <w:abstractNumId w:val="9"/>
  </w:num>
  <w:num w:numId="3">
    <w:abstractNumId w:val="7"/>
  </w:num>
  <w:num w:numId="4">
    <w:abstractNumId w:val="17"/>
  </w:num>
  <w:num w:numId="5">
    <w:abstractNumId w:val="18"/>
  </w:num>
  <w:num w:numId="6">
    <w:abstractNumId w:val="33"/>
  </w:num>
  <w:num w:numId="7">
    <w:abstractNumId w:val="26"/>
  </w:num>
  <w:num w:numId="8">
    <w:abstractNumId w:val="31"/>
  </w:num>
  <w:num w:numId="9">
    <w:abstractNumId w:val="36"/>
  </w:num>
  <w:num w:numId="10">
    <w:abstractNumId w:val="10"/>
  </w:num>
  <w:num w:numId="11">
    <w:abstractNumId w:val="20"/>
  </w:num>
  <w:num w:numId="12">
    <w:abstractNumId w:val="30"/>
  </w:num>
  <w:num w:numId="13">
    <w:abstractNumId w:val="24"/>
  </w:num>
  <w:num w:numId="14">
    <w:abstractNumId w:val="23"/>
    <w:lvlOverride w:ilvl="0">
      <w:lvl w:ilvl="0">
        <w:start w:val="1"/>
        <w:numFmt w:val="decimal"/>
        <w:pStyle w:val="ReportBody"/>
        <w:lvlText w:val="%1"/>
        <w:lvlJc w:val="left"/>
        <w:pPr>
          <w:tabs>
            <w:tab w:val="num" w:pos="493"/>
          </w:tabs>
          <w:ind w:left="493" w:hanging="493"/>
        </w:pPr>
        <w:rPr>
          <w:rFonts w:hint="default"/>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5">
    <w:abstractNumId w:val="32"/>
  </w:num>
  <w:num w:numId="16">
    <w:abstractNumId w:val="27"/>
  </w:num>
  <w:num w:numId="17">
    <w:abstractNumId w:val="12"/>
  </w:num>
  <w:num w:numId="18">
    <w:abstractNumId w:val="35"/>
  </w:num>
  <w:num w:numId="19">
    <w:abstractNumId w:val="21"/>
  </w:num>
  <w:num w:numId="20">
    <w:abstractNumId w:val="15"/>
  </w:num>
  <w:num w:numId="21">
    <w:abstractNumId w:val="29"/>
  </w:num>
  <w:num w:numId="22">
    <w:abstractNumId w:val="28"/>
  </w:num>
  <w:num w:numId="23">
    <w:abstractNumId w:val="31"/>
    <w:lvlOverride w:ilvl="0">
      <w:lvl w:ilvl="0">
        <w:start w:val="1"/>
        <w:numFmt w:val="decimal"/>
        <w:lvlText w:val="%1"/>
        <w:lvlJc w:val="left"/>
        <w:pPr>
          <w:ind w:left="360" w:hanging="360"/>
        </w:pPr>
        <w:rPr>
          <w:rFonts w:ascii="Verdana" w:hAnsi="Verdana" w:cs="Arial" w:hint="default"/>
          <w:b w:val="0"/>
          <w:i w:val="0"/>
          <w:color w:val="auto"/>
          <w:sz w:val="20"/>
          <w:szCs w:val="20"/>
        </w:rPr>
      </w:lvl>
    </w:lvlOverride>
  </w:num>
  <w:num w:numId="24">
    <w:abstractNumId w:val="13"/>
  </w:num>
  <w:num w:numId="25">
    <w:abstractNumId w:val="31"/>
    <w:lvlOverride w:ilvl="0">
      <w:lvl w:ilvl="0">
        <w:start w:val="1"/>
        <w:numFmt w:val="decimal"/>
        <w:lvlText w:val="%1"/>
        <w:lvlJc w:val="left"/>
        <w:pPr>
          <w:ind w:left="786" w:hanging="360"/>
        </w:pPr>
        <w:rPr>
          <w:rFonts w:ascii="Verdana" w:hAnsi="Verdana" w:cs="Arial" w:hint="default"/>
          <w:b w:val="0"/>
          <w:i w:val="0"/>
          <w:color w:val="auto"/>
          <w:sz w:val="20"/>
          <w:szCs w:val="20"/>
        </w:rPr>
      </w:lvl>
    </w:lvlOverride>
  </w:num>
  <w:num w:numId="26">
    <w:abstractNumId w:val="34"/>
  </w:num>
  <w:num w:numId="27">
    <w:abstractNumId w:val="14"/>
  </w:num>
  <w:num w:numId="28">
    <w:abstractNumId w:val="22"/>
  </w:num>
  <w:num w:numId="29">
    <w:abstractNumId w:val="16"/>
  </w:num>
  <w:num w:numId="30">
    <w:abstractNumId w:val="23"/>
    <w:lvlOverride w:ilvl="0">
      <w:lvl w:ilvl="0">
        <w:start w:val="1"/>
        <w:numFmt w:val="decimal"/>
        <w:pStyle w:val="ReportBody"/>
        <w:lvlText w:val="%1."/>
        <w:lvlJc w:val="left"/>
        <w:pPr>
          <w:ind w:left="360" w:hanging="360"/>
        </w:pPr>
      </w:lvl>
    </w:lvlOverride>
    <w:lvlOverride w:ilvl="1">
      <w:lvl w:ilvl="1">
        <w:start w:val="1"/>
        <w:numFmt w:val="decimal"/>
        <w:pStyle w:val="ReportBody2"/>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11"/>
  </w:num>
  <w:num w:numId="34">
    <w:abstractNumId w:val="25"/>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71"/>
    <w:rsid w:val="00000B4C"/>
    <w:rsid w:val="000032C2"/>
    <w:rsid w:val="000035B3"/>
    <w:rsid w:val="00005BBE"/>
    <w:rsid w:val="00007D2C"/>
    <w:rsid w:val="000106D0"/>
    <w:rsid w:val="00011196"/>
    <w:rsid w:val="00011393"/>
    <w:rsid w:val="00014DC6"/>
    <w:rsid w:val="000233B0"/>
    <w:rsid w:val="00024283"/>
    <w:rsid w:val="00031C35"/>
    <w:rsid w:val="00034336"/>
    <w:rsid w:val="00035E3B"/>
    <w:rsid w:val="00036AFB"/>
    <w:rsid w:val="00037A51"/>
    <w:rsid w:val="00037CB0"/>
    <w:rsid w:val="00044B7B"/>
    <w:rsid w:val="000473EF"/>
    <w:rsid w:val="00051246"/>
    <w:rsid w:val="00051B77"/>
    <w:rsid w:val="000533B0"/>
    <w:rsid w:val="000610A3"/>
    <w:rsid w:val="00062271"/>
    <w:rsid w:val="000674CE"/>
    <w:rsid w:val="00071FC4"/>
    <w:rsid w:val="00072290"/>
    <w:rsid w:val="0007367C"/>
    <w:rsid w:val="00080600"/>
    <w:rsid w:val="00083A5C"/>
    <w:rsid w:val="0008538C"/>
    <w:rsid w:val="00092866"/>
    <w:rsid w:val="000A576B"/>
    <w:rsid w:val="000A6221"/>
    <w:rsid w:val="000B09D5"/>
    <w:rsid w:val="000B1E7C"/>
    <w:rsid w:val="000B2837"/>
    <w:rsid w:val="000B5EC5"/>
    <w:rsid w:val="000B6B6F"/>
    <w:rsid w:val="000C0035"/>
    <w:rsid w:val="000C69AC"/>
    <w:rsid w:val="000D016C"/>
    <w:rsid w:val="000D302A"/>
    <w:rsid w:val="000E3BB9"/>
    <w:rsid w:val="000E6B19"/>
    <w:rsid w:val="000F0DB4"/>
    <w:rsid w:val="000F1702"/>
    <w:rsid w:val="000F2AE7"/>
    <w:rsid w:val="00100192"/>
    <w:rsid w:val="001015BB"/>
    <w:rsid w:val="00101F12"/>
    <w:rsid w:val="001049B5"/>
    <w:rsid w:val="001067CC"/>
    <w:rsid w:val="00106AED"/>
    <w:rsid w:val="001105B7"/>
    <w:rsid w:val="0011220C"/>
    <w:rsid w:val="00112962"/>
    <w:rsid w:val="001131B4"/>
    <w:rsid w:val="00114E55"/>
    <w:rsid w:val="00121D3C"/>
    <w:rsid w:val="00123E1A"/>
    <w:rsid w:val="00124118"/>
    <w:rsid w:val="00124508"/>
    <w:rsid w:val="00141656"/>
    <w:rsid w:val="00150D5D"/>
    <w:rsid w:val="001527A5"/>
    <w:rsid w:val="001555DF"/>
    <w:rsid w:val="00162AF3"/>
    <w:rsid w:val="00163A28"/>
    <w:rsid w:val="00163DAB"/>
    <w:rsid w:val="0017058F"/>
    <w:rsid w:val="00171244"/>
    <w:rsid w:val="00172037"/>
    <w:rsid w:val="001731A9"/>
    <w:rsid w:val="0017342F"/>
    <w:rsid w:val="00177DB9"/>
    <w:rsid w:val="00177E1D"/>
    <w:rsid w:val="00180EA0"/>
    <w:rsid w:val="00184E48"/>
    <w:rsid w:val="00187F1E"/>
    <w:rsid w:val="00190B75"/>
    <w:rsid w:val="001913C7"/>
    <w:rsid w:val="00191E07"/>
    <w:rsid w:val="00193FB8"/>
    <w:rsid w:val="00195FD7"/>
    <w:rsid w:val="00196B99"/>
    <w:rsid w:val="001972F9"/>
    <w:rsid w:val="001A111D"/>
    <w:rsid w:val="001A27DF"/>
    <w:rsid w:val="001A57FF"/>
    <w:rsid w:val="001B0CAD"/>
    <w:rsid w:val="001B2480"/>
    <w:rsid w:val="001B6B7B"/>
    <w:rsid w:val="001B72D0"/>
    <w:rsid w:val="001C1B15"/>
    <w:rsid w:val="001C2B79"/>
    <w:rsid w:val="001C354D"/>
    <w:rsid w:val="001C477F"/>
    <w:rsid w:val="001D0C25"/>
    <w:rsid w:val="001D221F"/>
    <w:rsid w:val="001D27E6"/>
    <w:rsid w:val="001D2D52"/>
    <w:rsid w:val="001D3744"/>
    <w:rsid w:val="001E19C0"/>
    <w:rsid w:val="001E22FD"/>
    <w:rsid w:val="001E65F0"/>
    <w:rsid w:val="001F1F33"/>
    <w:rsid w:val="001F255B"/>
    <w:rsid w:val="001F2715"/>
    <w:rsid w:val="001F3BF2"/>
    <w:rsid w:val="00201FC0"/>
    <w:rsid w:val="0020415B"/>
    <w:rsid w:val="002135C7"/>
    <w:rsid w:val="00213DA6"/>
    <w:rsid w:val="00215573"/>
    <w:rsid w:val="00216302"/>
    <w:rsid w:val="00222BA0"/>
    <w:rsid w:val="00222ED8"/>
    <w:rsid w:val="00226D04"/>
    <w:rsid w:val="00236D2D"/>
    <w:rsid w:val="002378CC"/>
    <w:rsid w:val="00241751"/>
    <w:rsid w:val="00242F7A"/>
    <w:rsid w:val="00245A2B"/>
    <w:rsid w:val="00245E4F"/>
    <w:rsid w:val="00252861"/>
    <w:rsid w:val="00256CD0"/>
    <w:rsid w:val="00260815"/>
    <w:rsid w:val="00260EE2"/>
    <w:rsid w:val="0026248A"/>
    <w:rsid w:val="002628DD"/>
    <w:rsid w:val="00265D5C"/>
    <w:rsid w:val="002703CE"/>
    <w:rsid w:val="002719FE"/>
    <w:rsid w:val="00271EF5"/>
    <w:rsid w:val="002722E6"/>
    <w:rsid w:val="002736FC"/>
    <w:rsid w:val="002747DC"/>
    <w:rsid w:val="00280E2B"/>
    <w:rsid w:val="0028132C"/>
    <w:rsid w:val="00282577"/>
    <w:rsid w:val="00284D85"/>
    <w:rsid w:val="002876A5"/>
    <w:rsid w:val="00293A51"/>
    <w:rsid w:val="00294107"/>
    <w:rsid w:val="0029459F"/>
    <w:rsid w:val="002A1508"/>
    <w:rsid w:val="002A3937"/>
    <w:rsid w:val="002A5D5B"/>
    <w:rsid w:val="002A67DA"/>
    <w:rsid w:val="002B051B"/>
    <w:rsid w:val="002B0635"/>
    <w:rsid w:val="002B0E23"/>
    <w:rsid w:val="002B178F"/>
    <w:rsid w:val="002B2E82"/>
    <w:rsid w:val="002C312C"/>
    <w:rsid w:val="002C37C7"/>
    <w:rsid w:val="002C47B6"/>
    <w:rsid w:val="002D1C62"/>
    <w:rsid w:val="002D367B"/>
    <w:rsid w:val="002E302B"/>
    <w:rsid w:val="002E3B96"/>
    <w:rsid w:val="002E4C8F"/>
    <w:rsid w:val="002F201B"/>
    <w:rsid w:val="002F3F6A"/>
    <w:rsid w:val="002F5C4D"/>
    <w:rsid w:val="002F638D"/>
    <w:rsid w:val="00300EDC"/>
    <w:rsid w:val="00301317"/>
    <w:rsid w:val="00306465"/>
    <w:rsid w:val="0030766C"/>
    <w:rsid w:val="00310CD2"/>
    <w:rsid w:val="003115A2"/>
    <w:rsid w:val="00312825"/>
    <w:rsid w:val="00317811"/>
    <w:rsid w:val="00320542"/>
    <w:rsid w:val="00323193"/>
    <w:rsid w:val="0032380E"/>
    <w:rsid w:val="003251D0"/>
    <w:rsid w:val="00325216"/>
    <w:rsid w:val="00325752"/>
    <w:rsid w:val="00325FFF"/>
    <w:rsid w:val="00327F3D"/>
    <w:rsid w:val="00331783"/>
    <w:rsid w:val="003339AB"/>
    <w:rsid w:val="003408A4"/>
    <w:rsid w:val="00340B40"/>
    <w:rsid w:val="00342F3A"/>
    <w:rsid w:val="00343B99"/>
    <w:rsid w:val="00344EA4"/>
    <w:rsid w:val="00346707"/>
    <w:rsid w:val="00351786"/>
    <w:rsid w:val="00353B00"/>
    <w:rsid w:val="00353CAC"/>
    <w:rsid w:val="0035450C"/>
    <w:rsid w:val="00354EC2"/>
    <w:rsid w:val="00355A40"/>
    <w:rsid w:val="00355EF8"/>
    <w:rsid w:val="003560CF"/>
    <w:rsid w:val="003612A7"/>
    <w:rsid w:val="00361702"/>
    <w:rsid w:val="00364A54"/>
    <w:rsid w:val="003700B0"/>
    <w:rsid w:val="00370308"/>
    <w:rsid w:val="00373653"/>
    <w:rsid w:val="00376033"/>
    <w:rsid w:val="00381E8F"/>
    <w:rsid w:val="0038674C"/>
    <w:rsid w:val="0039059B"/>
    <w:rsid w:val="00391E3C"/>
    <w:rsid w:val="00393A19"/>
    <w:rsid w:val="00393CAF"/>
    <w:rsid w:val="00394D03"/>
    <w:rsid w:val="0039662A"/>
    <w:rsid w:val="00397205"/>
    <w:rsid w:val="00397220"/>
    <w:rsid w:val="003979A3"/>
    <w:rsid w:val="003A0443"/>
    <w:rsid w:val="003A10B6"/>
    <w:rsid w:val="003A44AE"/>
    <w:rsid w:val="003B0745"/>
    <w:rsid w:val="003B0A38"/>
    <w:rsid w:val="003B0ACB"/>
    <w:rsid w:val="003B3CBB"/>
    <w:rsid w:val="003B49B7"/>
    <w:rsid w:val="003B5848"/>
    <w:rsid w:val="003B680A"/>
    <w:rsid w:val="003C1BD2"/>
    <w:rsid w:val="003C785E"/>
    <w:rsid w:val="003C7A28"/>
    <w:rsid w:val="003D1DF6"/>
    <w:rsid w:val="003D774A"/>
    <w:rsid w:val="003D7CA0"/>
    <w:rsid w:val="003E05A4"/>
    <w:rsid w:val="003E1183"/>
    <w:rsid w:val="003E3527"/>
    <w:rsid w:val="003E3722"/>
    <w:rsid w:val="003E4391"/>
    <w:rsid w:val="003E4FCB"/>
    <w:rsid w:val="003E5DA5"/>
    <w:rsid w:val="003E6B30"/>
    <w:rsid w:val="003E79E5"/>
    <w:rsid w:val="003F074D"/>
    <w:rsid w:val="003F2401"/>
    <w:rsid w:val="003F356B"/>
    <w:rsid w:val="003F58CA"/>
    <w:rsid w:val="003F70A0"/>
    <w:rsid w:val="003F7522"/>
    <w:rsid w:val="004015E8"/>
    <w:rsid w:val="004038C2"/>
    <w:rsid w:val="00404CC4"/>
    <w:rsid w:val="00407E76"/>
    <w:rsid w:val="00412377"/>
    <w:rsid w:val="0041303B"/>
    <w:rsid w:val="00413DE7"/>
    <w:rsid w:val="00413F8C"/>
    <w:rsid w:val="004218BF"/>
    <w:rsid w:val="00421BD3"/>
    <w:rsid w:val="0042278B"/>
    <w:rsid w:val="004227ED"/>
    <w:rsid w:val="004254B7"/>
    <w:rsid w:val="004255EB"/>
    <w:rsid w:val="004276FB"/>
    <w:rsid w:val="00435B67"/>
    <w:rsid w:val="00436602"/>
    <w:rsid w:val="004375D8"/>
    <w:rsid w:val="004402C1"/>
    <w:rsid w:val="00443C4E"/>
    <w:rsid w:val="00445B02"/>
    <w:rsid w:val="00445BCE"/>
    <w:rsid w:val="0045404F"/>
    <w:rsid w:val="00454F07"/>
    <w:rsid w:val="00454F25"/>
    <w:rsid w:val="00457DBB"/>
    <w:rsid w:val="00460C2A"/>
    <w:rsid w:val="004664EB"/>
    <w:rsid w:val="00467084"/>
    <w:rsid w:val="0046740B"/>
    <w:rsid w:val="004710B8"/>
    <w:rsid w:val="00471974"/>
    <w:rsid w:val="00476D5A"/>
    <w:rsid w:val="00477E04"/>
    <w:rsid w:val="00481F3D"/>
    <w:rsid w:val="004855EE"/>
    <w:rsid w:val="004875B5"/>
    <w:rsid w:val="00490AFD"/>
    <w:rsid w:val="00490EDF"/>
    <w:rsid w:val="004A1894"/>
    <w:rsid w:val="004A1A9F"/>
    <w:rsid w:val="004A2C39"/>
    <w:rsid w:val="004A379B"/>
    <w:rsid w:val="004A50D0"/>
    <w:rsid w:val="004A5265"/>
    <w:rsid w:val="004A5EF7"/>
    <w:rsid w:val="004B1D2F"/>
    <w:rsid w:val="004B31AE"/>
    <w:rsid w:val="004B74CF"/>
    <w:rsid w:val="004C03F7"/>
    <w:rsid w:val="004C0B14"/>
    <w:rsid w:val="004C0F67"/>
    <w:rsid w:val="004C2BC9"/>
    <w:rsid w:val="004C3D24"/>
    <w:rsid w:val="004D0451"/>
    <w:rsid w:val="004D0D2C"/>
    <w:rsid w:val="004D6DA5"/>
    <w:rsid w:val="004E24BA"/>
    <w:rsid w:val="004E2FF1"/>
    <w:rsid w:val="004E35D6"/>
    <w:rsid w:val="004F498D"/>
    <w:rsid w:val="0050024D"/>
    <w:rsid w:val="005004F3"/>
    <w:rsid w:val="00502AE9"/>
    <w:rsid w:val="0050314F"/>
    <w:rsid w:val="0051098E"/>
    <w:rsid w:val="00510BB6"/>
    <w:rsid w:val="00512C56"/>
    <w:rsid w:val="0051508A"/>
    <w:rsid w:val="005151F6"/>
    <w:rsid w:val="00515589"/>
    <w:rsid w:val="00516758"/>
    <w:rsid w:val="00520DD6"/>
    <w:rsid w:val="00524E7D"/>
    <w:rsid w:val="00533E65"/>
    <w:rsid w:val="005415F4"/>
    <w:rsid w:val="00543E18"/>
    <w:rsid w:val="005517FA"/>
    <w:rsid w:val="005609A6"/>
    <w:rsid w:val="00563500"/>
    <w:rsid w:val="0056681E"/>
    <w:rsid w:val="0057278E"/>
    <w:rsid w:val="00572AA9"/>
    <w:rsid w:val="0057395F"/>
    <w:rsid w:val="00574B12"/>
    <w:rsid w:val="0058021D"/>
    <w:rsid w:val="0058048E"/>
    <w:rsid w:val="0058285F"/>
    <w:rsid w:val="00587CF0"/>
    <w:rsid w:val="005911E5"/>
    <w:rsid w:val="00594144"/>
    <w:rsid w:val="00595906"/>
    <w:rsid w:val="00596374"/>
    <w:rsid w:val="00597042"/>
    <w:rsid w:val="005970B3"/>
    <w:rsid w:val="005975B2"/>
    <w:rsid w:val="005A7A80"/>
    <w:rsid w:val="005B11F9"/>
    <w:rsid w:val="005B4412"/>
    <w:rsid w:val="005B46F7"/>
    <w:rsid w:val="005B5FC6"/>
    <w:rsid w:val="005B6298"/>
    <w:rsid w:val="005B68AC"/>
    <w:rsid w:val="005C2FCE"/>
    <w:rsid w:val="005C347E"/>
    <w:rsid w:val="005C431E"/>
    <w:rsid w:val="005D4DEC"/>
    <w:rsid w:val="005E03D1"/>
    <w:rsid w:val="005E0E0B"/>
    <w:rsid w:val="005E4FFF"/>
    <w:rsid w:val="005E562D"/>
    <w:rsid w:val="005E6548"/>
    <w:rsid w:val="005E7ED4"/>
    <w:rsid w:val="005F11AA"/>
    <w:rsid w:val="005F195E"/>
    <w:rsid w:val="005F4B34"/>
    <w:rsid w:val="005F7536"/>
    <w:rsid w:val="0060330E"/>
    <w:rsid w:val="0060403D"/>
    <w:rsid w:val="00606C25"/>
    <w:rsid w:val="00610BF3"/>
    <w:rsid w:val="00612224"/>
    <w:rsid w:val="00612A00"/>
    <w:rsid w:val="006154A1"/>
    <w:rsid w:val="00615632"/>
    <w:rsid w:val="00617D20"/>
    <w:rsid w:val="006206BC"/>
    <w:rsid w:val="00622F62"/>
    <w:rsid w:val="00623F72"/>
    <w:rsid w:val="0062535B"/>
    <w:rsid w:val="0062656E"/>
    <w:rsid w:val="00631D73"/>
    <w:rsid w:val="00633F21"/>
    <w:rsid w:val="00636199"/>
    <w:rsid w:val="0063682F"/>
    <w:rsid w:val="006371A0"/>
    <w:rsid w:val="006378E8"/>
    <w:rsid w:val="00643129"/>
    <w:rsid w:val="0064484F"/>
    <w:rsid w:val="00650DE0"/>
    <w:rsid w:val="00652262"/>
    <w:rsid w:val="0065362E"/>
    <w:rsid w:val="00657406"/>
    <w:rsid w:val="00657865"/>
    <w:rsid w:val="006638A8"/>
    <w:rsid w:val="00663DA5"/>
    <w:rsid w:val="00665116"/>
    <w:rsid w:val="00671B03"/>
    <w:rsid w:val="00673116"/>
    <w:rsid w:val="00674435"/>
    <w:rsid w:val="0067525D"/>
    <w:rsid w:val="00677440"/>
    <w:rsid w:val="00685EA4"/>
    <w:rsid w:val="00686450"/>
    <w:rsid w:val="0068745E"/>
    <w:rsid w:val="0069633E"/>
    <w:rsid w:val="006A3C2F"/>
    <w:rsid w:val="006A55B4"/>
    <w:rsid w:val="006A6975"/>
    <w:rsid w:val="006B00AF"/>
    <w:rsid w:val="006B19BD"/>
    <w:rsid w:val="006B1A36"/>
    <w:rsid w:val="006B345A"/>
    <w:rsid w:val="006B40EA"/>
    <w:rsid w:val="006B560D"/>
    <w:rsid w:val="006B6BBC"/>
    <w:rsid w:val="006C04AC"/>
    <w:rsid w:val="006C0DEE"/>
    <w:rsid w:val="006C1ABA"/>
    <w:rsid w:val="006C6A65"/>
    <w:rsid w:val="006D085A"/>
    <w:rsid w:val="006D268D"/>
    <w:rsid w:val="006D44F9"/>
    <w:rsid w:val="006D77E7"/>
    <w:rsid w:val="006E489F"/>
    <w:rsid w:val="006E48AE"/>
    <w:rsid w:val="006F072A"/>
    <w:rsid w:val="006F1A09"/>
    <w:rsid w:val="007019D9"/>
    <w:rsid w:val="00702FEB"/>
    <w:rsid w:val="00703612"/>
    <w:rsid w:val="00703B28"/>
    <w:rsid w:val="00710C92"/>
    <w:rsid w:val="0071256C"/>
    <w:rsid w:val="007162B1"/>
    <w:rsid w:val="007165B2"/>
    <w:rsid w:val="0072002D"/>
    <w:rsid w:val="007231FB"/>
    <w:rsid w:val="00723506"/>
    <w:rsid w:val="007250CA"/>
    <w:rsid w:val="00727831"/>
    <w:rsid w:val="0073154E"/>
    <w:rsid w:val="00734AF1"/>
    <w:rsid w:val="00734ED0"/>
    <w:rsid w:val="0074088D"/>
    <w:rsid w:val="00741700"/>
    <w:rsid w:val="00744BE0"/>
    <w:rsid w:val="0074575C"/>
    <w:rsid w:val="00746F5C"/>
    <w:rsid w:val="007505BA"/>
    <w:rsid w:val="00754124"/>
    <w:rsid w:val="007618D7"/>
    <w:rsid w:val="007621DB"/>
    <w:rsid w:val="00765A07"/>
    <w:rsid w:val="00775BF5"/>
    <w:rsid w:val="00781C75"/>
    <w:rsid w:val="00785034"/>
    <w:rsid w:val="00785B3E"/>
    <w:rsid w:val="00787C0B"/>
    <w:rsid w:val="007907B1"/>
    <w:rsid w:val="00791494"/>
    <w:rsid w:val="00792F57"/>
    <w:rsid w:val="0079316C"/>
    <w:rsid w:val="007A07C0"/>
    <w:rsid w:val="007B1456"/>
    <w:rsid w:val="007B201A"/>
    <w:rsid w:val="007B3B5D"/>
    <w:rsid w:val="007C2143"/>
    <w:rsid w:val="007C36CA"/>
    <w:rsid w:val="007C38ED"/>
    <w:rsid w:val="007C4074"/>
    <w:rsid w:val="007C6249"/>
    <w:rsid w:val="007C6789"/>
    <w:rsid w:val="007D02C9"/>
    <w:rsid w:val="007D11A3"/>
    <w:rsid w:val="007D266E"/>
    <w:rsid w:val="007D315E"/>
    <w:rsid w:val="007D3908"/>
    <w:rsid w:val="007D3B94"/>
    <w:rsid w:val="007E247A"/>
    <w:rsid w:val="007E26D0"/>
    <w:rsid w:val="007E46CF"/>
    <w:rsid w:val="007F3ACD"/>
    <w:rsid w:val="007F58B0"/>
    <w:rsid w:val="007F6B8B"/>
    <w:rsid w:val="007F71E1"/>
    <w:rsid w:val="00800F6E"/>
    <w:rsid w:val="0080133F"/>
    <w:rsid w:val="00801A47"/>
    <w:rsid w:val="0080285C"/>
    <w:rsid w:val="00802FE6"/>
    <w:rsid w:val="00803023"/>
    <w:rsid w:val="0080498F"/>
    <w:rsid w:val="0080671C"/>
    <w:rsid w:val="00806DB9"/>
    <w:rsid w:val="008114C5"/>
    <w:rsid w:val="00824574"/>
    <w:rsid w:val="008248CA"/>
    <w:rsid w:val="0083036D"/>
    <w:rsid w:val="00830C9A"/>
    <w:rsid w:val="008321B5"/>
    <w:rsid w:val="00833636"/>
    <w:rsid w:val="00835488"/>
    <w:rsid w:val="00835EA4"/>
    <w:rsid w:val="00836475"/>
    <w:rsid w:val="00837497"/>
    <w:rsid w:val="00841BBD"/>
    <w:rsid w:val="00843F43"/>
    <w:rsid w:val="0085323E"/>
    <w:rsid w:val="00854C6A"/>
    <w:rsid w:val="00856104"/>
    <w:rsid w:val="00856C62"/>
    <w:rsid w:val="00856F8C"/>
    <w:rsid w:val="00860654"/>
    <w:rsid w:val="008631CE"/>
    <w:rsid w:val="00863D78"/>
    <w:rsid w:val="00865323"/>
    <w:rsid w:val="00866FAE"/>
    <w:rsid w:val="0087564A"/>
    <w:rsid w:val="0087719F"/>
    <w:rsid w:val="00880438"/>
    <w:rsid w:val="00880C50"/>
    <w:rsid w:val="00881D62"/>
    <w:rsid w:val="008848EF"/>
    <w:rsid w:val="0088653B"/>
    <w:rsid w:val="0089068F"/>
    <w:rsid w:val="008911EF"/>
    <w:rsid w:val="00895C4E"/>
    <w:rsid w:val="008A193B"/>
    <w:rsid w:val="008A3B8B"/>
    <w:rsid w:val="008A4749"/>
    <w:rsid w:val="008C03E6"/>
    <w:rsid w:val="008C4210"/>
    <w:rsid w:val="008C4F8E"/>
    <w:rsid w:val="008D1E9B"/>
    <w:rsid w:val="008E05E2"/>
    <w:rsid w:val="008E26F9"/>
    <w:rsid w:val="008E670C"/>
    <w:rsid w:val="008E696A"/>
    <w:rsid w:val="008E6A4B"/>
    <w:rsid w:val="008F1474"/>
    <w:rsid w:val="008F3073"/>
    <w:rsid w:val="008F33BA"/>
    <w:rsid w:val="00903467"/>
    <w:rsid w:val="00903D9D"/>
    <w:rsid w:val="009069BD"/>
    <w:rsid w:val="00906EAA"/>
    <w:rsid w:val="009107AE"/>
    <w:rsid w:val="0091550D"/>
    <w:rsid w:val="009227F1"/>
    <w:rsid w:val="00924A19"/>
    <w:rsid w:val="009264E6"/>
    <w:rsid w:val="00930B68"/>
    <w:rsid w:val="00932DC5"/>
    <w:rsid w:val="009336D7"/>
    <w:rsid w:val="00937D41"/>
    <w:rsid w:val="0094357E"/>
    <w:rsid w:val="00943CF6"/>
    <w:rsid w:val="009445E6"/>
    <w:rsid w:val="0094573F"/>
    <w:rsid w:val="009476DF"/>
    <w:rsid w:val="009511F5"/>
    <w:rsid w:val="00951294"/>
    <w:rsid w:val="0095698A"/>
    <w:rsid w:val="00957FE0"/>
    <w:rsid w:val="00963630"/>
    <w:rsid w:val="009637B6"/>
    <w:rsid w:val="00964BA0"/>
    <w:rsid w:val="00966A1D"/>
    <w:rsid w:val="00970DD2"/>
    <w:rsid w:val="00971B3C"/>
    <w:rsid w:val="00973C18"/>
    <w:rsid w:val="00974FE4"/>
    <w:rsid w:val="0098120D"/>
    <w:rsid w:val="00986114"/>
    <w:rsid w:val="0098614C"/>
    <w:rsid w:val="009873C6"/>
    <w:rsid w:val="00990518"/>
    <w:rsid w:val="009949EC"/>
    <w:rsid w:val="00996E8F"/>
    <w:rsid w:val="009971DE"/>
    <w:rsid w:val="00997D2E"/>
    <w:rsid w:val="009A1C49"/>
    <w:rsid w:val="009A5AF8"/>
    <w:rsid w:val="009A5EF7"/>
    <w:rsid w:val="009A77E0"/>
    <w:rsid w:val="009A7F0D"/>
    <w:rsid w:val="009B1BF0"/>
    <w:rsid w:val="009B2A03"/>
    <w:rsid w:val="009C0497"/>
    <w:rsid w:val="009C07D8"/>
    <w:rsid w:val="009C19F9"/>
    <w:rsid w:val="009C24D3"/>
    <w:rsid w:val="009C40B9"/>
    <w:rsid w:val="009C6D2E"/>
    <w:rsid w:val="009C75D0"/>
    <w:rsid w:val="009D15F1"/>
    <w:rsid w:val="009D1E11"/>
    <w:rsid w:val="009D1EAF"/>
    <w:rsid w:val="009D2B10"/>
    <w:rsid w:val="009D4A62"/>
    <w:rsid w:val="009D6F0C"/>
    <w:rsid w:val="009D740D"/>
    <w:rsid w:val="009E0107"/>
    <w:rsid w:val="009E1E17"/>
    <w:rsid w:val="009E392B"/>
    <w:rsid w:val="009F2E90"/>
    <w:rsid w:val="00A00008"/>
    <w:rsid w:val="00A003A8"/>
    <w:rsid w:val="00A011AC"/>
    <w:rsid w:val="00A05E59"/>
    <w:rsid w:val="00A06976"/>
    <w:rsid w:val="00A15169"/>
    <w:rsid w:val="00A15C19"/>
    <w:rsid w:val="00A2060C"/>
    <w:rsid w:val="00A2199C"/>
    <w:rsid w:val="00A244D4"/>
    <w:rsid w:val="00A250D5"/>
    <w:rsid w:val="00A25228"/>
    <w:rsid w:val="00A30CAF"/>
    <w:rsid w:val="00A37B1C"/>
    <w:rsid w:val="00A40DCA"/>
    <w:rsid w:val="00A42C6C"/>
    <w:rsid w:val="00A43896"/>
    <w:rsid w:val="00A47F60"/>
    <w:rsid w:val="00A513F9"/>
    <w:rsid w:val="00A52BDB"/>
    <w:rsid w:val="00A5636E"/>
    <w:rsid w:val="00A60116"/>
    <w:rsid w:val="00A6244E"/>
    <w:rsid w:val="00A73BE4"/>
    <w:rsid w:val="00A81450"/>
    <w:rsid w:val="00A833F6"/>
    <w:rsid w:val="00A83878"/>
    <w:rsid w:val="00A879ED"/>
    <w:rsid w:val="00A87A60"/>
    <w:rsid w:val="00A914A1"/>
    <w:rsid w:val="00A93A8A"/>
    <w:rsid w:val="00A97C6A"/>
    <w:rsid w:val="00AA124D"/>
    <w:rsid w:val="00AA1E16"/>
    <w:rsid w:val="00AA51CF"/>
    <w:rsid w:val="00AA5BA4"/>
    <w:rsid w:val="00AA63CD"/>
    <w:rsid w:val="00AB0800"/>
    <w:rsid w:val="00AB2EFB"/>
    <w:rsid w:val="00AB3C41"/>
    <w:rsid w:val="00AB6011"/>
    <w:rsid w:val="00AC1FE2"/>
    <w:rsid w:val="00AC27C0"/>
    <w:rsid w:val="00AC6D13"/>
    <w:rsid w:val="00AC7960"/>
    <w:rsid w:val="00AD1C1A"/>
    <w:rsid w:val="00AD1C2E"/>
    <w:rsid w:val="00AD1CDA"/>
    <w:rsid w:val="00AD30A2"/>
    <w:rsid w:val="00AD5C9F"/>
    <w:rsid w:val="00AE4126"/>
    <w:rsid w:val="00AE4448"/>
    <w:rsid w:val="00AE736C"/>
    <w:rsid w:val="00AF34B6"/>
    <w:rsid w:val="00AF38F9"/>
    <w:rsid w:val="00AF3F4B"/>
    <w:rsid w:val="00AF4C07"/>
    <w:rsid w:val="00AF64E8"/>
    <w:rsid w:val="00AF6AB4"/>
    <w:rsid w:val="00B013F7"/>
    <w:rsid w:val="00B01F91"/>
    <w:rsid w:val="00B028EC"/>
    <w:rsid w:val="00B045B3"/>
    <w:rsid w:val="00B12B65"/>
    <w:rsid w:val="00B1514B"/>
    <w:rsid w:val="00B209FF"/>
    <w:rsid w:val="00B24AD8"/>
    <w:rsid w:val="00B27068"/>
    <w:rsid w:val="00B4151C"/>
    <w:rsid w:val="00B41635"/>
    <w:rsid w:val="00B41788"/>
    <w:rsid w:val="00B466C6"/>
    <w:rsid w:val="00B5357A"/>
    <w:rsid w:val="00B57AFA"/>
    <w:rsid w:val="00B57C09"/>
    <w:rsid w:val="00B62580"/>
    <w:rsid w:val="00B64972"/>
    <w:rsid w:val="00B704B0"/>
    <w:rsid w:val="00B70DCC"/>
    <w:rsid w:val="00B717E8"/>
    <w:rsid w:val="00B73299"/>
    <w:rsid w:val="00B76A38"/>
    <w:rsid w:val="00B7784C"/>
    <w:rsid w:val="00B80F91"/>
    <w:rsid w:val="00B84E05"/>
    <w:rsid w:val="00B902D9"/>
    <w:rsid w:val="00B90393"/>
    <w:rsid w:val="00B91833"/>
    <w:rsid w:val="00B9283C"/>
    <w:rsid w:val="00BA0C63"/>
    <w:rsid w:val="00BA2BED"/>
    <w:rsid w:val="00BA544E"/>
    <w:rsid w:val="00BA55D7"/>
    <w:rsid w:val="00BA5AA4"/>
    <w:rsid w:val="00BB0197"/>
    <w:rsid w:val="00BB324A"/>
    <w:rsid w:val="00BB4377"/>
    <w:rsid w:val="00BB7CBD"/>
    <w:rsid w:val="00BC0491"/>
    <w:rsid w:val="00BC5637"/>
    <w:rsid w:val="00BD21A6"/>
    <w:rsid w:val="00BD522E"/>
    <w:rsid w:val="00BE0940"/>
    <w:rsid w:val="00BE1A5E"/>
    <w:rsid w:val="00BE40CD"/>
    <w:rsid w:val="00BE4F6E"/>
    <w:rsid w:val="00BE531D"/>
    <w:rsid w:val="00BF33E7"/>
    <w:rsid w:val="00BF4013"/>
    <w:rsid w:val="00BF4A39"/>
    <w:rsid w:val="00C00702"/>
    <w:rsid w:val="00C00FEF"/>
    <w:rsid w:val="00C03D83"/>
    <w:rsid w:val="00C046BB"/>
    <w:rsid w:val="00C04C50"/>
    <w:rsid w:val="00C05771"/>
    <w:rsid w:val="00C05A0B"/>
    <w:rsid w:val="00C05D49"/>
    <w:rsid w:val="00C10DED"/>
    <w:rsid w:val="00C1110F"/>
    <w:rsid w:val="00C12D91"/>
    <w:rsid w:val="00C15335"/>
    <w:rsid w:val="00C154F0"/>
    <w:rsid w:val="00C22DD0"/>
    <w:rsid w:val="00C24671"/>
    <w:rsid w:val="00C24DDE"/>
    <w:rsid w:val="00C3177F"/>
    <w:rsid w:val="00C33D04"/>
    <w:rsid w:val="00C36A9B"/>
    <w:rsid w:val="00C36E35"/>
    <w:rsid w:val="00C41C86"/>
    <w:rsid w:val="00C503A7"/>
    <w:rsid w:val="00C5215F"/>
    <w:rsid w:val="00C53110"/>
    <w:rsid w:val="00C5378F"/>
    <w:rsid w:val="00C54601"/>
    <w:rsid w:val="00C579F0"/>
    <w:rsid w:val="00C65365"/>
    <w:rsid w:val="00C66A09"/>
    <w:rsid w:val="00C679F0"/>
    <w:rsid w:val="00C703A4"/>
    <w:rsid w:val="00C70B90"/>
    <w:rsid w:val="00C722FD"/>
    <w:rsid w:val="00C81B0E"/>
    <w:rsid w:val="00C82B1A"/>
    <w:rsid w:val="00C842DD"/>
    <w:rsid w:val="00C849D4"/>
    <w:rsid w:val="00C85C34"/>
    <w:rsid w:val="00C90B27"/>
    <w:rsid w:val="00C9103E"/>
    <w:rsid w:val="00C92689"/>
    <w:rsid w:val="00C92F88"/>
    <w:rsid w:val="00C936CA"/>
    <w:rsid w:val="00C951E9"/>
    <w:rsid w:val="00C9581F"/>
    <w:rsid w:val="00C95C7B"/>
    <w:rsid w:val="00C960A1"/>
    <w:rsid w:val="00C96773"/>
    <w:rsid w:val="00C96E73"/>
    <w:rsid w:val="00CA35AA"/>
    <w:rsid w:val="00CA4875"/>
    <w:rsid w:val="00CA5661"/>
    <w:rsid w:val="00CA6DA7"/>
    <w:rsid w:val="00CA7299"/>
    <w:rsid w:val="00CA7C20"/>
    <w:rsid w:val="00CB02A1"/>
    <w:rsid w:val="00CB1E54"/>
    <w:rsid w:val="00CB2909"/>
    <w:rsid w:val="00CB2AAB"/>
    <w:rsid w:val="00CB3726"/>
    <w:rsid w:val="00CB4A28"/>
    <w:rsid w:val="00CB6D8F"/>
    <w:rsid w:val="00CC013B"/>
    <w:rsid w:val="00CC2CEE"/>
    <w:rsid w:val="00CC48C5"/>
    <w:rsid w:val="00CC7880"/>
    <w:rsid w:val="00CD0915"/>
    <w:rsid w:val="00CD0FDB"/>
    <w:rsid w:val="00CD2F3E"/>
    <w:rsid w:val="00CD6F15"/>
    <w:rsid w:val="00CE0CB0"/>
    <w:rsid w:val="00CE171B"/>
    <w:rsid w:val="00CE1DAF"/>
    <w:rsid w:val="00CE262C"/>
    <w:rsid w:val="00CE3BBB"/>
    <w:rsid w:val="00CF2F69"/>
    <w:rsid w:val="00CF51A1"/>
    <w:rsid w:val="00CF5FEF"/>
    <w:rsid w:val="00CF603E"/>
    <w:rsid w:val="00CF7258"/>
    <w:rsid w:val="00CF7296"/>
    <w:rsid w:val="00D014A3"/>
    <w:rsid w:val="00D04B6C"/>
    <w:rsid w:val="00D062D0"/>
    <w:rsid w:val="00D12F9A"/>
    <w:rsid w:val="00D13570"/>
    <w:rsid w:val="00D17A08"/>
    <w:rsid w:val="00D20D75"/>
    <w:rsid w:val="00D2386C"/>
    <w:rsid w:val="00D255A3"/>
    <w:rsid w:val="00D32071"/>
    <w:rsid w:val="00D321A2"/>
    <w:rsid w:val="00D34B13"/>
    <w:rsid w:val="00D34EA0"/>
    <w:rsid w:val="00D368FE"/>
    <w:rsid w:val="00D376EC"/>
    <w:rsid w:val="00D37E6D"/>
    <w:rsid w:val="00D40FD8"/>
    <w:rsid w:val="00D4794A"/>
    <w:rsid w:val="00D513A8"/>
    <w:rsid w:val="00D55378"/>
    <w:rsid w:val="00D56AC4"/>
    <w:rsid w:val="00D575A0"/>
    <w:rsid w:val="00D6103E"/>
    <w:rsid w:val="00D65D14"/>
    <w:rsid w:val="00D661DE"/>
    <w:rsid w:val="00D673C6"/>
    <w:rsid w:val="00D72B0F"/>
    <w:rsid w:val="00D76064"/>
    <w:rsid w:val="00D80A24"/>
    <w:rsid w:val="00D822A6"/>
    <w:rsid w:val="00D846AC"/>
    <w:rsid w:val="00D87687"/>
    <w:rsid w:val="00D9009E"/>
    <w:rsid w:val="00D91798"/>
    <w:rsid w:val="00D97D37"/>
    <w:rsid w:val="00DA34E5"/>
    <w:rsid w:val="00DA3546"/>
    <w:rsid w:val="00DA7B66"/>
    <w:rsid w:val="00DB04FA"/>
    <w:rsid w:val="00DB0C2C"/>
    <w:rsid w:val="00DB29FD"/>
    <w:rsid w:val="00DB39BE"/>
    <w:rsid w:val="00DB4824"/>
    <w:rsid w:val="00DB5809"/>
    <w:rsid w:val="00DC2521"/>
    <w:rsid w:val="00DC2ABB"/>
    <w:rsid w:val="00DC7E50"/>
    <w:rsid w:val="00DD12CE"/>
    <w:rsid w:val="00DD28D4"/>
    <w:rsid w:val="00DD2AA0"/>
    <w:rsid w:val="00DD6907"/>
    <w:rsid w:val="00DD7526"/>
    <w:rsid w:val="00DD79BD"/>
    <w:rsid w:val="00DE5E7C"/>
    <w:rsid w:val="00DE76C2"/>
    <w:rsid w:val="00DF25CC"/>
    <w:rsid w:val="00DF4203"/>
    <w:rsid w:val="00DF68B6"/>
    <w:rsid w:val="00DF6DA2"/>
    <w:rsid w:val="00DF742C"/>
    <w:rsid w:val="00E0126A"/>
    <w:rsid w:val="00E01C6B"/>
    <w:rsid w:val="00E02794"/>
    <w:rsid w:val="00E02A14"/>
    <w:rsid w:val="00E03811"/>
    <w:rsid w:val="00E1019B"/>
    <w:rsid w:val="00E12FED"/>
    <w:rsid w:val="00E16271"/>
    <w:rsid w:val="00E16FCD"/>
    <w:rsid w:val="00E23C5B"/>
    <w:rsid w:val="00E249D0"/>
    <w:rsid w:val="00E256DF"/>
    <w:rsid w:val="00E25CC6"/>
    <w:rsid w:val="00E31F12"/>
    <w:rsid w:val="00E35A49"/>
    <w:rsid w:val="00E41DFF"/>
    <w:rsid w:val="00E45A41"/>
    <w:rsid w:val="00E50E5D"/>
    <w:rsid w:val="00E5586E"/>
    <w:rsid w:val="00E60C33"/>
    <w:rsid w:val="00E60D69"/>
    <w:rsid w:val="00E64A62"/>
    <w:rsid w:val="00E64BBC"/>
    <w:rsid w:val="00E65425"/>
    <w:rsid w:val="00E671C3"/>
    <w:rsid w:val="00E67471"/>
    <w:rsid w:val="00E70B72"/>
    <w:rsid w:val="00E7388A"/>
    <w:rsid w:val="00E74280"/>
    <w:rsid w:val="00E74DE7"/>
    <w:rsid w:val="00E7544A"/>
    <w:rsid w:val="00E77FD9"/>
    <w:rsid w:val="00E80FF9"/>
    <w:rsid w:val="00E81C43"/>
    <w:rsid w:val="00E84781"/>
    <w:rsid w:val="00E86202"/>
    <w:rsid w:val="00E90142"/>
    <w:rsid w:val="00E91426"/>
    <w:rsid w:val="00E91AF0"/>
    <w:rsid w:val="00E9269E"/>
    <w:rsid w:val="00E93189"/>
    <w:rsid w:val="00EA0C0F"/>
    <w:rsid w:val="00EA49D2"/>
    <w:rsid w:val="00EA5221"/>
    <w:rsid w:val="00EA6778"/>
    <w:rsid w:val="00EA7B27"/>
    <w:rsid w:val="00EB1C32"/>
    <w:rsid w:val="00EB387F"/>
    <w:rsid w:val="00EB7BA9"/>
    <w:rsid w:val="00EC23D3"/>
    <w:rsid w:val="00EC248E"/>
    <w:rsid w:val="00EC5708"/>
    <w:rsid w:val="00EC79D0"/>
    <w:rsid w:val="00ED0469"/>
    <w:rsid w:val="00ED14CF"/>
    <w:rsid w:val="00ED49A5"/>
    <w:rsid w:val="00ED6EB6"/>
    <w:rsid w:val="00EE01F1"/>
    <w:rsid w:val="00EE7C49"/>
    <w:rsid w:val="00EF1FBA"/>
    <w:rsid w:val="00EF2FC6"/>
    <w:rsid w:val="00EF3C04"/>
    <w:rsid w:val="00F0036D"/>
    <w:rsid w:val="00F00ED0"/>
    <w:rsid w:val="00F013D0"/>
    <w:rsid w:val="00F046AF"/>
    <w:rsid w:val="00F0501C"/>
    <w:rsid w:val="00F06EE8"/>
    <w:rsid w:val="00F07349"/>
    <w:rsid w:val="00F10D87"/>
    <w:rsid w:val="00F113EF"/>
    <w:rsid w:val="00F126F3"/>
    <w:rsid w:val="00F150C2"/>
    <w:rsid w:val="00F156F1"/>
    <w:rsid w:val="00F161C5"/>
    <w:rsid w:val="00F16C7F"/>
    <w:rsid w:val="00F21948"/>
    <w:rsid w:val="00F21AB6"/>
    <w:rsid w:val="00F22AE5"/>
    <w:rsid w:val="00F25833"/>
    <w:rsid w:val="00F25E0A"/>
    <w:rsid w:val="00F27DBA"/>
    <w:rsid w:val="00F31506"/>
    <w:rsid w:val="00F3501F"/>
    <w:rsid w:val="00F3588D"/>
    <w:rsid w:val="00F35D5E"/>
    <w:rsid w:val="00F421B0"/>
    <w:rsid w:val="00F43ED7"/>
    <w:rsid w:val="00F4679C"/>
    <w:rsid w:val="00F51D63"/>
    <w:rsid w:val="00F51DD6"/>
    <w:rsid w:val="00F53C11"/>
    <w:rsid w:val="00F54F39"/>
    <w:rsid w:val="00F65A66"/>
    <w:rsid w:val="00F66E5D"/>
    <w:rsid w:val="00F74626"/>
    <w:rsid w:val="00F76438"/>
    <w:rsid w:val="00F817E0"/>
    <w:rsid w:val="00F829C0"/>
    <w:rsid w:val="00F829F6"/>
    <w:rsid w:val="00F830C8"/>
    <w:rsid w:val="00F87BA3"/>
    <w:rsid w:val="00F93675"/>
    <w:rsid w:val="00F965D6"/>
    <w:rsid w:val="00F97158"/>
    <w:rsid w:val="00FA2882"/>
    <w:rsid w:val="00FA37E6"/>
    <w:rsid w:val="00FA3AB7"/>
    <w:rsid w:val="00FA5DA5"/>
    <w:rsid w:val="00FB013E"/>
    <w:rsid w:val="00FB07A4"/>
    <w:rsid w:val="00FB2226"/>
    <w:rsid w:val="00FB39B2"/>
    <w:rsid w:val="00FB72CE"/>
    <w:rsid w:val="00FB7C2A"/>
    <w:rsid w:val="00FC1A5E"/>
    <w:rsid w:val="00FC32D3"/>
    <w:rsid w:val="00FD00D1"/>
    <w:rsid w:val="00FD0856"/>
    <w:rsid w:val="00FE1031"/>
    <w:rsid w:val="00FE1E77"/>
    <w:rsid w:val="00FE7BB6"/>
    <w:rsid w:val="00FF2EF5"/>
    <w:rsid w:val="00FF4D23"/>
    <w:rsid w:val="00FF514B"/>
    <w:rsid w:val="00FF7D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 w:qFormat="1"/>
    <w:lsdException w:name="annotation text" w:uiPriority="0"/>
    <w:lsdException w:name="caption" w:uiPriority="35" w:unhideWhenUsed="1" w:qFormat="1"/>
    <w:lsdException w:name="footnote reference" w:uiPriority="0"/>
    <w:lsdException w:name="List" w:semiHidden="0"/>
    <w:lsdException w:name="List Bullet" w:semiHidden="0" w:uiPriority="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4875B5"/>
    <w:pPr>
      <w:spacing w:after="120" w:line="288" w:lineRule="auto"/>
    </w:pPr>
    <w:rPr>
      <w:rFonts w:ascii="Verdana" w:hAnsi="Verdana" w:cs="Arial"/>
      <w:szCs w:val="22"/>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rsid w:val="003B0A38"/>
    <w:rPr>
      <w:rFonts w:ascii="Verdana" w:hAnsi="Verdana"/>
      <w:sz w:val="18"/>
      <w:vertAlign w:val="superscript"/>
    </w:rPr>
  </w:style>
  <w:style w:type="paragraph" w:styleId="BodyText">
    <w:name w:val="Body Text"/>
    <w:basedOn w:val="Normal"/>
    <w:link w:val="BodyTextChar"/>
    <w:uiPriority w:val="99"/>
    <w:rsid w:val="003B0A38"/>
  </w:style>
  <w:style w:type="character" w:customStyle="1" w:styleId="BodyTextChar">
    <w:name w:val="Body Text Char"/>
    <w:basedOn w:val="DefaultParagraphFont"/>
    <w:link w:val="BodyText"/>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rsid w:val="003B0A38"/>
    <w:pPr>
      <w:spacing w:line="240" w:lineRule="auto"/>
    </w:pPr>
    <w:rPr>
      <w:szCs w:val="20"/>
    </w:rPr>
  </w:style>
  <w:style w:type="character" w:customStyle="1" w:styleId="CommentTextChar">
    <w:name w:val="Comment Text Char"/>
    <w:basedOn w:val="DefaultParagraphFont"/>
    <w:link w:val="CommentText"/>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4"/>
    <w:qFormat/>
    <w:rsid w:val="003E3722"/>
    <w:pPr>
      <w:spacing w:after="0" w:line="240" w:lineRule="auto"/>
    </w:pPr>
    <w:rPr>
      <w:sz w:val="18"/>
      <w:szCs w:val="20"/>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4"/>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numbering" w:customStyle="1" w:styleId="NoList1">
    <w:name w:val="No List1"/>
    <w:next w:val="NoList"/>
    <w:uiPriority w:val="99"/>
    <w:semiHidden/>
    <w:unhideWhenUsed/>
    <w:rsid w:val="00C05771"/>
  </w:style>
  <w:style w:type="character" w:styleId="FootnoteReference">
    <w:name w:val="footnote reference"/>
    <w:rsid w:val="00C05771"/>
    <w:rPr>
      <w:rFonts w:ascii="Arial" w:hAnsi="Arial"/>
      <w:color w:val="auto"/>
      <w:position w:val="8"/>
      <w:sz w:val="16"/>
    </w:rPr>
  </w:style>
  <w:style w:type="paragraph" w:customStyle="1" w:styleId="Bullet-list">
    <w:name w:val="Bullet-list"/>
    <w:qFormat/>
    <w:rsid w:val="00C05771"/>
    <w:pPr>
      <w:numPr>
        <w:numId w:val="7"/>
      </w:numPr>
      <w:spacing w:after="180" w:line="280" w:lineRule="exact"/>
    </w:pPr>
    <w:rPr>
      <w:rFonts w:ascii="Arial" w:eastAsia="Times New Roman" w:hAnsi="Arial"/>
      <w:sz w:val="22"/>
      <w:lang w:val="en-AU"/>
    </w:rPr>
  </w:style>
  <w:style w:type="paragraph" w:customStyle="1" w:styleId="EvenFooter">
    <w:name w:val="Even Footer"/>
    <w:basedOn w:val="Footer"/>
    <w:rsid w:val="00C05771"/>
    <w:pPr>
      <w:tabs>
        <w:tab w:val="clear" w:pos="4513"/>
        <w:tab w:val="clear" w:pos="9026"/>
        <w:tab w:val="right" w:pos="9072"/>
      </w:tabs>
    </w:pPr>
    <w:rPr>
      <w:rFonts w:ascii="Arial" w:eastAsia="Times New Roman" w:hAnsi="Arial" w:cs="Times New Roman"/>
      <w:noProof/>
      <w:color w:val="002469"/>
      <w:spacing w:val="6"/>
      <w:sz w:val="16"/>
      <w:szCs w:val="16"/>
      <w:lang w:val="en-GB" w:eastAsia="en-GB"/>
    </w:rPr>
  </w:style>
  <w:style w:type="paragraph" w:customStyle="1" w:styleId="Text">
    <w:name w:val="Text"/>
    <w:basedOn w:val="Normal"/>
    <w:link w:val="TextChar"/>
    <w:rsid w:val="00C05771"/>
    <w:pPr>
      <w:spacing w:before="120" w:line="300" w:lineRule="exact"/>
      <w:jc w:val="both"/>
    </w:pPr>
    <w:rPr>
      <w:rFonts w:ascii="Arial" w:eastAsia="Times New Roman" w:hAnsi="Arial" w:cs="Times New Roman"/>
      <w:sz w:val="22"/>
      <w:szCs w:val="20"/>
      <w:lang w:val="en-GB"/>
    </w:rPr>
  </w:style>
  <w:style w:type="character" w:customStyle="1" w:styleId="TextChar">
    <w:name w:val="Text Char"/>
    <w:link w:val="Text"/>
    <w:rsid w:val="00C05771"/>
    <w:rPr>
      <w:rFonts w:ascii="Arial" w:eastAsia="Times New Roman" w:hAnsi="Arial"/>
      <w:sz w:val="22"/>
      <w:lang w:val="en-GB"/>
    </w:rPr>
  </w:style>
  <w:style w:type="character" w:customStyle="1" w:styleId="ListParagraphChar">
    <w:name w:val="List Paragraph Char"/>
    <w:link w:val="ListParagraph"/>
    <w:uiPriority w:val="34"/>
    <w:rsid w:val="00C05771"/>
    <w:rPr>
      <w:rFonts w:ascii="Verdana" w:hAnsi="Verdana" w:cs="Arial"/>
      <w:szCs w:val="22"/>
    </w:rPr>
  </w:style>
  <w:style w:type="paragraph" w:customStyle="1" w:styleId="SignatureText">
    <w:name w:val="Signature Text"/>
    <w:basedOn w:val="BodyText"/>
    <w:semiHidden/>
    <w:rsid w:val="00C05771"/>
    <w:pPr>
      <w:suppressAutoHyphens/>
      <w:autoSpaceDE w:val="0"/>
      <w:autoSpaceDN w:val="0"/>
      <w:adjustRightInd w:val="0"/>
      <w:spacing w:before="120" w:after="0" w:line="240" w:lineRule="auto"/>
      <w:textAlignment w:val="center"/>
    </w:pPr>
    <w:rPr>
      <w:rFonts w:ascii="Arial" w:eastAsia="Times New Roman" w:hAnsi="Arial" w:cs="Times New Roman"/>
      <w:sz w:val="22"/>
      <w:szCs w:val="20"/>
      <w:lang w:val="en-GB" w:eastAsia="en-NZ"/>
    </w:rPr>
  </w:style>
  <w:style w:type="paragraph" w:styleId="EndnoteText">
    <w:name w:val="endnote text"/>
    <w:basedOn w:val="Normal"/>
    <w:link w:val="EndnoteTextChar"/>
    <w:uiPriority w:val="99"/>
    <w:rsid w:val="00C05771"/>
    <w:pPr>
      <w:spacing w:after="0" w:line="240" w:lineRule="auto"/>
    </w:pPr>
    <w:rPr>
      <w:rFonts w:ascii="Arial" w:eastAsia="Times New Roman" w:hAnsi="Arial" w:cs="Times New Roman"/>
      <w:szCs w:val="20"/>
      <w:lang w:val="en-GB" w:eastAsia="en-GB"/>
    </w:rPr>
  </w:style>
  <w:style w:type="character" w:customStyle="1" w:styleId="EndnoteTextChar">
    <w:name w:val="Endnote Text Char"/>
    <w:basedOn w:val="DefaultParagraphFont"/>
    <w:link w:val="EndnoteText"/>
    <w:uiPriority w:val="99"/>
    <w:rsid w:val="00C05771"/>
    <w:rPr>
      <w:rFonts w:ascii="Arial" w:eastAsia="Times New Roman" w:hAnsi="Arial"/>
      <w:lang w:val="en-GB" w:eastAsia="en-GB"/>
    </w:rPr>
  </w:style>
  <w:style w:type="paragraph" w:customStyle="1" w:styleId="BodyTextlevel2">
    <w:name w:val="Body Text level 2"/>
    <w:basedOn w:val="Normal"/>
    <w:qFormat/>
    <w:rsid w:val="00C05771"/>
    <w:pPr>
      <w:tabs>
        <w:tab w:val="num" w:pos="493"/>
      </w:tabs>
      <w:spacing w:before="240" w:after="0" w:line="240" w:lineRule="auto"/>
      <w:ind w:left="987" w:hanging="493"/>
    </w:pPr>
    <w:rPr>
      <w:rFonts w:ascii="Arial" w:eastAsia="SimSun" w:hAnsi="Arial"/>
      <w:sz w:val="22"/>
    </w:rPr>
  </w:style>
  <w:style w:type="numbering" w:customStyle="1" w:styleId="BodyList">
    <w:name w:val="Body List"/>
    <w:rsid w:val="00C05771"/>
    <w:pPr>
      <w:numPr>
        <w:numId w:val="9"/>
      </w:numPr>
    </w:pPr>
  </w:style>
  <w:style w:type="paragraph" w:styleId="Header">
    <w:name w:val="header"/>
    <w:basedOn w:val="Normal"/>
    <w:link w:val="HeaderChar"/>
    <w:uiPriority w:val="99"/>
    <w:rsid w:val="00C05771"/>
    <w:pPr>
      <w:tabs>
        <w:tab w:val="center" w:pos="4513"/>
        <w:tab w:val="right" w:pos="9026"/>
      </w:tabs>
      <w:spacing w:after="0" w:line="240" w:lineRule="auto"/>
    </w:pPr>
    <w:rPr>
      <w:rFonts w:ascii="Arial" w:eastAsia="Times New Roman" w:hAnsi="Arial" w:cs="Times New Roman"/>
      <w:sz w:val="22"/>
      <w:szCs w:val="20"/>
      <w:lang w:val="en-GB" w:eastAsia="en-GB"/>
    </w:rPr>
  </w:style>
  <w:style w:type="character" w:customStyle="1" w:styleId="HeaderChar">
    <w:name w:val="Header Char"/>
    <w:basedOn w:val="DefaultParagraphFont"/>
    <w:link w:val="Header"/>
    <w:uiPriority w:val="99"/>
    <w:rsid w:val="00C05771"/>
    <w:rPr>
      <w:rFonts w:ascii="Arial" w:eastAsia="Times New Roman" w:hAnsi="Arial"/>
      <w:sz w:val="22"/>
      <w:lang w:val="en-GB" w:eastAsia="en-GB"/>
    </w:rPr>
  </w:style>
  <w:style w:type="character" w:styleId="Hyperlink">
    <w:name w:val="Hyperlink"/>
    <w:basedOn w:val="DefaultParagraphFont"/>
    <w:uiPriority w:val="99"/>
    <w:unhideWhenUsed/>
    <w:rsid w:val="00C05771"/>
    <w:rPr>
      <w:color w:val="0000FF" w:themeColor="hyperlink"/>
      <w:u w:val="single"/>
    </w:rPr>
  </w:style>
  <w:style w:type="paragraph" w:styleId="CommentSubject">
    <w:name w:val="annotation subject"/>
    <w:basedOn w:val="CommentText"/>
    <w:next w:val="CommentText"/>
    <w:link w:val="CommentSubjectChar"/>
    <w:uiPriority w:val="99"/>
    <w:semiHidden/>
    <w:rsid w:val="00C05771"/>
    <w:pPr>
      <w:spacing w:after="240"/>
    </w:pPr>
    <w:rPr>
      <w:rFonts w:ascii="Arial" w:eastAsia="Times New Roman" w:hAnsi="Arial" w:cs="Times New Roman"/>
      <w:b/>
      <w:bCs/>
      <w:lang w:val="en-GB" w:eastAsia="en-GB"/>
    </w:rPr>
  </w:style>
  <w:style w:type="character" w:customStyle="1" w:styleId="CommentSubjectChar">
    <w:name w:val="Comment Subject Char"/>
    <w:basedOn w:val="CommentTextChar"/>
    <w:link w:val="CommentSubject"/>
    <w:uiPriority w:val="99"/>
    <w:semiHidden/>
    <w:rsid w:val="00C05771"/>
    <w:rPr>
      <w:rFonts w:ascii="Arial" w:eastAsia="Times New Roman" w:hAnsi="Arial" w:cs="Arial"/>
      <w:b/>
      <w:bCs/>
      <w:lang w:val="en-GB" w:eastAsia="en-GB"/>
    </w:rPr>
  </w:style>
  <w:style w:type="paragraph" w:styleId="Revision">
    <w:name w:val="Revision"/>
    <w:hidden/>
    <w:uiPriority w:val="99"/>
    <w:semiHidden/>
    <w:rsid w:val="00C05771"/>
    <w:rPr>
      <w:rFonts w:ascii="Arial" w:eastAsia="Times New Roman" w:hAnsi="Arial"/>
      <w:sz w:val="22"/>
      <w:lang w:val="en-GB" w:eastAsia="en-GB"/>
    </w:rPr>
  </w:style>
  <w:style w:type="paragraph" w:customStyle="1" w:styleId="Body">
    <w:name w:val="Body"/>
    <w:rsid w:val="00C05771"/>
    <w:pPr>
      <w:spacing w:after="240" w:line="280" w:lineRule="atLeast"/>
    </w:pPr>
    <w:rPr>
      <w:rFonts w:ascii="Arial" w:eastAsia="Arial" w:hAnsi="Arial" w:cs="Arial"/>
      <w:color w:val="000000"/>
      <w:sz w:val="22"/>
      <w:szCs w:val="22"/>
      <w:u w:color="000000"/>
      <w:lang w:eastAsia="en-NZ"/>
    </w:rPr>
  </w:style>
  <w:style w:type="numbering" w:customStyle="1" w:styleId="ImportedStyle30">
    <w:name w:val="Imported Style 3.0"/>
    <w:rsid w:val="00C05771"/>
    <w:pPr>
      <w:numPr>
        <w:numId w:val="10"/>
      </w:numPr>
    </w:pPr>
  </w:style>
  <w:style w:type="numbering" w:customStyle="1" w:styleId="ImportedStyle3">
    <w:name w:val="Imported Style 3"/>
    <w:rsid w:val="00C05771"/>
    <w:pPr>
      <w:numPr>
        <w:numId w:val="11"/>
      </w:numPr>
    </w:pPr>
  </w:style>
  <w:style w:type="numbering" w:customStyle="1" w:styleId="ImportedStyle5">
    <w:name w:val="Imported Style 5"/>
    <w:rsid w:val="00C05771"/>
    <w:pPr>
      <w:numPr>
        <w:numId w:val="12"/>
      </w:numPr>
    </w:pPr>
  </w:style>
  <w:style w:type="paragraph" w:customStyle="1" w:styleId="CabStandard">
    <w:name w:val="CabStandard"/>
    <w:basedOn w:val="Normal"/>
    <w:uiPriority w:val="99"/>
    <w:rsid w:val="00C05771"/>
    <w:pPr>
      <w:numPr>
        <w:numId w:val="13"/>
      </w:numPr>
      <w:spacing w:after="240" w:line="240" w:lineRule="auto"/>
    </w:pPr>
    <w:rPr>
      <w:rFonts w:ascii="Times New Roman" w:eastAsia="Times New Roman" w:hAnsi="Times New Roman" w:cs="Times New Roman"/>
      <w:sz w:val="24"/>
      <w:szCs w:val="20"/>
      <w:lang w:val="en-GB" w:eastAsia="ja-JP"/>
    </w:rPr>
  </w:style>
  <w:style w:type="paragraph" w:customStyle="1" w:styleId="ReportBody">
    <w:name w:val="Report Body"/>
    <w:basedOn w:val="Normal"/>
    <w:link w:val="ReportBodyChar"/>
    <w:qFormat/>
    <w:rsid w:val="00C05771"/>
    <w:pPr>
      <w:numPr>
        <w:numId w:val="14"/>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C05771"/>
    <w:pPr>
      <w:numPr>
        <w:ilvl w:val="1"/>
      </w:numPr>
      <w:tabs>
        <w:tab w:val="clear" w:pos="493"/>
        <w:tab w:val="num" w:pos="1492"/>
      </w:tabs>
      <w:ind w:left="1492" w:hanging="360"/>
    </w:pPr>
  </w:style>
  <w:style w:type="character" w:customStyle="1" w:styleId="ReportBodyChar">
    <w:name w:val="Report Body Char"/>
    <w:basedOn w:val="DefaultParagraphFont"/>
    <w:link w:val="ReportBody"/>
    <w:rsid w:val="00C05771"/>
    <w:rPr>
      <w:rFonts w:ascii="Verdana" w:eastAsia="Times New Roman" w:hAnsi="Verdana" w:cs="Arial"/>
      <w:color w:val="000000"/>
      <w:kern w:val="22"/>
      <w:lang w:eastAsia="en-NZ"/>
    </w:rPr>
  </w:style>
  <w:style w:type="character" w:styleId="FollowedHyperlink">
    <w:name w:val="FollowedHyperlink"/>
    <w:basedOn w:val="DefaultParagraphFont"/>
    <w:uiPriority w:val="99"/>
    <w:semiHidden/>
    <w:rsid w:val="00C05771"/>
    <w:rPr>
      <w:color w:val="800080" w:themeColor="followedHyperlink"/>
      <w:u w:val="single"/>
    </w:rPr>
  </w:style>
  <w:style w:type="numbering" w:customStyle="1" w:styleId="BodyList1">
    <w:name w:val="Body List1"/>
    <w:rsid w:val="00C05771"/>
    <w:pPr>
      <w:numPr>
        <w:numId w:val="8"/>
      </w:numPr>
    </w:pPr>
  </w:style>
  <w:style w:type="paragraph" w:customStyle="1" w:styleId="Boxtext">
    <w:name w:val="Box text"/>
    <w:basedOn w:val="Normal"/>
    <w:rsid w:val="00CE3BBB"/>
    <w:pPr>
      <w:pBdr>
        <w:top w:val="single" w:sz="4" w:space="10" w:color="DDDDDD"/>
        <w:left w:val="single" w:sz="4" w:space="4" w:color="DDDDDD"/>
        <w:bottom w:val="single" w:sz="4" w:space="10" w:color="DDDDDD"/>
        <w:right w:val="single" w:sz="4" w:space="4" w:color="DDDDDD"/>
      </w:pBdr>
      <w:shd w:val="clear" w:color="auto" w:fill="E5E9F0"/>
      <w:spacing w:after="80" w:line="280" w:lineRule="atLeast"/>
      <w:ind w:left="142" w:right="142"/>
    </w:pPr>
    <w:rPr>
      <w:rFonts w:ascii="Arial" w:eastAsia="Times New Roman" w:hAnsi="Arial" w:cs="Times New Roman"/>
      <w:szCs w:val="20"/>
      <w:lang w:val="en-GB" w:eastAsia="en-GB"/>
    </w:rPr>
  </w:style>
  <w:style w:type="table" w:customStyle="1" w:styleId="TableGrid11">
    <w:name w:val="Table Grid11"/>
    <w:basedOn w:val="TableNormal"/>
    <w:uiPriority w:val="59"/>
    <w:rsid w:val="00344EA4"/>
    <w:rPr>
      <w:rFonts w:ascii="Verdana" w:hAnsi="Verdana"/>
      <w:sz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E02A14"/>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 w:qFormat="1"/>
    <w:lsdException w:name="annotation text" w:uiPriority="0"/>
    <w:lsdException w:name="caption" w:uiPriority="35" w:unhideWhenUsed="1" w:qFormat="1"/>
    <w:lsdException w:name="footnote reference" w:uiPriority="0"/>
    <w:lsdException w:name="List" w:semiHidden="0"/>
    <w:lsdException w:name="List Bullet" w:semiHidden="0" w:uiPriority="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4875B5"/>
    <w:pPr>
      <w:spacing w:after="120" w:line="288" w:lineRule="auto"/>
    </w:pPr>
    <w:rPr>
      <w:rFonts w:ascii="Verdana" w:hAnsi="Verdana" w:cs="Arial"/>
      <w:szCs w:val="22"/>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rsid w:val="003B0A38"/>
    <w:rPr>
      <w:rFonts w:ascii="Verdana" w:hAnsi="Verdana"/>
      <w:sz w:val="18"/>
      <w:vertAlign w:val="superscript"/>
    </w:rPr>
  </w:style>
  <w:style w:type="paragraph" w:styleId="BodyText">
    <w:name w:val="Body Text"/>
    <w:basedOn w:val="Normal"/>
    <w:link w:val="BodyTextChar"/>
    <w:uiPriority w:val="99"/>
    <w:rsid w:val="003B0A38"/>
  </w:style>
  <w:style w:type="character" w:customStyle="1" w:styleId="BodyTextChar">
    <w:name w:val="Body Text Char"/>
    <w:basedOn w:val="DefaultParagraphFont"/>
    <w:link w:val="BodyText"/>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rsid w:val="003B0A38"/>
    <w:pPr>
      <w:spacing w:line="240" w:lineRule="auto"/>
    </w:pPr>
    <w:rPr>
      <w:szCs w:val="20"/>
    </w:rPr>
  </w:style>
  <w:style w:type="character" w:customStyle="1" w:styleId="CommentTextChar">
    <w:name w:val="Comment Text Char"/>
    <w:basedOn w:val="DefaultParagraphFont"/>
    <w:link w:val="CommentText"/>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4"/>
    <w:qFormat/>
    <w:rsid w:val="003E3722"/>
    <w:pPr>
      <w:spacing w:after="0" w:line="240" w:lineRule="auto"/>
    </w:pPr>
    <w:rPr>
      <w:sz w:val="18"/>
      <w:szCs w:val="20"/>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4"/>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numbering" w:customStyle="1" w:styleId="NoList1">
    <w:name w:val="No List1"/>
    <w:next w:val="NoList"/>
    <w:uiPriority w:val="99"/>
    <w:semiHidden/>
    <w:unhideWhenUsed/>
    <w:rsid w:val="00C05771"/>
  </w:style>
  <w:style w:type="character" w:styleId="FootnoteReference">
    <w:name w:val="footnote reference"/>
    <w:rsid w:val="00C05771"/>
    <w:rPr>
      <w:rFonts w:ascii="Arial" w:hAnsi="Arial"/>
      <w:color w:val="auto"/>
      <w:position w:val="8"/>
      <w:sz w:val="16"/>
    </w:rPr>
  </w:style>
  <w:style w:type="paragraph" w:customStyle="1" w:styleId="Bullet-list">
    <w:name w:val="Bullet-list"/>
    <w:qFormat/>
    <w:rsid w:val="00C05771"/>
    <w:pPr>
      <w:numPr>
        <w:numId w:val="7"/>
      </w:numPr>
      <w:spacing w:after="180" w:line="280" w:lineRule="exact"/>
    </w:pPr>
    <w:rPr>
      <w:rFonts w:ascii="Arial" w:eastAsia="Times New Roman" w:hAnsi="Arial"/>
      <w:sz w:val="22"/>
      <w:lang w:val="en-AU"/>
    </w:rPr>
  </w:style>
  <w:style w:type="paragraph" w:customStyle="1" w:styleId="EvenFooter">
    <w:name w:val="Even Footer"/>
    <w:basedOn w:val="Footer"/>
    <w:rsid w:val="00C05771"/>
    <w:pPr>
      <w:tabs>
        <w:tab w:val="clear" w:pos="4513"/>
        <w:tab w:val="clear" w:pos="9026"/>
        <w:tab w:val="right" w:pos="9072"/>
      </w:tabs>
    </w:pPr>
    <w:rPr>
      <w:rFonts w:ascii="Arial" w:eastAsia="Times New Roman" w:hAnsi="Arial" w:cs="Times New Roman"/>
      <w:noProof/>
      <w:color w:val="002469"/>
      <w:spacing w:val="6"/>
      <w:sz w:val="16"/>
      <w:szCs w:val="16"/>
      <w:lang w:val="en-GB" w:eastAsia="en-GB"/>
    </w:rPr>
  </w:style>
  <w:style w:type="paragraph" w:customStyle="1" w:styleId="Text">
    <w:name w:val="Text"/>
    <w:basedOn w:val="Normal"/>
    <w:link w:val="TextChar"/>
    <w:rsid w:val="00C05771"/>
    <w:pPr>
      <w:spacing w:before="120" w:line="300" w:lineRule="exact"/>
      <w:jc w:val="both"/>
    </w:pPr>
    <w:rPr>
      <w:rFonts w:ascii="Arial" w:eastAsia="Times New Roman" w:hAnsi="Arial" w:cs="Times New Roman"/>
      <w:sz w:val="22"/>
      <w:szCs w:val="20"/>
      <w:lang w:val="en-GB"/>
    </w:rPr>
  </w:style>
  <w:style w:type="character" w:customStyle="1" w:styleId="TextChar">
    <w:name w:val="Text Char"/>
    <w:link w:val="Text"/>
    <w:rsid w:val="00C05771"/>
    <w:rPr>
      <w:rFonts w:ascii="Arial" w:eastAsia="Times New Roman" w:hAnsi="Arial"/>
      <w:sz w:val="22"/>
      <w:lang w:val="en-GB"/>
    </w:rPr>
  </w:style>
  <w:style w:type="character" w:customStyle="1" w:styleId="ListParagraphChar">
    <w:name w:val="List Paragraph Char"/>
    <w:link w:val="ListParagraph"/>
    <w:uiPriority w:val="34"/>
    <w:rsid w:val="00C05771"/>
    <w:rPr>
      <w:rFonts w:ascii="Verdana" w:hAnsi="Verdana" w:cs="Arial"/>
      <w:szCs w:val="22"/>
    </w:rPr>
  </w:style>
  <w:style w:type="paragraph" w:customStyle="1" w:styleId="SignatureText">
    <w:name w:val="Signature Text"/>
    <w:basedOn w:val="BodyText"/>
    <w:semiHidden/>
    <w:rsid w:val="00C05771"/>
    <w:pPr>
      <w:suppressAutoHyphens/>
      <w:autoSpaceDE w:val="0"/>
      <w:autoSpaceDN w:val="0"/>
      <w:adjustRightInd w:val="0"/>
      <w:spacing w:before="120" w:after="0" w:line="240" w:lineRule="auto"/>
      <w:textAlignment w:val="center"/>
    </w:pPr>
    <w:rPr>
      <w:rFonts w:ascii="Arial" w:eastAsia="Times New Roman" w:hAnsi="Arial" w:cs="Times New Roman"/>
      <w:sz w:val="22"/>
      <w:szCs w:val="20"/>
      <w:lang w:val="en-GB" w:eastAsia="en-NZ"/>
    </w:rPr>
  </w:style>
  <w:style w:type="paragraph" w:styleId="EndnoteText">
    <w:name w:val="endnote text"/>
    <w:basedOn w:val="Normal"/>
    <w:link w:val="EndnoteTextChar"/>
    <w:uiPriority w:val="99"/>
    <w:rsid w:val="00C05771"/>
    <w:pPr>
      <w:spacing w:after="0" w:line="240" w:lineRule="auto"/>
    </w:pPr>
    <w:rPr>
      <w:rFonts w:ascii="Arial" w:eastAsia="Times New Roman" w:hAnsi="Arial" w:cs="Times New Roman"/>
      <w:szCs w:val="20"/>
      <w:lang w:val="en-GB" w:eastAsia="en-GB"/>
    </w:rPr>
  </w:style>
  <w:style w:type="character" w:customStyle="1" w:styleId="EndnoteTextChar">
    <w:name w:val="Endnote Text Char"/>
    <w:basedOn w:val="DefaultParagraphFont"/>
    <w:link w:val="EndnoteText"/>
    <w:uiPriority w:val="99"/>
    <w:rsid w:val="00C05771"/>
    <w:rPr>
      <w:rFonts w:ascii="Arial" w:eastAsia="Times New Roman" w:hAnsi="Arial"/>
      <w:lang w:val="en-GB" w:eastAsia="en-GB"/>
    </w:rPr>
  </w:style>
  <w:style w:type="paragraph" w:customStyle="1" w:styleId="BodyTextlevel2">
    <w:name w:val="Body Text level 2"/>
    <w:basedOn w:val="Normal"/>
    <w:qFormat/>
    <w:rsid w:val="00C05771"/>
    <w:pPr>
      <w:tabs>
        <w:tab w:val="num" w:pos="493"/>
      </w:tabs>
      <w:spacing w:before="240" w:after="0" w:line="240" w:lineRule="auto"/>
      <w:ind w:left="987" w:hanging="493"/>
    </w:pPr>
    <w:rPr>
      <w:rFonts w:ascii="Arial" w:eastAsia="SimSun" w:hAnsi="Arial"/>
      <w:sz w:val="22"/>
    </w:rPr>
  </w:style>
  <w:style w:type="numbering" w:customStyle="1" w:styleId="BodyList">
    <w:name w:val="Body List"/>
    <w:rsid w:val="00C05771"/>
    <w:pPr>
      <w:numPr>
        <w:numId w:val="9"/>
      </w:numPr>
    </w:pPr>
  </w:style>
  <w:style w:type="paragraph" w:styleId="Header">
    <w:name w:val="header"/>
    <w:basedOn w:val="Normal"/>
    <w:link w:val="HeaderChar"/>
    <w:uiPriority w:val="99"/>
    <w:rsid w:val="00C05771"/>
    <w:pPr>
      <w:tabs>
        <w:tab w:val="center" w:pos="4513"/>
        <w:tab w:val="right" w:pos="9026"/>
      </w:tabs>
      <w:spacing w:after="0" w:line="240" w:lineRule="auto"/>
    </w:pPr>
    <w:rPr>
      <w:rFonts w:ascii="Arial" w:eastAsia="Times New Roman" w:hAnsi="Arial" w:cs="Times New Roman"/>
      <w:sz w:val="22"/>
      <w:szCs w:val="20"/>
      <w:lang w:val="en-GB" w:eastAsia="en-GB"/>
    </w:rPr>
  </w:style>
  <w:style w:type="character" w:customStyle="1" w:styleId="HeaderChar">
    <w:name w:val="Header Char"/>
    <w:basedOn w:val="DefaultParagraphFont"/>
    <w:link w:val="Header"/>
    <w:uiPriority w:val="99"/>
    <w:rsid w:val="00C05771"/>
    <w:rPr>
      <w:rFonts w:ascii="Arial" w:eastAsia="Times New Roman" w:hAnsi="Arial"/>
      <w:sz w:val="22"/>
      <w:lang w:val="en-GB" w:eastAsia="en-GB"/>
    </w:rPr>
  </w:style>
  <w:style w:type="character" w:styleId="Hyperlink">
    <w:name w:val="Hyperlink"/>
    <w:basedOn w:val="DefaultParagraphFont"/>
    <w:uiPriority w:val="99"/>
    <w:unhideWhenUsed/>
    <w:rsid w:val="00C05771"/>
    <w:rPr>
      <w:color w:val="0000FF" w:themeColor="hyperlink"/>
      <w:u w:val="single"/>
    </w:rPr>
  </w:style>
  <w:style w:type="paragraph" w:styleId="CommentSubject">
    <w:name w:val="annotation subject"/>
    <w:basedOn w:val="CommentText"/>
    <w:next w:val="CommentText"/>
    <w:link w:val="CommentSubjectChar"/>
    <w:uiPriority w:val="99"/>
    <w:semiHidden/>
    <w:rsid w:val="00C05771"/>
    <w:pPr>
      <w:spacing w:after="240"/>
    </w:pPr>
    <w:rPr>
      <w:rFonts w:ascii="Arial" w:eastAsia="Times New Roman" w:hAnsi="Arial" w:cs="Times New Roman"/>
      <w:b/>
      <w:bCs/>
      <w:lang w:val="en-GB" w:eastAsia="en-GB"/>
    </w:rPr>
  </w:style>
  <w:style w:type="character" w:customStyle="1" w:styleId="CommentSubjectChar">
    <w:name w:val="Comment Subject Char"/>
    <w:basedOn w:val="CommentTextChar"/>
    <w:link w:val="CommentSubject"/>
    <w:uiPriority w:val="99"/>
    <w:semiHidden/>
    <w:rsid w:val="00C05771"/>
    <w:rPr>
      <w:rFonts w:ascii="Arial" w:eastAsia="Times New Roman" w:hAnsi="Arial" w:cs="Arial"/>
      <w:b/>
      <w:bCs/>
      <w:lang w:val="en-GB" w:eastAsia="en-GB"/>
    </w:rPr>
  </w:style>
  <w:style w:type="paragraph" w:styleId="Revision">
    <w:name w:val="Revision"/>
    <w:hidden/>
    <w:uiPriority w:val="99"/>
    <w:semiHidden/>
    <w:rsid w:val="00C05771"/>
    <w:rPr>
      <w:rFonts w:ascii="Arial" w:eastAsia="Times New Roman" w:hAnsi="Arial"/>
      <w:sz w:val="22"/>
      <w:lang w:val="en-GB" w:eastAsia="en-GB"/>
    </w:rPr>
  </w:style>
  <w:style w:type="paragraph" w:customStyle="1" w:styleId="Body">
    <w:name w:val="Body"/>
    <w:rsid w:val="00C05771"/>
    <w:pPr>
      <w:spacing w:after="240" w:line="280" w:lineRule="atLeast"/>
    </w:pPr>
    <w:rPr>
      <w:rFonts w:ascii="Arial" w:eastAsia="Arial" w:hAnsi="Arial" w:cs="Arial"/>
      <w:color w:val="000000"/>
      <w:sz w:val="22"/>
      <w:szCs w:val="22"/>
      <w:u w:color="000000"/>
      <w:lang w:eastAsia="en-NZ"/>
    </w:rPr>
  </w:style>
  <w:style w:type="numbering" w:customStyle="1" w:styleId="ImportedStyle30">
    <w:name w:val="Imported Style 3.0"/>
    <w:rsid w:val="00C05771"/>
    <w:pPr>
      <w:numPr>
        <w:numId w:val="10"/>
      </w:numPr>
    </w:pPr>
  </w:style>
  <w:style w:type="numbering" w:customStyle="1" w:styleId="ImportedStyle3">
    <w:name w:val="Imported Style 3"/>
    <w:rsid w:val="00C05771"/>
    <w:pPr>
      <w:numPr>
        <w:numId w:val="11"/>
      </w:numPr>
    </w:pPr>
  </w:style>
  <w:style w:type="numbering" w:customStyle="1" w:styleId="ImportedStyle5">
    <w:name w:val="Imported Style 5"/>
    <w:rsid w:val="00C05771"/>
    <w:pPr>
      <w:numPr>
        <w:numId w:val="12"/>
      </w:numPr>
    </w:pPr>
  </w:style>
  <w:style w:type="paragraph" w:customStyle="1" w:styleId="CabStandard">
    <w:name w:val="CabStandard"/>
    <w:basedOn w:val="Normal"/>
    <w:uiPriority w:val="99"/>
    <w:rsid w:val="00C05771"/>
    <w:pPr>
      <w:numPr>
        <w:numId w:val="13"/>
      </w:numPr>
      <w:spacing w:after="240" w:line="240" w:lineRule="auto"/>
    </w:pPr>
    <w:rPr>
      <w:rFonts w:ascii="Times New Roman" w:eastAsia="Times New Roman" w:hAnsi="Times New Roman" w:cs="Times New Roman"/>
      <w:sz w:val="24"/>
      <w:szCs w:val="20"/>
      <w:lang w:val="en-GB" w:eastAsia="ja-JP"/>
    </w:rPr>
  </w:style>
  <w:style w:type="paragraph" w:customStyle="1" w:styleId="ReportBody">
    <w:name w:val="Report Body"/>
    <w:basedOn w:val="Normal"/>
    <w:link w:val="ReportBodyChar"/>
    <w:qFormat/>
    <w:rsid w:val="00C05771"/>
    <w:pPr>
      <w:numPr>
        <w:numId w:val="14"/>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C05771"/>
    <w:pPr>
      <w:numPr>
        <w:ilvl w:val="1"/>
      </w:numPr>
      <w:tabs>
        <w:tab w:val="clear" w:pos="493"/>
        <w:tab w:val="num" w:pos="1492"/>
      </w:tabs>
      <w:ind w:left="1492" w:hanging="360"/>
    </w:pPr>
  </w:style>
  <w:style w:type="character" w:customStyle="1" w:styleId="ReportBodyChar">
    <w:name w:val="Report Body Char"/>
    <w:basedOn w:val="DefaultParagraphFont"/>
    <w:link w:val="ReportBody"/>
    <w:rsid w:val="00C05771"/>
    <w:rPr>
      <w:rFonts w:ascii="Verdana" w:eastAsia="Times New Roman" w:hAnsi="Verdana" w:cs="Arial"/>
      <w:color w:val="000000"/>
      <w:kern w:val="22"/>
      <w:lang w:eastAsia="en-NZ"/>
    </w:rPr>
  </w:style>
  <w:style w:type="character" w:styleId="FollowedHyperlink">
    <w:name w:val="FollowedHyperlink"/>
    <w:basedOn w:val="DefaultParagraphFont"/>
    <w:uiPriority w:val="99"/>
    <w:semiHidden/>
    <w:rsid w:val="00C05771"/>
    <w:rPr>
      <w:color w:val="800080" w:themeColor="followedHyperlink"/>
      <w:u w:val="single"/>
    </w:rPr>
  </w:style>
  <w:style w:type="numbering" w:customStyle="1" w:styleId="BodyList1">
    <w:name w:val="Body List1"/>
    <w:rsid w:val="00C05771"/>
    <w:pPr>
      <w:numPr>
        <w:numId w:val="8"/>
      </w:numPr>
    </w:pPr>
  </w:style>
  <w:style w:type="paragraph" w:customStyle="1" w:styleId="Boxtext">
    <w:name w:val="Box text"/>
    <w:basedOn w:val="Normal"/>
    <w:rsid w:val="00CE3BBB"/>
    <w:pPr>
      <w:pBdr>
        <w:top w:val="single" w:sz="4" w:space="10" w:color="DDDDDD"/>
        <w:left w:val="single" w:sz="4" w:space="4" w:color="DDDDDD"/>
        <w:bottom w:val="single" w:sz="4" w:space="10" w:color="DDDDDD"/>
        <w:right w:val="single" w:sz="4" w:space="4" w:color="DDDDDD"/>
      </w:pBdr>
      <w:shd w:val="clear" w:color="auto" w:fill="E5E9F0"/>
      <w:spacing w:after="80" w:line="280" w:lineRule="atLeast"/>
      <w:ind w:left="142" w:right="142"/>
    </w:pPr>
    <w:rPr>
      <w:rFonts w:ascii="Arial" w:eastAsia="Times New Roman" w:hAnsi="Arial" w:cs="Times New Roman"/>
      <w:szCs w:val="20"/>
      <w:lang w:val="en-GB" w:eastAsia="en-GB"/>
    </w:rPr>
  </w:style>
  <w:style w:type="table" w:customStyle="1" w:styleId="TableGrid11">
    <w:name w:val="Table Grid11"/>
    <w:basedOn w:val="TableNormal"/>
    <w:uiPriority w:val="59"/>
    <w:rsid w:val="00344EA4"/>
    <w:rPr>
      <w:rFonts w:ascii="Verdana" w:hAnsi="Verdana"/>
      <w:sz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E02A14"/>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424">
      <w:bodyDiv w:val="1"/>
      <w:marLeft w:val="0"/>
      <w:marRight w:val="0"/>
      <w:marTop w:val="0"/>
      <w:marBottom w:val="0"/>
      <w:divBdr>
        <w:top w:val="none" w:sz="0" w:space="0" w:color="auto"/>
        <w:left w:val="none" w:sz="0" w:space="0" w:color="auto"/>
        <w:bottom w:val="none" w:sz="0" w:space="0" w:color="auto"/>
        <w:right w:val="none" w:sz="0" w:space="0" w:color="auto"/>
      </w:divBdr>
    </w:div>
    <w:div w:id="36200330">
      <w:bodyDiv w:val="1"/>
      <w:marLeft w:val="0"/>
      <w:marRight w:val="0"/>
      <w:marTop w:val="0"/>
      <w:marBottom w:val="0"/>
      <w:divBdr>
        <w:top w:val="none" w:sz="0" w:space="0" w:color="auto"/>
        <w:left w:val="none" w:sz="0" w:space="0" w:color="auto"/>
        <w:bottom w:val="none" w:sz="0" w:space="0" w:color="auto"/>
        <w:right w:val="none" w:sz="0" w:space="0" w:color="auto"/>
      </w:divBdr>
    </w:div>
    <w:div w:id="411777681">
      <w:bodyDiv w:val="1"/>
      <w:marLeft w:val="0"/>
      <w:marRight w:val="0"/>
      <w:marTop w:val="0"/>
      <w:marBottom w:val="0"/>
      <w:divBdr>
        <w:top w:val="none" w:sz="0" w:space="0" w:color="auto"/>
        <w:left w:val="none" w:sz="0" w:space="0" w:color="auto"/>
        <w:bottom w:val="none" w:sz="0" w:space="0" w:color="auto"/>
        <w:right w:val="none" w:sz="0" w:space="0" w:color="auto"/>
      </w:divBdr>
    </w:div>
    <w:div w:id="509560891">
      <w:bodyDiv w:val="1"/>
      <w:marLeft w:val="0"/>
      <w:marRight w:val="0"/>
      <w:marTop w:val="0"/>
      <w:marBottom w:val="0"/>
      <w:divBdr>
        <w:top w:val="none" w:sz="0" w:space="0" w:color="auto"/>
        <w:left w:val="none" w:sz="0" w:space="0" w:color="auto"/>
        <w:bottom w:val="none" w:sz="0" w:space="0" w:color="auto"/>
        <w:right w:val="none" w:sz="0" w:space="0" w:color="auto"/>
      </w:divBdr>
    </w:div>
    <w:div w:id="670765870">
      <w:bodyDiv w:val="1"/>
      <w:marLeft w:val="0"/>
      <w:marRight w:val="0"/>
      <w:marTop w:val="0"/>
      <w:marBottom w:val="0"/>
      <w:divBdr>
        <w:top w:val="none" w:sz="0" w:space="0" w:color="auto"/>
        <w:left w:val="none" w:sz="0" w:space="0" w:color="auto"/>
        <w:bottom w:val="none" w:sz="0" w:space="0" w:color="auto"/>
        <w:right w:val="none" w:sz="0" w:space="0" w:color="auto"/>
      </w:divBdr>
    </w:div>
    <w:div w:id="693575971">
      <w:bodyDiv w:val="1"/>
      <w:marLeft w:val="0"/>
      <w:marRight w:val="0"/>
      <w:marTop w:val="0"/>
      <w:marBottom w:val="0"/>
      <w:divBdr>
        <w:top w:val="none" w:sz="0" w:space="0" w:color="auto"/>
        <w:left w:val="none" w:sz="0" w:space="0" w:color="auto"/>
        <w:bottom w:val="none" w:sz="0" w:space="0" w:color="auto"/>
        <w:right w:val="none" w:sz="0" w:space="0" w:color="auto"/>
      </w:divBdr>
    </w:div>
    <w:div w:id="716316623">
      <w:bodyDiv w:val="1"/>
      <w:marLeft w:val="0"/>
      <w:marRight w:val="0"/>
      <w:marTop w:val="0"/>
      <w:marBottom w:val="0"/>
      <w:divBdr>
        <w:top w:val="none" w:sz="0" w:space="0" w:color="auto"/>
        <w:left w:val="none" w:sz="0" w:space="0" w:color="auto"/>
        <w:bottom w:val="none" w:sz="0" w:space="0" w:color="auto"/>
        <w:right w:val="none" w:sz="0" w:space="0" w:color="auto"/>
      </w:divBdr>
    </w:div>
    <w:div w:id="763722996">
      <w:bodyDiv w:val="1"/>
      <w:marLeft w:val="0"/>
      <w:marRight w:val="0"/>
      <w:marTop w:val="0"/>
      <w:marBottom w:val="0"/>
      <w:divBdr>
        <w:top w:val="none" w:sz="0" w:space="0" w:color="auto"/>
        <w:left w:val="none" w:sz="0" w:space="0" w:color="auto"/>
        <w:bottom w:val="none" w:sz="0" w:space="0" w:color="auto"/>
        <w:right w:val="none" w:sz="0" w:space="0" w:color="auto"/>
      </w:divBdr>
    </w:div>
    <w:div w:id="800345172">
      <w:bodyDiv w:val="1"/>
      <w:marLeft w:val="0"/>
      <w:marRight w:val="0"/>
      <w:marTop w:val="0"/>
      <w:marBottom w:val="0"/>
      <w:divBdr>
        <w:top w:val="none" w:sz="0" w:space="0" w:color="auto"/>
        <w:left w:val="none" w:sz="0" w:space="0" w:color="auto"/>
        <w:bottom w:val="none" w:sz="0" w:space="0" w:color="auto"/>
        <w:right w:val="none" w:sz="0" w:space="0" w:color="auto"/>
      </w:divBdr>
    </w:div>
    <w:div w:id="817651810">
      <w:bodyDiv w:val="1"/>
      <w:marLeft w:val="0"/>
      <w:marRight w:val="0"/>
      <w:marTop w:val="0"/>
      <w:marBottom w:val="0"/>
      <w:divBdr>
        <w:top w:val="none" w:sz="0" w:space="0" w:color="auto"/>
        <w:left w:val="none" w:sz="0" w:space="0" w:color="auto"/>
        <w:bottom w:val="none" w:sz="0" w:space="0" w:color="auto"/>
        <w:right w:val="none" w:sz="0" w:space="0" w:color="auto"/>
      </w:divBdr>
    </w:div>
    <w:div w:id="853034905">
      <w:bodyDiv w:val="1"/>
      <w:marLeft w:val="0"/>
      <w:marRight w:val="0"/>
      <w:marTop w:val="0"/>
      <w:marBottom w:val="0"/>
      <w:divBdr>
        <w:top w:val="none" w:sz="0" w:space="0" w:color="auto"/>
        <w:left w:val="none" w:sz="0" w:space="0" w:color="auto"/>
        <w:bottom w:val="none" w:sz="0" w:space="0" w:color="auto"/>
        <w:right w:val="none" w:sz="0" w:space="0" w:color="auto"/>
      </w:divBdr>
    </w:div>
    <w:div w:id="885027577">
      <w:bodyDiv w:val="1"/>
      <w:marLeft w:val="0"/>
      <w:marRight w:val="0"/>
      <w:marTop w:val="0"/>
      <w:marBottom w:val="0"/>
      <w:divBdr>
        <w:top w:val="none" w:sz="0" w:space="0" w:color="auto"/>
        <w:left w:val="none" w:sz="0" w:space="0" w:color="auto"/>
        <w:bottom w:val="none" w:sz="0" w:space="0" w:color="auto"/>
        <w:right w:val="none" w:sz="0" w:space="0" w:color="auto"/>
      </w:divBdr>
    </w:div>
    <w:div w:id="915818561">
      <w:bodyDiv w:val="1"/>
      <w:marLeft w:val="0"/>
      <w:marRight w:val="0"/>
      <w:marTop w:val="0"/>
      <w:marBottom w:val="0"/>
      <w:divBdr>
        <w:top w:val="none" w:sz="0" w:space="0" w:color="auto"/>
        <w:left w:val="none" w:sz="0" w:space="0" w:color="auto"/>
        <w:bottom w:val="none" w:sz="0" w:space="0" w:color="auto"/>
        <w:right w:val="none" w:sz="0" w:space="0" w:color="auto"/>
      </w:divBdr>
    </w:div>
    <w:div w:id="1174371285">
      <w:bodyDiv w:val="1"/>
      <w:marLeft w:val="0"/>
      <w:marRight w:val="0"/>
      <w:marTop w:val="0"/>
      <w:marBottom w:val="0"/>
      <w:divBdr>
        <w:top w:val="none" w:sz="0" w:space="0" w:color="auto"/>
        <w:left w:val="none" w:sz="0" w:space="0" w:color="auto"/>
        <w:bottom w:val="none" w:sz="0" w:space="0" w:color="auto"/>
        <w:right w:val="none" w:sz="0" w:space="0" w:color="auto"/>
      </w:divBdr>
    </w:div>
    <w:div w:id="1236475454">
      <w:bodyDiv w:val="1"/>
      <w:marLeft w:val="0"/>
      <w:marRight w:val="0"/>
      <w:marTop w:val="0"/>
      <w:marBottom w:val="0"/>
      <w:divBdr>
        <w:top w:val="none" w:sz="0" w:space="0" w:color="auto"/>
        <w:left w:val="none" w:sz="0" w:space="0" w:color="auto"/>
        <w:bottom w:val="none" w:sz="0" w:space="0" w:color="auto"/>
        <w:right w:val="none" w:sz="0" w:space="0" w:color="auto"/>
      </w:divBdr>
    </w:div>
    <w:div w:id="1290356896">
      <w:bodyDiv w:val="1"/>
      <w:marLeft w:val="0"/>
      <w:marRight w:val="0"/>
      <w:marTop w:val="0"/>
      <w:marBottom w:val="0"/>
      <w:divBdr>
        <w:top w:val="none" w:sz="0" w:space="0" w:color="auto"/>
        <w:left w:val="none" w:sz="0" w:space="0" w:color="auto"/>
        <w:bottom w:val="none" w:sz="0" w:space="0" w:color="auto"/>
        <w:right w:val="none" w:sz="0" w:space="0" w:color="auto"/>
      </w:divBdr>
    </w:div>
    <w:div w:id="1325549731">
      <w:bodyDiv w:val="1"/>
      <w:marLeft w:val="0"/>
      <w:marRight w:val="0"/>
      <w:marTop w:val="0"/>
      <w:marBottom w:val="0"/>
      <w:divBdr>
        <w:top w:val="none" w:sz="0" w:space="0" w:color="auto"/>
        <w:left w:val="none" w:sz="0" w:space="0" w:color="auto"/>
        <w:bottom w:val="none" w:sz="0" w:space="0" w:color="auto"/>
        <w:right w:val="none" w:sz="0" w:space="0" w:color="auto"/>
      </w:divBdr>
    </w:div>
    <w:div w:id="1353611814">
      <w:bodyDiv w:val="1"/>
      <w:marLeft w:val="0"/>
      <w:marRight w:val="0"/>
      <w:marTop w:val="0"/>
      <w:marBottom w:val="0"/>
      <w:divBdr>
        <w:top w:val="none" w:sz="0" w:space="0" w:color="auto"/>
        <w:left w:val="none" w:sz="0" w:space="0" w:color="auto"/>
        <w:bottom w:val="none" w:sz="0" w:space="0" w:color="auto"/>
        <w:right w:val="none" w:sz="0" w:space="0" w:color="auto"/>
      </w:divBdr>
    </w:div>
    <w:div w:id="1400787352">
      <w:bodyDiv w:val="1"/>
      <w:marLeft w:val="0"/>
      <w:marRight w:val="0"/>
      <w:marTop w:val="0"/>
      <w:marBottom w:val="0"/>
      <w:divBdr>
        <w:top w:val="none" w:sz="0" w:space="0" w:color="auto"/>
        <w:left w:val="none" w:sz="0" w:space="0" w:color="auto"/>
        <w:bottom w:val="none" w:sz="0" w:space="0" w:color="auto"/>
        <w:right w:val="none" w:sz="0" w:space="0" w:color="auto"/>
      </w:divBdr>
    </w:div>
    <w:div w:id="1415709801">
      <w:bodyDiv w:val="1"/>
      <w:marLeft w:val="0"/>
      <w:marRight w:val="0"/>
      <w:marTop w:val="0"/>
      <w:marBottom w:val="0"/>
      <w:divBdr>
        <w:top w:val="none" w:sz="0" w:space="0" w:color="auto"/>
        <w:left w:val="none" w:sz="0" w:space="0" w:color="auto"/>
        <w:bottom w:val="none" w:sz="0" w:space="0" w:color="auto"/>
        <w:right w:val="none" w:sz="0" w:space="0" w:color="auto"/>
      </w:divBdr>
      <w:divsChild>
        <w:div w:id="206576063">
          <w:marLeft w:val="0"/>
          <w:marRight w:val="0"/>
          <w:marTop w:val="0"/>
          <w:marBottom w:val="0"/>
          <w:divBdr>
            <w:top w:val="none" w:sz="0" w:space="0" w:color="auto"/>
            <w:left w:val="none" w:sz="0" w:space="0" w:color="auto"/>
            <w:bottom w:val="none" w:sz="0" w:space="0" w:color="auto"/>
            <w:right w:val="none" w:sz="0" w:space="0" w:color="auto"/>
          </w:divBdr>
          <w:divsChild>
            <w:div w:id="178814308">
              <w:marLeft w:val="0"/>
              <w:marRight w:val="0"/>
              <w:marTop w:val="0"/>
              <w:marBottom w:val="0"/>
              <w:divBdr>
                <w:top w:val="none" w:sz="0" w:space="0" w:color="auto"/>
                <w:left w:val="none" w:sz="0" w:space="0" w:color="auto"/>
                <w:bottom w:val="none" w:sz="0" w:space="0" w:color="auto"/>
                <w:right w:val="none" w:sz="0" w:space="0" w:color="auto"/>
              </w:divBdr>
              <w:divsChild>
                <w:div w:id="571816400">
                  <w:marLeft w:val="0"/>
                  <w:marRight w:val="0"/>
                  <w:marTop w:val="0"/>
                  <w:marBottom w:val="0"/>
                  <w:divBdr>
                    <w:top w:val="none" w:sz="0" w:space="0" w:color="auto"/>
                    <w:left w:val="none" w:sz="0" w:space="0" w:color="auto"/>
                    <w:bottom w:val="none" w:sz="0" w:space="0" w:color="auto"/>
                    <w:right w:val="none" w:sz="0" w:space="0" w:color="auto"/>
                  </w:divBdr>
                  <w:divsChild>
                    <w:div w:id="1212574291">
                      <w:marLeft w:val="0"/>
                      <w:marRight w:val="0"/>
                      <w:marTop w:val="0"/>
                      <w:marBottom w:val="0"/>
                      <w:divBdr>
                        <w:top w:val="none" w:sz="0" w:space="0" w:color="auto"/>
                        <w:left w:val="none" w:sz="0" w:space="0" w:color="auto"/>
                        <w:bottom w:val="none" w:sz="0" w:space="0" w:color="auto"/>
                        <w:right w:val="none" w:sz="0" w:space="0" w:color="auto"/>
                      </w:divBdr>
                      <w:divsChild>
                        <w:div w:id="1371299672">
                          <w:marLeft w:val="0"/>
                          <w:marRight w:val="0"/>
                          <w:marTop w:val="0"/>
                          <w:marBottom w:val="0"/>
                          <w:divBdr>
                            <w:top w:val="none" w:sz="0" w:space="0" w:color="auto"/>
                            <w:left w:val="none" w:sz="0" w:space="0" w:color="auto"/>
                            <w:bottom w:val="none" w:sz="0" w:space="0" w:color="auto"/>
                            <w:right w:val="none" w:sz="0" w:space="0" w:color="auto"/>
                          </w:divBdr>
                          <w:divsChild>
                            <w:div w:id="941885518">
                              <w:marLeft w:val="0"/>
                              <w:marRight w:val="0"/>
                              <w:marTop w:val="0"/>
                              <w:marBottom w:val="0"/>
                              <w:divBdr>
                                <w:top w:val="none" w:sz="0" w:space="0" w:color="auto"/>
                                <w:left w:val="none" w:sz="0" w:space="0" w:color="auto"/>
                                <w:bottom w:val="none" w:sz="0" w:space="0" w:color="auto"/>
                                <w:right w:val="none" w:sz="0" w:space="0" w:color="auto"/>
                              </w:divBdr>
                            </w:div>
                            <w:div w:id="347803448">
                              <w:marLeft w:val="0"/>
                              <w:marRight w:val="0"/>
                              <w:marTop w:val="0"/>
                              <w:marBottom w:val="0"/>
                              <w:divBdr>
                                <w:top w:val="none" w:sz="0" w:space="0" w:color="auto"/>
                                <w:left w:val="none" w:sz="0" w:space="0" w:color="auto"/>
                                <w:bottom w:val="none" w:sz="0" w:space="0" w:color="auto"/>
                                <w:right w:val="none" w:sz="0" w:space="0" w:color="auto"/>
                              </w:divBdr>
                              <w:divsChild>
                                <w:div w:id="441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520882">
      <w:bodyDiv w:val="1"/>
      <w:marLeft w:val="0"/>
      <w:marRight w:val="0"/>
      <w:marTop w:val="0"/>
      <w:marBottom w:val="0"/>
      <w:divBdr>
        <w:top w:val="none" w:sz="0" w:space="0" w:color="auto"/>
        <w:left w:val="none" w:sz="0" w:space="0" w:color="auto"/>
        <w:bottom w:val="none" w:sz="0" w:space="0" w:color="auto"/>
        <w:right w:val="none" w:sz="0" w:space="0" w:color="auto"/>
      </w:divBdr>
    </w:div>
    <w:div w:id="1508713987">
      <w:bodyDiv w:val="1"/>
      <w:marLeft w:val="0"/>
      <w:marRight w:val="0"/>
      <w:marTop w:val="0"/>
      <w:marBottom w:val="0"/>
      <w:divBdr>
        <w:top w:val="none" w:sz="0" w:space="0" w:color="auto"/>
        <w:left w:val="none" w:sz="0" w:space="0" w:color="auto"/>
        <w:bottom w:val="none" w:sz="0" w:space="0" w:color="auto"/>
        <w:right w:val="none" w:sz="0" w:space="0" w:color="auto"/>
      </w:divBdr>
    </w:div>
    <w:div w:id="1592546623">
      <w:bodyDiv w:val="1"/>
      <w:marLeft w:val="0"/>
      <w:marRight w:val="0"/>
      <w:marTop w:val="0"/>
      <w:marBottom w:val="0"/>
      <w:divBdr>
        <w:top w:val="none" w:sz="0" w:space="0" w:color="auto"/>
        <w:left w:val="none" w:sz="0" w:space="0" w:color="auto"/>
        <w:bottom w:val="none" w:sz="0" w:space="0" w:color="auto"/>
        <w:right w:val="none" w:sz="0" w:space="0" w:color="auto"/>
      </w:divBdr>
    </w:div>
    <w:div w:id="1919900419">
      <w:bodyDiv w:val="1"/>
      <w:marLeft w:val="0"/>
      <w:marRight w:val="0"/>
      <w:marTop w:val="0"/>
      <w:marBottom w:val="0"/>
      <w:divBdr>
        <w:top w:val="none" w:sz="0" w:space="0" w:color="auto"/>
        <w:left w:val="none" w:sz="0" w:space="0" w:color="auto"/>
        <w:bottom w:val="none" w:sz="0" w:space="0" w:color="auto"/>
        <w:right w:val="none" w:sz="0" w:space="0" w:color="auto"/>
      </w:divBdr>
    </w:div>
    <w:div w:id="1924609702">
      <w:bodyDiv w:val="1"/>
      <w:marLeft w:val="0"/>
      <w:marRight w:val="0"/>
      <w:marTop w:val="0"/>
      <w:marBottom w:val="0"/>
      <w:divBdr>
        <w:top w:val="none" w:sz="0" w:space="0" w:color="auto"/>
        <w:left w:val="none" w:sz="0" w:space="0" w:color="auto"/>
        <w:bottom w:val="none" w:sz="0" w:space="0" w:color="auto"/>
        <w:right w:val="none" w:sz="0" w:space="0" w:color="auto"/>
      </w:divBdr>
    </w:div>
    <w:div w:id="1952735546">
      <w:bodyDiv w:val="1"/>
      <w:marLeft w:val="0"/>
      <w:marRight w:val="0"/>
      <w:marTop w:val="0"/>
      <w:marBottom w:val="0"/>
      <w:divBdr>
        <w:top w:val="none" w:sz="0" w:space="0" w:color="auto"/>
        <w:left w:val="none" w:sz="0" w:space="0" w:color="auto"/>
        <w:bottom w:val="none" w:sz="0" w:space="0" w:color="auto"/>
        <w:right w:val="none" w:sz="0" w:space="0" w:color="auto"/>
      </w:divBdr>
    </w:div>
    <w:div w:id="2108187369">
      <w:bodyDiv w:val="1"/>
      <w:marLeft w:val="0"/>
      <w:marRight w:val="0"/>
      <w:marTop w:val="0"/>
      <w:marBottom w:val="0"/>
      <w:divBdr>
        <w:top w:val="none" w:sz="0" w:space="0" w:color="auto"/>
        <w:left w:val="none" w:sz="0" w:space="0" w:color="auto"/>
        <w:bottom w:val="none" w:sz="0" w:space="0" w:color="auto"/>
        <w:right w:val="none" w:sz="0" w:space="0" w:color="auto"/>
      </w:divBdr>
    </w:div>
    <w:div w:id="2110736497">
      <w:bodyDiv w:val="1"/>
      <w:marLeft w:val="0"/>
      <w:marRight w:val="0"/>
      <w:marTop w:val="0"/>
      <w:marBottom w:val="0"/>
      <w:divBdr>
        <w:top w:val="none" w:sz="0" w:space="0" w:color="auto"/>
        <w:left w:val="none" w:sz="0" w:space="0" w:color="auto"/>
        <w:bottom w:val="none" w:sz="0" w:space="0" w:color="auto"/>
        <w:right w:val="none" w:sz="0" w:space="0" w:color="auto"/>
      </w:divBdr>
    </w:div>
    <w:div w:id="2139645216">
      <w:bodyDiv w:val="1"/>
      <w:marLeft w:val="0"/>
      <w:marRight w:val="0"/>
      <w:marTop w:val="0"/>
      <w:marBottom w:val="0"/>
      <w:divBdr>
        <w:top w:val="none" w:sz="0" w:space="0" w:color="auto"/>
        <w:left w:val="none" w:sz="0" w:space="0" w:color="auto"/>
        <w:bottom w:val="none" w:sz="0" w:space="0" w:color="auto"/>
        <w:right w:val="none" w:sz="0" w:space="0" w:color="auto"/>
      </w:divBdr>
    </w:div>
    <w:div w:id="2144106652">
      <w:bodyDiv w:val="1"/>
      <w:marLeft w:val="0"/>
      <w:marRight w:val="0"/>
      <w:marTop w:val="0"/>
      <w:marBottom w:val="0"/>
      <w:divBdr>
        <w:top w:val="none" w:sz="0" w:space="0" w:color="auto"/>
        <w:left w:val="none" w:sz="0" w:space="0" w:color="auto"/>
        <w:bottom w:val="none" w:sz="0" w:space="0" w:color="auto"/>
        <w:right w:val="none" w:sz="0" w:space="0" w:color="auto"/>
      </w:divBdr>
    </w:div>
    <w:div w:id="21443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rangatamariki.govt.nz/news/changing-our-social-practice"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ealth.govt.nz/our-work/regulation-health-and-disability-system/health-practitioners-competence-assurance-act/restricted-activities-under-act"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wrb.govt.nz/doc-man/publications-1/346-annual-report" TargetMode="External"/><Relationship Id="rId1" Type="http://schemas.openxmlformats.org/officeDocument/2006/relationships/hyperlink" Target="https://www.dpmc.govt.nz/cabinet/circulars/co99/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NZ" sz="1200"/>
              <a:t>Number of</a:t>
            </a:r>
            <a:r>
              <a:rPr lang="en-NZ" sz="1200" baseline="0"/>
              <a:t> Registered Social Workers by Employer with Percentage of 6260 Total Registered Social Workers</a:t>
            </a:r>
            <a:endParaRPr lang="en-NZ" sz="1200"/>
          </a:p>
        </c:rich>
      </c:tx>
      <c:layout>
        <c:manualLayout>
          <c:xMode val="edge"/>
          <c:yMode val="edge"/>
          <c:x val="9.495180674571875E-2"/>
          <c:y val="1.7977528089887642E-2"/>
        </c:manualLayout>
      </c:layout>
      <c:overlay val="0"/>
    </c:title>
    <c:autoTitleDeleted val="0"/>
    <c:plotArea>
      <c:layout/>
      <c:pieChart>
        <c:varyColors val="1"/>
        <c:ser>
          <c:idx val="0"/>
          <c:order val="0"/>
          <c:dLbls>
            <c:dLbl>
              <c:idx val="0"/>
              <c:layout>
                <c:manualLayout>
                  <c:x val="2.036472713638068E-2"/>
                  <c:y val="-0.10234427438143266"/>
                </c:manualLayout>
              </c:layout>
              <c:dLblPos val="bestFit"/>
              <c:showLegendKey val="1"/>
              <c:showVal val="1"/>
              <c:showCatName val="1"/>
              <c:showSerName val="0"/>
              <c:showPercent val="1"/>
              <c:showBubbleSize val="0"/>
            </c:dLbl>
            <c:dLbl>
              <c:idx val="1"/>
              <c:layout>
                <c:manualLayout>
                  <c:x val="7.4790975803349256E-3"/>
                  <c:y val="0.11274741219145359"/>
                </c:manualLayout>
              </c:layout>
              <c:dLblPos val="bestFit"/>
              <c:showLegendKey val="1"/>
              <c:showVal val="1"/>
              <c:showCatName val="1"/>
              <c:showSerName val="0"/>
              <c:showPercent val="1"/>
              <c:showBubbleSize val="0"/>
            </c:dLbl>
            <c:dLbl>
              <c:idx val="2"/>
              <c:layout>
                <c:manualLayout>
                  <c:x val="-6.2516763326662089E-2"/>
                  <c:y val="3.6828688548762867E-2"/>
                </c:manualLayout>
              </c:layout>
              <c:dLblPos val="bestFit"/>
              <c:showLegendKey val="1"/>
              <c:showVal val="1"/>
              <c:showCatName val="1"/>
              <c:showSerName val="0"/>
              <c:showPercent val="1"/>
              <c:showBubbleSize val="0"/>
            </c:dLbl>
            <c:dLbl>
              <c:idx val="3"/>
              <c:layout>
                <c:manualLayout>
                  <c:x val="-0.20927595089574841"/>
                  <c:y val="2.9962546816479401E-5"/>
                </c:manualLayout>
              </c:layout>
              <c:dLblPos val="bestFit"/>
              <c:showLegendKey val="1"/>
              <c:showVal val="1"/>
              <c:showCatName val="1"/>
              <c:showSerName val="0"/>
              <c:showPercent val="1"/>
              <c:showBubbleSize val="0"/>
            </c:dLbl>
            <c:dLbl>
              <c:idx val="4"/>
              <c:layout>
                <c:manualLayout>
                  <c:x val="-1.3247337589294845E-2"/>
                  <c:y val="-3.7085139638444072E-3"/>
                </c:manualLayout>
              </c:layout>
              <c:tx>
                <c:rich>
                  <a:bodyPr/>
                  <a:lstStyle/>
                  <a:p>
                    <a:r>
                      <a:rPr lang="en-US"/>
                      <a:t>Other GOVT*, 108, 2%</a:t>
                    </a:r>
                  </a:p>
                </c:rich>
              </c:tx>
              <c:dLblPos val="bestFit"/>
              <c:showLegendKey val="1"/>
              <c:showVal val="1"/>
              <c:showCatName val="1"/>
              <c:showSerName val="0"/>
              <c:showPercent val="1"/>
              <c:showBubbleSize val="0"/>
            </c:dLbl>
            <c:dLbl>
              <c:idx val="5"/>
              <c:layout>
                <c:manualLayout>
                  <c:x val="-3.1660227530981376E-2"/>
                  <c:y val="2.2032144858297152E-2"/>
                </c:manualLayout>
              </c:layout>
              <c:dLblPos val="bestFit"/>
              <c:showLegendKey val="1"/>
              <c:showVal val="1"/>
              <c:showCatName val="1"/>
              <c:showSerName val="0"/>
              <c:showPercent val="1"/>
              <c:showBubbleSize val="0"/>
            </c:dLbl>
            <c:dLbl>
              <c:idx val="6"/>
              <c:layout>
                <c:manualLayout>
                  <c:x val="-0.24276851757166718"/>
                  <c:y val="-4.5965377923265207E-3"/>
                </c:manualLayout>
              </c:layout>
              <c:dLblPos val="bestFit"/>
              <c:showLegendKey val="1"/>
              <c:showVal val="1"/>
              <c:showCatName val="1"/>
              <c:showSerName val="0"/>
              <c:showPercent val="1"/>
              <c:showBubbleSize val="0"/>
            </c:dLbl>
            <c:dLbl>
              <c:idx val="7"/>
              <c:layout>
                <c:manualLayout>
                  <c:x val="-0.15076372727528509"/>
                  <c:y val="-1.6620956088354125E-2"/>
                </c:manualLayout>
              </c:layout>
              <c:dLblPos val="bestFit"/>
              <c:showLegendKey val="1"/>
              <c:showVal val="1"/>
              <c:showCatName val="1"/>
              <c:showSerName val="0"/>
              <c:showPercent val="1"/>
              <c:showBubbleSize val="0"/>
            </c:dLbl>
            <c:dLblPos val="bestFit"/>
            <c:showLegendKey val="1"/>
            <c:showVal val="1"/>
            <c:showCatName val="1"/>
            <c:showSerName val="0"/>
            <c:showPercent val="1"/>
            <c:showBubbleSize val="0"/>
            <c:showLeaderLines val="1"/>
          </c:dLbls>
          <c:cat>
            <c:strRef>
              <c:f>Sheet1!$B$4:$G$4</c:f>
              <c:strCache>
                <c:ptCount val="6"/>
                <c:pt idx="0">
                  <c:v>NGO</c:v>
                </c:pt>
                <c:pt idx="1">
                  <c:v>MVCOT</c:v>
                </c:pt>
                <c:pt idx="2">
                  <c:v>DHB</c:v>
                </c:pt>
                <c:pt idx="3">
                  <c:v>Self Employed</c:v>
                </c:pt>
                <c:pt idx="4">
                  <c:v>Other GOVT</c:v>
                </c:pt>
                <c:pt idx="5">
                  <c:v>Not practising </c:v>
                </c:pt>
              </c:strCache>
            </c:strRef>
          </c:cat>
          <c:val>
            <c:numRef>
              <c:f>Sheet1!$B$5:$G$5</c:f>
              <c:numCache>
                <c:formatCode>General</c:formatCode>
                <c:ptCount val="6"/>
                <c:pt idx="0">
                  <c:v>1919</c:v>
                </c:pt>
                <c:pt idx="1">
                  <c:v>1441</c:v>
                </c:pt>
                <c:pt idx="2">
                  <c:v>1425</c:v>
                </c:pt>
                <c:pt idx="3">
                  <c:v>239</c:v>
                </c:pt>
                <c:pt idx="4">
                  <c:v>108</c:v>
                </c:pt>
                <c:pt idx="5">
                  <c:v>1128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93EA-7927-4D2C-A837-D4A1EC24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53</Pages>
  <Words>23674</Words>
  <Characters>134946</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158304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 Lane</dc:creator>
  <cp:lastModifiedBy>Paul Dickey</cp:lastModifiedBy>
  <cp:revision>3</cp:revision>
  <cp:lastPrinted>2018-07-27T01:23:00Z</cp:lastPrinted>
  <dcterms:created xsi:type="dcterms:W3CDTF">2018-07-26T22:19:00Z</dcterms:created>
  <dcterms:modified xsi:type="dcterms:W3CDTF">2018-12-04T00:44:00Z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A10665667</vt:lpwstr>
  </property>
  <property fmtid="{D5CDD505-2E9C-101B-9397-08002B2CF9AE}" pid="4" name="Objective-Title">
    <vt:lpwstr>2018.07.24 Draft SWR RIS SOP Tsy comments</vt:lpwstr>
  </property>
  <property fmtid="{D5CDD505-2E9C-101B-9397-08002B2CF9AE}" pid="5" name="Objective-Comment">
    <vt:lpwstr/>
  </property>
  <property fmtid="{D5CDD505-2E9C-101B-9397-08002B2CF9AE}" pid="6" name="Objective-CreationStamp">
    <vt:filetime>2018-07-23T05:35:15Z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2018-07-26T00:56:36Z</vt:filetime>
  </property>
  <property fmtid="{D5CDD505-2E9C-101B-9397-08002B2CF9AE}" pid="11" name="Objective-Owner">
    <vt:lpwstr>Margaret McArthur</vt:lpwstr>
  </property>
  <property fmtid="{D5CDD505-2E9C-101B-9397-08002B2CF9AE}" pid="12" name="Objective-Path">
    <vt:lpwstr>Global Folder:MSD INFORMATION REPOSITORY:Social Services Policy:Children:Policy Issues:Children's Action Plan:Legislation Programme:Policy workstreams:Social Workers - Mandatory Registration:2016/17/18 work on Social Workers Registration - Inquiry, Govt R</vt:lpwstr>
  </property>
  <property fmtid="{D5CDD505-2E9C-101B-9397-08002B2CF9AE}" pid="13" name="Objective-Parent">
    <vt:lpwstr>2018 Reports sent to Minister or DCE</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SO/CH/02/13-6797</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ies>
</file>