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B978" w14:textId="77777777" w:rsidR="00EC5C2A" w:rsidRPr="00662131" w:rsidRDefault="00EC5C2A" w:rsidP="00EC5C2A">
      <w:r w:rsidRPr="00662131">
        <w:rPr>
          <w:noProof/>
          <w:lang w:eastAsia="en-NZ"/>
        </w:rPr>
        <w:drawing>
          <wp:anchor distT="0" distB="0" distL="114300" distR="114300" simplePos="0" relativeHeight="251659264" behindDoc="0" locked="0" layoutInCell="1" allowOverlap="1" wp14:anchorId="178308E6" wp14:editId="18F92CBC">
            <wp:simplePos x="0" y="0"/>
            <wp:positionH relativeFrom="page">
              <wp:posOffset>730250</wp:posOffset>
            </wp:positionH>
            <wp:positionV relativeFrom="page">
              <wp:posOffset>671830</wp:posOffset>
            </wp:positionV>
            <wp:extent cx="3005455" cy="701675"/>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427CE14C" w14:textId="672FF2D9" w:rsidR="00EC5C2A" w:rsidRPr="00EC5C2A" w:rsidRDefault="00EC5C2A" w:rsidP="00EC5C2A">
      <w:pPr>
        <w:spacing w:before="8040" w:after="0" w:line="760" w:lineRule="atLeast"/>
        <w:ind w:right="-1038"/>
        <w:rPr>
          <w:rFonts w:ascii="Georgia" w:hAnsi="Georgia"/>
          <w:b/>
          <w:noProof/>
          <w:color w:val="FFFFFF" w:themeColor="background1"/>
          <w:sz w:val="44"/>
          <w:szCs w:val="16"/>
          <w:lang w:eastAsia="en-NZ"/>
        </w:rPr>
      </w:pPr>
      <w:r w:rsidRPr="00EC5C2A">
        <w:rPr>
          <w:rFonts w:ascii="Georgia" w:hAnsi="Georgia"/>
          <w:b/>
          <w:noProof/>
          <w:color w:val="FFFFFF" w:themeColor="background1"/>
          <w:sz w:val="44"/>
          <w:szCs w:val="16"/>
          <w:lang w:eastAsia="en-NZ"/>
        </w:rPr>
        <w:drawing>
          <wp:anchor distT="0" distB="0" distL="114300" distR="114300" simplePos="0" relativeHeight="251660288" behindDoc="1" locked="0" layoutInCell="1" allowOverlap="1" wp14:anchorId="2A35DF39" wp14:editId="24FA2DC8">
            <wp:simplePos x="0" y="0"/>
            <wp:positionH relativeFrom="column">
              <wp:posOffset>-962025</wp:posOffset>
            </wp:positionH>
            <wp:positionV relativeFrom="paragraph">
              <wp:posOffset>3860800</wp:posOffset>
            </wp:positionV>
            <wp:extent cx="7620000" cy="4135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75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noProof/>
          <w:color w:val="FFFFFF" w:themeColor="background1"/>
          <w:sz w:val="44"/>
          <w:szCs w:val="16"/>
          <w:lang w:eastAsia="en-NZ"/>
        </w:rPr>
        <w:t>O</w:t>
      </w:r>
      <w:r w:rsidRPr="00EC5C2A">
        <w:rPr>
          <w:rFonts w:ascii="Georgia" w:hAnsi="Georgia"/>
          <w:b/>
          <w:noProof/>
          <w:color w:val="FFFFFF" w:themeColor="background1"/>
          <w:sz w:val="44"/>
          <w:szCs w:val="16"/>
          <w:lang w:eastAsia="en-NZ"/>
        </w:rPr>
        <w:t>ranga Mahi – Realising Employment through Active Co-ordinated Health</w:t>
      </w:r>
      <w:r w:rsidR="00325437">
        <w:rPr>
          <w:rFonts w:ascii="Georgia" w:hAnsi="Georgia"/>
          <w:b/>
          <w:noProof/>
          <w:color w:val="FFFFFF" w:themeColor="background1"/>
          <w:sz w:val="44"/>
          <w:szCs w:val="16"/>
          <w:lang w:eastAsia="en-NZ"/>
        </w:rPr>
        <w:t>care</w:t>
      </w:r>
      <w:r w:rsidRPr="00EC5C2A">
        <w:rPr>
          <w:rFonts w:ascii="Georgia" w:hAnsi="Georgia"/>
          <w:b/>
          <w:noProof/>
          <w:color w:val="FFFFFF" w:themeColor="background1"/>
          <w:sz w:val="44"/>
          <w:szCs w:val="16"/>
          <w:lang w:eastAsia="en-NZ"/>
        </w:rPr>
        <w:t xml:space="preserve"> (REACH) monitoring data analysis </w:t>
      </w:r>
    </w:p>
    <w:p w14:paraId="4BDC06A9" w14:textId="220BA020" w:rsidR="00EC5C2A" w:rsidRPr="002F3A0B" w:rsidRDefault="00EC5C2A" w:rsidP="00EC5C2A">
      <w:pPr>
        <w:pStyle w:val="Report2"/>
        <w:rPr>
          <w:color w:val="FFFFFF" w:themeColor="background1"/>
          <w:sz w:val="32"/>
          <w:szCs w:val="32"/>
        </w:rPr>
      </w:pPr>
      <w:r>
        <w:rPr>
          <w:color w:val="FFFFFF" w:themeColor="background1"/>
          <w:sz w:val="32"/>
          <w:szCs w:val="32"/>
        </w:rPr>
        <w:t>November 2019 – June 2021</w:t>
      </w:r>
    </w:p>
    <w:p w14:paraId="52F86A5E" w14:textId="50DEF656" w:rsidR="00EC5C2A" w:rsidRDefault="002A7EFA" w:rsidP="00EC5C2A">
      <w:pPr>
        <w:spacing w:before="480" w:after="0" w:line="760" w:lineRule="atLeast"/>
        <w:ind w:right="-1038"/>
        <w:rPr>
          <w:rFonts w:eastAsiaTheme="majorEastAsia"/>
          <w:b/>
          <w:bCs/>
          <w:noProof/>
          <w:color w:val="121F6B"/>
          <w:sz w:val="24"/>
          <w:lang w:eastAsia="en-AU"/>
        </w:rPr>
      </w:pPr>
      <w:r>
        <w:rPr>
          <w:rFonts w:eastAsiaTheme="majorEastAsia"/>
          <w:b/>
          <w:bCs/>
          <w:noProof/>
          <w:color w:val="121F6B"/>
          <w:sz w:val="24"/>
          <w:lang w:eastAsia="en-AU"/>
        </w:rPr>
        <w:t>October</w:t>
      </w:r>
      <w:r w:rsidR="00EC5C2A">
        <w:rPr>
          <w:rFonts w:eastAsiaTheme="majorEastAsia"/>
          <w:b/>
          <w:bCs/>
          <w:noProof/>
          <w:color w:val="121F6B"/>
          <w:sz w:val="24"/>
          <w:lang w:eastAsia="en-AU"/>
        </w:rPr>
        <w:t xml:space="preserve"> 2022</w:t>
      </w:r>
    </w:p>
    <w:p w14:paraId="1F158459" w14:textId="77777777" w:rsidR="00EC5C2A" w:rsidRPr="00662131" w:rsidRDefault="00EC5C2A" w:rsidP="00EC5C2A">
      <w:pPr>
        <w:spacing w:before="480" w:after="0" w:line="760" w:lineRule="atLeast"/>
        <w:ind w:right="-1038"/>
        <w:rPr>
          <w:rFonts w:ascii="Georgia" w:hAnsi="Georgia"/>
          <w:b/>
          <w:noProof/>
          <w:color w:val="121F6B"/>
          <w:sz w:val="56"/>
          <w:lang w:eastAsia="en-NZ"/>
        </w:rPr>
      </w:pPr>
      <w:r w:rsidRPr="00662131">
        <w:rPr>
          <w:rFonts w:ascii="Georgia" w:hAnsi="Georgia"/>
          <w:b/>
          <w:noProof/>
          <w:color w:val="121F6B"/>
          <w:sz w:val="56"/>
          <w:lang w:eastAsia="en-NZ"/>
        </w:rPr>
        <w:br w:type="page"/>
      </w:r>
    </w:p>
    <w:p w14:paraId="086A9B4D" w14:textId="77777777" w:rsidR="00EC5C2A" w:rsidRPr="000874C9" w:rsidRDefault="00EC5C2A" w:rsidP="00EC5C2A">
      <w:pPr>
        <w:spacing w:before="6840"/>
        <w:rPr>
          <w:b/>
          <w:sz w:val="24"/>
          <w:szCs w:val="24"/>
        </w:rPr>
      </w:pPr>
      <w:r w:rsidRPr="000874C9">
        <w:rPr>
          <w:b/>
          <w:sz w:val="24"/>
          <w:szCs w:val="24"/>
          <w:lang w:val="en-US"/>
        </w:rPr>
        <w:lastRenderedPageBreak/>
        <w:t>Authors</w:t>
      </w:r>
    </w:p>
    <w:p w14:paraId="7CD4815B" w14:textId="75B7151F" w:rsidR="00EC5C2A" w:rsidRDefault="00EC5C2A" w:rsidP="00EC5C2A">
      <w:r>
        <w:rPr>
          <w:iCs/>
        </w:rPr>
        <w:t xml:space="preserve">Lars Arnesen, </w:t>
      </w:r>
      <w:r w:rsidR="00E02D42">
        <w:rPr>
          <w:iCs/>
        </w:rPr>
        <w:t xml:space="preserve">Senior </w:t>
      </w:r>
      <w:r>
        <w:rPr>
          <w:iCs/>
        </w:rPr>
        <w:t>Analyst</w:t>
      </w:r>
      <w:r w:rsidR="00433A83">
        <w:rPr>
          <w:iCs/>
        </w:rPr>
        <w:t>,</w:t>
      </w:r>
      <w:r>
        <w:rPr>
          <w:iCs/>
        </w:rPr>
        <w:t xml:space="preserve"> Research and Evaluation</w:t>
      </w:r>
      <w:r w:rsidRPr="00CC5848">
        <w:t>, Ministry of Social Development</w:t>
      </w:r>
    </w:p>
    <w:p w14:paraId="3E63CBDB" w14:textId="77777777" w:rsidR="00EC5C2A" w:rsidRPr="00CC5848" w:rsidRDefault="00EC5C2A" w:rsidP="00EC5C2A"/>
    <w:p w14:paraId="7F737C96" w14:textId="0384E200" w:rsidR="00EC5C2A" w:rsidRDefault="00EC5C2A" w:rsidP="00EC5C2A">
      <w:pPr>
        <w:rPr>
          <w:b/>
          <w:sz w:val="24"/>
          <w:szCs w:val="24"/>
          <w:lang w:val="en-US"/>
        </w:rPr>
      </w:pPr>
      <w:r w:rsidRPr="00CC5848">
        <w:rPr>
          <w:b/>
          <w:sz w:val="24"/>
          <w:szCs w:val="24"/>
          <w:lang w:val="en-US"/>
        </w:rPr>
        <w:t>Acknowledgements</w:t>
      </w:r>
    </w:p>
    <w:p w14:paraId="1BDECAC8" w14:textId="412ED430" w:rsidR="00EC5C2A" w:rsidRDefault="00632854" w:rsidP="00EC5C2A">
      <w:pPr>
        <w:rPr>
          <w:lang w:val="en-US"/>
        </w:rPr>
      </w:pPr>
      <w:r>
        <w:rPr>
          <w:lang w:val="en-US"/>
        </w:rPr>
        <w:t>Thank you to Amanda Mainey for your help</w:t>
      </w:r>
      <w:r w:rsidR="00433A83">
        <w:rPr>
          <w:lang w:val="en-US"/>
        </w:rPr>
        <w:t xml:space="preserve"> </w:t>
      </w:r>
      <w:r>
        <w:rPr>
          <w:lang w:val="en-US"/>
        </w:rPr>
        <w:t xml:space="preserve">in putting this report together. Thank you to Telsa Edge, Sarah </w:t>
      </w:r>
      <w:proofErr w:type="gramStart"/>
      <w:r>
        <w:rPr>
          <w:lang w:val="en-US"/>
        </w:rPr>
        <w:t>Graham</w:t>
      </w:r>
      <w:proofErr w:type="gramEnd"/>
      <w:r>
        <w:rPr>
          <w:lang w:val="en-US"/>
        </w:rPr>
        <w:t xml:space="preserve"> and Hop Tran for your peer review of this report. Additionally, thank you to all the other Ministry of Social Development colleagues and REACH service staff that were involved in shaping this report, through your</w:t>
      </w:r>
      <w:r w:rsidR="004F05B2">
        <w:rPr>
          <w:lang w:val="en-US"/>
        </w:rPr>
        <w:t xml:space="preserve"> provision of data,</w:t>
      </w:r>
      <w:r>
        <w:rPr>
          <w:lang w:val="en-US"/>
        </w:rPr>
        <w:t xml:space="preserve"> input on sensemaking findings, draft reports, proofreading</w:t>
      </w:r>
      <w:r w:rsidR="004F05B2">
        <w:rPr>
          <w:lang w:val="en-US"/>
        </w:rPr>
        <w:t>,</w:t>
      </w:r>
      <w:r>
        <w:rPr>
          <w:lang w:val="en-US"/>
        </w:rPr>
        <w:t xml:space="preserve"> and final document checks.</w:t>
      </w:r>
    </w:p>
    <w:p w14:paraId="61936E1C" w14:textId="77777777" w:rsidR="00EC5C2A" w:rsidRPr="00CC5848" w:rsidRDefault="00EC5C2A" w:rsidP="00EC5C2A">
      <w:pPr>
        <w:rPr>
          <w:lang w:val="en-US"/>
        </w:rPr>
      </w:pPr>
    </w:p>
    <w:p w14:paraId="12BE33A8" w14:textId="77777777" w:rsidR="00EC5C2A" w:rsidRPr="00CC5848" w:rsidRDefault="00EC5C2A" w:rsidP="00EC5C2A">
      <w:pPr>
        <w:rPr>
          <w:b/>
          <w:sz w:val="24"/>
          <w:szCs w:val="24"/>
          <w:lang w:val="en-US"/>
        </w:rPr>
      </w:pPr>
      <w:r w:rsidRPr="00CC5848">
        <w:rPr>
          <w:b/>
          <w:sz w:val="24"/>
          <w:szCs w:val="24"/>
          <w:lang w:val="en-US"/>
        </w:rPr>
        <w:t>Disclaimer</w:t>
      </w:r>
    </w:p>
    <w:p w14:paraId="5772A578" w14:textId="4AF7B21F" w:rsidR="00EC5C2A" w:rsidRDefault="00EC5C2A" w:rsidP="00EC5C2A">
      <w:pPr>
        <w:rPr>
          <w:iCs/>
        </w:rPr>
      </w:pPr>
      <w:r w:rsidRPr="00CC5848">
        <w:t xml:space="preserve">The views and interpretations in this report are those of the Research and Evaluation team and are not the official position of the Ministry of Social Development. </w:t>
      </w:r>
      <w:bookmarkStart w:id="0" w:name="_Toc386619898"/>
      <w:bookmarkStart w:id="1" w:name="_Toc402433422"/>
      <w:r>
        <w:rPr>
          <w:iCs/>
        </w:rPr>
        <w:t>Care has been taken to ensure that this data is as accurate as possible and that the findings are correct. However, due to the way the data has been collated, stored, and matched to MSD records, small inaccuracies may exist in the data, and subsequent findings. Therefore, findings may be subject to change.</w:t>
      </w:r>
    </w:p>
    <w:p w14:paraId="03E06682" w14:textId="12155D09" w:rsidR="00EC5C2A" w:rsidRDefault="002E18DD" w:rsidP="00EC5C2A">
      <w:pPr>
        <w:rPr>
          <w:iCs/>
        </w:rPr>
      </w:pPr>
      <w:r>
        <w:rPr>
          <w:iCs/>
        </w:rPr>
        <w:t xml:space="preserve">Data in this report has been aggregated and randomly rounded to protect the privacy of participants. Further information about how we keep data private can be found at: </w:t>
      </w:r>
      <w:hyperlink r:id="rId10" w:history="1">
        <w:r>
          <w:rPr>
            <w:rStyle w:val="Hyperlink"/>
          </w:rPr>
          <w:t>How we keep data private - Ministry of Social Development (msd.govt.nz)</w:t>
        </w:r>
      </w:hyperlink>
    </w:p>
    <w:p w14:paraId="58991F76" w14:textId="77777777" w:rsidR="002E18DD" w:rsidRDefault="002E18DD" w:rsidP="00EC5C2A">
      <w:pPr>
        <w:rPr>
          <w:iCs/>
        </w:rPr>
      </w:pPr>
    </w:p>
    <w:p w14:paraId="4830CB9D" w14:textId="77777777" w:rsidR="00EC5C2A" w:rsidRPr="00CC5848" w:rsidRDefault="00EC5C2A" w:rsidP="00EC5C2A">
      <w:pPr>
        <w:rPr>
          <w:b/>
          <w:sz w:val="24"/>
          <w:szCs w:val="24"/>
          <w:lang w:val="en-US"/>
        </w:rPr>
      </w:pPr>
      <w:r w:rsidRPr="00CC5848">
        <w:rPr>
          <w:b/>
          <w:sz w:val="24"/>
          <w:szCs w:val="24"/>
          <w:lang w:val="en-US"/>
        </w:rPr>
        <w:t>Published</w:t>
      </w:r>
    </w:p>
    <w:p w14:paraId="1300178F" w14:textId="57EB8558" w:rsidR="00EC5C2A" w:rsidRPr="00CC5848" w:rsidRDefault="00EC5C2A" w:rsidP="00EC5C2A">
      <w:pPr>
        <w:rPr>
          <w:lang w:val="en-US"/>
        </w:rPr>
      </w:pPr>
      <w:r w:rsidRPr="00CC5848">
        <w:rPr>
          <w:lang w:val="en-US"/>
        </w:rPr>
        <w:t>Ministry of Social Development</w:t>
      </w:r>
      <w:r w:rsidRPr="00CC5848">
        <w:rPr>
          <w:lang w:val="en-US"/>
        </w:rPr>
        <w:br/>
        <w:t>PO Box 1556</w:t>
      </w:r>
      <w:r w:rsidRPr="00CC5848">
        <w:rPr>
          <w:lang w:val="en-US"/>
        </w:rPr>
        <w:br/>
        <w:t>Wellington</w:t>
      </w:r>
      <w:r w:rsidRPr="00CC5848">
        <w:rPr>
          <w:lang w:val="en-US"/>
        </w:rPr>
        <w:br/>
      </w:r>
      <w:hyperlink r:id="rId11" w:history="1">
        <w:r w:rsidR="00433A83" w:rsidRPr="006C7FDC">
          <w:rPr>
            <w:rStyle w:val="Hyperlink"/>
            <w:lang w:val="en-US"/>
          </w:rPr>
          <w:t>www.msd.govt.nz/insights</w:t>
        </w:r>
      </w:hyperlink>
      <w:r w:rsidR="00433A83">
        <w:rPr>
          <w:lang w:val="en-US"/>
        </w:rPr>
        <w:t xml:space="preserve"> </w:t>
      </w:r>
    </w:p>
    <w:p w14:paraId="05949468" w14:textId="602AED13" w:rsidR="00EC5C2A" w:rsidRDefault="00325437" w:rsidP="00EC5C2A">
      <w:pPr>
        <w:rPr>
          <w:lang w:val="en-US"/>
        </w:rPr>
      </w:pPr>
      <w:r>
        <w:rPr>
          <w:lang w:val="en-US"/>
        </w:rPr>
        <w:t>June 2023</w:t>
      </w:r>
    </w:p>
    <w:p w14:paraId="76BC053E" w14:textId="77777777" w:rsidR="00EC5C2A" w:rsidRPr="00CC5848" w:rsidRDefault="00EC5C2A" w:rsidP="00EC5C2A">
      <w:pPr>
        <w:rPr>
          <w:lang w:val="en-US"/>
        </w:rPr>
      </w:pPr>
    </w:p>
    <w:p w14:paraId="300E09E3" w14:textId="77777777" w:rsidR="00EC5C2A" w:rsidRPr="00CC5848" w:rsidRDefault="00EC5C2A" w:rsidP="00EC5C2A">
      <w:pPr>
        <w:rPr>
          <w:b/>
          <w:sz w:val="24"/>
          <w:szCs w:val="24"/>
          <w:lang w:val="en-US"/>
        </w:rPr>
      </w:pPr>
      <w:r w:rsidRPr="00CC5848">
        <w:rPr>
          <w:b/>
          <w:sz w:val="24"/>
          <w:szCs w:val="24"/>
          <w:lang w:val="en-US"/>
        </w:rPr>
        <w:t xml:space="preserve">ISBN </w:t>
      </w:r>
    </w:p>
    <w:p w14:paraId="259E1478" w14:textId="70880034" w:rsidR="00EC5C2A" w:rsidRPr="003439E4" w:rsidRDefault="00AF3F32" w:rsidP="00EC5C2A">
      <w:pPr>
        <w:rPr>
          <w:color w:val="000000"/>
          <w:lang w:eastAsia="en-NZ"/>
        </w:rPr>
      </w:pPr>
      <w:r>
        <w:rPr>
          <w:color w:val="000000"/>
          <w:lang w:eastAsia="en-NZ"/>
        </w:rPr>
        <w:t>978-1-99-110522-6</w:t>
      </w:r>
      <w:bookmarkEnd w:id="0"/>
      <w:bookmarkEnd w:id="1"/>
    </w:p>
    <w:p w14:paraId="0286B79F" w14:textId="77777777" w:rsidR="00EC5C2A" w:rsidRDefault="00EC5C2A" w:rsidP="001D34D5">
      <w:pPr>
        <w:pStyle w:val="TOCHeading"/>
        <w:rPr>
          <w:sz w:val="32"/>
          <w:szCs w:val="24"/>
        </w:rPr>
      </w:pPr>
    </w:p>
    <w:p w14:paraId="5E3A04D7" w14:textId="77777777" w:rsidR="00EC5C2A" w:rsidRDefault="00EC5C2A">
      <w:pPr>
        <w:spacing w:after="0" w:line="240" w:lineRule="auto"/>
        <w:rPr>
          <w:rFonts w:ascii="Georgia" w:eastAsiaTheme="majorEastAsia" w:hAnsi="Georgia" w:cstheme="majorBidi"/>
          <w:b/>
          <w:bCs/>
          <w:sz w:val="32"/>
          <w:szCs w:val="24"/>
          <w:lang w:val="en-US" w:eastAsia="ja-JP"/>
        </w:rPr>
      </w:pPr>
      <w:r>
        <w:rPr>
          <w:sz w:val="32"/>
          <w:szCs w:val="24"/>
        </w:rPr>
        <w:br w:type="page"/>
      </w:r>
    </w:p>
    <w:sdt>
      <w:sdtPr>
        <w:rPr>
          <w:rFonts w:ascii="Verdana" w:eastAsia="Calibri" w:hAnsi="Verdana" w:cs="Arial"/>
          <w:b w:val="0"/>
          <w:bCs w:val="0"/>
          <w:color w:val="auto"/>
          <w:sz w:val="20"/>
          <w:szCs w:val="22"/>
          <w:lang w:val="en-NZ" w:eastAsia="en-US"/>
        </w:rPr>
        <w:id w:val="1616479290"/>
        <w:docPartObj>
          <w:docPartGallery w:val="Table of Contents"/>
          <w:docPartUnique/>
        </w:docPartObj>
      </w:sdtPr>
      <w:sdtEndPr>
        <w:rPr>
          <w:noProof/>
        </w:rPr>
      </w:sdtEndPr>
      <w:sdtContent>
        <w:p w14:paraId="4DA747DF" w14:textId="2010662F" w:rsidR="00AC16A6" w:rsidRDefault="00AC16A6">
          <w:pPr>
            <w:pStyle w:val="TOCHeading"/>
          </w:pPr>
          <w:r>
            <w:t>Contents</w:t>
          </w:r>
        </w:p>
        <w:p w14:paraId="1BEF80FE" w14:textId="7BC0EC28" w:rsidR="002A7EFA" w:rsidRDefault="00AC16A6">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"1-1" \h \z \u </w:instrText>
          </w:r>
          <w:r>
            <w:fldChar w:fldCharType="separate"/>
          </w:r>
          <w:hyperlink w:anchor="_Toc116997611" w:history="1">
            <w:r w:rsidR="002A7EFA" w:rsidRPr="00C563B8">
              <w:rPr>
                <w:rStyle w:val="Hyperlink"/>
                <w:noProof/>
              </w:rPr>
              <w:t>Background to Realising Employment through Active Co-ordinated Health</w:t>
            </w:r>
            <w:r w:rsidR="00325437">
              <w:rPr>
                <w:rStyle w:val="Hyperlink"/>
                <w:noProof/>
              </w:rPr>
              <w:t>care</w:t>
            </w:r>
            <w:r w:rsidR="002A7EFA" w:rsidRPr="00C563B8">
              <w:rPr>
                <w:rStyle w:val="Hyperlink"/>
                <w:noProof/>
              </w:rPr>
              <w:t xml:space="preserve"> (REACH)</w:t>
            </w:r>
            <w:r w:rsidR="002A7EFA">
              <w:rPr>
                <w:noProof/>
                <w:webHidden/>
              </w:rPr>
              <w:tab/>
            </w:r>
            <w:r w:rsidR="002A7EFA">
              <w:rPr>
                <w:noProof/>
                <w:webHidden/>
              </w:rPr>
              <w:fldChar w:fldCharType="begin"/>
            </w:r>
            <w:r w:rsidR="002A7EFA">
              <w:rPr>
                <w:noProof/>
                <w:webHidden/>
              </w:rPr>
              <w:instrText xml:space="preserve"> PAGEREF _Toc116997611 \h </w:instrText>
            </w:r>
            <w:r w:rsidR="002A7EFA">
              <w:rPr>
                <w:noProof/>
                <w:webHidden/>
              </w:rPr>
            </w:r>
            <w:r w:rsidR="002A7EFA">
              <w:rPr>
                <w:noProof/>
                <w:webHidden/>
              </w:rPr>
              <w:fldChar w:fldCharType="separate"/>
            </w:r>
            <w:r w:rsidR="002A7EFA">
              <w:rPr>
                <w:noProof/>
                <w:webHidden/>
              </w:rPr>
              <w:t>4</w:t>
            </w:r>
            <w:r w:rsidR="002A7EFA">
              <w:rPr>
                <w:noProof/>
                <w:webHidden/>
              </w:rPr>
              <w:fldChar w:fldCharType="end"/>
            </w:r>
          </w:hyperlink>
        </w:p>
        <w:p w14:paraId="4E34635E" w14:textId="781BB812"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2" w:history="1">
            <w:r w:rsidR="002A7EFA" w:rsidRPr="00C563B8">
              <w:rPr>
                <w:rStyle w:val="Hyperlink"/>
                <w:noProof/>
              </w:rPr>
              <w:t>Key findings from this report</w:t>
            </w:r>
            <w:r w:rsidR="002A7EFA">
              <w:rPr>
                <w:noProof/>
                <w:webHidden/>
              </w:rPr>
              <w:tab/>
            </w:r>
            <w:r w:rsidR="002A7EFA">
              <w:rPr>
                <w:noProof/>
                <w:webHidden/>
              </w:rPr>
              <w:fldChar w:fldCharType="begin"/>
            </w:r>
            <w:r w:rsidR="002A7EFA">
              <w:rPr>
                <w:noProof/>
                <w:webHidden/>
              </w:rPr>
              <w:instrText xml:space="preserve"> PAGEREF _Toc116997612 \h </w:instrText>
            </w:r>
            <w:r w:rsidR="002A7EFA">
              <w:rPr>
                <w:noProof/>
                <w:webHidden/>
              </w:rPr>
            </w:r>
            <w:r w:rsidR="002A7EFA">
              <w:rPr>
                <w:noProof/>
                <w:webHidden/>
              </w:rPr>
              <w:fldChar w:fldCharType="separate"/>
            </w:r>
            <w:r w:rsidR="002A7EFA">
              <w:rPr>
                <w:noProof/>
                <w:webHidden/>
              </w:rPr>
              <w:t>5</w:t>
            </w:r>
            <w:r w:rsidR="002A7EFA">
              <w:rPr>
                <w:noProof/>
                <w:webHidden/>
              </w:rPr>
              <w:fldChar w:fldCharType="end"/>
            </w:r>
          </w:hyperlink>
        </w:p>
        <w:p w14:paraId="4AD4F7D9" w14:textId="59AC8744"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3" w:history="1">
            <w:r w:rsidR="002A7EFA" w:rsidRPr="00C563B8">
              <w:rPr>
                <w:rStyle w:val="Hyperlink"/>
                <w:noProof/>
              </w:rPr>
              <w:t>Are the intended MSD client groups being referred to, enrolled in, and retained in REACH?</w:t>
            </w:r>
            <w:r w:rsidR="002A7EFA">
              <w:rPr>
                <w:noProof/>
                <w:webHidden/>
              </w:rPr>
              <w:tab/>
            </w:r>
            <w:r w:rsidR="002A7EFA">
              <w:rPr>
                <w:noProof/>
                <w:webHidden/>
              </w:rPr>
              <w:fldChar w:fldCharType="begin"/>
            </w:r>
            <w:r w:rsidR="002A7EFA">
              <w:rPr>
                <w:noProof/>
                <w:webHidden/>
              </w:rPr>
              <w:instrText xml:space="preserve"> PAGEREF _Toc116997613 \h </w:instrText>
            </w:r>
            <w:r w:rsidR="002A7EFA">
              <w:rPr>
                <w:noProof/>
                <w:webHidden/>
              </w:rPr>
            </w:r>
            <w:r w:rsidR="002A7EFA">
              <w:rPr>
                <w:noProof/>
                <w:webHidden/>
              </w:rPr>
              <w:fldChar w:fldCharType="separate"/>
            </w:r>
            <w:r w:rsidR="002A7EFA">
              <w:rPr>
                <w:noProof/>
                <w:webHidden/>
              </w:rPr>
              <w:t>7</w:t>
            </w:r>
            <w:r w:rsidR="002A7EFA">
              <w:rPr>
                <w:noProof/>
                <w:webHidden/>
              </w:rPr>
              <w:fldChar w:fldCharType="end"/>
            </w:r>
          </w:hyperlink>
        </w:p>
        <w:p w14:paraId="67350C7B" w14:textId="789DC2F6"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4" w:history="1">
            <w:r w:rsidR="002A7EFA" w:rsidRPr="00C563B8">
              <w:rPr>
                <w:rStyle w:val="Hyperlink"/>
                <w:noProof/>
              </w:rPr>
              <w:t>To what extent have participants been assigned a dedicated support team or person?</w:t>
            </w:r>
            <w:r w:rsidR="002A7EFA">
              <w:rPr>
                <w:noProof/>
                <w:webHidden/>
              </w:rPr>
              <w:tab/>
            </w:r>
            <w:r w:rsidR="002A7EFA">
              <w:rPr>
                <w:noProof/>
                <w:webHidden/>
              </w:rPr>
              <w:fldChar w:fldCharType="begin"/>
            </w:r>
            <w:r w:rsidR="002A7EFA">
              <w:rPr>
                <w:noProof/>
                <w:webHidden/>
              </w:rPr>
              <w:instrText xml:space="preserve"> PAGEREF _Toc116997614 \h </w:instrText>
            </w:r>
            <w:r w:rsidR="002A7EFA">
              <w:rPr>
                <w:noProof/>
                <w:webHidden/>
              </w:rPr>
            </w:r>
            <w:r w:rsidR="002A7EFA">
              <w:rPr>
                <w:noProof/>
                <w:webHidden/>
              </w:rPr>
              <w:fldChar w:fldCharType="separate"/>
            </w:r>
            <w:r w:rsidR="002A7EFA">
              <w:rPr>
                <w:noProof/>
                <w:webHidden/>
              </w:rPr>
              <w:t>19</w:t>
            </w:r>
            <w:r w:rsidR="002A7EFA">
              <w:rPr>
                <w:noProof/>
                <w:webHidden/>
              </w:rPr>
              <w:fldChar w:fldCharType="end"/>
            </w:r>
          </w:hyperlink>
        </w:p>
        <w:p w14:paraId="792CC3EA" w14:textId="3B955BBC"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5" w:history="1">
            <w:r w:rsidR="002A7EFA" w:rsidRPr="00C563B8">
              <w:rPr>
                <w:rStyle w:val="Hyperlink"/>
                <w:noProof/>
              </w:rPr>
              <w:t>Have participants been enabled (by the dedicated support team/person) to develop wellbeing and employment goals and plans?</w:t>
            </w:r>
            <w:r w:rsidR="002A7EFA">
              <w:rPr>
                <w:noProof/>
                <w:webHidden/>
              </w:rPr>
              <w:tab/>
            </w:r>
            <w:r w:rsidR="002A7EFA">
              <w:rPr>
                <w:noProof/>
                <w:webHidden/>
              </w:rPr>
              <w:fldChar w:fldCharType="begin"/>
            </w:r>
            <w:r w:rsidR="002A7EFA">
              <w:rPr>
                <w:noProof/>
                <w:webHidden/>
              </w:rPr>
              <w:instrText xml:space="preserve"> PAGEREF _Toc116997615 \h </w:instrText>
            </w:r>
            <w:r w:rsidR="002A7EFA">
              <w:rPr>
                <w:noProof/>
                <w:webHidden/>
              </w:rPr>
            </w:r>
            <w:r w:rsidR="002A7EFA">
              <w:rPr>
                <w:noProof/>
                <w:webHidden/>
              </w:rPr>
              <w:fldChar w:fldCharType="separate"/>
            </w:r>
            <w:r w:rsidR="002A7EFA">
              <w:rPr>
                <w:noProof/>
                <w:webHidden/>
              </w:rPr>
              <w:t>20</w:t>
            </w:r>
            <w:r w:rsidR="002A7EFA">
              <w:rPr>
                <w:noProof/>
                <w:webHidden/>
              </w:rPr>
              <w:fldChar w:fldCharType="end"/>
            </w:r>
          </w:hyperlink>
        </w:p>
        <w:p w14:paraId="4564E42A" w14:textId="44EB072B"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6" w:history="1">
            <w:r w:rsidR="002A7EFA" w:rsidRPr="00C563B8">
              <w:rPr>
                <w:rStyle w:val="Hyperlink"/>
                <w:noProof/>
              </w:rPr>
              <w:t>Are the agreed plans being implemented?</w:t>
            </w:r>
            <w:r w:rsidR="002A7EFA">
              <w:rPr>
                <w:noProof/>
                <w:webHidden/>
              </w:rPr>
              <w:tab/>
            </w:r>
            <w:r w:rsidR="002A7EFA">
              <w:rPr>
                <w:noProof/>
                <w:webHidden/>
              </w:rPr>
              <w:fldChar w:fldCharType="begin"/>
            </w:r>
            <w:r w:rsidR="002A7EFA">
              <w:rPr>
                <w:noProof/>
                <w:webHidden/>
              </w:rPr>
              <w:instrText xml:space="preserve"> PAGEREF _Toc116997616 \h </w:instrText>
            </w:r>
            <w:r w:rsidR="002A7EFA">
              <w:rPr>
                <w:noProof/>
                <w:webHidden/>
              </w:rPr>
            </w:r>
            <w:r w:rsidR="002A7EFA">
              <w:rPr>
                <w:noProof/>
                <w:webHidden/>
              </w:rPr>
              <w:fldChar w:fldCharType="separate"/>
            </w:r>
            <w:r w:rsidR="002A7EFA">
              <w:rPr>
                <w:noProof/>
                <w:webHidden/>
              </w:rPr>
              <w:t>21</w:t>
            </w:r>
            <w:r w:rsidR="002A7EFA">
              <w:rPr>
                <w:noProof/>
                <w:webHidden/>
              </w:rPr>
              <w:fldChar w:fldCharType="end"/>
            </w:r>
          </w:hyperlink>
        </w:p>
        <w:p w14:paraId="4A91F859" w14:textId="65EC7DD0" w:rsidR="002A7EFA" w:rsidRDefault="006E734A">
          <w:pPr>
            <w:pStyle w:val="TOC1"/>
            <w:tabs>
              <w:tab w:val="right" w:leader="dot" w:pos="9016"/>
            </w:tabs>
            <w:rPr>
              <w:rFonts w:asciiTheme="minorHAnsi" w:eastAsiaTheme="minorEastAsia" w:hAnsiTheme="minorHAnsi" w:cstheme="minorBidi"/>
              <w:noProof/>
              <w:sz w:val="22"/>
              <w:lang w:eastAsia="en-NZ"/>
            </w:rPr>
          </w:pPr>
          <w:hyperlink w:anchor="_Toc116997617" w:history="1">
            <w:r w:rsidR="002A7EFA" w:rsidRPr="00C563B8">
              <w:rPr>
                <w:rStyle w:val="Hyperlink"/>
                <w:noProof/>
              </w:rPr>
              <w:t>Are participants experiencing improvements in their health and wellbeing while in REACH?</w:t>
            </w:r>
            <w:r w:rsidR="002A7EFA">
              <w:rPr>
                <w:noProof/>
                <w:webHidden/>
              </w:rPr>
              <w:tab/>
            </w:r>
            <w:r w:rsidR="002A7EFA">
              <w:rPr>
                <w:noProof/>
                <w:webHidden/>
              </w:rPr>
              <w:fldChar w:fldCharType="begin"/>
            </w:r>
            <w:r w:rsidR="002A7EFA">
              <w:rPr>
                <w:noProof/>
                <w:webHidden/>
              </w:rPr>
              <w:instrText xml:space="preserve"> PAGEREF _Toc116997617 \h </w:instrText>
            </w:r>
            <w:r w:rsidR="002A7EFA">
              <w:rPr>
                <w:noProof/>
                <w:webHidden/>
              </w:rPr>
            </w:r>
            <w:r w:rsidR="002A7EFA">
              <w:rPr>
                <w:noProof/>
                <w:webHidden/>
              </w:rPr>
              <w:fldChar w:fldCharType="separate"/>
            </w:r>
            <w:r w:rsidR="002A7EFA">
              <w:rPr>
                <w:noProof/>
                <w:webHidden/>
              </w:rPr>
              <w:t>22</w:t>
            </w:r>
            <w:r w:rsidR="002A7EFA">
              <w:rPr>
                <w:noProof/>
                <w:webHidden/>
              </w:rPr>
              <w:fldChar w:fldCharType="end"/>
            </w:r>
          </w:hyperlink>
        </w:p>
        <w:p w14:paraId="257D1B18" w14:textId="5CF1470C" w:rsidR="00AC16A6" w:rsidRDefault="00AC16A6">
          <w:r>
            <w:fldChar w:fldCharType="end"/>
          </w:r>
        </w:p>
      </w:sdtContent>
    </w:sdt>
    <w:p w14:paraId="2BC4EC79" w14:textId="26154DE7" w:rsidR="003E0279" w:rsidRDefault="003E0279" w:rsidP="00F113EF"/>
    <w:p w14:paraId="67EB5EFB" w14:textId="574D4728" w:rsidR="008B24CC" w:rsidRDefault="008B24CC" w:rsidP="00F113EF"/>
    <w:p w14:paraId="4AAFAFA8" w14:textId="50F2AFF9" w:rsidR="0030283C" w:rsidRDefault="0030283C" w:rsidP="00F113EF"/>
    <w:p w14:paraId="0955CB89" w14:textId="3B6E05B6" w:rsidR="0030283C" w:rsidRDefault="0030283C" w:rsidP="00F113EF"/>
    <w:p w14:paraId="06DDE0C7" w14:textId="0904D49D" w:rsidR="0030283C" w:rsidRDefault="0030283C" w:rsidP="00F113EF"/>
    <w:p w14:paraId="195D45DB" w14:textId="2A4DAC97" w:rsidR="0030283C" w:rsidRDefault="0030283C" w:rsidP="00F113EF"/>
    <w:p w14:paraId="00E2E205" w14:textId="1B058008" w:rsidR="0030283C" w:rsidRDefault="0030283C" w:rsidP="00F113EF"/>
    <w:p w14:paraId="3D0D7ECF" w14:textId="49C6B09D" w:rsidR="0030283C" w:rsidRDefault="0030283C" w:rsidP="00F113EF"/>
    <w:p w14:paraId="66725E49" w14:textId="4C97FBE6" w:rsidR="0030283C" w:rsidRDefault="0030283C" w:rsidP="00F113EF"/>
    <w:p w14:paraId="7DA7772D" w14:textId="1C93E446" w:rsidR="0030283C" w:rsidRDefault="0030283C" w:rsidP="00F113EF"/>
    <w:p w14:paraId="70A90CB2" w14:textId="2058FC81" w:rsidR="0030283C" w:rsidRDefault="0030283C" w:rsidP="00F113EF"/>
    <w:p w14:paraId="10DBB3D0" w14:textId="578DE8F6" w:rsidR="0030283C" w:rsidRDefault="0030283C" w:rsidP="00F113EF"/>
    <w:p w14:paraId="7A2EFA42" w14:textId="7743AE75" w:rsidR="0030283C" w:rsidRDefault="0030283C" w:rsidP="00F113EF"/>
    <w:p w14:paraId="7A88C1B3" w14:textId="6B7BF253" w:rsidR="0030283C" w:rsidRDefault="0030283C" w:rsidP="00F113EF"/>
    <w:p w14:paraId="0D0C5590" w14:textId="2D3B2F15" w:rsidR="0030283C" w:rsidRDefault="0030283C" w:rsidP="00F113EF"/>
    <w:p w14:paraId="528A1431" w14:textId="1635744B" w:rsidR="0030283C" w:rsidRDefault="0030283C" w:rsidP="00F113EF"/>
    <w:p w14:paraId="1BBB2895" w14:textId="76108C9B" w:rsidR="0030283C" w:rsidRDefault="0030283C" w:rsidP="00F113EF"/>
    <w:p w14:paraId="73EF0427" w14:textId="337F3119" w:rsidR="0030283C" w:rsidRDefault="0030283C" w:rsidP="00F113EF"/>
    <w:p w14:paraId="318B5956" w14:textId="49EEF622" w:rsidR="0030283C" w:rsidRDefault="0030283C" w:rsidP="00F113EF"/>
    <w:p w14:paraId="6F655189" w14:textId="0555BACC" w:rsidR="0030283C" w:rsidRDefault="0030283C" w:rsidP="00F113EF"/>
    <w:p w14:paraId="289C7983" w14:textId="11DC82B4" w:rsidR="00EC5C2A" w:rsidRDefault="00EC5C2A" w:rsidP="00EC5C2A">
      <w:pPr>
        <w:pStyle w:val="Heading1"/>
      </w:pPr>
      <w:bookmarkStart w:id="2" w:name="_Toc116997611"/>
      <w:r>
        <w:lastRenderedPageBreak/>
        <w:t xml:space="preserve">Background to </w:t>
      </w:r>
      <w:r w:rsidR="00E02D42" w:rsidRPr="00E02D42">
        <w:t>Realising Employment through Active Co-ordinated Health</w:t>
      </w:r>
      <w:r w:rsidR="00325437">
        <w:t>care</w:t>
      </w:r>
      <w:r w:rsidR="00E02D42" w:rsidRPr="00E02D42">
        <w:t xml:space="preserve"> </w:t>
      </w:r>
      <w:r w:rsidR="00E02D42">
        <w:t>(</w:t>
      </w:r>
      <w:r>
        <w:t>REACH</w:t>
      </w:r>
      <w:r w:rsidR="00E02D42">
        <w:t>)</w:t>
      </w:r>
      <w:bookmarkEnd w:id="2"/>
    </w:p>
    <w:p w14:paraId="23A7EDDD" w14:textId="2A1DC39C" w:rsidR="004141AF" w:rsidRDefault="004141AF" w:rsidP="004141AF">
      <w:pPr>
        <w:rPr>
          <w:lang w:val="en-US" w:eastAsia="ja-JP"/>
        </w:rPr>
      </w:pPr>
      <w:r>
        <w:t>Realising Employment through Active Co-ordinated Health</w:t>
      </w:r>
      <w:r w:rsidR="00325437">
        <w:t>care</w:t>
      </w:r>
      <w:r>
        <w:t xml:space="preserve"> (</w:t>
      </w:r>
      <w:r w:rsidRPr="00165B6E">
        <w:rPr>
          <w:lang w:val="en-US" w:eastAsia="ja-JP"/>
        </w:rPr>
        <w:t>REACH</w:t>
      </w:r>
      <w:r>
        <w:rPr>
          <w:lang w:val="en-US" w:eastAsia="ja-JP"/>
        </w:rPr>
        <w:t xml:space="preserve">) </w:t>
      </w:r>
      <w:r w:rsidR="00FF6300">
        <w:rPr>
          <w:lang w:val="en-US" w:eastAsia="ja-JP"/>
        </w:rPr>
        <w:t>was</w:t>
      </w:r>
      <w:r>
        <w:rPr>
          <w:lang w:val="en-US" w:eastAsia="ja-JP"/>
        </w:rPr>
        <w:t xml:space="preserve"> one of several projects in the Oranga Mahi cross-agency initiative that aims </w:t>
      </w:r>
      <w:r w:rsidRPr="00E11057">
        <w:rPr>
          <w:lang w:val="en-US" w:eastAsia="ja-JP"/>
        </w:rPr>
        <w:t>to deliver change to the wellbeing of individuals, their families, and communities</w:t>
      </w:r>
      <w:r w:rsidRPr="00AE7AC1">
        <w:rPr>
          <w:lang w:val="en-US" w:eastAsia="ja-JP"/>
        </w:rPr>
        <w:t>.</w:t>
      </w:r>
      <w:r>
        <w:rPr>
          <w:lang w:val="en-US" w:eastAsia="ja-JP"/>
        </w:rPr>
        <w:t xml:space="preserve"> </w:t>
      </w:r>
    </w:p>
    <w:p w14:paraId="7C5D02CF" w14:textId="72D5AEC3" w:rsidR="004141AF" w:rsidRDefault="004141AF" w:rsidP="004141AF">
      <w:pPr>
        <w:rPr>
          <w:lang w:val="en-US" w:eastAsia="ja-JP"/>
        </w:rPr>
      </w:pPr>
      <w:r>
        <w:rPr>
          <w:lang w:val="en-US" w:eastAsia="ja-JP"/>
        </w:rPr>
        <w:t xml:space="preserve">REACH was the first Oranga Mahi project to be implemented, in 2016. </w:t>
      </w:r>
      <w:r w:rsidRPr="00165B6E">
        <w:rPr>
          <w:lang w:val="en-US" w:eastAsia="ja-JP"/>
        </w:rPr>
        <w:t>The joint MSD and Waikato DHB initiative assist</w:t>
      </w:r>
      <w:r>
        <w:rPr>
          <w:lang w:val="en-US" w:eastAsia="ja-JP"/>
        </w:rPr>
        <w:t>ed</w:t>
      </w:r>
      <w:r w:rsidRPr="00165B6E">
        <w:rPr>
          <w:lang w:val="en-US" w:eastAsia="ja-JP"/>
        </w:rPr>
        <w:t xml:space="preserve"> </w:t>
      </w:r>
      <w:r>
        <w:rPr>
          <w:lang w:val="en-US" w:eastAsia="ja-JP"/>
        </w:rPr>
        <w:t>people</w:t>
      </w:r>
      <w:r w:rsidRPr="00165B6E">
        <w:rPr>
          <w:lang w:val="en-US" w:eastAsia="ja-JP"/>
        </w:rPr>
        <w:t xml:space="preserve"> on a </w:t>
      </w:r>
      <w:r>
        <w:rPr>
          <w:lang w:val="en-US" w:eastAsia="ja-JP"/>
        </w:rPr>
        <w:t>m</w:t>
      </w:r>
      <w:r w:rsidRPr="00165B6E">
        <w:rPr>
          <w:lang w:val="en-US" w:eastAsia="ja-JP"/>
        </w:rPr>
        <w:t xml:space="preserve">ain </w:t>
      </w:r>
      <w:r>
        <w:rPr>
          <w:lang w:val="en-US" w:eastAsia="ja-JP"/>
        </w:rPr>
        <w:t>b</w:t>
      </w:r>
      <w:r w:rsidRPr="00165B6E">
        <w:rPr>
          <w:lang w:val="en-US" w:eastAsia="ja-JP"/>
        </w:rPr>
        <w:t xml:space="preserve">enefit with a </w:t>
      </w:r>
      <w:r>
        <w:rPr>
          <w:lang w:val="en-US" w:eastAsia="ja-JP"/>
        </w:rPr>
        <w:t>m</w:t>
      </w:r>
      <w:r w:rsidRPr="00165B6E">
        <w:rPr>
          <w:lang w:val="en-US" w:eastAsia="ja-JP"/>
        </w:rPr>
        <w:t xml:space="preserve">edical </w:t>
      </w:r>
      <w:r>
        <w:rPr>
          <w:lang w:val="en-US" w:eastAsia="ja-JP"/>
        </w:rPr>
        <w:t>d</w:t>
      </w:r>
      <w:r w:rsidRPr="00165B6E">
        <w:rPr>
          <w:lang w:val="en-US" w:eastAsia="ja-JP"/>
        </w:rPr>
        <w:t>eferral, to improve their wellbeing and return to sustainable work.</w:t>
      </w:r>
      <w:r>
        <w:rPr>
          <w:lang w:val="en-US" w:eastAsia="ja-JP"/>
        </w:rPr>
        <w:t xml:space="preserve"> </w:t>
      </w:r>
    </w:p>
    <w:p w14:paraId="32775C25" w14:textId="0AE3A1A6" w:rsidR="00FF6300" w:rsidRDefault="00FF6300" w:rsidP="00FF6300">
      <w:r>
        <w:t>Main benefit recipients in the Waikato area were eligible for the REACH service if they were receiving a medical work deferral and:</w:t>
      </w:r>
    </w:p>
    <w:p w14:paraId="2816D268" w14:textId="77777777" w:rsidR="00FF6300" w:rsidRDefault="00FF6300" w:rsidP="00FF6300">
      <w:pPr>
        <w:pStyle w:val="ListParagraph"/>
        <w:numPr>
          <w:ilvl w:val="0"/>
          <w:numId w:val="45"/>
        </w:numPr>
      </w:pPr>
      <w:proofErr w:type="spellStart"/>
      <w:r>
        <w:t>were</w:t>
      </w:r>
      <w:proofErr w:type="spellEnd"/>
      <w:r>
        <w:t xml:space="preserve"> not pregnant</w:t>
      </w:r>
    </w:p>
    <w:p w14:paraId="0E92A6E4" w14:textId="1046A796" w:rsidR="00FF6300" w:rsidRDefault="00FF6300" w:rsidP="00FF6300">
      <w:pPr>
        <w:pStyle w:val="ListParagraph"/>
        <w:numPr>
          <w:ilvl w:val="0"/>
          <w:numId w:val="45"/>
        </w:numPr>
      </w:pPr>
      <w:r>
        <w:t xml:space="preserve">did not have a bipolar disorder </w:t>
      </w:r>
    </w:p>
    <w:p w14:paraId="2B193AC4" w14:textId="77777777" w:rsidR="00FF6300" w:rsidRDefault="00FF6300" w:rsidP="00FF6300">
      <w:pPr>
        <w:pStyle w:val="ListParagraph"/>
        <w:numPr>
          <w:ilvl w:val="0"/>
          <w:numId w:val="45"/>
        </w:numPr>
      </w:pPr>
      <w:r>
        <w:t xml:space="preserve">did not have schizophrenia </w:t>
      </w:r>
    </w:p>
    <w:p w14:paraId="01F0450D" w14:textId="77777777" w:rsidR="00FF6300" w:rsidRDefault="00FF6300" w:rsidP="00FF6300">
      <w:pPr>
        <w:pStyle w:val="ListParagraph"/>
        <w:numPr>
          <w:ilvl w:val="0"/>
          <w:numId w:val="45"/>
        </w:numPr>
      </w:pPr>
      <w:proofErr w:type="spellStart"/>
      <w:r>
        <w:t>were</w:t>
      </w:r>
      <w:proofErr w:type="spellEnd"/>
      <w:r>
        <w:t xml:space="preserve"> not child sex offenders</w:t>
      </w:r>
    </w:p>
    <w:p w14:paraId="7995C103" w14:textId="77777777" w:rsidR="00FF6300" w:rsidRDefault="00FF6300" w:rsidP="00FF6300">
      <w:pPr>
        <w:pStyle w:val="ListParagraph"/>
        <w:numPr>
          <w:ilvl w:val="0"/>
          <w:numId w:val="45"/>
        </w:numPr>
      </w:pPr>
      <w:r>
        <w:t>did not have a special caution alert on their MSD client record for violence</w:t>
      </w:r>
    </w:p>
    <w:p w14:paraId="011A8044" w14:textId="77777777" w:rsidR="00FF6300" w:rsidRDefault="00FF6300" w:rsidP="00FF6300">
      <w:pPr>
        <w:pStyle w:val="ListParagraph"/>
        <w:numPr>
          <w:ilvl w:val="0"/>
          <w:numId w:val="45"/>
        </w:numPr>
      </w:pPr>
      <w:proofErr w:type="spellStart"/>
      <w:r>
        <w:t>were</w:t>
      </w:r>
      <w:proofErr w:type="spellEnd"/>
      <w:r>
        <w:t xml:space="preserve"> not trespassed from MSD sites</w:t>
      </w:r>
    </w:p>
    <w:p w14:paraId="70B75198" w14:textId="77777777" w:rsidR="00FF6300" w:rsidRDefault="00FF6300" w:rsidP="00FF6300">
      <w:pPr>
        <w:pStyle w:val="ListParagraph"/>
        <w:numPr>
          <w:ilvl w:val="0"/>
          <w:numId w:val="45"/>
        </w:numPr>
      </w:pPr>
      <w:proofErr w:type="spellStart"/>
      <w:r>
        <w:t>were</w:t>
      </w:r>
      <w:proofErr w:type="spellEnd"/>
      <w:r>
        <w:t xml:space="preserve"> not awaiting medical treatment that would mean they could not participate in the service at that time. </w:t>
      </w:r>
    </w:p>
    <w:p w14:paraId="164A94D8" w14:textId="329D454E" w:rsidR="00205501" w:rsidRDefault="00205501" w:rsidP="00EC5C2A">
      <w:pPr>
        <w:rPr>
          <w:lang w:val="en-US" w:eastAsia="ja-JP"/>
        </w:rPr>
      </w:pPr>
      <w:r>
        <w:rPr>
          <w:lang w:val="en-US" w:eastAsia="ja-JP"/>
        </w:rPr>
        <w:t>In November 2019, changes were made to the REACH service</w:t>
      </w:r>
      <w:r w:rsidR="004141AF">
        <w:rPr>
          <w:lang w:val="en-US" w:eastAsia="ja-JP"/>
        </w:rPr>
        <w:t>. These</w:t>
      </w:r>
      <w:r>
        <w:rPr>
          <w:lang w:val="en-US" w:eastAsia="ja-JP"/>
        </w:rPr>
        <w:t xml:space="preserve"> includ</w:t>
      </w:r>
      <w:r w:rsidR="004141AF">
        <w:rPr>
          <w:lang w:val="en-US" w:eastAsia="ja-JP"/>
        </w:rPr>
        <w:t>ed</w:t>
      </w:r>
      <w:r>
        <w:rPr>
          <w:lang w:val="en-US" w:eastAsia="ja-JP"/>
        </w:rPr>
        <w:t xml:space="preserve"> changes to the eligibility criteria, adjustments to the </w:t>
      </w:r>
      <w:proofErr w:type="spellStart"/>
      <w:r>
        <w:rPr>
          <w:lang w:val="en-US" w:eastAsia="ja-JP"/>
        </w:rPr>
        <w:t>programme</w:t>
      </w:r>
      <w:proofErr w:type="spellEnd"/>
      <w:r>
        <w:rPr>
          <w:lang w:val="en-US" w:eastAsia="ja-JP"/>
        </w:rPr>
        <w:t xml:space="preserve"> fund</w:t>
      </w:r>
      <w:r w:rsidR="00443840">
        <w:rPr>
          <w:lang w:val="en-US" w:eastAsia="ja-JP"/>
        </w:rPr>
        <w:t>, and extending the length of service from 12 to 20 weeks</w:t>
      </w:r>
      <w:r>
        <w:rPr>
          <w:lang w:val="en-US" w:eastAsia="ja-JP"/>
        </w:rPr>
        <w:t>. Other changes that were planned did not take place due to the impact of COVID-19.</w:t>
      </w:r>
    </w:p>
    <w:p w14:paraId="36430F92" w14:textId="77777777" w:rsidR="00EC5C2A" w:rsidRDefault="00EC5C2A" w:rsidP="00EC5C2A">
      <w:pPr>
        <w:rPr>
          <w:iCs/>
        </w:rPr>
      </w:pPr>
      <w:r>
        <w:rPr>
          <w:iCs/>
        </w:rPr>
        <w:t xml:space="preserve">The REACH service was ended at the end of June 2021. However, REACH continued to support participants until their service stint naturally ended after this date. This means that we are only able to include participant data until the end of June 2021, after the service officially ceased provision. </w:t>
      </w:r>
    </w:p>
    <w:p w14:paraId="45B92051" w14:textId="7FAD2DC8" w:rsidR="00EC5C2A" w:rsidRDefault="00EC5C2A" w:rsidP="00EC5C2A">
      <w:r>
        <w:t xml:space="preserve">This analysis uses REACH monitoring data from between November 2019 and June 2021, supplemented with MSD administrative data, to help answer the </w:t>
      </w:r>
      <w:r w:rsidR="004141AF">
        <w:t xml:space="preserve">following </w:t>
      </w:r>
      <w:r>
        <w:t>evaluation questions:</w:t>
      </w:r>
    </w:p>
    <w:p w14:paraId="6A1999D1" w14:textId="168BF5A4" w:rsidR="00EC5C2A" w:rsidRPr="003E0279" w:rsidRDefault="00EC5C2A" w:rsidP="00EC5C2A">
      <w:pPr>
        <w:pStyle w:val="ListParagraph"/>
        <w:numPr>
          <w:ilvl w:val="0"/>
          <w:numId w:val="33"/>
        </w:numPr>
        <w:rPr>
          <w:iCs/>
        </w:rPr>
      </w:pPr>
      <w:r>
        <w:rPr>
          <w:rFonts w:eastAsia="Times New Roman"/>
          <w:iCs/>
          <w:szCs w:val="20"/>
        </w:rPr>
        <w:t>a</w:t>
      </w:r>
      <w:r w:rsidRPr="003E0279">
        <w:rPr>
          <w:rFonts w:eastAsia="Times New Roman"/>
          <w:iCs/>
          <w:szCs w:val="20"/>
        </w:rPr>
        <w:t>re the intended MSD client groups being referred to, enrolled in</w:t>
      </w:r>
      <w:r w:rsidR="004843E9">
        <w:rPr>
          <w:rFonts w:eastAsia="Times New Roman"/>
          <w:iCs/>
          <w:szCs w:val="20"/>
        </w:rPr>
        <w:t>,</w:t>
      </w:r>
      <w:r w:rsidRPr="003E0279">
        <w:rPr>
          <w:rFonts w:eastAsia="Times New Roman"/>
          <w:iCs/>
          <w:szCs w:val="20"/>
        </w:rPr>
        <w:t xml:space="preserve"> and retained on the programme?</w:t>
      </w:r>
    </w:p>
    <w:p w14:paraId="732ED152" w14:textId="5BB9FB2D" w:rsidR="00EC5C2A" w:rsidRPr="003E0279" w:rsidRDefault="00EC5C2A" w:rsidP="00EC5C2A">
      <w:pPr>
        <w:pStyle w:val="ListParagraph"/>
        <w:numPr>
          <w:ilvl w:val="0"/>
          <w:numId w:val="33"/>
        </w:numPr>
        <w:rPr>
          <w:iCs/>
        </w:rPr>
      </w:pPr>
      <w:r>
        <w:rPr>
          <w:rFonts w:eastAsia="Times New Roman"/>
          <w:iCs/>
          <w:szCs w:val="20"/>
        </w:rPr>
        <w:t>t</w:t>
      </w:r>
      <w:r w:rsidRPr="003E0279">
        <w:rPr>
          <w:rFonts w:eastAsia="Times New Roman"/>
          <w:iCs/>
          <w:szCs w:val="20"/>
        </w:rPr>
        <w:t xml:space="preserve">o what extent have </w:t>
      </w:r>
      <w:r w:rsidR="004843E9">
        <w:rPr>
          <w:rFonts w:eastAsia="Times New Roman"/>
          <w:iCs/>
          <w:szCs w:val="20"/>
        </w:rPr>
        <w:t>participants</w:t>
      </w:r>
      <w:r w:rsidRPr="003E0279">
        <w:rPr>
          <w:rFonts w:eastAsia="Times New Roman"/>
          <w:iCs/>
          <w:szCs w:val="20"/>
        </w:rPr>
        <w:t xml:space="preserve"> been assigned a dedicated support team or person?</w:t>
      </w:r>
    </w:p>
    <w:p w14:paraId="6621344B" w14:textId="0D100C16" w:rsidR="00EC5C2A" w:rsidRPr="003E0279" w:rsidRDefault="00EC5C2A" w:rsidP="00EC5C2A">
      <w:pPr>
        <w:pStyle w:val="ListParagraph"/>
        <w:numPr>
          <w:ilvl w:val="0"/>
          <w:numId w:val="33"/>
        </w:numPr>
        <w:rPr>
          <w:iCs/>
        </w:rPr>
      </w:pPr>
      <w:r>
        <w:rPr>
          <w:rFonts w:eastAsia="Times New Roman"/>
          <w:iCs/>
          <w:szCs w:val="20"/>
        </w:rPr>
        <w:t>h</w:t>
      </w:r>
      <w:r w:rsidRPr="003E0279">
        <w:rPr>
          <w:rFonts w:eastAsia="Times New Roman"/>
          <w:iCs/>
          <w:szCs w:val="20"/>
        </w:rPr>
        <w:t xml:space="preserve">ave </w:t>
      </w:r>
      <w:r w:rsidR="004843E9">
        <w:rPr>
          <w:rFonts w:eastAsia="Times New Roman"/>
          <w:iCs/>
          <w:szCs w:val="20"/>
        </w:rPr>
        <w:t>participants</w:t>
      </w:r>
      <w:r w:rsidRPr="003E0279">
        <w:rPr>
          <w:rFonts w:eastAsia="Times New Roman"/>
          <w:iCs/>
          <w:szCs w:val="20"/>
        </w:rPr>
        <w:t xml:space="preserve"> been enabled (by the dedicated support team/person) to develop wellbeing and employment goals and plans?</w:t>
      </w:r>
    </w:p>
    <w:p w14:paraId="22E004AE" w14:textId="77777777" w:rsidR="00EC5C2A" w:rsidRPr="003E0279" w:rsidRDefault="00EC5C2A" w:rsidP="00EC5C2A">
      <w:pPr>
        <w:pStyle w:val="ListParagraph"/>
        <w:numPr>
          <w:ilvl w:val="0"/>
          <w:numId w:val="33"/>
        </w:numPr>
        <w:rPr>
          <w:iCs/>
        </w:rPr>
      </w:pPr>
      <w:r>
        <w:rPr>
          <w:rFonts w:eastAsia="Times New Roman"/>
          <w:iCs/>
          <w:szCs w:val="20"/>
        </w:rPr>
        <w:t>a</w:t>
      </w:r>
      <w:r w:rsidRPr="003E0279">
        <w:rPr>
          <w:rFonts w:eastAsia="Times New Roman"/>
          <w:iCs/>
          <w:szCs w:val="20"/>
        </w:rPr>
        <w:t>re the agreed plans being implemented?</w:t>
      </w:r>
    </w:p>
    <w:p w14:paraId="2A2D38F2" w14:textId="77777777" w:rsidR="007B432A" w:rsidRPr="007B432A" w:rsidRDefault="00EC5C2A" w:rsidP="007B432A">
      <w:pPr>
        <w:pStyle w:val="ListParagraph"/>
        <w:numPr>
          <w:ilvl w:val="0"/>
          <w:numId w:val="33"/>
        </w:numPr>
      </w:pPr>
      <w:r>
        <w:rPr>
          <w:rFonts w:eastAsia="Times New Roman"/>
          <w:iCs/>
          <w:szCs w:val="20"/>
        </w:rPr>
        <w:t>a</w:t>
      </w:r>
      <w:r w:rsidRPr="003E0279">
        <w:rPr>
          <w:rFonts w:eastAsia="Times New Roman"/>
          <w:iCs/>
          <w:szCs w:val="20"/>
        </w:rPr>
        <w:t xml:space="preserve">re </w:t>
      </w:r>
      <w:r w:rsidR="004843E9">
        <w:rPr>
          <w:rFonts w:eastAsia="Times New Roman"/>
          <w:iCs/>
          <w:szCs w:val="20"/>
        </w:rPr>
        <w:t>participants</w:t>
      </w:r>
      <w:r w:rsidRPr="003E0279">
        <w:rPr>
          <w:rFonts w:eastAsia="Times New Roman"/>
          <w:iCs/>
          <w:szCs w:val="20"/>
        </w:rPr>
        <w:t xml:space="preserve"> experiencing improvements in their health and wellbeing while participating in the programme?</w:t>
      </w:r>
    </w:p>
    <w:p w14:paraId="1EAF8020" w14:textId="18B4611A" w:rsidR="00EC5C2A" w:rsidRDefault="004141AF" w:rsidP="007B432A">
      <w:r>
        <w:t>Additionally, findings from the qualitative evaluation of REACH (published alongside this report</w:t>
      </w:r>
      <w:r w:rsidR="00C80952">
        <w:t xml:space="preserve"> </w:t>
      </w:r>
      <w:hyperlink r:id="rId12" w:history="1">
        <w:r w:rsidR="00C80952" w:rsidRPr="00C80952">
          <w:rPr>
            <w:rStyle w:val="Hyperlink"/>
          </w:rPr>
          <w:t>here</w:t>
        </w:r>
      </w:hyperlink>
      <w:r>
        <w:t xml:space="preserve">) may help to provide context to some of the findings covered </w:t>
      </w:r>
      <w:r w:rsidR="00DC4761">
        <w:t>here</w:t>
      </w:r>
      <w:r>
        <w:t>.</w:t>
      </w:r>
    </w:p>
    <w:p w14:paraId="35869D7E" w14:textId="0854BB1A" w:rsidR="00EC5C2A" w:rsidRDefault="00EC5C2A" w:rsidP="00F113EF"/>
    <w:p w14:paraId="467CF9F1" w14:textId="1E089068" w:rsidR="007D663A" w:rsidRPr="00187EDD" w:rsidRDefault="007D663A" w:rsidP="00EC5C2A">
      <w:pPr>
        <w:pStyle w:val="Heading1"/>
      </w:pPr>
      <w:bookmarkStart w:id="3" w:name="_Toc116997612"/>
      <w:r w:rsidRPr="00187EDD">
        <w:lastRenderedPageBreak/>
        <w:t>Key findings</w:t>
      </w:r>
      <w:r w:rsidR="00CF5CA7">
        <w:t xml:space="preserve"> from this report</w:t>
      </w:r>
      <w:bookmarkEnd w:id="3"/>
    </w:p>
    <w:p w14:paraId="3055C028" w14:textId="77777777" w:rsidR="00C83CF4" w:rsidRDefault="00C83CF4" w:rsidP="00C83CF4">
      <w:pPr>
        <w:pStyle w:val="Heading3"/>
      </w:pPr>
      <w:r>
        <w:t>Getting people enrolled into the REACH service appeared to be challenging.</w:t>
      </w:r>
    </w:p>
    <w:p w14:paraId="64B97CB8" w14:textId="77777777" w:rsidR="00C83CF4" w:rsidRDefault="00C83CF4" w:rsidP="00C83CF4">
      <w:r>
        <w:t>Provider data showed that just</w:t>
      </w:r>
      <w:r w:rsidRPr="0098026F">
        <w:t xml:space="preserve"> under 53 percent of people referred (192) did not end up participating in the REACH service. The most common recorded reason for people not participating was because they were unable to be contacted (34.4 percent, or 66 people). The remainder of those who did not participate either declined to do so or were declined by the REACH service</w:t>
      </w:r>
      <w:r>
        <w:t xml:space="preserve"> for various reasons</w:t>
      </w:r>
      <w:r w:rsidRPr="0098026F">
        <w:t>.</w:t>
      </w:r>
    </w:p>
    <w:p w14:paraId="3AF295E8" w14:textId="77777777" w:rsidR="00C83CF4" w:rsidRDefault="00C83CF4" w:rsidP="00945292">
      <w:pPr>
        <w:spacing w:after="0"/>
      </w:pPr>
    </w:p>
    <w:p w14:paraId="076DB0D0" w14:textId="77777777" w:rsidR="00C83CF4" w:rsidRDefault="00C83CF4" w:rsidP="00C83CF4">
      <w:pPr>
        <w:pStyle w:val="Heading3"/>
      </w:pPr>
      <w:r>
        <w:t>For those who successfully enrolled, almost all participants had their non-MSD dedicated support teams established.</w:t>
      </w:r>
    </w:p>
    <w:p w14:paraId="1624D2A3" w14:textId="52DC7479" w:rsidR="00C83CF4" w:rsidRDefault="00C83CF4" w:rsidP="00C83CF4">
      <w:r>
        <w:t>An important feature of the REACH service was the support team that should be placed around every participant. This included a Key Worker, a Living Well Coach, a General Practitioner, and an MSD Case Manager</w:t>
      </w:r>
      <w:r w:rsidR="00945292">
        <w:t xml:space="preserve"> or Programme Co-ordinator</w:t>
      </w:r>
      <w:r>
        <w:t xml:space="preserve">. </w:t>
      </w:r>
      <w:r w:rsidR="001D3F4A">
        <w:t>Provider</w:t>
      </w:r>
      <w:r>
        <w:t xml:space="preserve"> data showed that almost all participants had a Key Worker, Living Well Coach and a General Practitioner in place.</w:t>
      </w:r>
    </w:p>
    <w:p w14:paraId="1DB17E19" w14:textId="77777777" w:rsidR="00C83CF4" w:rsidRDefault="00C83CF4" w:rsidP="00945292">
      <w:pPr>
        <w:spacing w:after="0"/>
      </w:pPr>
    </w:p>
    <w:p w14:paraId="3D3F587A" w14:textId="77777777" w:rsidR="00C83CF4" w:rsidRDefault="00C83CF4" w:rsidP="00C83CF4">
      <w:pPr>
        <w:pStyle w:val="Heading3"/>
      </w:pPr>
      <w:r w:rsidRPr="007520E6">
        <w:t>There was limited use of external service referrals and programme fund payments made for participants.</w:t>
      </w:r>
    </w:p>
    <w:p w14:paraId="42322087" w14:textId="77777777" w:rsidR="00C83CF4" w:rsidRDefault="00C83CF4" w:rsidP="00C83CF4">
      <w:r w:rsidRPr="00CB75BF">
        <w:t xml:space="preserve">Referrals to external services and </w:t>
      </w:r>
      <w:r>
        <w:t xml:space="preserve">programme </w:t>
      </w:r>
      <w:r w:rsidRPr="00CB75BF">
        <w:t>fund payments were two measurable indicators of whether a participant’s Wellbeing Plan was being implemented</w:t>
      </w:r>
      <w:r>
        <w:t xml:space="preserve"> once in service</w:t>
      </w:r>
      <w:r w:rsidRPr="00CB75BF">
        <w:t>.</w:t>
      </w:r>
      <w:r w:rsidRPr="00CB75BF">
        <w:rPr>
          <w:rStyle w:val="FootnoteReference"/>
        </w:rPr>
        <w:footnoteReference w:id="1"/>
      </w:r>
      <w:r w:rsidRPr="00CB75BF">
        <w:t xml:space="preserve"> Both were tools that recipients could use to make progress towards agreed wellbeing and employment goals set out in their plans. </w:t>
      </w:r>
    </w:p>
    <w:p w14:paraId="1816BD94" w14:textId="77777777" w:rsidR="00C83CF4" w:rsidRDefault="00C83CF4" w:rsidP="00C83CF4">
      <w:r>
        <w:t>Provider data showed that just over 12 percent of participants had accessed external services, while just over 21 percent of participants had accessed goods or services through a programme fund payment.</w:t>
      </w:r>
    </w:p>
    <w:p w14:paraId="3B7384C6" w14:textId="77777777" w:rsidR="00C83CF4" w:rsidRDefault="00C83CF4" w:rsidP="00945292">
      <w:pPr>
        <w:spacing w:after="0"/>
      </w:pPr>
    </w:p>
    <w:p w14:paraId="59B967A3" w14:textId="77777777" w:rsidR="00C83CF4" w:rsidRDefault="00C83CF4" w:rsidP="00C83CF4">
      <w:pPr>
        <w:pStyle w:val="Heading3"/>
      </w:pPr>
      <w:r>
        <w:t xml:space="preserve">Just under two-thirds of participants who had exited the REACH service had successfully completed the service. </w:t>
      </w:r>
    </w:p>
    <w:p w14:paraId="7929B360" w14:textId="0A1A5A8D" w:rsidR="00C83CF4" w:rsidRDefault="00C83CF4" w:rsidP="00C83CF4">
      <w:r>
        <w:t xml:space="preserve">By successfully completing the service, a participant had either achieved their desired outcomes (such as getting into sustainable employment, improving their health and wellbeing, or enrolling in study), or had completed the maximum service duration. </w:t>
      </w:r>
      <w:r w:rsidRPr="0009515A">
        <w:t xml:space="preserve">This is important from an intervention perspective, as </w:t>
      </w:r>
      <w:r>
        <w:t>the desired outcomes</w:t>
      </w:r>
      <w:r w:rsidRPr="0009515A">
        <w:t xml:space="preserve"> of </w:t>
      </w:r>
      <w:r>
        <w:t>REACH</w:t>
      </w:r>
      <w:r w:rsidRPr="0009515A">
        <w:t xml:space="preserve"> are linked to </w:t>
      </w:r>
      <w:r>
        <w:t xml:space="preserve">the </w:t>
      </w:r>
      <w:r w:rsidRPr="0009515A">
        <w:t>successful completion of the service.</w:t>
      </w:r>
      <w:r>
        <w:t xml:space="preserve"> In total, 153 participants had exited the REACH service by the end of June 2021.</w:t>
      </w:r>
      <w:r>
        <w:rPr>
          <w:iCs/>
        </w:rPr>
        <w:t xml:space="preserve"> </w:t>
      </w:r>
      <w:r w:rsidRPr="00CF5CA7">
        <w:rPr>
          <w:iCs/>
        </w:rPr>
        <w:t>Little information is available in the data on why a third exited without completing the service</w:t>
      </w:r>
      <w:r>
        <w:rPr>
          <w:iCs/>
        </w:rPr>
        <w:t>,</w:t>
      </w:r>
      <w:r w:rsidRPr="00CF5CA7">
        <w:rPr>
          <w:iCs/>
        </w:rPr>
        <w:t xml:space="preserve"> only that 13.7% were dismissed by the provider and 7.8% withdrew.</w:t>
      </w:r>
      <w:r>
        <w:rPr>
          <w:rStyle w:val="FootnoteReference"/>
          <w:iCs/>
        </w:rPr>
        <w:footnoteReference w:id="2"/>
      </w:r>
      <w:r>
        <w:rPr>
          <w:iCs/>
        </w:rPr>
        <w:t xml:space="preserve"> </w:t>
      </w:r>
    </w:p>
    <w:p w14:paraId="4FD3643B" w14:textId="77777777" w:rsidR="00C83CF4" w:rsidRPr="000E5B03" w:rsidRDefault="00C83CF4" w:rsidP="00C83CF4">
      <w:pPr>
        <w:pStyle w:val="Heading3"/>
      </w:pPr>
      <w:r w:rsidRPr="000E5B03">
        <w:lastRenderedPageBreak/>
        <w:t>Fewer Māori participants successfully completed the REACH service than expected.</w:t>
      </w:r>
    </w:p>
    <w:p w14:paraId="7BB91D19" w14:textId="77777777" w:rsidR="00C83CF4" w:rsidRPr="000E5B03" w:rsidRDefault="00C83CF4" w:rsidP="00C83CF4">
      <w:r>
        <w:t>J</w:t>
      </w:r>
      <w:r w:rsidRPr="000E5B03">
        <w:t>ust under 43 percent among Māori participants</w:t>
      </w:r>
      <w:r>
        <w:t xml:space="preserve"> completed the service, compared to 65 percent overall</w:t>
      </w:r>
      <w:r w:rsidRPr="000E5B03">
        <w:t>. It is unclear in the data why this might be, however findings from the qualitative component of the evaluation may provide more insights into this finding.</w:t>
      </w:r>
      <w:r w:rsidRPr="000E5B03">
        <w:rPr>
          <w:rStyle w:val="FootnoteReference"/>
        </w:rPr>
        <w:footnoteReference w:id="3"/>
      </w:r>
    </w:p>
    <w:p w14:paraId="079E36FB" w14:textId="77777777" w:rsidR="00C83CF4" w:rsidRDefault="00C83CF4" w:rsidP="00945292">
      <w:pPr>
        <w:spacing w:after="0"/>
      </w:pPr>
    </w:p>
    <w:p w14:paraId="5BAFE810" w14:textId="77777777" w:rsidR="00C83CF4" w:rsidRDefault="00C83CF4" w:rsidP="00C83CF4">
      <w:pPr>
        <w:pStyle w:val="Heading3"/>
      </w:pPr>
      <w:r w:rsidRPr="00941C9C">
        <w:t>Nonetheless</w:t>
      </w:r>
      <w:r>
        <w:t xml:space="preserve">, most participants </w:t>
      </w:r>
      <w:r w:rsidRPr="00941C9C">
        <w:t>report</w:t>
      </w:r>
      <w:r>
        <w:t>ed</w:t>
      </w:r>
      <w:r w:rsidRPr="00941C9C">
        <w:t xml:space="preserve"> improved outcomes </w:t>
      </w:r>
      <w:r>
        <w:t>several domains of wellbeing</w:t>
      </w:r>
      <w:r w:rsidRPr="00941C9C">
        <w:t xml:space="preserve"> (using self-reported W</w:t>
      </w:r>
      <w:r>
        <w:t>ellbeing</w:t>
      </w:r>
      <w:r w:rsidRPr="00941C9C">
        <w:t xml:space="preserve"> </w:t>
      </w:r>
      <w:r>
        <w:t>S</w:t>
      </w:r>
      <w:r w:rsidRPr="00941C9C">
        <w:t>tar data)</w:t>
      </w:r>
      <w:r>
        <w:t>.</w:t>
      </w:r>
    </w:p>
    <w:p w14:paraId="0666A673" w14:textId="77777777" w:rsidR="00C83CF4" w:rsidRDefault="00C83CF4" w:rsidP="00C83CF4">
      <w:r>
        <w:t>One potential outcome of the REACH service was that it would contribute to improved health and wellbeing for participants.</w:t>
      </w:r>
    </w:p>
    <w:p w14:paraId="2B0C4E30" w14:textId="68959D1A" w:rsidR="00C83CF4" w:rsidRDefault="00C83CF4" w:rsidP="00C83CF4">
      <w:r>
        <w:t>As part of measuring participants’ health and wellbeing, the Wellbeing Star tool was used to measure people’s wellbeing across eight categories, these being: “Your lifestyle”, “Looking after yourself”, “Managing symptoms”, “Work, volunteering, and other activities”, “Money”, “Where you live”, “Family and friends”, and “Feeling positive”.</w:t>
      </w:r>
      <w:r w:rsidR="00CA43F1">
        <w:rPr>
          <w:rStyle w:val="FootnoteReference"/>
        </w:rPr>
        <w:footnoteReference w:id="4"/>
      </w:r>
      <w:r w:rsidR="002A7EFA">
        <w:t xml:space="preserve"> </w:t>
      </w:r>
      <w:r w:rsidR="002A7EFA" w:rsidRPr="002A7EFA">
        <w:t>However</w:t>
      </w:r>
      <w:r w:rsidR="00CA43F1">
        <w:t>,</w:t>
      </w:r>
      <w:r w:rsidR="002A7EFA" w:rsidRPr="002A7EFA">
        <w:t xml:space="preserve"> there are limitations to this analysis as we can neither construct a comparison group nor account for other life events which may have impact on wellbeing improvements over time.</w:t>
      </w:r>
    </w:p>
    <w:p w14:paraId="12205B10" w14:textId="482EE294" w:rsidR="00C83CF4" w:rsidRPr="00D01ADA" w:rsidRDefault="00C83CF4" w:rsidP="00C83CF4">
      <w:r w:rsidRPr="00D01ADA">
        <w:t xml:space="preserve">In </w:t>
      </w:r>
      <w:r>
        <w:t>five</w:t>
      </w:r>
      <w:r w:rsidRPr="00D01ADA">
        <w:t xml:space="preserve"> of the eight Wellbeing Star categories, most participants reported an improvement between first and second Wellbeing Star entries. </w:t>
      </w:r>
      <w:r>
        <w:t xml:space="preserve">These categories were: “Your </w:t>
      </w:r>
      <w:r w:rsidR="00945292">
        <w:t>l</w:t>
      </w:r>
      <w:r>
        <w:t xml:space="preserve">ifestyle”, “Looking </w:t>
      </w:r>
      <w:r w:rsidR="00945292">
        <w:t>a</w:t>
      </w:r>
      <w:r>
        <w:t xml:space="preserve">fter </w:t>
      </w:r>
      <w:r w:rsidR="00945292">
        <w:t>y</w:t>
      </w:r>
      <w:r>
        <w:t xml:space="preserve">ourself”, “Managing </w:t>
      </w:r>
      <w:r w:rsidR="00945292">
        <w:t>s</w:t>
      </w:r>
      <w:r>
        <w:t xml:space="preserve">ymptoms”, “Work, </w:t>
      </w:r>
      <w:r w:rsidR="00945292">
        <w:t>v</w:t>
      </w:r>
      <w:r>
        <w:t>olunteering,</w:t>
      </w:r>
      <w:r w:rsidR="00945292">
        <w:t xml:space="preserve"> and</w:t>
      </w:r>
      <w:r>
        <w:t xml:space="preserve"> </w:t>
      </w:r>
      <w:r w:rsidR="00945292">
        <w:t>o</w:t>
      </w:r>
      <w:r>
        <w:t xml:space="preserve">ther </w:t>
      </w:r>
      <w:r w:rsidR="00945292">
        <w:t>a</w:t>
      </w:r>
      <w:r>
        <w:t>ctivities” and “Feeling Positive”.</w:t>
      </w:r>
    </w:p>
    <w:p w14:paraId="7E521D32" w14:textId="77777777" w:rsidR="00C83CF4" w:rsidRDefault="00C83CF4" w:rsidP="00945292">
      <w:pPr>
        <w:spacing w:after="0"/>
      </w:pPr>
    </w:p>
    <w:p w14:paraId="7CCD4B81" w14:textId="77777777" w:rsidR="00C83CF4" w:rsidRPr="00E0211D" w:rsidRDefault="00C83CF4" w:rsidP="00C83CF4">
      <w:pPr>
        <w:pStyle w:val="Heading3"/>
      </w:pPr>
      <w:r w:rsidRPr="00E0211D">
        <w:t>We were unable to look at medium to long-term outcomes such as detailed employment</w:t>
      </w:r>
      <w:r>
        <w:t>,</w:t>
      </w:r>
      <w:r w:rsidRPr="00E0211D">
        <w:t xml:space="preserve"> income</w:t>
      </w:r>
      <w:r>
        <w:t>, education</w:t>
      </w:r>
      <w:r w:rsidRPr="00E0211D">
        <w:t>, or health outcomes as part of this analysis.</w:t>
      </w:r>
    </w:p>
    <w:p w14:paraId="6187CC9D" w14:textId="5F0B4CAF" w:rsidR="00C83CF4" w:rsidRDefault="00C83CF4" w:rsidP="007D663A">
      <w:r w:rsidRPr="00E0211D">
        <w:t xml:space="preserve">However, future work using the Integrated Data Infrastructure </w:t>
      </w:r>
      <w:r>
        <w:t>will</w:t>
      </w:r>
      <w:r w:rsidRPr="00E0211D">
        <w:t xml:space="preserve"> explore participants’ outcomes, after a longer follow-up period (preferably two to three years).</w:t>
      </w:r>
      <w:r>
        <w:t xml:space="preserve"> This analysis will help to provide detailed insight into the impact of the REACH service on detailed employment, income, education, and health outcomes, which will help to determine whether the service is delivering its stated objectives. </w:t>
      </w:r>
    </w:p>
    <w:p w14:paraId="4F89BAE0" w14:textId="71D31364" w:rsidR="007B432A" w:rsidRDefault="007B432A" w:rsidP="007D663A"/>
    <w:p w14:paraId="499BD25F" w14:textId="625C02C1" w:rsidR="007B432A" w:rsidRDefault="007B432A" w:rsidP="007D663A"/>
    <w:p w14:paraId="7EE28173" w14:textId="6CA85F29" w:rsidR="007B432A" w:rsidRDefault="007B432A" w:rsidP="007D663A"/>
    <w:p w14:paraId="12579811" w14:textId="124D6A97" w:rsidR="007B432A" w:rsidRDefault="007B432A" w:rsidP="007D663A"/>
    <w:p w14:paraId="3EFEE159" w14:textId="77777777" w:rsidR="007B432A" w:rsidRDefault="007B432A" w:rsidP="007D663A"/>
    <w:p w14:paraId="0FBFB02E" w14:textId="5B7A639C" w:rsidR="008C47A8" w:rsidRDefault="008C47A8" w:rsidP="00EC5C2A">
      <w:pPr>
        <w:pStyle w:val="Heading1"/>
      </w:pPr>
      <w:bookmarkStart w:id="4" w:name="_Toc116997613"/>
      <w:r w:rsidRPr="00C42E0A">
        <w:lastRenderedPageBreak/>
        <w:t>Ar</w:t>
      </w:r>
      <w:r w:rsidR="003E0279">
        <w:t>e</w:t>
      </w:r>
      <w:r w:rsidRPr="00C42E0A">
        <w:t xml:space="preserve"> the intended MSD client groups being referred to, enrolled </w:t>
      </w:r>
      <w:r w:rsidR="003E0279" w:rsidRPr="00C42E0A">
        <w:t>in,</w:t>
      </w:r>
      <w:r w:rsidRPr="00C42E0A">
        <w:t xml:space="preserve"> and retained </w:t>
      </w:r>
      <w:r w:rsidR="00AC16A6">
        <w:t>in REACH?</w:t>
      </w:r>
      <w:bookmarkEnd w:id="4"/>
    </w:p>
    <w:p w14:paraId="08AFA334" w14:textId="77777777" w:rsidR="0058713A" w:rsidRDefault="0058713A" w:rsidP="0058713A">
      <w:r>
        <w:t>Between 2016 and 30 June 2021, main benefit recipients in the Waikato area were eligible for the REACH service if they were receiving a medical work deferral and:</w:t>
      </w:r>
    </w:p>
    <w:p w14:paraId="5514B43E" w14:textId="77777777" w:rsidR="0058713A" w:rsidRDefault="0058713A" w:rsidP="0058713A">
      <w:pPr>
        <w:pStyle w:val="ListParagraph"/>
        <w:numPr>
          <w:ilvl w:val="0"/>
          <w:numId w:val="45"/>
        </w:numPr>
      </w:pPr>
      <w:proofErr w:type="spellStart"/>
      <w:r>
        <w:t>were</w:t>
      </w:r>
      <w:proofErr w:type="spellEnd"/>
      <w:r>
        <w:t xml:space="preserve"> not pregnant</w:t>
      </w:r>
    </w:p>
    <w:p w14:paraId="16538AC3" w14:textId="77777777" w:rsidR="0058713A" w:rsidRDefault="0058713A" w:rsidP="0058713A">
      <w:pPr>
        <w:pStyle w:val="ListParagraph"/>
        <w:numPr>
          <w:ilvl w:val="0"/>
          <w:numId w:val="45"/>
        </w:numPr>
      </w:pPr>
      <w:r>
        <w:t>did not have a bipolar disorder</w:t>
      </w:r>
    </w:p>
    <w:p w14:paraId="1DFF2552" w14:textId="77777777" w:rsidR="0058713A" w:rsidRDefault="0058713A" w:rsidP="0058713A">
      <w:pPr>
        <w:pStyle w:val="ListParagraph"/>
        <w:numPr>
          <w:ilvl w:val="0"/>
          <w:numId w:val="45"/>
        </w:numPr>
      </w:pPr>
      <w:r>
        <w:t xml:space="preserve">did not have schizophrenia </w:t>
      </w:r>
    </w:p>
    <w:p w14:paraId="60478365" w14:textId="77777777" w:rsidR="0058713A" w:rsidRDefault="0058713A" w:rsidP="0058713A">
      <w:pPr>
        <w:pStyle w:val="ListParagraph"/>
        <w:numPr>
          <w:ilvl w:val="0"/>
          <w:numId w:val="45"/>
        </w:numPr>
      </w:pPr>
      <w:proofErr w:type="spellStart"/>
      <w:r>
        <w:t>were</w:t>
      </w:r>
      <w:proofErr w:type="spellEnd"/>
      <w:r>
        <w:t xml:space="preserve"> not child sex offenders</w:t>
      </w:r>
    </w:p>
    <w:p w14:paraId="328893E8" w14:textId="77777777" w:rsidR="0058713A" w:rsidRDefault="0058713A" w:rsidP="0058713A">
      <w:pPr>
        <w:pStyle w:val="ListParagraph"/>
        <w:numPr>
          <w:ilvl w:val="0"/>
          <w:numId w:val="45"/>
        </w:numPr>
      </w:pPr>
      <w:r>
        <w:t>did not have a special caution alert on their MSD client record for violence</w:t>
      </w:r>
    </w:p>
    <w:p w14:paraId="3C9EF96F" w14:textId="77777777" w:rsidR="0058713A" w:rsidRDefault="0058713A" w:rsidP="0058713A">
      <w:pPr>
        <w:pStyle w:val="ListParagraph"/>
        <w:numPr>
          <w:ilvl w:val="0"/>
          <w:numId w:val="45"/>
        </w:numPr>
      </w:pPr>
      <w:proofErr w:type="spellStart"/>
      <w:r>
        <w:t>were</w:t>
      </w:r>
      <w:proofErr w:type="spellEnd"/>
      <w:r>
        <w:t xml:space="preserve"> not trespassed from MSD sites</w:t>
      </w:r>
    </w:p>
    <w:p w14:paraId="39D3DC1C" w14:textId="77777777" w:rsidR="0058713A" w:rsidRDefault="0058713A" w:rsidP="0058713A">
      <w:pPr>
        <w:pStyle w:val="ListParagraph"/>
        <w:numPr>
          <w:ilvl w:val="0"/>
          <w:numId w:val="45"/>
        </w:numPr>
      </w:pPr>
      <w:proofErr w:type="spellStart"/>
      <w:r>
        <w:t>were</w:t>
      </w:r>
      <w:proofErr w:type="spellEnd"/>
      <w:r>
        <w:t xml:space="preserve"> not awaiting medical treatment that would mean they could not participate in the service at that time. </w:t>
      </w:r>
    </w:p>
    <w:p w14:paraId="31A26E1A" w14:textId="01A03965" w:rsidR="00405D49" w:rsidRDefault="004828EF" w:rsidP="00405D49">
      <w:r>
        <w:t xml:space="preserve">This analysis focuses on the period 18 November 2019 to the end of June 2021, as changes to the REACH service were introduced in November 2019. </w:t>
      </w:r>
    </w:p>
    <w:p w14:paraId="773C41B1" w14:textId="77777777" w:rsidR="0058713A" w:rsidRDefault="0058713A" w:rsidP="00405D49"/>
    <w:p w14:paraId="36D06779" w14:textId="52EDCBB1" w:rsidR="0030283C" w:rsidRPr="0030283C" w:rsidRDefault="00AE7C71" w:rsidP="00AC16A6">
      <w:pPr>
        <w:pStyle w:val="Heading3"/>
      </w:pPr>
      <w:r w:rsidRPr="0030283C">
        <w:t>B</w:t>
      </w:r>
      <w:r w:rsidR="00DF4FD0" w:rsidRPr="0030283C">
        <w:t xml:space="preserve">etween 18 November 2019 and </w:t>
      </w:r>
      <w:r w:rsidR="008C47A8" w:rsidRPr="0030283C">
        <w:t xml:space="preserve">the end of </w:t>
      </w:r>
      <w:r w:rsidR="0030283C" w:rsidRPr="0030283C">
        <w:t>June</w:t>
      </w:r>
      <w:r w:rsidR="008C47A8" w:rsidRPr="0030283C">
        <w:t xml:space="preserve"> 2021, </w:t>
      </w:r>
      <w:r w:rsidR="00A26037" w:rsidRPr="000C14D4">
        <w:t xml:space="preserve">there were </w:t>
      </w:r>
      <w:r w:rsidR="008C47A8" w:rsidRPr="000C14D4">
        <w:t>3</w:t>
      </w:r>
      <w:r w:rsidR="0030283C" w:rsidRPr="000C14D4">
        <w:t>6</w:t>
      </w:r>
      <w:r w:rsidR="000C14D4" w:rsidRPr="000C14D4">
        <w:t>3</w:t>
      </w:r>
      <w:r w:rsidR="008C47A8" w:rsidRPr="000C14D4">
        <w:t xml:space="preserve"> referr</w:t>
      </w:r>
      <w:r w:rsidR="00A26037" w:rsidRPr="000C14D4">
        <w:t>als</w:t>
      </w:r>
      <w:r w:rsidR="008C47A8" w:rsidRPr="000C14D4">
        <w:t xml:space="preserve"> to the REACH </w:t>
      </w:r>
      <w:r w:rsidR="007E0391" w:rsidRPr="000C14D4">
        <w:t>service</w:t>
      </w:r>
      <w:r w:rsidR="008C47A8" w:rsidRPr="000C14D4">
        <w:t>.</w:t>
      </w:r>
      <w:r w:rsidR="008C47A8" w:rsidRPr="0030283C">
        <w:t xml:space="preserve"> </w:t>
      </w:r>
    </w:p>
    <w:p w14:paraId="0D755CA1" w14:textId="411334D0" w:rsidR="008C47A8" w:rsidRDefault="008C47A8" w:rsidP="008209CD">
      <w:pPr>
        <w:rPr>
          <w:rFonts w:eastAsia="Times New Roman"/>
          <w:iCs/>
          <w:szCs w:val="20"/>
        </w:rPr>
      </w:pPr>
      <w:r w:rsidRPr="000C14D4">
        <w:rPr>
          <w:rFonts w:eastAsia="Times New Roman"/>
          <w:iCs/>
          <w:szCs w:val="20"/>
        </w:rPr>
        <w:t xml:space="preserve">Of those, </w:t>
      </w:r>
      <w:r w:rsidR="00347BA3">
        <w:rPr>
          <w:rFonts w:eastAsia="Times New Roman"/>
          <w:iCs/>
          <w:szCs w:val="20"/>
        </w:rPr>
        <w:t>just over 47</w:t>
      </w:r>
      <w:r w:rsidR="00661411" w:rsidRPr="000C14D4">
        <w:rPr>
          <w:rFonts w:eastAsia="Times New Roman"/>
          <w:iCs/>
          <w:szCs w:val="20"/>
        </w:rPr>
        <w:t xml:space="preserve"> percent </w:t>
      </w:r>
      <w:r w:rsidR="00347BA3">
        <w:rPr>
          <w:rFonts w:eastAsia="Times New Roman"/>
          <w:iCs/>
          <w:szCs w:val="20"/>
        </w:rPr>
        <w:t xml:space="preserve">of people </w:t>
      </w:r>
      <w:r w:rsidR="00661411" w:rsidRPr="000C14D4">
        <w:rPr>
          <w:rFonts w:eastAsia="Times New Roman"/>
          <w:iCs/>
          <w:szCs w:val="20"/>
        </w:rPr>
        <w:t>(</w:t>
      </w:r>
      <w:r w:rsidR="000C14D4" w:rsidRPr="000C14D4">
        <w:rPr>
          <w:rFonts w:eastAsia="Times New Roman"/>
          <w:iCs/>
          <w:szCs w:val="20"/>
        </w:rPr>
        <w:t>171</w:t>
      </w:r>
      <w:r w:rsidR="00661411" w:rsidRPr="000C14D4">
        <w:rPr>
          <w:rFonts w:eastAsia="Times New Roman"/>
          <w:iCs/>
          <w:szCs w:val="20"/>
        </w:rPr>
        <w:t>)</w:t>
      </w:r>
      <w:r w:rsidRPr="000C14D4">
        <w:rPr>
          <w:rFonts w:eastAsia="Times New Roman"/>
          <w:iCs/>
          <w:szCs w:val="20"/>
        </w:rPr>
        <w:t xml:space="preserve"> were</w:t>
      </w:r>
      <w:r>
        <w:rPr>
          <w:rFonts w:eastAsia="Times New Roman"/>
          <w:iCs/>
          <w:szCs w:val="20"/>
        </w:rPr>
        <w:t xml:space="preserve"> </w:t>
      </w:r>
      <w:r w:rsidR="00A26037">
        <w:rPr>
          <w:rFonts w:eastAsia="Times New Roman"/>
          <w:iCs/>
          <w:szCs w:val="20"/>
        </w:rPr>
        <w:t xml:space="preserve">successfully </w:t>
      </w:r>
      <w:r>
        <w:rPr>
          <w:rFonts w:eastAsia="Times New Roman"/>
          <w:iCs/>
          <w:szCs w:val="20"/>
        </w:rPr>
        <w:t xml:space="preserve">enrolled into the </w:t>
      </w:r>
      <w:r w:rsidR="007E0391">
        <w:rPr>
          <w:rFonts w:eastAsia="Times New Roman"/>
          <w:iCs/>
          <w:szCs w:val="20"/>
        </w:rPr>
        <w:t>service</w:t>
      </w:r>
      <w:r w:rsidR="0030283C">
        <w:rPr>
          <w:rFonts w:eastAsia="Times New Roman"/>
          <w:iCs/>
          <w:szCs w:val="20"/>
        </w:rPr>
        <w:t>.</w:t>
      </w:r>
      <w:r w:rsidR="000C14D4">
        <w:rPr>
          <w:rStyle w:val="FootnoteReference"/>
          <w:rFonts w:eastAsia="Times New Roman"/>
          <w:iCs/>
          <w:szCs w:val="20"/>
        </w:rPr>
        <w:footnoteReference w:id="5"/>
      </w:r>
      <w:r w:rsidR="0030283C">
        <w:rPr>
          <w:rFonts w:eastAsia="Times New Roman"/>
          <w:iCs/>
          <w:szCs w:val="20"/>
        </w:rPr>
        <w:t xml:space="preserve"> </w:t>
      </w:r>
    </w:p>
    <w:p w14:paraId="1997D79D" w14:textId="0FAFEE46" w:rsidR="0058713A" w:rsidRDefault="0058713A" w:rsidP="008209CD">
      <w:pPr>
        <w:rPr>
          <w:rFonts w:eastAsia="Times New Roman"/>
          <w:iCs/>
          <w:szCs w:val="20"/>
        </w:rPr>
      </w:pPr>
    </w:p>
    <w:p w14:paraId="6B54AD92" w14:textId="2A93B872" w:rsidR="0058713A" w:rsidRDefault="0058713A" w:rsidP="008209CD">
      <w:pPr>
        <w:rPr>
          <w:rFonts w:eastAsia="Times New Roman"/>
          <w:iCs/>
          <w:szCs w:val="20"/>
        </w:rPr>
      </w:pPr>
    </w:p>
    <w:p w14:paraId="0017B161" w14:textId="27FC800D" w:rsidR="0058713A" w:rsidRDefault="0058713A" w:rsidP="008209CD">
      <w:pPr>
        <w:rPr>
          <w:rFonts w:eastAsia="Times New Roman"/>
          <w:iCs/>
          <w:szCs w:val="20"/>
        </w:rPr>
      </w:pPr>
    </w:p>
    <w:p w14:paraId="1CC933D7" w14:textId="6DD67A4C" w:rsidR="0058713A" w:rsidRDefault="0058713A" w:rsidP="008209CD">
      <w:pPr>
        <w:rPr>
          <w:rFonts w:eastAsia="Times New Roman"/>
          <w:iCs/>
          <w:szCs w:val="20"/>
        </w:rPr>
      </w:pPr>
    </w:p>
    <w:p w14:paraId="581EA27B" w14:textId="2A4C1FAD" w:rsidR="0058713A" w:rsidRDefault="0058713A" w:rsidP="008209CD">
      <w:pPr>
        <w:rPr>
          <w:rFonts w:eastAsia="Times New Roman"/>
          <w:iCs/>
          <w:szCs w:val="20"/>
        </w:rPr>
      </w:pPr>
    </w:p>
    <w:p w14:paraId="45680544" w14:textId="429EDE3D" w:rsidR="0058713A" w:rsidRDefault="0058713A" w:rsidP="008209CD">
      <w:pPr>
        <w:rPr>
          <w:rFonts w:eastAsia="Times New Roman"/>
          <w:iCs/>
          <w:szCs w:val="20"/>
        </w:rPr>
      </w:pPr>
    </w:p>
    <w:p w14:paraId="63C0B083" w14:textId="72407012" w:rsidR="0058713A" w:rsidRDefault="0058713A" w:rsidP="008209CD">
      <w:pPr>
        <w:rPr>
          <w:rFonts w:eastAsia="Times New Roman"/>
          <w:iCs/>
          <w:szCs w:val="20"/>
        </w:rPr>
      </w:pPr>
    </w:p>
    <w:p w14:paraId="2D18649E" w14:textId="1BD8C177" w:rsidR="0058713A" w:rsidRDefault="0058713A" w:rsidP="008209CD">
      <w:pPr>
        <w:rPr>
          <w:rFonts w:eastAsia="Times New Roman"/>
          <w:iCs/>
          <w:szCs w:val="20"/>
        </w:rPr>
      </w:pPr>
    </w:p>
    <w:p w14:paraId="6582B151" w14:textId="61D96E61" w:rsidR="0058713A" w:rsidRDefault="0058713A" w:rsidP="008209CD">
      <w:pPr>
        <w:rPr>
          <w:rFonts w:eastAsia="Times New Roman"/>
          <w:iCs/>
          <w:szCs w:val="20"/>
        </w:rPr>
      </w:pPr>
    </w:p>
    <w:p w14:paraId="6D6C660A" w14:textId="3A5B0D6E" w:rsidR="0058713A" w:rsidRDefault="0058713A" w:rsidP="008209CD">
      <w:pPr>
        <w:rPr>
          <w:rFonts w:eastAsia="Times New Roman"/>
          <w:iCs/>
          <w:szCs w:val="20"/>
        </w:rPr>
      </w:pPr>
    </w:p>
    <w:p w14:paraId="521EFD7E" w14:textId="47E44B33" w:rsidR="0058713A" w:rsidRDefault="0058713A" w:rsidP="008209CD">
      <w:pPr>
        <w:rPr>
          <w:rFonts w:eastAsia="Times New Roman"/>
          <w:iCs/>
          <w:szCs w:val="20"/>
        </w:rPr>
      </w:pPr>
    </w:p>
    <w:p w14:paraId="1C25B713" w14:textId="6DED1BAE" w:rsidR="0058713A" w:rsidRDefault="0058713A" w:rsidP="008209CD">
      <w:pPr>
        <w:rPr>
          <w:rFonts w:eastAsia="Times New Roman"/>
          <w:iCs/>
          <w:szCs w:val="20"/>
        </w:rPr>
      </w:pPr>
    </w:p>
    <w:p w14:paraId="3C4BE2DD" w14:textId="77777777" w:rsidR="0058713A" w:rsidRDefault="0058713A" w:rsidP="008209CD">
      <w:pPr>
        <w:rPr>
          <w:rFonts w:eastAsia="Times New Roman"/>
          <w:iCs/>
          <w:szCs w:val="20"/>
        </w:rPr>
      </w:pPr>
    </w:p>
    <w:p w14:paraId="1D2BD0BD" w14:textId="34F3AC04" w:rsidR="0058713A" w:rsidRDefault="0058713A" w:rsidP="008209CD">
      <w:pPr>
        <w:rPr>
          <w:rFonts w:eastAsia="Times New Roman"/>
          <w:iCs/>
          <w:szCs w:val="20"/>
        </w:rPr>
      </w:pPr>
    </w:p>
    <w:p w14:paraId="031AE8A1" w14:textId="77777777" w:rsidR="0058713A" w:rsidRDefault="0058713A" w:rsidP="008209CD">
      <w:pPr>
        <w:rPr>
          <w:rFonts w:eastAsia="Times New Roman"/>
          <w:iCs/>
          <w:szCs w:val="20"/>
        </w:rPr>
      </w:pPr>
    </w:p>
    <w:p w14:paraId="36EAC61C" w14:textId="6E66400A" w:rsidR="008C47A8" w:rsidRDefault="00DD20B7" w:rsidP="0058713A">
      <w:pPr>
        <w:pStyle w:val="Heading3"/>
      </w:pPr>
      <w:r w:rsidRPr="0030597C">
        <w:lastRenderedPageBreak/>
        <w:t xml:space="preserve">Just </w:t>
      </w:r>
      <w:r w:rsidR="0030597C" w:rsidRPr="0030597C">
        <w:t>under</w:t>
      </w:r>
      <w:r w:rsidRPr="0030597C">
        <w:t xml:space="preserve"> 60</w:t>
      </w:r>
      <w:r w:rsidR="00347805" w:rsidRPr="0030597C">
        <w:t xml:space="preserve"> percent</w:t>
      </w:r>
      <w:r w:rsidRPr="0030597C">
        <w:t xml:space="preserve"> of participants</w:t>
      </w:r>
      <w:r w:rsidR="00770953">
        <w:t xml:space="preserve"> (102)</w:t>
      </w:r>
      <w:r w:rsidRPr="0030597C">
        <w:t xml:space="preserve"> </w:t>
      </w:r>
      <w:r w:rsidR="008C47A8" w:rsidRPr="0030597C">
        <w:t xml:space="preserve">were aged </w:t>
      </w:r>
      <w:r w:rsidR="00B1464A" w:rsidRPr="0030597C">
        <w:t>34 and under</w:t>
      </w:r>
      <w:r w:rsidR="00CD6515">
        <w:t>.</w:t>
      </w:r>
      <w:r w:rsidR="00B1464A" w:rsidRPr="0030597C">
        <w:t xml:space="preserve"> </w:t>
      </w:r>
    </w:p>
    <w:p w14:paraId="01196F3F" w14:textId="2DAA5DE1" w:rsidR="00983083" w:rsidRPr="00983083" w:rsidRDefault="00983083" w:rsidP="00983083">
      <w:r>
        <w:t>The remaining 40 percent of participants</w:t>
      </w:r>
      <w:r w:rsidR="00770953">
        <w:t xml:space="preserve"> (66)</w:t>
      </w:r>
      <w:r>
        <w:t xml:space="preserve"> were relatively evenly spread across the 35 to 44, 45 to 54, and 55 to 64 age groups (Figure 1).</w:t>
      </w:r>
    </w:p>
    <w:p w14:paraId="1FD5A1FB" w14:textId="68598911" w:rsidR="001A7ABD" w:rsidRPr="008B24CC" w:rsidRDefault="008209CD" w:rsidP="008B24CC">
      <w:pPr>
        <w:pStyle w:val="Caption"/>
      </w:pPr>
      <w:bookmarkStart w:id="5" w:name="_Ref71640011"/>
      <w:r w:rsidRPr="0030597C">
        <w:t xml:space="preserve">Figure </w:t>
      </w:r>
      <w:fldSimple w:instr=" SEQ Figure \* ARABIC ">
        <w:r w:rsidR="00F75DF1" w:rsidRPr="0030597C">
          <w:rPr>
            <w:noProof/>
          </w:rPr>
          <w:t>1</w:t>
        </w:r>
      </w:fldSimple>
      <w:bookmarkEnd w:id="5"/>
      <w:r w:rsidRPr="0030597C">
        <w:t>: Participants by age group</w:t>
      </w:r>
      <w:r w:rsidR="00EA3FCF" w:rsidRPr="0030597C">
        <w:t>.</w:t>
      </w:r>
    </w:p>
    <w:p w14:paraId="7DA620CE" w14:textId="02F420F1" w:rsidR="003E0279" w:rsidRDefault="000C14D4" w:rsidP="00F113EF">
      <w:pPr>
        <w:rPr>
          <w:iCs/>
        </w:rPr>
      </w:pPr>
      <w:r>
        <w:rPr>
          <w:noProof/>
        </w:rPr>
        <w:drawing>
          <wp:inline distT="0" distB="0" distL="0" distR="0" wp14:anchorId="6AA05F57" wp14:editId="47E6CD9D">
            <wp:extent cx="4572000" cy="2190750"/>
            <wp:effectExtent l="0" t="0" r="0" b="0"/>
            <wp:docPr id="1" name="Chart 1">
              <a:extLst xmlns:a="http://schemas.openxmlformats.org/drawingml/2006/main">
                <a:ext uri="{FF2B5EF4-FFF2-40B4-BE49-F238E27FC236}">
                  <a16:creationId xmlns:a16="http://schemas.microsoft.com/office/drawing/2014/main" id="{42A919FB-8EC5-40EA-BA6A-D4B4F1AA21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9B7608" w14:textId="3F8CC3DD" w:rsidR="00A115AE" w:rsidRDefault="00A55950" w:rsidP="00F113EF">
      <w:pPr>
        <w:rPr>
          <w:iCs/>
        </w:rPr>
      </w:pPr>
      <w:r>
        <w:rPr>
          <w:iCs/>
        </w:rPr>
        <w:t>In</w:t>
      </w:r>
      <w:r w:rsidR="007D663A">
        <w:rPr>
          <w:iCs/>
        </w:rPr>
        <w:t xml:space="preserve"> </w:t>
      </w:r>
      <w:r w:rsidR="00405D49">
        <w:rPr>
          <w:iCs/>
        </w:rPr>
        <w:t>contrast</w:t>
      </w:r>
      <w:r w:rsidR="007D663A">
        <w:rPr>
          <w:iCs/>
        </w:rPr>
        <w:t xml:space="preserve">, </w:t>
      </w:r>
      <w:r w:rsidR="008B24CC">
        <w:rPr>
          <w:iCs/>
        </w:rPr>
        <w:fldChar w:fldCharType="begin"/>
      </w:r>
      <w:r w:rsidR="008B24CC">
        <w:rPr>
          <w:iCs/>
        </w:rPr>
        <w:instrText xml:space="preserve"> REF _Ref79568954 \h </w:instrText>
      </w:r>
      <w:r w:rsidR="008B24CC">
        <w:rPr>
          <w:iCs/>
        </w:rPr>
      </w:r>
      <w:r w:rsidR="008B24CC">
        <w:rPr>
          <w:iCs/>
        </w:rPr>
        <w:fldChar w:fldCharType="separate"/>
      </w:r>
      <w:r w:rsidR="00F75DF1">
        <w:t xml:space="preserve">Figure </w:t>
      </w:r>
      <w:r w:rsidR="00F75DF1">
        <w:rPr>
          <w:noProof/>
        </w:rPr>
        <w:t>2</w:t>
      </w:r>
      <w:r w:rsidR="008B24CC">
        <w:rPr>
          <w:iCs/>
        </w:rPr>
        <w:fldChar w:fldCharType="end"/>
      </w:r>
      <w:r w:rsidR="008B24CC">
        <w:rPr>
          <w:iCs/>
        </w:rPr>
        <w:t xml:space="preserve"> </w:t>
      </w:r>
      <w:r w:rsidR="00A115AE">
        <w:rPr>
          <w:iCs/>
        </w:rPr>
        <w:t xml:space="preserve">shows that as at the end of </w:t>
      </w:r>
      <w:r w:rsidR="00AD0AE4">
        <w:rPr>
          <w:iCs/>
        </w:rPr>
        <w:t>June</w:t>
      </w:r>
      <w:r w:rsidR="00A115AE">
        <w:rPr>
          <w:iCs/>
        </w:rPr>
        <w:t xml:space="preserve"> 2021 Jobseeker Support – </w:t>
      </w:r>
      <w:r w:rsidR="00BF5B2E" w:rsidRPr="00BF5B2E">
        <w:rPr>
          <w:iCs/>
        </w:rPr>
        <w:t>Health Conditions and Disabilities</w:t>
      </w:r>
      <w:r w:rsidR="00A115AE">
        <w:rPr>
          <w:iCs/>
        </w:rPr>
        <w:t xml:space="preserve">, and Supported Living Payment – </w:t>
      </w:r>
      <w:r w:rsidR="00BF5B2E" w:rsidRPr="00BF5B2E">
        <w:rPr>
          <w:iCs/>
        </w:rPr>
        <w:t xml:space="preserve">Health Conditions and Disabilities </w:t>
      </w:r>
      <w:r w:rsidR="00A115AE">
        <w:rPr>
          <w:iCs/>
        </w:rPr>
        <w:t xml:space="preserve">recipients </w:t>
      </w:r>
      <w:r w:rsidR="004971C5">
        <w:rPr>
          <w:iCs/>
        </w:rPr>
        <w:t xml:space="preserve">in the region </w:t>
      </w:r>
      <w:r w:rsidR="00A115AE">
        <w:rPr>
          <w:iCs/>
        </w:rPr>
        <w:t xml:space="preserve">were typically older, with </w:t>
      </w:r>
      <w:r w:rsidR="00B04DCF">
        <w:rPr>
          <w:iCs/>
        </w:rPr>
        <w:t>over half of the recipients being aged between 45 and 64 years old.</w:t>
      </w:r>
      <w:r w:rsidR="000D1627">
        <w:rPr>
          <w:iCs/>
        </w:rPr>
        <w:t xml:space="preserve"> </w:t>
      </w:r>
    </w:p>
    <w:p w14:paraId="0DC81BC9" w14:textId="7F09C05F" w:rsidR="00A115AE" w:rsidRDefault="008B24CC" w:rsidP="008B24CC">
      <w:pPr>
        <w:pStyle w:val="Caption"/>
        <w:keepNext/>
        <w:rPr>
          <w:iCs w:val="0"/>
        </w:rPr>
      </w:pPr>
      <w:bookmarkStart w:id="6" w:name="_Ref79568954"/>
      <w:r w:rsidRPr="0030597C">
        <w:t xml:space="preserve">Figure </w:t>
      </w:r>
      <w:fldSimple w:instr=" SEQ Figure \* ARABIC ">
        <w:r w:rsidR="00F75DF1" w:rsidRPr="0030597C">
          <w:rPr>
            <w:noProof/>
          </w:rPr>
          <w:t>2</w:t>
        </w:r>
      </w:fldSimple>
      <w:bookmarkEnd w:id="6"/>
      <w:r w:rsidRPr="0030597C">
        <w:t xml:space="preserve">: Recipients of a Health Conditions and Disabilities main benefit in the Waikato MSD region as at the end of </w:t>
      </w:r>
      <w:r w:rsidR="00AD0AE4" w:rsidRPr="0030597C">
        <w:t>June</w:t>
      </w:r>
      <w:r w:rsidRPr="0030597C">
        <w:t xml:space="preserve"> 2021, by age group.</w:t>
      </w:r>
    </w:p>
    <w:p w14:paraId="5CFBA4BF" w14:textId="7659661F" w:rsidR="00A115AE" w:rsidRDefault="003B46E6" w:rsidP="00F113EF">
      <w:pPr>
        <w:rPr>
          <w:iCs/>
        </w:rPr>
      </w:pPr>
      <w:r>
        <w:rPr>
          <w:noProof/>
        </w:rPr>
        <w:drawing>
          <wp:inline distT="0" distB="0" distL="0" distR="0" wp14:anchorId="5EAFA860" wp14:editId="2A4C3704">
            <wp:extent cx="4709795" cy="2381250"/>
            <wp:effectExtent l="0" t="0" r="0" b="0"/>
            <wp:docPr id="15" name="Chart 15">
              <a:extLst xmlns:a="http://schemas.openxmlformats.org/drawingml/2006/main">
                <a:ext uri="{FF2B5EF4-FFF2-40B4-BE49-F238E27FC236}">
                  <a16:creationId xmlns:a16="http://schemas.microsoft.com/office/drawing/2014/main" id="{913A9F4F-E143-4782-A1A3-48DFF2358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AAD997" w14:textId="04AD7714" w:rsidR="008B27A5" w:rsidRDefault="008B27A5" w:rsidP="00F113EF">
      <w:pPr>
        <w:rPr>
          <w:iCs/>
        </w:rPr>
      </w:pPr>
      <w:r w:rsidRPr="00377994">
        <w:rPr>
          <w:iCs/>
        </w:rPr>
        <w:t xml:space="preserve">Here, the difference between </w:t>
      </w:r>
      <w:r w:rsidR="0037591D">
        <w:rPr>
          <w:iCs/>
        </w:rPr>
        <w:t xml:space="preserve">overall </w:t>
      </w:r>
      <w:r w:rsidRPr="00377994">
        <w:rPr>
          <w:iCs/>
        </w:rPr>
        <w:t>enrolled REACH participants</w:t>
      </w:r>
      <w:r w:rsidR="0037591D">
        <w:rPr>
          <w:iCs/>
        </w:rPr>
        <w:t xml:space="preserve"> (Figure 1)</w:t>
      </w:r>
      <w:r w:rsidRPr="00377994">
        <w:rPr>
          <w:iCs/>
        </w:rPr>
        <w:t>, and Waikato</w:t>
      </w:r>
      <w:r w:rsidR="00BF5B2E" w:rsidRPr="00377994">
        <w:rPr>
          <w:iCs/>
        </w:rPr>
        <w:t xml:space="preserve"> MSD region</w:t>
      </w:r>
      <w:r w:rsidRPr="00377994">
        <w:rPr>
          <w:iCs/>
        </w:rPr>
        <w:t xml:space="preserve"> </w:t>
      </w:r>
      <w:r w:rsidR="00BF5B2E" w:rsidRPr="00377994">
        <w:rPr>
          <w:iCs/>
        </w:rPr>
        <w:t xml:space="preserve">Health Conditions and Disabilities </w:t>
      </w:r>
      <w:r w:rsidRPr="00377994">
        <w:rPr>
          <w:iCs/>
        </w:rPr>
        <w:t>recipients</w:t>
      </w:r>
      <w:r w:rsidR="0037591D">
        <w:rPr>
          <w:iCs/>
        </w:rPr>
        <w:t xml:space="preserve"> (Figure 2)</w:t>
      </w:r>
      <w:r w:rsidRPr="00377994">
        <w:rPr>
          <w:iCs/>
        </w:rPr>
        <w:t xml:space="preserve"> was statistically significant.</w:t>
      </w:r>
      <w:r w:rsidRPr="00377994">
        <w:rPr>
          <w:rStyle w:val="FootnoteReference"/>
          <w:iCs/>
        </w:rPr>
        <w:footnoteReference w:id="6"/>
      </w:r>
    </w:p>
    <w:p w14:paraId="4082BF47" w14:textId="464B0D7B" w:rsidR="008B27A5" w:rsidRDefault="008B27A5" w:rsidP="00F113EF">
      <w:pPr>
        <w:rPr>
          <w:iCs/>
        </w:rPr>
      </w:pPr>
    </w:p>
    <w:p w14:paraId="4850EF51" w14:textId="63F9C2C7" w:rsidR="0058713A" w:rsidRDefault="0058713A" w:rsidP="00F113EF">
      <w:pPr>
        <w:rPr>
          <w:iCs/>
        </w:rPr>
      </w:pPr>
    </w:p>
    <w:p w14:paraId="6E61F222" w14:textId="746DAB6D" w:rsidR="00983083" w:rsidRDefault="00CD6515" w:rsidP="0058713A">
      <w:pPr>
        <w:pStyle w:val="Heading3"/>
        <w:rPr>
          <w:rStyle w:val="Heading4Char"/>
        </w:rPr>
      </w:pPr>
      <w:r>
        <w:rPr>
          <w:rStyle w:val="Heading4Char"/>
        </w:rPr>
        <w:lastRenderedPageBreak/>
        <w:t>Just over 75 percent of</w:t>
      </w:r>
      <w:r w:rsidR="00516CF1" w:rsidRPr="00902AA3">
        <w:rPr>
          <w:rStyle w:val="Heading4Char"/>
        </w:rPr>
        <w:t xml:space="preserve"> participants</w:t>
      </w:r>
      <w:r w:rsidR="00770953">
        <w:rPr>
          <w:rStyle w:val="Heading4Char"/>
        </w:rPr>
        <w:t xml:space="preserve"> (120)</w:t>
      </w:r>
      <w:r w:rsidR="00516CF1" w:rsidRPr="00902AA3">
        <w:rPr>
          <w:rStyle w:val="Heading4Char"/>
        </w:rPr>
        <w:t xml:space="preserve"> identified as </w:t>
      </w:r>
      <w:r w:rsidR="00902AA3" w:rsidRPr="00902AA3">
        <w:rPr>
          <w:rStyle w:val="Heading4Char"/>
        </w:rPr>
        <w:t>European</w:t>
      </w:r>
      <w:r w:rsidR="00983083">
        <w:rPr>
          <w:rStyle w:val="Heading4Char"/>
        </w:rPr>
        <w:t>.</w:t>
      </w:r>
    </w:p>
    <w:p w14:paraId="4A718407" w14:textId="544CEFD8" w:rsidR="001A7ABD" w:rsidRPr="00983083" w:rsidRDefault="00983083" w:rsidP="00983083">
      <w:pPr>
        <w:rPr>
          <w:iCs/>
        </w:rPr>
      </w:pPr>
      <w:r>
        <w:rPr>
          <w:iCs/>
        </w:rPr>
        <w:t xml:space="preserve">Additionally, </w:t>
      </w:r>
      <w:r w:rsidR="00CD6515" w:rsidRPr="00983083">
        <w:rPr>
          <w:iCs/>
        </w:rPr>
        <w:t>around</w:t>
      </w:r>
      <w:r w:rsidR="00516CF1" w:rsidRPr="00983083">
        <w:rPr>
          <w:iCs/>
        </w:rPr>
        <w:t xml:space="preserve"> </w:t>
      </w:r>
      <w:r w:rsidR="00377994" w:rsidRPr="00983083">
        <w:rPr>
          <w:iCs/>
        </w:rPr>
        <w:t>3</w:t>
      </w:r>
      <w:r w:rsidR="00902AA3" w:rsidRPr="00983083">
        <w:rPr>
          <w:iCs/>
        </w:rPr>
        <w:t>2</w:t>
      </w:r>
      <w:r w:rsidR="00377994" w:rsidRPr="00983083">
        <w:rPr>
          <w:iCs/>
        </w:rPr>
        <w:t xml:space="preserve"> percent</w:t>
      </w:r>
      <w:r w:rsidR="00D00437" w:rsidRPr="00983083">
        <w:rPr>
          <w:iCs/>
        </w:rPr>
        <w:t xml:space="preserve"> of REACH participants</w:t>
      </w:r>
      <w:r w:rsidR="008F1921" w:rsidRPr="00983083">
        <w:rPr>
          <w:iCs/>
        </w:rPr>
        <w:t xml:space="preserve"> </w:t>
      </w:r>
      <w:r>
        <w:rPr>
          <w:iCs/>
        </w:rPr>
        <w:t xml:space="preserve">(51) </w:t>
      </w:r>
      <w:r w:rsidR="00D00437" w:rsidRPr="00983083">
        <w:rPr>
          <w:iCs/>
        </w:rPr>
        <w:t xml:space="preserve">identified as </w:t>
      </w:r>
      <w:r w:rsidR="00266EA3" w:rsidRPr="00983083">
        <w:rPr>
          <w:iCs/>
        </w:rPr>
        <w:t>Māori</w:t>
      </w:r>
      <w:r>
        <w:rPr>
          <w:iCs/>
        </w:rPr>
        <w:t xml:space="preserve"> (Figure 3)</w:t>
      </w:r>
      <w:r w:rsidR="00377994" w:rsidRPr="00983083">
        <w:rPr>
          <w:iCs/>
        </w:rPr>
        <w:t>.</w:t>
      </w:r>
      <w:r w:rsidR="00902AA3" w:rsidRPr="00983083">
        <w:rPr>
          <w:iCs/>
        </w:rPr>
        <w:t xml:space="preserve"> </w:t>
      </w:r>
    </w:p>
    <w:p w14:paraId="7DD01169" w14:textId="51DECCCA" w:rsidR="008209CD" w:rsidRPr="00902AA3" w:rsidRDefault="008209CD" w:rsidP="008B24CC">
      <w:pPr>
        <w:pStyle w:val="Caption"/>
      </w:pPr>
      <w:bookmarkStart w:id="7" w:name="_Ref71640047"/>
      <w:r w:rsidRPr="00902AA3">
        <w:t xml:space="preserve">Figure </w:t>
      </w:r>
      <w:fldSimple w:instr=" SEQ Figure \* ARABIC ">
        <w:r w:rsidR="00F75DF1" w:rsidRPr="00902AA3">
          <w:rPr>
            <w:noProof/>
          </w:rPr>
          <w:t>3</w:t>
        </w:r>
      </w:fldSimple>
      <w:bookmarkEnd w:id="7"/>
      <w:r w:rsidRPr="00902AA3">
        <w:t xml:space="preserve">: Participants by </w:t>
      </w:r>
      <w:r w:rsidR="00902AA3" w:rsidRPr="00902AA3">
        <w:t>total response</w:t>
      </w:r>
      <w:r w:rsidR="00465C3E" w:rsidRPr="00902AA3">
        <w:t xml:space="preserve"> </w:t>
      </w:r>
      <w:r w:rsidRPr="00902AA3">
        <w:t>ethnicity grouping</w:t>
      </w:r>
      <w:r w:rsidR="00EA3FCF" w:rsidRPr="00902AA3">
        <w:t>.</w:t>
      </w:r>
      <w:r w:rsidR="00902AA3" w:rsidRPr="00902AA3">
        <w:rPr>
          <w:rStyle w:val="FootnoteReference"/>
        </w:rPr>
        <w:t xml:space="preserve"> </w:t>
      </w:r>
      <w:r w:rsidR="00902AA3" w:rsidRPr="00902AA3">
        <w:rPr>
          <w:rStyle w:val="FootnoteReference"/>
        </w:rPr>
        <w:footnoteReference w:id="7"/>
      </w:r>
      <w:r w:rsidR="00E02D42">
        <w:rPr>
          <w:rStyle w:val="FootnoteReference"/>
        </w:rPr>
        <w:t>,</w:t>
      </w:r>
      <w:r w:rsidR="00902AA3">
        <w:rPr>
          <w:rStyle w:val="FootnoteReference"/>
        </w:rPr>
        <w:footnoteReference w:id="8"/>
      </w:r>
    </w:p>
    <w:p w14:paraId="22A7C893" w14:textId="475DB0CF" w:rsidR="00B1464A" w:rsidRDefault="00E02D42" w:rsidP="00F113EF">
      <w:pPr>
        <w:rPr>
          <w:iCs/>
          <w:highlight w:val="yellow"/>
        </w:rPr>
      </w:pPr>
      <w:r>
        <w:rPr>
          <w:noProof/>
        </w:rPr>
        <w:drawing>
          <wp:inline distT="0" distB="0" distL="0" distR="0" wp14:anchorId="7054C200" wp14:editId="6C82BE56">
            <wp:extent cx="4572000" cy="1362075"/>
            <wp:effectExtent l="0" t="0" r="0" b="0"/>
            <wp:docPr id="16" name="Chart 16">
              <a:extLst xmlns:a="http://schemas.openxmlformats.org/drawingml/2006/main">
                <a:ext uri="{FF2B5EF4-FFF2-40B4-BE49-F238E27FC236}">
                  <a16:creationId xmlns:a16="http://schemas.microsoft.com/office/drawing/2014/main" id="{65CC3E90-5370-4192-8CF0-91045F2FE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691F8D" w14:textId="450E6295" w:rsidR="00902AA3" w:rsidRPr="00902AA3" w:rsidRDefault="00902AA3" w:rsidP="00F113EF">
      <w:pPr>
        <w:rPr>
          <w:iCs/>
          <w:sz w:val="16"/>
          <w:szCs w:val="18"/>
        </w:rPr>
      </w:pPr>
      <w:r w:rsidRPr="00902AA3">
        <w:rPr>
          <w:iCs/>
          <w:sz w:val="16"/>
          <w:szCs w:val="18"/>
        </w:rPr>
        <w:t>Note: There were 159 participants with a recorded ethnicity (which the calculations above are based off), and 12 respondents who did not have an ethnicity recorded in MSD source systems.</w:t>
      </w:r>
    </w:p>
    <w:p w14:paraId="62AC40A8" w14:textId="5B6F40C3" w:rsidR="00B04DCF" w:rsidRPr="00574D23" w:rsidRDefault="008B24CC" w:rsidP="00F113EF">
      <w:pPr>
        <w:rPr>
          <w:iCs/>
        </w:rPr>
      </w:pPr>
      <w:r w:rsidRPr="00574D23">
        <w:rPr>
          <w:iCs/>
        </w:rPr>
        <w:fldChar w:fldCharType="begin"/>
      </w:r>
      <w:r w:rsidRPr="00574D23">
        <w:rPr>
          <w:iCs/>
        </w:rPr>
        <w:instrText xml:space="preserve"> REF _Ref79569006 \h </w:instrText>
      </w:r>
      <w:r w:rsidR="00443840" w:rsidRPr="00574D23">
        <w:rPr>
          <w:iCs/>
        </w:rPr>
        <w:instrText xml:space="preserve"> \* MERGEFORMAT </w:instrText>
      </w:r>
      <w:r w:rsidRPr="00574D23">
        <w:rPr>
          <w:iCs/>
        </w:rPr>
      </w:r>
      <w:r w:rsidRPr="00574D23">
        <w:rPr>
          <w:iCs/>
        </w:rPr>
        <w:fldChar w:fldCharType="separate"/>
      </w:r>
      <w:r w:rsidR="00F75DF1" w:rsidRPr="00574D23">
        <w:t xml:space="preserve">Figure </w:t>
      </w:r>
      <w:r w:rsidR="00F75DF1" w:rsidRPr="00574D23">
        <w:rPr>
          <w:noProof/>
        </w:rPr>
        <w:t>4</w:t>
      </w:r>
      <w:r w:rsidRPr="00574D23">
        <w:rPr>
          <w:iCs/>
        </w:rPr>
        <w:fldChar w:fldCharType="end"/>
      </w:r>
      <w:r w:rsidRPr="00574D23">
        <w:rPr>
          <w:iCs/>
        </w:rPr>
        <w:t xml:space="preserve"> </w:t>
      </w:r>
      <w:r w:rsidR="00465C3E" w:rsidRPr="00574D23">
        <w:rPr>
          <w:iCs/>
        </w:rPr>
        <w:t xml:space="preserve">below </w:t>
      </w:r>
      <w:r w:rsidR="00B04DCF" w:rsidRPr="00574D23">
        <w:rPr>
          <w:iCs/>
        </w:rPr>
        <w:t xml:space="preserve">shows that </w:t>
      </w:r>
      <w:r w:rsidR="00F3192C" w:rsidRPr="00574D23">
        <w:rPr>
          <w:iCs/>
        </w:rPr>
        <w:t xml:space="preserve">the ethnicity grouping of participants was </w:t>
      </w:r>
      <w:r w:rsidR="00377994" w:rsidRPr="00574D23">
        <w:rPr>
          <w:iCs/>
        </w:rPr>
        <w:t>slightly different</w:t>
      </w:r>
      <w:r w:rsidR="00F3192C" w:rsidRPr="00574D23">
        <w:rPr>
          <w:iCs/>
        </w:rPr>
        <w:t xml:space="preserve"> to the ethnicity grouping of Jobseeker Support – Health Conditions and Disabilities, and Supported Living Payment – Health Conditions and Disabilities recipients as at the end of </w:t>
      </w:r>
      <w:r w:rsidR="002834EA" w:rsidRPr="00574D23">
        <w:rPr>
          <w:iCs/>
        </w:rPr>
        <w:t>June</w:t>
      </w:r>
      <w:r w:rsidR="00F3192C" w:rsidRPr="00574D23">
        <w:rPr>
          <w:iCs/>
        </w:rPr>
        <w:t xml:space="preserve"> 2021</w:t>
      </w:r>
      <w:r w:rsidR="00BF5B2E" w:rsidRPr="00574D23">
        <w:rPr>
          <w:iCs/>
        </w:rPr>
        <w:t>.</w:t>
      </w:r>
      <w:r w:rsidR="00922BDC" w:rsidRPr="00574D23">
        <w:rPr>
          <w:iCs/>
        </w:rPr>
        <w:t xml:space="preserve"> </w:t>
      </w:r>
      <w:r w:rsidR="00574D23" w:rsidRPr="00574D23">
        <w:rPr>
          <w:iCs/>
        </w:rPr>
        <w:t xml:space="preserve">This difference was statistically significant </w:t>
      </w:r>
      <w:r w:rsidR="00A55950">
        <w:rPr>
          <w:iCs/>
        </w:rPr>
        <w:t>for</w:t>
      </w:r>
      <w:r w:rsidR="00574D23" w:rsidRPr="00574D23">
        <w:rPr>
          <w:iCs/>
        </w:rPr>
        <w:t xml:space="preserve"> the European ethnicity grouping.</w:t>
      </w:r>
      <w:r w:rsidR="00B73F04">
        <w:rPr>
          <w:rStyle w:val="FootnoteReference"/>
          <w:iCs/>
        </w:rPr>
        <w:footnoteReference w:id="9"/>
      </w:r>
    </w:p>
    <w:p w14:paraId="0D1B8939" w14:textId="2531F8A5" w:rsidR="00F3192C" w:rsidRDefault="008B24CC" w:rsidP="008B24CC">
      <w:pPr>
        <w:pStyle w:val="Caption"/>
        <w:keepNext/>
        <w:rPr>
          <w:iCs w:val="0"/>
        </w:rPr>
      </w:pPr>
      <w:bookmarkStart w:id="8" w:name="_Ref79569006"/>
      <w:r w:rsidRPr="00574D23">
        <w:t xml:space="preserve">Figure </w:t>
      </w:r>
      <w:fldSimple w:instr=" SEQ Figure \* ARABIC ">
        <w:r w:rsidR="00F75DF1" w:rsidRPr="00574D23">
          <w:rPr>
            <w:noProof/>
          </w:rPr>
          <w:t>4</w:t>
        </w:r>
      </w:fldSimple>
      <w:bookmarkEnd w:id="8"/>
      <w:r w:rsidRPr="00574D23">
        <w:t xml:space="preserve">: Recipients of a Health Conditions and Disabilities main benefit in the Waikato MSD region, as at the end of </w:t>
      </w:r>
      <w:r w:rsidR="002834EA" w:rsidRPr="00574D23">
        <w:t>June</w:t>
      </w:r>
      <w:r w:rsidRPr="00574D23">
        <w:t xml:space="preserve"> 2021, by </w:t>
      </w:r>
      <w:r w:rsidR="00902AA3" w:rsidRPr="00574D23">
        <w:t>total response</w:t>
      </w:r>
      <w:r w:rsidRPr="00574D23">
        <w:t xml:space="preserve"> ethnicity grouping.</w:t>
      </w:r>
      <w:r w:rsidR="00902AA3" w:rsidRPr="00574D23">
        <w:rPr>
          <w:rStyle w:val="FootnoteReference"/>
        </w:rPr>
        <w:t xml:space="preserve"> </w:t>
      </w:r>
      <w:r w:rsidR="00902AA3" w:rsidRPr="00574D23">
        <w:rPr>
          <w:rStyle w:val="FootnoteReference"/>
        </w:rPr>
        <w:footnoteReference w:id="10"/>
      </w:r>
    </w:p>
    <w:p w14:paraId="01F5476F" w14:textId="10B24E70" w:rsidR="00F3192C" w:rsidRDefault="00574D23" w:rsidP="00F113EF">
      <w:pPr>
        <w:rPr>
          <w:iCs/>
        </w:rPr>
      </w:pPr>
      <w:r>
        <w:rPr>
          <w:noProof/>
        </w:rPr>
        <w:drawing>
          <wp:inline distT="0" distB="0" distL="0" distR="0" wp14:anchorId="7BF45414" wp14:editId="4452E11D">
            <wp:extent cx="4572000" cy="2276475"/>
            <wp:effectExtent l="0" t="0" r="0" b="0"/>
            <wp:docPr id="17" name="Chart 17">
              <a:extLst xmlns:a="http://schemas.openxmlformats.org/drawingml/2006/main">
                <a:ext uri="{FF2B5EF4-FFF2-40B4-BE49-F238E27FC236}">
                  <a16:creationId xmlns:a16="http://schemas.microsoft.com/office/drawing/2014/main" id="{80BE1A45-4083-47B4-B40D-74D3CF32E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1F0064" w14:textId="23D964E5" w:rsidR="00B73F04" w:rsidRDefault="00B73F04" w:rsidP="00B73F04">
      <w:pPr>
        <w:rPr>
          <w:iCs/>
          <w:sz w:val="16"/>
          <w:szCs w:val="18"/>
        </w:rPr>
      </w:pPr>
      <w:r w:rsidRPr="00902AA3">
        <w:rPr>
          <w:iCs/>
          <w:sz w:val="16"/>
          <w:szCs w:val="18"/>
        </w:rPr>
        <w:t xml:space="preserve">Note: There were </w:t>
      </w:r>
      <w:r>
        <w:rPr>
          <w:iCs/>
          <w:sz w:val="16"/>
          <w:szCs w:val="18"/>
        </w:rPr>
        <w:t>13,290</w:t>
      </w:r>
      <w:r w:rsidRPr="00902AA3">
        <w:rPr>
          <w:iCs/>
          <w:sz w:val="16"/>
          <w:szCs w:val="18"/>
        </w:rPr>
        <w:t xml:space="preserve"> participants with a recorded ethnicity (which the calculations above are based off), and </w:t>
      </w:r>
      <w:r>
        <w:rPr>
          <w:iCs/>
          <w:sz w:val="16"/>
          <w:szCs w:val="18"/>
        </w:rPr>
        <w:t>579</w:t>
      </w:r>
      <w:r w:rsidRPr="00902AA3">
        <w:rPr>
          <w:iCs/>
          <w:sz w:val="16"/>
          <w:szCs w:val="18"/>
        </w:rPr>
        <w:t xml:space="preserve"> respondents who did not have an ethnicity recorded in MSD source systems.</w:t>
      </w:r>
    </w:p>
    <w:p w14:paraId="660057B1" w14:textId="36310B7A" w:rsidR="00CD6515" w:rsidRDefault="00CD6515" w:rsidP="00B73F04">
      <w:pPr>
        <w:rPr>
          <w:iCs/>
          <w:sz w:val="16"/>
          <w:szCs w:val="18"/>
        </w:rPr>
      </w:pPr>
    </w:p>
    <w:p w14:paraId="1292098F" w14:textId="6860A76F" w:rsidR="00CD6515" w:rsidRDefault="00CD6515" w:rsidP="00B73F04">
      <w:pPr>
        <w:rPr>
          <w:iCs/>
          <w:sz w:val="16"/>
          <w:szCs w:val="18"/>
        </w:rPr>
      </w:pPr>
    </w:p>
    <w:p w14:paraId="5F0439AB" w14:textId="77777777" w:rsidR="00CD6515" w:rsidRDefault="00CD6515" w:rsidP="00B73F04">
      <w:pPr>
        <w:rPr>
          <w:iCs/>
          <w:sz w:val="16"/>
          <w:szCs w:val="18"/>
        </w:rPr>
      </w:pPr>
    </w:p>
    <w:p w14:paraId="153A24E8" w14:textId="01CDFA58" w:rsidR="00CC0890" w:rsidRDefault="008F1921" w:rsidP="0058713A">
      <w:pPr>
        <w:pStyle w:val="Heading3"/>
      </w:pPr>
      <w:r w:rsidRPr="00AA2D36">
        <w:lastRenderedPageBreak/>
        <w:t>J</w:t>
      </w:r>
      <w:r w:rsidR="00CC0890" w:rsidRPr="00AA2D36">
        <w:t xml:space="preserve">ust </w:t>
      </w:r>
      <w:r w:rsidR="00983083">
        <w:t>over</w:t>
      </w:r>
      <w:r w:rsidR="00CD6515">
        <w:t xml:space="preserve"> 5</w:t>
      </w:r>
      <w:r w:rsidR="00983083">
        <w:t>4</w:t>
      </w:r>
      <w:r w:rsidR="00CD6515">
        <w:t xml:space="preserve"> percent</w:t>
      </w:r>
      <w:r w:rsidR="00CC0890" w:rsidRPr="00AA2D36">
        <w:t xml:space="preserve"> of participants </w:t>
      </w:r>
      <w:r w:rsidR="00906BB6">
        <w:t xml:space="preserve">(93) </w:t>
      </w:r>
      <w:r w:rsidR="00983083">
        <w:t>identified as</w:t>
      </w:r>
      <w:r w:rsidR="00CC0890" w:rsidRPr="00AA2D36">
        <w:t xml:space="preserve"> male</w:t>
      </w:r>
      <w:r w:rsidR="00CD6515">
        <w:t>.</w:t>
      </w:r>
    </w:p>
    <w:p w14:paraId="7D3DD80D" w14:textId="5CA75F4D" w:rsidR="00983083" w:rsidRPr="00983083" w:rsidRDefault="00983083" w:rsidP="00983083">
      <w:r>
        <w:t xml:space="preserve">The remaining participants (78) identified as female (Figure 5). </w:t>
      </w:r>
    </w:p>
    <w:p w14:paraId="3238DFE8" w14:textId="4334C506" w:rsidR="008209CD" w:rsidRPr="00AA2D36" w:rsidRDefault="008209CD" w:rsidP="008B24CC">
      <w:pPr>
        <w:pStyle w:val="Caption"/>
      </w:pPr>
      <w:bookmarkStart w:id="9" w:name="_Ref71640101"/>
      <w:r w:rsidRPr="00AA2D36">
        <w:t xml:space="preserve">Figure </w:t>
      </w:r>
      <w:fldSimple w:instr=" SEQ Figure \* ARABIC ">
        <w:r w:rsidR="00F75DF1" w:rsidRPr="00AA2D36">
          <w:rPr>
            <w:noProof/>
          </w:rPr>
          <w:t>5</w:t>
        </w:r>
      </w:fldSimple>
      <w:bookmarkEnd w:id="9"/>
      <w:r w:rsidRPr="00AA2D36">
        <w:t>: Participants by gender</w:t>
      </w:r>
      <w:r w:rsidR="00EA3FCF" w:rsidRPr="00AA2D36">
        <w:t>.</w:t>
      </w:r>
    </w:p>
    <w:p w14:paraId="28FC81D5" w14:textId="5DBDE15B" w:rsidR="003E0279" w:rsidRDefault="00AA2D36" w:rsidP="00F113EF">
      <w:pPr>
        <w:rPr>
          <w:iCs/>
        </w:rPr>
      </w:pPr>
      <w:r>
        <w:rPr>
          <w:noProof/>
        </w:rPr>
        <w:drawing>
          <wp:inline distT="0" distB="0" distL="0" distR="0" wp14:anchorId="587B485C" wp14:editId="5E963315">
            <wp:extent cx="4572000" cy="1181100"/>
            <wp:effectExtent l="0" t="0" r="0" b="0"/>
            <wp:docPr id="11" name="Chart 11">
              <a:extLst xmlns:a="http://schemas.openxmlformats.org/drawingml/2006/main">
                <a:ext uri="{FF2B5EF4-FFF2-40B4-BE49-F238E27FC236}">
                  <a16:creationId xmlns:a16="http://schemas.microsoft.com/office/drawing/2014/main" id="{ED74D9BF-2E13-4B43-B519-80D4F1610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74D844" w14:textId="7D53AA17" w:rsidR="0087150A" w:rsidRPr="00EA0281" w:rsidRDefault="002C0589" w:rsidP="00F113EF">
      <w:pPr>
        <w:rPr>
          <w:iCs/>
        </w:rPr>
      </w:pPr>
      <w:r>
        <w:rPr>
          <w:iCs/>
        </w:rPr>
        <w:t xml:space="preserve">A similar gender breakdown is apparent in </w:t>
      </w:r>
      <w:r w:rsidR="00D70FB0">
        <w:rPr>
          <w:iCs/>
        </w:rPr>
        <w:fldChar w:fldCharType="begin"/>
      </w:r>
      <w:r w:rsidR="00D70FB0">
        <w:rPr>
          <w:iCs/>
        </w:rPr>
        <w:instrText xml:space="preserve"> REF _Ref79569201 \h </w:instrText>
      </w:r>
      <w:r w:rsidR="00D70FB0">
        <w:rPr>
          <w:iCs/>
        </w:rPr>
      </w:r>
      <w:r w:rsidR="00D70FB0">
        <w:rPr>
          <w:iCs/>
        </w:rPr>
        <w:fldChar w:fldCharType="separate"/>
      </w:r>
      <w:r w:rsidR="00F75DF1">
        <w:t xml:space="preserve">Figure </w:t>
      </w:r>
      <w:r w:rsidR="00F75DF1">
        <w:rPr>
          <w:noProof/>
        </w:rPr>
        <w:t>6</w:t>
      </w:r>
      <w:r w:rsidR="00D70FB0">
        <w:rPr>
          <w:iCs/>
        </w:rPr>
        <w:fldChar w:fldCharType="end"/>
      </w:r>
      <w:r w:rsidR="00D70FB0">
        <w:rPr>
          <w:iCs/>
        </w:rPr>
        <w:t xml:space="preserve"> </w:t>
      </w:r>
      <w:r>
        <w:rPr>
          <w:iCs/>
        </w:rPr>
        <w:t>which</w:t>
      </w:r>
      <w:r w:rsidR="00465C3E">
        <w:rPr>
          <w:iCs/>
        </w:rPr>
        <w:t xml:space="preserve"> shows the gender of</w:t>
      </w:r>
      <w:r w:rsidR="00465C3E" w:rsidRPr="00465C3E">
        <w:rPr>
          <w:iCs/>
        </w:rPr>
        <w:t xml:space="preserve"> Jobseeker Support – Health Conditions and Disabilities, and Supported Living Payment – Health Conditions and Disabilities recipients</w:t>
      </w:r>
      <w:r w:rsidR="00A55950">
        <w:rPr>
          <w:iCs/>
        </w:rPr>
        <w:t>,</w:t>
      </w:r>
      <w:r w:rsidR="00465C3E">
        <w:rPr>
          <w:iCs/>
        </w:rPr>
        <w:t xml:space="preserve"> in the Waikato MSD region</w:t>
      </w:r>
      <w:r w:rsidR="00465C3E" w:rsidRPr="00465C3E">
        <w:rPr>
          <w:iCs/>
        </w:rPr>
        <w:t xml:space="preserve"> as at the end of </w:t>
      </w:r>
      <w:r w:rsidR="002834EA">
        <w:rPr>
          <w:iCs/>
        </w:rPr>
        <w:t>June</w:t>
      </w:r>
      <w:r w:rsidR="00465C3E" w:rsidRPr="00465C3E">
        <w:rPr>
          <w:iCs/>
        </w:rPr>
        <w:t xml:space="preserve"> </w:t>
      </w:r>
      <w:r w:rsidR="00465C3E" w:rsidRPr="00EA0281">
        <w:rPr>
          <w:iCs/>
        </w:rPr>
        <w:t>2021.</w:t>
      </w:r>
    </w:p>
    <w:p w14:paraId="529AB8EF" w14:textId="7B21EBE6" w:rsidR="00D70FB0" w:rsidRDefault="00D70FB0" w:rsidP="00D70FB0">
      <w:pPr>
        <w:pStyle w:val="Caption"/>
        <w:keepNext/>
      </w:pPr>
      <w:bookmarkStart w:id="10" w:name="_Ref79569201"/>
      <w:r w:rsidRPr="00EA0281">
        <w:t xml:space="preserve">Figure </w:t>
      </w:r>
      <w:fldSimple w:instr=" SEQ Figure \* ARABIC ">
        <w:r w:rsidR="00F75DF1" w:rsidRPr="00EA0281">
          <w:rPr>
            <w:noProof/>
          </w:rPr>
          <w:t>6</w:t>
        </w:r>
      </w:fldSimple>
      <w:bookmarkEnd w:id="10"/>
      <w:r w:rsidRPr="00EA0281">
        <w:t xml:space="preserve">: Recipients of a Health Conditions and Disabilities main benefit in the Waikato MSD region, as at the end of </w:t>
      </w:r>
      <w:r w:rsidR="002834EA" w:rsidRPr="00EA0281">
        <w:t>June</w:t>
      </w:r>
      <w:r w:rsidRPr="00EA0281">
        <w:t xml:space="preserve"> 2021, by gender.</w:t>
      </w:r>
    </w:p>
    <w:p w14:paraId="4D317C8F" w14:textId="2EE320E0" w:rsidR="00465C3E" w:rsidRDefault="008F2E37" w:rsidP="00F113EF">
      <w:pPr>
        <w:rPr>
          <w:iCs/>
        </w:rPr>
      </w:pPr>
      <w:r>
        <w:rPr>
          <w:noProof/>
        </w:rPr>
        <w:drawing>
          <wp:inline distT="0" distB="0" distL="0" distR="0" wp14:anchorId="338B9B64" wp14:editId="53DEC6F3">
            <wp:extent cx="4572000" cy="1133475"/>
            <wp:effectExtent l="0" t="0" r="0" b="0"/>
            <wp:docPr id="3" name="Chart 3">
              <a:extLst xmlns:a="http://schemas.openxmlformats.org/drawingml/2006/main">
                <a:ext uri="{FF2B5EF4-FFF2-40B4-BE49-F238E27FC236}">
                  <a16:creationId xmlns:a16="http://schemas.microsoft.com/office/drawing/2014/main" id="{9AC8CCBF-0FB8-4496-BD4C-81D8A2360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710DE9" w14:textId="73880251" w:rsidR="0037591D" w:rsidRDefault="0037591D" w:rsidP="00F113EF">
      <w:pPr>
        <w:rPr>
          <w:iCs/>
        </w:rPr>
      </w:pPr>
    </w:p>
    <w:p w14:paraId="43CDD469" w14:textId="2060CECF" w:rsidR="00945292" w:rsidRDefault="00945292" w:rsidP="00F113EF">
      <w:pPr>
        <w:rPr>
          <w:iCs/>
        </w:rPr>
      </w:pPr>
    </w:p>
    <w:p w14:paraId="3CEA8BC1" w14:textId="0D003991" w:rsidR="00945292" w:rsidRDefault="00945292" w:rsidP="00F113EF">
      <w:pPr>
        <w:rPr>
          <w:iCs/>
        </w:rPr>
      </w:pPr>
    </w:p>
    <w:p w14:paraId="5CAD29F8" w14:textId="7A2FF511" w:rsidR="00945292" w:rsidRDefault="00945292" w:rsidP="00F113EF">
      <w:pPr>
        <w:rPr>
          <w:iCs/>
        </w:rPr>
      </w:pPr>
    </w:p>
    <w:p w14:paraId="1CD9958C" w14:textId="624AE5D0" w:rsidR="00945292" w:rsidRDefault="00945292" w:rsidP="00F113EF">
      <w:pPr>
        <w:rPr>
          <w:iCs/>
        </w:rPr>
      </w:pPr>
    </w:p>
    <w:p w14:paraId="6E5F411D" w14:textId="5751EC98" w:rsidR="00945292" w:rsidRDefault="00945292" w:rsidP="00F113EF">
      <w:pPr>
        <w:rPr>
          <w:iCs/>
        </w:rPr>
      </w:pPr>
    </w:p>
    <w:p w14:paraId="7CEE752E" w14:textId="6312707A" w:rsidR="00945292" w:rsidRDefault="00945292" w:rsidP="00F113EF">
      <w:pPr>
        <w:rPr>
          <w:iCs/>
        </w:rPr>
      </w:pPr>
    </w:p>
    <w:p w14:paraId="5571E172" w14:textId="0CE2A630" w:rsidR="00945292" w:rsidRDefault="00945292" w:rsidP="00F113EF">
      <w:pPr>
        <w:rPr>
          <w:iCs/>
        </w:rPr>
      </w:pPr>
    </w:p>
    <w:p w14:paraId="6E0E35C2" w14:textId="323147C4" w:rsidR="00945292" w:rsidRDefault="00945292" w:rsidP="00F113EF">
      <w:pPr>
        <w:rPr>
          <w:iCs/>
        </w:rPr>
      </w:pPr>
    </w:p>
    <w:p w14:paraId="279B0073" w14:textId="006CF1E1" w:rsidR="00945292" w:rsidRDefault="00945292" w:rsidP="00F113EF">
      <w:pPr>
        <w:rPr>
          <w:iCs/>
        </w:rPr>
      </w:pPr>
    </w:p>
    <w:p w14:paraId="6E87FDC2" w14:textId="721EDE15" w:rsidR="00945292" w:rsidRDefault="00945292" w:rsidP="00F113EF">
      <w:pPr>
        <w:rPr>
          <w:iCs/>
        </w:rPr>
      </w:pPr>
    </w:p>
    <w:p w14:paraId="253AB282" w14:textId="57DEE7D6" w:rsidR="00945292" w:rsidRDefault="00945292" w:rsidP="00F113EF">
      <w:pPr>
        <w:rPr>
          <w:iCs/>
        </w:rPr>
      </w:pPr>
    </w:p>
    <w:p w14:paraId="1D70E8F1" w14:textId="0FA5241F" w:rsidR="00945292" w:rsidRDefault="00945292" w:rsidP="00F113EF">
      <w:pPr>
        <w:rPr>
          <w:iCs/>
        </w:rPr>
      </w:pPr>
    </w:p>
    <w:p w14:paraId="4D676013" w14:textId="77777777" w:rsidR="00945292" w:rsidRDefault="00945292" w:rsidP="00F113EF">
      <w:pPr>
        <w:rPr>
          <w:iCs/>
        </w:rPr>
      </w:pPr>
    </w:p>
    <w:p w14:paraId="763675BE" w14:textId="3D504DC5" w:rsidR="002834EA" w:rsidRDefault="002834EA" w:rsidP="0058713A">
      <w:pPr>
        <w:pStyle w:val="Heading3"/>
      </w:pPr>
      <w:r w:rsidRPr="00D12381">
        <w:lastRenderedPageBreak/>
        <w:t>M</w:t>
      </w:r>
      <w:r w:rsidR="00F813FE" w:rsidRPr="00D12381">
        <w:t>ost participants</w:t>
      </w:r>
      <w:r w:rsidR="00906BB6">
        <w:t xml:space="preserve"> (150)</w:t>
      </w:r>
      <w:r w:rsidR="00F813FE" w:rsidRPr="00D12381">
        <w:t xml:space="preserve"> were </w:t>
      </w:r>
      <w:r w:rsidR="0037591D">
        <w:t xml:space="preserve">single and </w:t>
      </w:r>
      <w:r w:rsidR="00F813FE" w:rsidRPr="00D12381">
        <w:t xml:space="preserve">not in a </w:t>
      </w:r>
      <w:r w:rsidR="00D85EF3" w:rsidRPr="00D12381">
        <w:t>partnership</w:t>
      </w:r>
      <w:r w:rsidR="00F813FE" w:rsidRPr="00D12381">
        <w:t xml:space="preserve"> at their time of enrolment.</w:t>
      </w:r>
      <w:r w:rsidRPr="00D12381">
        <w:rPr>
          <w:rStyle w:val="FootnoteReference"/>
        </w:rPr>
        <w:footnoteReference w:id="11"/>
      </w:r>
      <w:r w:rsidR="00F813FE" w:rsidRPr="00D12381">
        <w:t xml:space="preserve"> </w:t>
      </w:r>
    </w:p>
    <w:p w14:paraId="583B99FD" w14:textId="45EA83A8" w:rsidR="0037591D" w:rsidRPr="00A55950" w:rsidRDefault="00A55950" w:rsidP="0037591D">
      <w:pPr>
        <w:rPr>
          <w:iCs/>
        </w:rPr>
      </w:pPr>
      <w:r w:rsidRPr="00D12381">
        <w:rPr>
          <w:iCs/>
        </w:rPr>
        <w:t xml:space="preserve">In contrast, </w:t>
      </w:r>
      <w:r w:rsidR="00C0123A">
        <w:rPr>
          <w:iCs/>
        </w:rPr>
        <w:t>just over nine percent</w:t>
      </w:r>
      <w:r w:rsidRPr="00D12381">
        <w:rPr>
          <w:iCs/>
        </w:rPr>
        <w:t xml:space="preserve"> of participants (15) were in a partnership. </w:t>
      </w:r>
      <w:r w:rsidR="0037591D">
        <w:t>This trend is reflective of the partnership</w:t>
      </w:r>
      <w:r>
        <w:t xml:space="preserve"> status</w:t>
      </w:r>
      <w:r w:rsidR="0037591D">
        <w:t xml:space="preserve"> of benefit recipients as a </w:t>
      </w:r>
      <w:r>
        <w:t>population</w:t>
      </w:r>
      <w:r w:rsidR="0037591D">
        <w:t>.</w:t>
      </w:r>
      <w:r w:rsidR="00983083">
        <w:rPr>
          <w:rStyle w:val="FootnoteReference"/>
        </w:rPr>
        <w:footnoteReference w:id="12"/>
      </w:r>
    </w:p>
    <w:p w14:paraId="4AF29D60" w14:textId="619EA4FA" w:rsidR="008209CD" w:rsidRPr="00D70FB0" w:rsidRDefault="008209CD" w:rsidP="00D70FB0">
      <w:pPr>
        <w:pStyle w:val="Caption"/>
      </w:pPr>
      <w:bookmarkStart w:id="11" w:name="_Ref71640122"/>
      <w:r w:rsidRPr="00D12381">
        <w:t xml:space="preserve">Figure </w:t>
      </w:r>
      <w:fldSimple w:instr=" SEQ Figure \* ARABIC ">
        <w:r w:rsidR="00F75DF1" w:rsidRPr="00D12381">
          <w:rPr>
            <w:noProof/>
          </w:rPr>
          <w:t>7</w:t>
        </w:r>
      </w:fldSimple>
      <w:bookmarkEnd w:id="11"/>
      <w:r w:rsidRPr="00D12381">
        <w:t>: Participants by partnership status</w:t>
      </w:r>
      <w:r w:rsidR="00EA3FCF" w:rsidRPr="00D12381">
        <w:t>.</w:t>
      </w:r>
    </w:p>
    <w:p w14:paraId="77937D49" w14:textId="11DD9631" w:rsidR="003E0279" w:rsidRDefault="00D12381" w:rsidP="00F113EF">
      <w:pPr>
        <w:rPr>
          <w:iCs/>
        </w:rPr>
      </w:pPr>
      <w:r>
        <w:rPr>
          <w:noProof/>
        </w:rPr>
        <w:drawing>
          <wp:inline distT="0" distB="0" distL="0" distR="0" wp14:anchorId="01B73647" wp14:editId="43E3E79D">
            <wp:extent cx="4848225" cy="1914525"/>
            <wp:effectExtent l="0" t="0" r="0" b="0"/>
            <wp:docPr id="12" name="Chart 12">
              <a:extLst xmlns:a="http://schemas.openxmlformats.org/drawingml/2006/main">
                <a:ext uri="{FF2B5EF4-FFF2-40B4-BE49-F238E27FC236}">
                  <a16:creationId xmlns:a16="http://schemas.microsoft.com/office/drawing/2014/main" id="{E5186592-98AE-41FA-B598-0B18DE647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D78EBE" w14:textId="748C1105" w:rsidR="00945292" w:rsidRDefault="00945292" w:rsidP="00F113EF">
      <w:pPr>
        <w:rPr>
          <w:iCs/>
        </w:rPr>
      </w:pPr>
    </w:p>
    <w:p w14:paraId="3C75F2B7" w14:textId="13ED20BD" w:rsidR="00945292" w:rsidRDefault="00945292" w:rsidP="00F113EF">
      <w:pPr>
        <w:rPr>
          <w:iCs/>
        </w:rPr>
      </w:pPr>
    </w:p>
    <w:p w14:paraId="0B0DA65D" w14:textId="25B3FE00" w:rsidR="00945292" w:rsidRDefault="00945292" w:rsidP="00F113EF">
      <w:pPr>
        <w:rPr>
          <w:iCs/>
        </w:rPr>
      </w:pPr>
    </w:p>
    <w:p w14:paraId="05241308" w14:textId="53FAC2E4" w:rsidR="00945292" w:rsidRDefault="00945292" w:rsidP="00F113EF">
      <w:pPr>
        <w:rPr>
          <w:iCs/>
        </w:rPr>
      </w:pPr>
    </w:p>
    <w:p w14:paraId="56138C61" w14:textId="46FD4020" w:rsidR="00945292" w:rsidRDefault="00945292" w:rsidP="00F113EF">
      <w:pPr>
        <w:rPr>
          <w:iCs/>
        </w:rPr>
      </w:pPr>
    </w:p>
    <w:p w14:paraId="7C91F220" w14:textId="0602A20D" w:rsidR="00945292" w:rsidRDefault="00945292" w:rsidP="00F113EF">
      <w:pPr>
        <w:rPr>
          <w:iCs/>
        </w:rPr>
      </w:pPr>
    </w:p>
    <w:p w14:paraId="2E0F79E8" w14:textId="22C48111" w:rsidR="00945292" w:rsidRDefault="00945292" w:rsidP="00F113EF">
      <w:pPr>
        <w:rPr>
          <w:iCs/>
        </w:rPr>
      </w:pPr>
    </w:p>
    <w:p w14:paraId="67981D19" w14:textId="51A14390" w:rsidR="00945292" w:rsidRDefault="00945292" w:rsidP="00F113EF">
      <w:pPr>
        <w:rPr>
          <w:iCs/>
        </w:rPr>
      </w:pPr>
    </w:p>
    <w:p w14:paraId="32A9D257" w14:textId="37F72414" w:rsidR="00945292" w:rsidRDefault="00945292" w:rsidP="00F113EF">
      <w:pPr>
        <w:rPr>
          <w:iCs/>
        </w:rPr>
      </w:pPr>
    </w:p>
    <w:p w14:paraId="1F2FF041" w14:textId="0D20B10D" w:rsidR="00945292" w:rsidRDefault="00945292" w:rsidP="00F113EF">
      <w:pPr>
        <w:rPr>
          <w:iCs/>
        </w:rPr>
      </w:pPr>
    </w:p>
    <w:p w14:paraId="3A35057B" w14:textId="1F201DA5" w:rsidR="00945292" w:rsidRDefault="00945292" w:rsidP="00F113EF">
      <w:pPr>
        <w:rPr>
          <w:iCs/>
        </w:rPr>
      </w:pPr>
    </w:p>
    <w:p w14:paraId="2E1E143D" w14:textId="52FB4512" w:rsidR="00945292" w:rsidRDefault="00945292" w:rsidP="00F113EF">
      <w:pPr>
        <w:rPr>
          <w:iCs/>
        </w:rPr>
      </w:pPr>
    </w:p>
    <w:p w14:paraId="0C95A65F" w14:textId="641C5464" w:rsidR="00945292" w:rsidRDefault="00945292" w:rsidP="00F113EF">
      <w:pPr>
        <w:rPr>
          <w:iCs/>
        </w:rPr>
      </w:pPr>
    </w:p>
    <w:p w14:paraId="2DDE5DEA" w14:textId="46C5AED4" w:rsidR="00945292" w:rsidRDefault="00945292" w:rsidP="00F113EF">
      <w:pPr>
        <w:rPr>
          <w:iCs/>
        </w:rPr>
      </w:pPr>
    </w:p>
    <w:p w14:paraId="28D0C62C" w14:textId="6C4F4093" w:rsidR="00945292" w:rsidRDefault="00945292" w:rsidP="00F113EF">
      <w:pPr>
        <w:rPr>
          <w:iCs/>
        </w:rPr>
      </w:pPr>
    </w:p>
    <w:p w14:paraId="376D4941" w14:textId="76A01435" w:rsidR="00945292" w:rsidRDefault="00945292" w:rsidP="00F113EF">
      <w:pPr>
        <w:rPr>
          <w:iCs/>
        </w:rPr>
      </w:pPr>
    </w:p>
    <w:p w14:paraId="76342E09" w14:textId="4AD707FB" w:rsidR="00945292" w:rsidRDefault="00945292" w:rsidP="00F113EF">
      <w:pPr>
        <w:rPr>
          <w:iCs/>
        </w:rPr>
      </w:pPr>
    </w:p>
    <w:p w14:paraId="3659F3A3" w14:textId="77777777" w:rsidR="00945292" w:rsidRDefault="00945292" w:rsidP="00F113EF">
      <w:pPr>
        <w:rPr>
          <w:iCs/>
        </w:rPr>
      </w:pPr>
    </w:p>
    <w:p w14:paraId="713707BA" w14:textId="087E2841" w:rsidR="00CC0890" w:rsidRPr="00641611" w:rsidRDefault="00D32019" w:rsidP="0058713A">
      <w:pPr>
        <w:pStyle w:val="Heading3"/>
      </w:pPr>
      <w:r w:rsidRPr="00641611">
        <w:lastRenderedPageBreak/>
        <w:t xml:space="preserve">Most participants </w:t>
      </w:r>
      <w:r w:rsidR="00A575D6">
        <w:t xml:space="preserve">(126) </w:t>
      </w:r>
      <w:r w:rsidRPr="00641611">
        <w:t>were receiving Jobseeker Support – Health Conditions and Disabilities on the date they were referred for REACH</w:t>
      </w:r>
      <w:r w:rsidR="00CD6515">
        <w:t>.</w:t>
      </w:r>
    </w:p>
    <w:p w14:paraId="151D2902" w14:textId="5C88ECA4" w:rsidR="00DC4761" w:rsidRPr="00641611" w:rsidRDefault="00DC4761" w:rsidP="00DC4761">
      <w:pPr>
        <w:rPr>
          <w:iCs/>
        </w:rPr>
      </w:pPr>
      <w:r w:rsidRPr="00CC3688">
        <w:rPr>
          <w:iCs/>
        </w:rPr>
        <w:t>This finding is expected because</w:t>
      </w:r>
      <w:r w:rsidRPr="00DC4761">
        <w:rPr>
          <w:iCs/>
        </w:rPr>
        <w:t xml:space="preserve"> people had to be in receipt of a benefit with a medical work deferral to meet</w:t>
      </w:r>
      <w:r w:rsidRPr="00CC3688">
        <w:rPr>
          <w:iCs/>
        </w:rPr>
        <w:t xml:space="preserve"> the eligibility criteria for REACH.</w:t>
      </w:r>
      <w:r w:rsidRPr="00641611">
        <w:rPr>
          <w:iCs/>
        </w:rPr>
        <w:t xml:space="preserve"> </w:t>
      </w:r>
    </w:p>
    <w:p w14:paraId="44F1E25A" w14:textId="3FBA1E1E" w:rsidR="00347805" w:rsidRPr="00641611" w:rsidRDefault="00347805" w:rsidP="00F113EF">
      <w:pPr>
        <w:rPr>
          <w:iCs/>
        </w:rPr>
      </w:pPr>
      <w:r w:rsidRPr="00641611">
        <w:rPr>
          <w:iCs/>
        </w:rPr>
        <w:t>People receiving Jobseeker Support – Health Conditions and Disabilities, or Supported Living Payment</w:t>
      </w:r>
      <w:r w:rsidR="00617EE0" w:rsidRPr="00641611">
        <w:rPr>
          <w:iCs/>
        </w:rPr>
        <w:t xml:space="preserve"> – Health Conditions and Disabilities</w:t>
      </w:r>
      <w:r w:rsidRPr="00641611">
        <w:rPr>
          <w:iCs/>
        </w:rPr>
        <w:t>, almost always have a medical work deferral</w:t>
      </w:r>
      <w:r w:rsidR="00617EE0" w:rsidRPr="00641611">
        <w:rPr>
          <w:iCs/>
        </w:rPr>
        <w:t xml:space="preserve"> (rare exceptions usually relate to </w:t>
      </w:r>
      <w:r w:rsidR="00661411" w:rsidRPr="00641611">
        <w:rPr>
          <w:iCs/>
        </w:rPr>
        <w:t xml:space="preserve">the </w:t>
      </w:r>
      <w:r w:rsidR="00617EE0" w:rsidRPr="00641611">
        <w:rPr>
          <w:iCs/>
        </w:rPr>
        <w:t>partners of people receiving these benefits)</w:t>
      </w:r>
      <w:r w:rsidRPr="00641611">
        <w:rPr>
          <w:iCs/>
        </w:rPr>
        <w:t xml:space="preserve">. People receiving </w:t>
      </w:r>
      <w:r w:rsidR="00617EE0" w:rsidRPr="00641611">
        <w:rPr>
          <w:iCs/>
        </w:rPr>
        <w:t>other benefits</w:t>
      </w:r>
      <w:r w:rsidRPr="00641611">
        <w:rPr>
          <w:iCs/>
        </w:rPr>
        <w:t xml:space="preserve"> can also apply for a medical work deferral depending on their circumstances</w:t>
      </w:r>
      <w:r w:rsidR="00205501" w:rsidRPr="00641611">
        <w:rPr>
          <w:iCs/>
        </w:rPr>
        <w:t>, though these are usually handled through a different process</w:t>
      </w:r>
      <w:r w:rsidRPr="00641611">
        <w:rPr>
          <w:iCs/>
        </w:rPr>
        <w:t xml:space="preserve">. </w:t>
      </w:r>
    </w:p>
    <w:p w14:paraId="646C6407" w14:textId="394861DC" w:rsidR="00CC0890" w:rsidRPr="00641611" w:rsidRDefault="003A3445" w:rsidP="00F113EF">
      <w:pPr>
        <w:rPr>
          <w:iCs/>
        </w:rPr>
      </w:pPr>
      <w:r w:rsidRPr="00641611">
        <w:rPr>
          <w:iCs/>
        </w:rPr>
        <w:fldChar w:fldCharType="begin"/>
      </w:r>
      <w:r w:rsidRPr="00641611">
        <w:rPr>
          <w:iCs/>
        </w:rPr>
        <w:instrText xml:space="preserve"> REF _Ref71640138 \h  \* MERGEFORMAT </w:instrText>
      </w:r>
      <w:r w:rsidRPr="00641611">
        <w:rPr>
          <w:iCs/>
        </w:rPr>
      </w:r>
      <w:r w:rsidRPr="00641611">
        <w:rPr>
          <w:iCs/>
        </w:rPr>
        <w:fldChar w:fldCharType="separate"/>
      </w:r>
      <w:r w:rsidR="00F75DF1" w:rsidRPr="00641611">
        <w:rPr>
          <w:iCs/>
        </w:rPr>
        <w:t xml:space="preserve">Figure </w:t>
      </w:r>
      <w:r w:rsidR="00F75DF1" w:rsidRPr="00641611">
        <w:rPr>
          <w:iCs/>
          <w:noProof/>
        </w:rPr>
        <w:t>8</w:t>
      </w:r>
      <w:r w:rsidRPr="00641611">
        <w:rPr>
          <w:iCs/>
        </w:rPr>
        <w:fldChar w:fldCharType="end"/>
      </w:r>
      <w:r w:rsidRPr="00641611">
        <w:rPr>
          <w:iCs/>
        </w:rPr>
        <w:t xml:space="preserve"> shows that </w:t>
      </w:r>
      <w:r w:rsidR="00CD6515">
        <w:rPr>
          <w:iCs/>
        </w:rPr>
        <w:t xml:space="preserve">in addition to </w:t>
      </w:r>
      <w:r w:rsidR="00347BA3">
        <w:rPr>
          <w:iCs/>
        </w:rPr>
        <w:t>the</w:t>
      </w:r>
      <w:r w:rsidR="00CD6515">
        <w:rPr>
          <w:iCs/>
        </w:rPr>
        <w:t xml:space="preserve"> participants receiving </w:t>
      </w:r>
      <w:r w:rsidR="00CD6515" w:rsidRPr="00CD6515">
        <w:rPr>
          <w:iCs/>
        </w:rPr>
        <w:t>Jobseeker Support – Health Conditions and Disabilities</w:t>
      </w:r>
      <w:r w:rsidR="00152BC7" w:rsidRPr="00641611">
        <w:rPr>
          <w:iCs/>
        </w:rPr>
        <w:t xml:space="preserve">, a further </w:t>
      </w:r>
      <w:r w:rsidR="00DE3816" w:rsidRPr="00641611">
        <w:rPr>
          <w:iCs/>
        </w:rPr>
        <w:t>14</w:t>
      </w:r>
      <w:r w:rsidR="00152BC7" w:rsidRPr="00641611">
        <w:rPr>
          <w:iCs/>
        </w:rPr>
        <w:t xml:space="preserve"> percent</w:t>
      </w:r>
      <w:r w:rsidR="00D36017" w:rsidRPr="00641611">
        <w:rPr>
          <w:iCs/>
        </w:rPr>
        <w:t xml:space="preserve"> of participants (</w:t>
      </w:r>
      <w:r w:rsidR="0097168E" w:rsidRPr="00641611">
        <w:rPr>
          <w:iCs/>
        </w:rPr>
        <w:t>2</w:t>
      </w:r>
      <w:r w:rsidR="00DE3816" w:rsidRPr="00641611">
        <w:rPr>
          <w:iCs/>
        </w:rPr>
        <w:t>4</w:t>
      </w:r>
      <w:r w:rsidR="00D36017" w:rsidRPr="00641611">
        <w:rPr>
          <w:iCs/>
        </w:rPr>
        <w:t>)</w:t>
      </w:r>
      <w:r w:rsidR="00152BC7" w:rsidRPr="00641611">
        <w:rPr>
          <w:iCs/>
        </w:rPr>
        <w:t xml:space="preserve"> were receiving Supported Living Payment</w:t>
      </w:r>
      <w:r w:rsidR="00661411" w:rsidRPr="00641611">
        <w:rPr>
          <w:iCs/>
        </w:rPr>
        <w:t xml:space="preserve"> – Health Conditions and Disabilities.</w:t>
      </w:r>
    </w:p>
    <w:p w14:paraId="22B1D7D6" w14:textId="3EBD7DDD" w:rsidR="00CC0890" w:rsidRPr="00D70FB0" w:rsidRDefault="008209CD" w:rsidP="00D70FB0">
      <w:pPr>
        <w:pStyle w:val="Caption"/>
      </w:pPr>
      <w:bookmarkStart w:id="12" w:name="_Ref71640138"/>
      <w:r w:rsidRPr="00641611">
        <w:t xml:space="preserve">Figure </w:t>
      </w:r>
      <w:fldSimple w:instr=" SEQ Figure \* ARABIC ">
        <w:r w:rsidR="00F75DF1" w:rsidRPr="00641611">
          <w:rPr>
            <w:noProof/>
          </w:rPr>
          <w:t>8</w:t>
        </w:r>
      </w:fldSimple>
      <w:bookmarkEnd w:id="12"/>
      <w:r w:rsidRPr="00641611">
        <w:t xml:space="preserve">: Participants by </w:t>
      </w:r>
      <w:r w:rsidR="00EA3FCF" w:rsidRPr="00641611">
        <w:t>benefit type.</w:t>
      </w:r>
      <w:r w:rsidR="00FB3EA6" w:rsidRPr="00641611">
        <w:rPr>
          <w:rStyle w:val="FootnoteReference"/>
        </w:rPr>
        <w:footnoteReference w:id="13"/>
      </w:r>
    </w:p>
    <w:p w14:paraId="796C53DB" w14:textId="24321F0D" w:rsidR="00F813FE" w:rsidRDefault="009B2CB6" w:rsidP="00F113EF">
      <w:pPr>
        <w:rPr>
          <w:iCs/>
        </w:rPr>
      </w:pPr>
      <w:r>
        <w:rPr>
          <w:noProof/>
        </w:rPr>
        <w:drawing>
          <wp:inline distT="0" distB="0" distL="0" distR="0" wp14:anchorId="31DDF603" wp14:editId="3ABE8BE3">
            <wp:extent cx="5391150" cy="2809875"/>
            <wp:effectExtent l="0" t="0" r="0" b="0"/>
            <wp:docPr id="13" name="Chart 13">
              <a:extLst xmlns:a="http://schemas.openxmlformats.org/drawingml/2006/main">
                <a:ext uri="{FF2B5EF4-FFF2-40B4-BE49-F238E27FC236}">
                  <a16:creationId xmlns:a16="http://schemas.microsoft.com/office/drawing/2014/main" id="{5DE55881-8F9A-427A-991B-B16A21214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75301B" w14:textId="72C37424" w:rsidR="00CA27DF" w:rsidRDefault="00CA27DF" w:rsidP="00F113EF">
      <w:pPr>
        <w:rPr>
          <w:iCs/>
        </w:rPr>
      </w:pPr>
    </w:p>
    <w:p w14:paraId="4F4B7E57" w14:textId="1E3AB3C9" w:rsidR="00CA27DF" w:rsidRDefault="00CA27DF" w:rsidP="00F113EF">
      <w:pPr>
        <w:rPr>
          <w:iCs/>
        </w:rPr>
      </w:pPr>
    </w:p>
    <w:p w14:paraId="4D0FFA3D" w14:textId="78FFD64A" w:rsidR="00CA27DF" w:rsidRDefault="00CA27DF" w:rsidP="00F113EF">
      <w:pPr>
        <w:rPr>
          <w:iCs/>
        </w:rPr>
      </w:pPr>
    </w:p>
    <w:p w14:paraId="09CCD6D0" w14:textId="12599BD8" w:rsidR="00CA27DF" w:rsidRDefault="00CA27DF" w:rsidP="00F113EF">
      <w:pPr>
        <w:rPr>
          <w:iCs/>
        </w:rPr>
      </w:pPr>
    </w:p>
    <w:p w14:paraId="12BC5C61" w14:textId="5F309D79" w:rsidR="00CA27DF" w:rsidRDefault="00CA27DF" w:rsidP="00F113EF">
      <w:pPr>
        <w:rPr>
          <w:iCs/>
        </w:rPr>
      </w:pPr>
    </w:p>
    <w:p w14:paraId="6716198D" w14:textId="55DF13F5" w:rsidR="00CA27DF" w:rsidRDefault="00CA27DF" w:rsidP="00F113EF">
      <w:pPr>
        <w:rPr>
          <w:iCs/>
        </w:rPr>
      </w:pPr>
    </w:p>
    <w:p w14:paraId="6A0D80C2" w14:textId="23117BC1" w:rsidR="00CA27DF" w:rsidRDefault="00CA27DF" w:rsidP="00F113EF">
      <w:pPr>
        <w:rPr>
          <w:iCs/>
        </w:rPr>
      </w:pPr>
    </w:p>
    <w:p w14:paraId="70C55674" w14:textId="5D929AF2" w:rsidR="00CA27DF" w:rsidRDefault="00CA27DF" w:rsidP="00F113EF">
      <w:pPr>
        <w:rPr>
          <w:iCs/>
        </w:rPr>
      </w:pPr>
    </w:p>
    <w:p w14:paraId="4FEF940C" w14:textId="22C867BB" w:rsidR="00DE3816" w:rsidRPr="009845CF" w:rsidRDefault="00184456" w:rsidP="0058713A">
      <w:pPr>
        <w:pStyle w:val="Heading3"/>
        <w:rPr>
          <w:iCs/>
        </w:rPr>
      </w:pPr>
      <w:r w:rsidRPr="009845CF">
        <w:rPr>
          <w:rStyle w:val="Heading4Char"/>
        </w:rPr>
        <w:lastRenderedPageBreak/>
        <w:t xml:space="preserve">Just </w:t>
      </w:r>
      <w:r w:rsidR="009845CF" w:rsidRPr="009845CF">
        <w:rPr>
          <w:rStyle w:val="Heading4Char"/>
        </w:rPr>
        <w:t>under</w:t>
      </w:r>
      <w:r w:rsidRPr="009845CF">
        <w:rPr>
          <w:rStyle w:val="Heading4Char"/>
        </w:rPr>
        <w:t xml:space="preserve"> 60</w:t>
      </w:r>
      <w:r w:rsidR="00A96E4C" w:rsidRPr="009845CF">
        <w:rPr>
          <w:rStyle w:val="Heading4Char"/>
        </w:rPr>
        <w:t xml:space="preserve"> percent</w:t>
      </w:r>
      <w:r w:rsidR="00482393" w:rsidRPr="009845CF">
        <w:rPr>
          <w:rStyle w:val="Heading4Char"/>
        </w:rPr>
        <w:t xml:space="preserve"> of participants</w:t>
      </w:r>
      <w:r w:rsidR="00DE3816" w:rsidRPr="009845CF">
        <w:rPr>
          <w:rStyle w:val="Heading4Char"/>
        </w:rPr>
        <w:t xml:space="preserve"> </w:t>
      </w:r>
      <w:r w:rsidR="003C0E1E">
        <w:rPr>
          <w:rStyle w:val="Heading4Char"/>
        </w:rPr>
        <w:t xml:space="preserve">(102) </w:t>
      </w:r>
      <w:r w:rsidR="00482393" w:rsidRPr="009845CF">
        <w:rPr>
          <w:rStyle w:val="Heading4Char"/>
        </w:rPr>
        <w:t xml:space="preserve">had a mental health related condition listed on their current medical </w:t>
      </w:r>
      <w:r w:rsidR="00EA3FCF" w:rsidRPr="009845CF">
        <w:rPr>
          <w:rStyle w:val="Heading4Char"/>
        </w:rPr>
        <w:t>certificate</w:t>
      </w:r>
      <w:r w:rsidR="00482393" w:rsidRPr="009845CF">
        <w:rPr>
          <w:rStyle w:val="Heading4Char"/>
        </w:rPr>
        <w:t xml:space="preserve"> as at their referral date for REACH</w:t>
      </w:r>
      <w:r w:rsidR="00DE3816" w:rsidRPr="009845CF">
        <w:rPr>
          <w:rStyle w:val="Heading4Char"/>
        </w:rPr>
        <w:t>.</w:t>
      </w:r>
      <w:r w:rsidR="00922BDC" w:rsidRPr="00CF5CA7">
        <w:rPr>
          <w:rStyle w:val="FootnoteReference"/>
          <w:iCs/>
        </w:rPr>
        <w:footnoteReference w:id="14"/>
      </w:r>
      <w:r w:rsidR="00482393" w:rsidRPr="00CF5CA7">
        <w:rPr>
          <w:iCs/>
        </w:rPr>
        <w:t xml:space="preserve"> </w:t>
      </w:r>
    </w:p>
    <w:p w14:paraId="6BB64980" w14:textId="3B63B470" w:rsidR="00184456" w:rsidRPr="009845CF" w:rsidRDefault="00983083" w:rsidP="00F113EF">
      <w:pPr>
        <w:rPr>
          <w:iCs/>
        </w:rPr>
      </w:pPr>
      <w:r>
        <w:rPr>
          <w:iCs/>
        </w:rPr>
        <w:t>Just under 16</w:t>
      </w:r>
      <w:r w:rsidR="00184456" w:rsidRPr="009845CF">
        <w:rPr>
          <w:iCs/>
        </w:rPr>
        <w:t xml:space="preserve"> percent of participants (2</w:t>
      </w:r>
      <w:r w:rsidR="009845CF" w:rsidRPr="009845CF">
        <w:rPr>
          <w:iCs/>
        </w:rPr>
        <w:t>7</w:t>
      </w:r>
      <w:r w:rsidR="00184456" w:rsidRPr="009845CF">
        <w:rPr>
          <w:iCs/>
        </w:rPr>
        <w:t>) did not have any health conditions recorded in MSD’s systems, while 1</w:t>
      </w:r>
      <w:r w:rsidR="009845CF" w:rsidRPr="009845CF">
        <w:rPr>
          <w:iCs/>
        </w:rPr>
        <w:t>0.5</w:t>
      </w:r>
      <w:r w:rsidR="00184456" w:rsidRPr="009845CF">
        <w:rPr>
          <w:iCs/>
        </w:rPr>
        <w:t xml:space="preserve"> percent of participants (1</w:t>
      </w:r>
      <w:r w:rsidR="009845CF" w:rsidRPr="009845CF">
        <w:rPr>
          <w:iCs/>
        </w:rPr>
        <w:t>8</w:t>
      </w:r>
      <w:r w:rsidR="00184456" w:rsidRPr="009845CF">
        <w:rPr>
          <w:iCs/>
        </w:rPr>
        <w:t>) had a musculoskeletal or connective tissue disease recorded on their current medical certificate.</w:t>
      </w:r>
    </w:p>
    <w:p w14:paraId="3F33418F" w14:textId="5696F1E9" w:rsidR="008209CD" w:rsidRPr="00D70FB0" w:rsidRDefault="008209CD" w:rsidP="00D70FB0">
      <w:pPr>
        <w:pStyle w:val="Caption"/>
      </w:pPr>
      <w:bookmarkStart w:id="13" w:name="_Ref71640155"/>
      <w:r w:rsidRPr="009845CF">
        <w:t xml:space="preserve">Figure </w:t>
      </w:r>
      <w:fldSimple w:instr=" SEQ Figure \* ARABIC ">
        <w:r w:rsidR="00F75DF1" w:rsidRPr="009845CF">
          <w:rPr>
            <w:noProof/>
          </w:rPr>
          <w:t>9</w:t>
        </w:r>
      </w:fldSimple>
      <w:bookmarkEnd w:id="13"/>
      <w:r w:rsidRPr="009845CF">
        <w:t xml:space="preserve">: </w:t>
      </w:r>
      <w:r w:rsidR="00443840" w:rsidRPr="009845CF">
        <w:t>Selected h</w:t>
      </w:r>
      <w:r w:rsidR="00F26729" w:rsidRPr="009845CF">
        <w:t>ealth conditions</w:t>
      </w:r>
      <w:r w:rsidR="00184456" w:rsidRPr="009845CF">
        <w:t xml:space="preserve"> listed</w:t>
      </w:r>
      <w:r w:rsidR="00F26729" w:rsidRPr="009845CF">
        <w:t xml:space="preserve"> on</w:t>
      </w:r>
      <w:r w:rsidR="00184456" w:rsidRPr="009845CF">
        <w:t xml:space="preserve"> participants</w:t>
      </w:r>
      <w:r w:rsidR="00F26729" w:rsidRPr="009845CF">
        <w:t xml:space="preserve"> current medical certificate</w:t>
      </w:r>
      <w:r w:rsidR="00184456" w:rsidRPr="009845CF">
        <w:t>s</w:t>
      </w:r>
      <w:r w:rsidR="00FD3B74" w:rsidRPr="009845CF">
        <w:t xml:space="preserve"> as at their referral date.</w:t>
      </w:r>
      <w:r w:rsidR="009845CF" w:rsidRPr="009845CF">
        <w:rPr>
          <w:rStyle w:val="FootnoteReference"/>
        </w:rPr>
        <w:footnoteReference w:id="15"/>
      </w:r>
    </w:p>
    <w:p w14:paraId="6E71AFE9" w14:textId="2AE8536D" w:rsidR="003E0279" w:rsidRDefault="009845CF" w:rsidP="00F113EF">
      <w:pPr>
        <w:rPr>
          <w:iCs/>
        </w:rPr>
      </w:pPr>
      <w:r>
        <w:rPr>
          <w:noProof/>
        </w:rPr>
        <w:drawing>
          <wp:inline distT="0" distB="0" distL="0" distR="0" wp14:anchorId="2DD53C83" wp14:editId="0FF22928">
            <wp:extent cx="5731510" cy="3732530"/>
            <wp:effectExtent l="0" t="0" r="2540" b="1270"/>
            <wp:docPr id="14" name="Chart 14">
              <a:extLst xmlns:a="http://schemas.openxmlformats.org/drawingml/2006/main">
                <a:ext uri="{FF2B5EF4-FFF2-40B4-BE49-F238E27FC236}">
                  <a16:creationId xmlns:a16="http://schemas.microsoft.com/office/drawing/2014/main" id="{36344801-D8A5-47A8-A632-6BDAB87DD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40077A" w14:textId="222311F7" w:rsidR="00184456" w:rsidRDefault="00184456" w:rsidP="00F113EF">
      <w:pPr>
        <w:rPr>
          <w:iCs/>
        </w:rPr>
      </w:pPr>
    </w:p>
    <w:p w14:paraId="367502B4" w14:textId="6C096F32" w:rsidR="00184456" w:rsidRDefault="00184456" w:rsidP="00F113EF">
      <w:pPr>
        <w:rPr>
          <w:iCs/>
        </w:rPr>
      </w:pPr>
    </w:p>
    <w:p w14:paraId="40FBCD2C" w14:textId="16FADC24" w:rsidR="00184456" w:rsidRDefault="00184456" w:rsidP="00F113EF">
      <w:pPr>
        <w:rPr>
          <w:iCs/>
        </w:rPr>
      </w:pPr>
    </w:p>
    <w:p w14:paraId="30DC0BAC" w14:textId="04B8A0FA" w:rsidR="00184456" w:rsidRDefault="00184456" w:rsidP="00F113EF">
      <w:pPr>
        <w:rPr>
          <w:iCs/>
        </w:rPr>
      </w:pPr>
    </w:p>
    <w:p w14:paraId="3A0441FB" w14:textId="77777777" w:rsidR="00184456" w:rsidRDefault="00184456" w:rsidP="00F113EF">
      <w:pPr>
        <w:rPr>
          <w:iCs/>
        </w:rPr>
      </w:pPr>
    </w:p>
    <w:p w14:paraId="029434FE" w14:textId="0AC19B2A" w:rsidR="00184456" w:rsidRDefault="00184456" w:rsidP="00F113EF">
      <w:pPr>
        <w:rPr>
          <w:iCs/>
        </w:rPr>
      </w:pPr>
    </w:p>
    <w:p w14:paraId="4D1D3ABD" w14:textId="5E4F6EC6" w:rsidR="00516CF1" w:rsidRPr="00516CF1" w:rsidRDefault="00516CF1" w:rsidP="0058713A">
      <w:pPr>
        <w:pStyle w:val="Heading3"/>
      </w:pPr>
      <w:r w:rsidRPr="000F1787">
        <w:lastRenderedPageBreak/>
        <w:t xml:space="preserve">Almost all participants </w:t>
      </w:r>
      <w:r w:rsidR="00A575D6">
        <w:t xml:space="preserve">(165) </w:t>
      </w:r>
      <w:r w:rsidRPr="000F1787">
        <w:t>were successfully enrolled into the REACH service within 40 days of referral</w:t>
      </w:r>
      <w:r>
        <w:t>.</w:t>
      </w:r>
    </w:p>
    <w:p w14:paraId="651A4138" w14:textId="58C00224" w:rsidR="00E816C4" w:rsidRDefault="005C6713" w:rsidP="00E816C4">
      <w:pPr>
        <w:rPr>
          <w:iCs/>
        </w:rPr>
      </w:pPr>
      <w:r>
        <w:rPr>
          <w:iCs/>
        </w:rPr>
        <w:t xml:space="preserve">Just </w:t>
      </w:r>
      <w:r w:rsidR="00C0123A">
        <w:rPr>
          <w:iCs/>
        </w:rPr>
        <w:t>over 49 percent</w:t>
      </w:r>
      <w:r w:rsidR="00516CF1" w:rsidRPr="00516CF1">
        <w:rPr>
          <w:iCs/>
        </w:rPr>
        <w:t xml:space="preserve"> of the participants</w:t>
      </w:r>
      <w:r w:rsidR="00563FAB">
        <w:rPr>
          <w:iCs/>
        </w:rPr>
        <w:t xml:space="preserve"> (84)</w:t>
      </w:r>
      <w:r w:rsidR="00516CF1" w:rsidRPr="00516CF1">
        <w:rPr>
          <w:iCs/>
        </w:rPr>
        <w:t xml:space="preserve"> </w:t>
      </w:r>
      <w:r w:rsidR="00AC2988">
        <w:rPr>
          <w:iCs/>
        </w:rPr>
        <w:t>were enrolled</w:t>
      </w:r>
      <w:r w:rsidR="00AC2988" w:rsidRPr="00516CF1">
        <w:rPr>
          <w:iCs/>
        </w:rPr>
        <w:t xml:space="preserve"> </w:t>
      </w:r>
      <w:r w:rsidR="00DC4761">
        <w:rPr>
          <w:iCs/>
        </w:rPr>
        <w:t>within</w:t>
      </w:r>
      <w:r w:rsidR="00516CF1" w:rsidRPr="00516CF1">
        <w:rPr>
          <w:iCs/>
        </w:rPr>
        <w:t xml:space="preserve"> </w:t>
      </w:r>
      <w:r w:rsidR="00CB31D8">
        <w:rPr>
          <w:iCs/>
        </w:rPr>
        <w:t>nine</w:t>
      </w:r>
      <w:r w:rsidR="00516CF1" w:rsidRPr="00516CF1">
        <w:rPr>
          <w:iCs/>
        </w:rPr>
        <w:t xml:space="preserve"> days </w:t>
      </w:r>
      <w:r w:rsidR="00DC4761">
        <w:rPr>
          <w:iCs/>
        </w:rPr>
        <w:t>of</w:t>
      </w:r>
      <w:r w:rsidR="00AC2988">
        <w:rPr>
          <w:iCs/>
        </w:rPr>
        <w:t xml:space="preserve"> referral</w:t>
      </w:r>
      <w:r w:rsidR="00CA27DF">
        <w:rPr>
          <w:iCs/>
        </w:rPr>
        <w:t xml:space="preserve"> </w:t>
      </w:r>
      <w:r w:rsidR="00AC2988">
        <w:rPr>
          <w:iCs/>
        </w:rPr>
        <w:t>to</w:t>
      </w:r>
      <w:r w:rsidR="00516CF1" w:rsidRPr="00516CF1">
        <w:rPr>
          <w:iCs/>
        </w:rPr>
        <w:t xml:space="preserve"> REACH. </w:t>
      </w:r>
      <w:r w:rsidR="00E816C4">
        <w:rPr>
          <w:iCs/>
        </w:rPr>
        <w:t xml:space="preserve">The median time between referral to enrolment was </w:t>
      </w:r>
      <w:r w:rsidR="00BF5B2E">
        <w:rPr>
          <w:iCs/>
        </w:rPr>
        <w:t>11</w:t>
      </w:r>
      <w:r w:rsidR="00E816C4">
        <w:rPr>
          <w:iCs/>
        </w:rPr>
        <w:t xml:space="preserve"> days. The range was between </w:t>
      </w:r>
      <w:r w:rsidR="00A1309F">
        <w:rPr>
          <w:iCs/>
        </w:rPr>
        <w:t>zero</w:t>
      </w:r>
      <w:r w:rsidR="00E816C4">
        <w:rPr>
          <w:iCs/>
        </w:rPr>
        <w:t xml:space="preserve"> and </w:t>
      </w:r>
      <w:r w:rsidR="002C3EB2">
        <w:rPr>
          <w:iCs/>
        </w:rPr>
        <w:t>40</w:t>
      </w:r>
      <w:r w:rsidR="00E816C4">
        <w:rPr>
          <w:iCs/>
        </w:rPr>
        <w:t xml:space="preserve"> days for almost all the participants, with a small outlier group</w:t>
      </w:r>
      <w:r w:rsidR="00AC2988">
        <w:rPr>
          <w:iCs/>
        </w:rPr>
        <w:t xml:space="preserve"> (of </w:t>
      </w:r>
      <w:r w:rsidR="00A1309F">
        <w:rPr>
          <w:iCs/>
        </w:rPr>
        <w:t>six</w:t>
      </w:r>
      <w:r w:rsidR="00AC2988">
        <w:rPr>
          <w:iCs/>
        </w:rPr>
        <w:t xml:space="preserve"> </w:t>
      </w:r>
      <w:r w:rsidR="004B0E50">
        <w:rPr>
          <w:iCs/>
        </w:rPr>
        <w:t>participants</w:t>
      </w:r>
      <w:r w:rsidR="00AC2988">
        <w:rPr>
          <w:iCs/>
        </w:rPr>
        <w:t>)</w:t>
      </w:r>
      <w:r w:rsidR="00E816C4">
        <w:rPr>
          <w:iCs/>
        </w:rPr>
        <w:t xml:space="preserve"> experiencing a wait </w:t>
      </w:r>
      <w:r w:rsidR="00CB31D8">
        <w:rPr>
          <w:iCs/>
        </w:rPr>
        <w:t>longer than 70</w:t>
      </w:r>
      <w:r w:rsidR="00E816C4">
        <w:rPr>
          <w:iCs/>
        </w:rPr>
        <w:t xml:space="preserve"> days </w:t>
      </w:r>
      <w:r w:rsidR="00E816C4" w:rsidRPr="003A3445">
        <w:rPr>
          <w:iCs/>
        </w:rPr>
        <w:t>(</w:t>
      </w:r>
      <w:r w:rsidR="00E816C4" w:rsidRPr="003A3445">
        <w:rPr>
          <w:iCs/>
        </w:rPr>
        <w:fldChar w:fldCharType="begin"/>
      </w:r>
      <w:r w:rsidR="00E816C4" w:rsidRPr="003A3445">
        <w:rPr>
          <w:iCs/>
        </w:rPr>
        <w:instrText xml:space="preserve"> REF _Ref71640630 \h  \* MERGEFORMAT </w:instrText>
      </w:r>
      <w:r w:rsidR="00E816C4" w:rsidRPr="003A3445">
        <w:rPr>
          <w:iCs/>
        </w:rPr>
      </w:r>
      <w:r w:rsidR="00E816C4" w:rsidRPr="003A3445">
        <w:rPr>
          <w:iCs/>
        </w:rPr>
        <w:fldChar w:fldCharType="separate"/>
      </w:r>
      <w:r w:rsidR="00F75DF1" w:rsidRPr="00F75DF1">
        <w:rPr>
          <w:iCs/>
        </w:rPr>
        <w:t xml:space="preserve">Figure </w:t>
      </w:r>
      <w:r w:rsidR="00F75DF1" w:rsidRPr="00F75DF1">
        <w:rPr>
          <w:iCs/>
          <w:noProof/>
        </w:rPr>
        <w:t>10</w:t>
      </w:r>
      <w:r w:rsidR="00E816C4" w:rsidRPr="003A3445">
        <w:rPr>
          <w:iCs/>
        </w:rPr>
        <w:fldChar w:fldCharType="end"/>
      </w:r>
      <w:r w:rsidR="00E816C4">
        <w:rPr>
          <w:iCs/>
        </w:rPr>
        <w:t>).</w:t>
      </w:r>
      <w:r w:rsidR="00DC4761">
        <w:rPr>
          <w:iCs/>
        </w:rPr>
        <w:t xml:space="preserve"> S</w:t>
      </w:r>
      <w:r w:rsidR="009B0817">
        <w:rPr>
          <w:iCs/>
        </w:rPr>
        <w:t>ome possible reasons</w:t>
      </w:r>
      <w:r w:rsidR="00CA27DF">
        <w:rPr>
          <w:iCs/>
        </w:rPr>
        <w:t xml:space="preserve"> </w:t>
      </w:r>
      <w:r w:rsidR="00DC4761">
        <w:rPr>
          <w:iCs/>
        </w:rPr>
        <w:t xml:space="preserve">for the delay </w:t>
      </w:r>
      <w:r w:rsidR="002C3EB2">
        <w:rPr>
          <w:iCs/>
        </w:rPr>
        <w:t xml:space="preserve">could include: COVID-19 impacts, </w:t>
      </w:r>
      <w:r w:rsidR="00AC2988">
        <w:rPr>
          <w:iCs/>
        </w:rPr>
        <w:t xml:space="preserve">the </w:t>
      </w:r>
      <w:r w:rsidR="002C3EB2">
        <w:rPr>
          <w:iCs/>
        </w:rPr>
        <w:t>triage</w:t>
      </w:r>
      <w:r w:rsidR="00AC2988">
        <w:rPr>
          <w:iCs/>
        </w:rPr>
        <w:t xml:space="preserve"> process</w:t>
      </w:r>
      <w:r w:rsidR="002C3EB2">
        <w:rPr>
          <w:iCs/>
        </w:rPr>
        <w:t xml:space="preserve">, and </w:t>
      </w:r>
      <w:r w:rsidR="00BE1A5A">
        <w:rPr>
          <w:iCs/>
        </w:rPr>
        <w:t xml:space="preserve">service </w:t>
      </w:r>
      <w:r w:rsidR="002C3EB2">
        <w:rPr>
          <w:iCs/>
        </w:rPr>
        <w:t>capacity.</w:t>
      </w:r>
    </w:p>
    <w:p w14:paraId="3B44DDA8" w14:textId="4F1E4F70" w:rsidR="00E816C4" w:rsidRPr="00D70FB0" w:rsidRDefault="00E816C4" w:rsidP="00D70FB0">
      <w:pPr>
        <w:pStyle w:val="Caption"/>
      </w:pPr>
      <w:bookmarkStart w:id="14" w:name="_Ref71640630"/>
      <w:r w:rsidRPr="00D70FB0">
        <w:t xml:space="preserve">Figure </w:t>
      </w:r>
      <w:fldSimple w:instr=" SEQ Figure \* ARABIC ">
        <w:r w:rsidR="00F75DF1">
          <w:rPr>
            <w:noProof/>
          </w:rPr>
          <w:t>10</w:t>
        </w:r>
      </w:fldSimple>
      <w:bookmarkEnd w:id="14"/>
      <w:r w:rsidRPr="00D70FB0">
        <w:t>: Distribution of time from referral to enrolment.</w:t>
      </w:r>
    </w:p>
    <w:p w14:paraId="5F699A89" w14:textId="12DDD88B" w:rsidR="00FB3EA6" w:rsidRDefault="005C6713" w:rsidP="00E816C4">
      <w:pPr>
        <w:rPr>
          <w:iCs/>
        </w:rPr>
      </w:pPr>
      <w:r>
        <w:rPr>
          <w:noProof/>
        </w:rPr>
        <w:drawing>
          <wp:inline distT="0" distB="0" distL="0" distR="0" wp14:anchorId="63C8FC4C" wp14:editId="4CA3D53D">
            <wp:extent cx="4829175" cy="2409825"/>
            <wp:effectExtent l="0" t="0" r="0" b="0"/>
            <wp:docPr id="5" name="Chart 5">
              <a:extLst xmlns:a="http://schemas.openxmlformats.org/drawingml/2006/main">
                <a:ext uri="{FF2B5EF4-FFF2-40B4-BE49-F238E27FC236}">
                  <a16:creationId xmlns:a16="http://schemas.microsoft.com/office/drawing/2014/main" id="{8E4E79E8-8932-4409-AE19-885DAADBA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1D4B3A" w14:textId="04DBC81D" w:rsidR="00490001" w:rsidRDefault="00490001" w:rsidP="00E816C4">
      <w:pPr>
        <w:rPr>
          <w:iCs/>
        </w:rPr>
      </w:pPr>
    </w:p>
    <w:p w14:paraId="7E98C46B" w14:textId="45B42C70" w:rsidR="00490001" w:rsidRDefault="00490001" w:rsidP="00E816C4">
      <w:pPr>
        <w:rPr>
          <w:iCs/>
        </w:rPr>
      </w:pPr>
    </w:p>
    <w:p w14:paraId="2C19B05C" w14:textId="708F93EF" w:rsidR="00490001" w:rsidRDefault="00490001" w:rsidP="00E816C4">
      <w:pPr>
        <w:rPr>
          <w:iCs/>
        </w:rPr>
      </w:pPr>
    </w:p>
    <w:p w14:paraId="4F2B21D9" w14:textId="44BE5C92" w:rsidR="00490001" w:rsidRDefault="00490001" w:rsidP="00E816C4">
      <w:pPr>
        <w:rPr>
          <w:iCs/>
        </w:rPr>
      </w:pPr>
    </w:p>
    <w:p w14:paraId="55F2259A" w14:textId="4599799C" w:rsidR="00490001" w:rsidRDefault="00490001" w:rsidP="00E816C4">
      <w:pPr>
        <w:rPr>
          <w:iCs/>
        </w:rPr>
      </w:pPr>
    </w:p>
    <w:p w14:paraId="2BDB2865" w14:textId="11A9728D" w:rsidR="00490001" w:rsidRDefault="00490001" w:rsidP="00E816C4">
      <w:pPr>
        <w:rPr>
          <w:iCs/>
        </w:rPr>
      </w:pPr>
    </w:p>
    <w:p w14:paraId="2C9C461E" w14:textId="023ABDE6" w:rsidR="00490001" w:rsidRDefault="00490001" w:rsidP="00E816C4">
      <w:pPr>
        <w:rPr>
          <w:iCs/>
        </w:rPr>
      </w:pPr>
    </w:p>
    <w:p w14:paraId="2293E198" w14:textId="1E42512D" w:rsidR="00490001" w:rsidRDefault="00490001" w:rsidP="00E816C4">
      <w:pPr>
        <w:rPr>
          <w:iCs/>
        </w:rPr>
      </w:pPr>
    </w:p>
    <w:p w14:paraId="7130E45E" w14:textId="7BB5CCC0" w:rsidR="00490001" w:rsidRDefault="00490001" w:rsidP="00E816C4">
      <w:pPr>
        <w:rPr>
          <w:iCs/>
        </w:rPr>
      </w:pPr>
    </w:p>
    <w:p w14:paraId="087CE374" w14:textId="3A2E9CCD" w:rsidR="00490001" w:rsidRDefault="00490001" w:rsidP="00E816C4">
      <w:pPr>
        <w:rPr>
          <w:iCs/>
        </w:rPr>
      </w:pPr>
    </w:p>
    <w:p w14:paraId="29423F23" w14:textId="6D7CF34F" w:rsidR="00490001" w:rsidRDefault="00490001" w:rsidP="00E816C4">
      <w:pPr>
        <w:rPr>
          <w:iCs/>
        </w:rPr>
      </w:pPr>
    </w:p>
    <w:p w14:paraId="6D8F167B" w14:textId="255E6565" w:rsidR="00490001" w:rsidRDefault="00490001" w:rsidP="00E816C4">
      <w:pPr>
        <w:rPr>
          <w:iCs/>
        </w:rPr>
      </w:pPr>
    </w:p>
    <w:p w14:paraId="31649F25" w14:textId="01B84892" w:rsidR="00490001" w:rsidRDefault="00490001" w:rsidP="00E816C4">
      <w:pPr>
        <w:rPr>
          <w:iCs/>
        </w:rPr>
      </w:pPr>
    </w:p>
    <w:p w14:paraId="15C4C8E2" w14:textId="77777777" w:rsidR="00443840" w:rsidRDefault="00443840" w:rsidP="00E816C4">
      <w:pPr>
        <w:rPr>
          <w:iCs/>
        </w:rPr>
      </w:pPr>
    </w:p>
    <w:p w14:paraId="5DA6C9A5" w14:textId="6292B866" w:rsidR="00490001" w:rsidRDefault="00490001" w:rsidP="00E816C4">
      <w:pPr>
        <w:rPr>
          <w:iCs/>
        </w:rPr>
      </w:pPr>
    </w:p>
    <w:p w14:paraId="070AAD14" w14:textId="77777777" w:rsidR="00490001" w:rsidRDefault="00490001" w:rsidP="00E816C4">
      <w:pPr>
        <w:rPr>
          <w:iCs/>
        </w:rPr>
      </w:pPr>
    </w:p>
    <w:p w14:paraId="36457F4D" w14:textId="24C45704" w:rsidR="002A302A" w:rsidRPr="00D06541" w:rsidRDefault="00BA7637" w:rsidP="002A302A">
      <w:pPr>
        <w:pStyle w:val="Heading3"/>
      </w:pPr>
      <w:r w:rsidRPr="00D06541">
        <w:lastRenderedPageBreak/>
        <w:t xml:space="preserve">Following a referral, </w:t>
      </w:r>
      <w:r w:rsidR="0037591D">
        <w:t xml:space="preserve">53 percent of </w:t>
      </w:r>
      <w:r w:rsidRPr="00D06541">
        <w:t>people</w:t>
      </w:r>
      <w:r w:rsidR="0037591D">
        <w:t xml:space="preserve"> referred (192)</w:t>
      </w:r>
      <w:r w:rsidRPr="00D06541">
        <w:t xml:space="preserve"> did not participate in REACH</w:t>
      </w:r>
      <w:r w:rsidR="00CA27DF" w:rsidRPr="00D06541">
        <w:t>.</w:t>
      </w:r>
    </w:p>
    <w:p w14:paraId="3F151617" w14:textId="77777777" w:rsidR="00DC4761" w:rsidRDefault="00BA7637" w:rsidP="00C93F90">
      <w:r w:rsidRPr="00DC4761">
        <w:t>Of these</w:t>
      </w:r>
      <w:r w:rsidR="0037591D" w:rsidRPr="00DC4761">
        <w:t xml:space="preserve"> people</w:t>
      </w:r>
      <w:r w:rsidRPr="00DC4761">
        <w:t xml:space="preserve">, </w:t>
      </w:r>
      <w:r w:rsidR="00295EF7" w:rsidRPr="00DC4761">
        <w:t>34</w:t>
      </w:r>
      <w:r w:rsidRPr="00DC4761">
        <w:t xml:space="preserve"> percent (66</w:t>
      </w:r>
      <w:r w:rsidR="0037591D" w:rsidRPr="00DC4761">
        <w:t xml:space="preserve">) </w:t>
      </w:r>
      <w:r w:rsidRPr="00DC4761">
        <w:t>were unable to be contacted</w:t>
      </w:r>
      <w:r w:rsidR="004843E9" w:rsidRPr="00DC4761">
        <w:t>.</w:t>
      </w:r>
      <w:r w:rsidR="00DC4761">
        <w:t xml:space="preserve"> </w:t>
      </w:r>
      <w:r w:rsidR="004843E9" w:rsidRPr="004843E9">
        <w:t>The remaining</w:t>
      </w:r>
      <w:r w:rsidRPr="004843E9">
        <w:t xml:space="preserve"> </w:t>
      </w:r>
      <w:r w:rsidR="00295EF7" w:rsidRPr="004843E9">
        <w:t>6</w:t>
      </w:r>
      <w:r w:rsidR="0037591D" w:rsidRPr="004843E9">
        <w:t>6</w:t>
      </w:r>
      <w:r w:rsidRPr="004843E9">
        <w:t xml:space="preserve"> percent (126) </w:t>
      </w:r>
      <w:r w:rsidR="00AA2391" w:rsidRPr="004843E9">
        <w:t>did not</w:t>
      </w:r>
      <w:r w:rsidRPr="004843E9">
        <w:t xml:space="preserve"> participate in REACH</w:t>
      </w:r>
      <w:r w:rsidR="00AA2391" w:rsidRPr="004843E9">
        <w:t xml:space="preserve"> because they either declined to participate or were declined by the REACH service</w:t>
      </w:r>
      <w:r w:rsidR="00F656F8" w:rsidRPr="004843E9">
        <w:t xml:space="preserve"> after initial conversations</w:t>
      </w:r>
      <w:r w:rsidRPr="004843E9">
        <w:t>.</w:t>
      </w:r>
      <w:r w:rsidR="004843E9">
        <w:t xml:space="preserve"> </w:t>
      </w:r>
    </w:p>
    <w:p w14:paraId="667123BE" w14:textId="50A24C20" w:rsidR="000C14D4" w:rsidRPr="000C14D4" w:rsidRDefault="00BA7637" w:rsidP="00C93F90">
      <w:r w:rsidRPr="00D06541">
        <w:t xml:space="preserve">Just under </w:t>
      </w:r>
      <w:r w:rsidR="00C0123A">
        <w:t>29</w:t>
      </w:r>
      <w:r w:rsidRPr="00D06541">
        <w:t xml:space="preserve"> percent of </w:t>
      </w:r>
      <w:r w:rsidR="00F656F8" w:rsidRPr="00D06541">
        <w:t>th</w:t>
      </w:r>
      <w:r w:rsidR="0090378E" w:rsidRPr="00D06541">
        <w:t xml:space="preserve">is </w:t>
      </w:r>
      <w:r w:rsidR="00DC425C" w:rsidRPr="00D06541">
        <w:t>group chose</w:t>
      </w:r>
      <w:r w:rsidRPr="00D06541">
        <w:t xml:space="preserve"> not to participate (3</w:t>
      </w:r>
      <w:r w:rsidR="00D06541" w:rsidRPr="00D06541">
        <w:t>6</w:t>
      </w:r>
      <w:r w:rsidRPr="00D06541">
        <w:t xml:space="preserve"> people). </w:t>
      </w:r>
      <w:r w:rsidRPr="000C14D4">
        <w:t>This was followed by “wrong timing” (23.</w:t>
      </w:r>
      <w:r w:rsidR="00D06541" w:rsidRPr="000C14D4">
        <w:t>8</w:t>
      </w:r>
      <w:r w:rsidRPr="000C14D4">
        <w:t xml:space="preserve"> percent, or </w:t>
      </w:r>
      <w:r w:rsidR="00D06541" w:rsidRPr="000C14D4">
        <w:t>30</w:t>
      </w:r>
      <w:r w:rsidRPr="000C14D4">
        <w:t xml:space="preserve"> people) and “other reason</w:t>
      </w:r>
      <w:r w:rsidR="00A1309F" w:rsidRPr="000C14D4">
        <w:t>s</w:t>
      </w:r>
      <w:r w:rsidRPr="000C14D4">
        <w:t>” (</w:t>
      </w:r>
      <w:r w:rsidR="000C14D4" w:rsidRPr="000C14D4">
        <w:t>19.0</w:t>
      </w:r>
      <w:r w:rsidRPr="000C14D4">
        <w:t xml:space="preserve"> percent, or </w:t>
      </w:r>
      <w:r w:rsidR="000C14D4" w:rsidRPr="000C14D4">
        <w:t>24</w:t>
      </w:r>
      <w:r w:rsidRPr="000C14D4">
        <w:t xml:space="preserve"> people) (Table 1).</w:t>
      </w:r>
      <w:r w:rsidR="00F656F8" w:rsidRPr="000C14D4">
        <w:t xml:space="preserve"> </w:t>
      </w:r>
    </w:p>
    <w:p w14:paraId="04C00110" w14:textId="1C355AD1" w:rsidR="00BA7637" w:rsidRPr="00295EF7" w:rsidRDefault="00BA7637" w:rsidP="00BA7637">
      <w:pPr>
        <w:rPr>
          <w:b/>
          <w:bCs/>
          <w:iCs/>
          <w:sz w:val="18"/>
          <w:szCs w:val="20"/>
        </w:rPr>
      </w:pPr>
      <w:r w:rsidRPr="00295EF7">
        <w:rPr>
          <w:b/>
          <w:bCs/>
          <w:sz w:val="18"/>
          <w:szCs w:val="20"/>
        </w:rPr>
        <w:t xml:space="preserve">Table </w:t>
      </w:r>
      <w:r w:rsidRPr="00295EF7">
        <w:rPr>
          <w:b/>
          <w:bCs/>
          <w:sz w:val="18"/>
          <w:szCs w:val="20"/>
        </w:rPr>
        <w:fldChar w:fldCharType="begin"/>
      </w:r>
      <w:r w:rsidRPr="00295EF7">
        <w:rPr>
          <w:b/>
          <w:bCs/>
          <w:sz w:val="18"/>
          <w:szCs w:val="20"/>
        </w:rPr>
        <w:instrText xml:space="preserve"> SEQ Table \* ARABIC </w:instrText>
      </w:r>
      <w:r w:rsidRPr="00295EF7">
        <w:rPr>
          <w:b/>
          <w:bCs/>
          <w:sz w:val="18"/>
          <w:szCs w:val="20"/>
        </w:rPr>
        <w:fldChar w:fldCharType="separate"/>
      </w:r>
      <w:r w:rsidR="00F75DF1">
        <w:rPr>
          <w:b/>
          <w:bCs/>
          <w:noProof/>
          <w:sz w:val="18"/>
          <w:szCs w:val="20"/>
        </w:rPr>
        <w:t>1</w:t>
      </w:r>
      <w:r w:rsidRPr="00295EF7">
        <w:rPr>
          <w:b/>
          <w:bCs/>
          <w:sz w:val="18"/>
          <w:szCs w:val="20"/>
        </w:rPr>
        <w:fldChar w:fldCharType="end"/>
      </w:r>
      <w:r w:rsidRPr="00295EF7">
        <w:rPr>
          <w:b/>
          <w:bCs/>
          <w:sz w:val="18"/>
          <w:szCs w:val="20"/>
        </w:rPr>
        <w:t>: Reasons for not participating in REACH</w:t>
      </w:r>
      <w:r w:rsidR="00490001">
        <w:rPr>
          <w:b/>
          <w:bCs/>
          <w:sz w:val="18"/>
          <w:szCs w:val="20"/>
        </w:rPr>
        <w:t xml:space="preserve"> following a referral</w:t>
      </w:r>
      <w:r w:rsidR="00295EF7">
        <w:rPr>
          <w:b/>
          <w:bCs/>
          <w:sz w:val="18"/>
          <w:szCs w:val="20"/>
        </w:rPr>
        <w:t>.</w:t>
      </w:r>
    </w:p>
    <w:tbl>
      <w:tblPr>
        <w:tblStyle w:val="TableGrid"/>
        <w:tblW w:w="0" w:type="auto"/>
        <w:tblLook w:val="04A0" w:firstRow="1" w:lastRow="0" w:firstColumn="1" w:lastColumn="0" w:noHBand="0" w:noVBand="1"/>
      </w:tblPr>
      <w:tblGrid>
        <w:gridCol w:w="4390"/>
        <w:gridCol w:w="1134"/>
        <w:gridCol w:w="1417"/>
        <w:gridCol w:w="1417"/>
      </w:tblGrid>
      <w:tr w:rsidR="00295EF7" w:rsidRPr="00295EF7" w14:paraId="4F6AAC14" w14:textId="678E7258" w:rsidTr="00A1309F">
        <w:tc>
          <w:tcPr>
            <w:tcW w:w="4390" w:type="dxa"/>
          </w:tcPr>
          <w:p w14:paraId="54F57C95" w14:textId="76CC844F" w:rsidR="00295EF7" w:rsidRPr="00295EF7" w:rsidRDefault="00295EF7" w:rsidP="00A1309F">
            <w:pPr>
              <w:rPr>
                <w:b/>
                <w:bCs/>
                <w:iCs/>
                <w:sz w:val="16"/>
                <w:szCs w:val="16"/>
              </w:rPr>
            </w:pPr>
            <w:r w:rsidRPr="00295EF7">
              <w:rPr>
                <w:b/>
                <w:bCs/>
                <w:iCs/>
                <w:sz w:val="16"/>
                <w:szCs w:val="16"/>
              </w:rPr>
              <w:t>Reason for not participating in REACH</w:t>
            </w:r>
          </w:p>
        </w:tc>
        <w:tc>
          <w:tcPr>
            <w:tcW w:w="1134" w:type="dxa"/>
          </w:tcPr>
          <w:p w14:paraId="68B93BB0" w14:textId="77777777" w:rsidR="00295EF7" w:rsidRPr="00295EF7" w:rsidRDefault="00295EF7" w:rsidP="00A1309F">
            <w:pPr>
              <w:rPr>
                <w:b/>
                <w:bCs/>
                <w:iCs/>
                <w:sz w:val="16"/>
                <w:szCs w:val="16"/>
              </w:rPr>
            </w:pPr>
            <w:r w:rsidRPr="00295EF7">
              <w:rPr>
                <w:b/>
                <w:bCs/>
                <w:iCs/>
                <w:sz w:val="16"/>
                <w:szCs w:val="16"/>
              </w:rPr>
              <w:t>Number</w:t>
            </w:r>
          </w:p>
        </w:tc>
        <w:tc>
          <w:tcPr>
            <w:tcW w:w="1417" w:type="dxa"/>
          </w:tcPr>
          <w:p w14:paraId="2533CDCB" w14:textId="77777777" w:rsidR="00295EF7" w:rsidRPr="00295EF7" w:rsidRDefault="00295EF7" w:rsidP="00A1309F">
            <w:pPr>
              <w:rPr>
                <w:b/>
                <w:bCs/>
                <w:iCs/>
                <w:sz w:val="16"/>
                <w:szCs w:val="16"/>
              </w:rPr>
            </w:pPr>
            <w:r w:rsidRPr="00295EF7">
              <w:rPr>
                <w:b/>
                <w:bCs/>
                <w:iCs/>
                <w:sz w:val="16"/>
                <w:szCs w:val="16"/>
              </w:rPr>
              <w:t>Percentage</w:t>
            </w:r>
          </w:p>
        </w:tc>
        <w:tc>
          <w:tcPr>
            <w:tcW w:w="1417" w:type="dxa"/>
          </w:tcPr>
          <w:p w14:paraId="5EC59AC5" w14:textId="02935930" w:rsidR="00295EF7" w:rsidRPr="00295EF7" w:rsidRDefault="00295EF7" w:rsidP="00A1309F">
            <w:pPr>
              <w:rPr>
                <w:b/>
                <w:bCs/>
                <w:iCs/>
                <w:sz w:val="16"/>
                <w:szCs w:val="16"/>
              </w:rPr>
            </w:pPr>
            <w:r w:rsidRPr="00295EF7">
              <w:rPr>
                <w:b/>
                <w:bCs/>
                <w:iCs/>
                <w:sz w:val="16"/>
                <w:szCs w:val="16"/>
              </w:rPr>
              <w:t>Percentage of “declines”</w:t>
            </w:r>
          </w:p>
        </w:tc>
      </w:tr>
      <w:tr w:rsidR="00295EF7" w:rsidRPr="00295EF7" w14:paraId="45120B41" w14:textId="5DCF5A9F" w:rsidTr="00A1309F">
        <w:tc>
          <w:tcPr>
            <w:tcW w:w="4390" w:type="dxa"/>
          </w:tcPr>
          <w:p w14:paraId="41FE494C" w14:textId="5F159EDF" w:rsidR="00295EF7" w:rsidRPr="00295EF7" w:rsidRDefault="00295EF7" w:rsidP="00A1309F">
            <w:pPr>
              <w:rPr>
                <w:b/>
                <w:bCs/>
                <w:iCs/>
                <w:sz w:val="16"/>
                <w:szCs w:val="16"/>
              </w:rPr>
            </w:pPr>
            <w:r w:rsidRPr="00295EF7">
              <w:rPr>
                <w:iCs/>
                <w:sz w:val="16"/>
                <w:szCs w:val="16"/>
              </w:rPr>
              <w:t>Unable to be contacted</w:t>
            </w:r>
          </w:p>
        </w:tc>
        <w:tc>
          <w:tcPr>
            <w:tcW w:w="1134" w:type="dxa"/>
          </w:tcPr>
          <w:p w14:paraId="534EB81C" w14:textId="5D8A2720" w:rsidR="00295EF7" w:rsidRPr="00295EF7" w:rsidRDefault="00295EF7" w:rsidP="00295EF7">
            <w:pPr>
              <w:rPr>
                <w:iCs/>
                <w:sz w:val="16"/>
                <w:szCs w:val="16"/>
              </w:rPr>
            </w:pPr>
            <w:r w:rsidRPr="00295EF7">
              <w:rPr>
                <w:iCs/>
                <w:sz w:val="16"/>
                <w:szCs w:val="16"/>
              </w:rPr>
              <w:t>66</w:t>
            </w:r>
          </w:p>
        </w:tc>
        <w:tc>
          <w:tcPr>
            <w:tcW w:w="1417" w:type="dxa"/>
          </w:tcPr>
          <w:p w14:paraId="0DF9D94D" w14:textId="2880B5B4" w:rsidR="00295EF7" w:rsidRPr="00D06541" w:rsidRDefault="00295EF7" w:rsidP="00295EF7">
            <w:pPr>
              <w:rPr>
                <w:iCs/>
                <w:sz w:val="16"/>
                <w:szCs w:val="16"/>
              </w:rPr>
            </w:pPr>
            <w:r w:rsidRPr="00D06541">
              <w:rPr>
                <w:iCs/>
                <w:sz w:val="16"/>
                <w:szCs w:val="16"/>
              </w:rPr>
              <w:t>34.4%</w:t>
            </w:r>
          </w:p>
        </w:tc>
        <w:tc>
          <w:tcPr>
            <w:tcW w:w="1417" w:type="dxa"/>
          </w:tcPr>
          <w:p w14:paraId="76D4648B" w14:textId="014B0632" w:rsidR="00295EF7" w:rsidRPr="00295EF7" w:rsidRDefault="00295EF7" w:rsidP="00295EF7">
            <w:pPr>
              <w:rPr>
                <w:iCs/>
                <w:sz w:val="16"/>
                <w:szCs w:val="16"/>
              </w:rPr>
            </w:pPr>
            <w:r w:rsidRPr="00295EF7">
              <w:rPr>
                <w:iCs/>
                <w:sz w:val="16"/>
                <w:szCs w:val="16"/>
              </w:rPr>
              <w:t>n/a</w:t>
            </w:r>
          </w:p>
        </w:tc>
      </w:tr>
      <w:tr w:rsidR="003440CE" w:rsidRPr="00295EF7" w14:paraId="0800F701" w14:textId="77777777" w:rsidTr="00A1309F">
        <w:tc>
          <w:tcPr>
            <w:tcW w:w="4390" w:type="dxa"/>
          </w:tcPr>
          <w:p w14:paraId="1F53A14C" w14:textId="3CDA5596" w:rsidR="003440CE" w:rsidRPr="003440CE" w:rsidRDefault="003440CE" w:rsidP="00A1309F">
            <w:pPr>
              <w:rPr>
                <w:i/>
                <w:sz w:val="16"/>
                <w:szCs w:val="16"/>
              </w:rPr>
            </w:pPr>
            <w:r w:rsidRPr="003440CE">
              <w:rPr>
                <w:i/>
                <w:sz w:val="16"/>
                <w:szCs w:val="16"/>
              </w:rPr>
              <w:t>Decline</w:t>
            </w:r>
            <w:r w:rsidR="00AA2391">
              <w:rPr>
                <w:i/>
                <w:sz w:val="16"/>
                <w:szCs w:val="16"/>
              </w:rPr>
              <w:t>d to participate or were declined</w:t>
            </w:r>
          </w:p>
        </w:tc>
        <w:tc>
          <w:tcPr>
            <w:tcW w:w="1134" w:type="dxa"/>
          </w:tcPr>
          <w:p w14:paraId="665F96A1" w14:textId="6E98E5D5" w:rsidR="003440CE" w:rsidRPr="003440CE" w:rsidRDefault="003440CE" w:rsidP="00295EF7">
            <w:pPr>
              <w:rPr>
                <w:i/>
                <w:sz w:val="16"/>
                <w:szCs w:val="16"/>
              </w:rPr>
            </w:pPr>
            <w:r w:rsidRPr="003440CE">
              <w:rPr>
                <w:i/>
                <w:sz w:val="16"/>
                <w:szCs w:val="16"/>
              </w:rPr>
              <w:t>126</w:t>
            </w:r>
          </w:p>
        </w:tc>
        <w:tc>
          <w:tcPr>
            <w:tcW w:w="1417" w:type="dxa"/>
          </w:tcPr>
          <w:p w14:paraId="7C229D43" w14:textId="51B7F56A" w:rsidR="003440CE" w:rsidRPr="00D06541" w:rsidRDefault="003440CE" w:rsidP="00295EF7">
            <w:pPr>
              <w:rPr>
                <w:i/>
                <w:sz w:val="16"/>
                <w:szCs w:val="16"/>
              </w:rPr>
            </w:pPr>
            <w:r w:rsidRPr="00D06541">
              <w:rPr>
                <w:i/>
                <w:sz w:val="16"/>
                <w:szCs w:val="16"/>
              </w:rPr>
              <w:t>65.6%</w:t>
            </w:r>
          </w:p>
        </w:tc>
        <w:tc>
          <w:tcPr>
            <w:tcW w:w="1417" w:type="dxa"/>
          </w:tcPr>
          <w:p w14:paraId="56F8206E" w14:textId="52E3AA68" w:rsidR="003440CE" w:rsidRPr="003440CE" w:rsidRDefault="003440CE" w:rsidP="00295EF7">
            <w:pPr>
              <w:rPr>
                <w:i/>
                <w:sz w:val="16"/>
                <w:szCs w:val="16"/>
              </w:rPr>
            </w:pPr>
            <w:r w:rsidRPr="003440CE">
              <w:rPr>
                <w:i/>
                <w:sz w:val="16"/>
                <w:szCs w:val="16"/>
              </w:rPr>
              <w:t>100.0%</w:t>
            </w:r>
          </w:p>
        </w:tc>
      </w:tr>
      <w:tr w:rsidR="00295EF7" w:rsidRPr="00295EF7" w14:paraId="31B87505" w14:textId="4D222015" w:rsidTr="00A1309F">
        <w:tc>
          <w:tcPr>
            <w:tcW w:w="4390" w:type="dxa"/>
            <w:vAlign w:val="center"/>
          </w:tcPr>
          <w:p w14:paraId="4A58521B" w14:textId="7DEBCBAF"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Chose not to participate</w:t>
            </w:r>
          </w:p>
        </w:tc>
        <w:tc>
          <w:tcPr>
            <w:tcW w:w="1134" w:type="dxa"/>
          </w:tcPr>
          <w:p w14:paraId="3952C3A7" w14:textId="534E032C" w:rsidR="00295EF7" w:rsidRPr="00295EF7" w:rsidRDefault="00295EF7" w:rsidP="00295EF7">
            <w:pPr>
              <w:rPr>
                <w:iCs/>
                <w:sz w:val="16"/>
                <w:szCs w:val="20"/>
              </w:rPr>
            </w:pPr>
            <w:r w:rsidRPr="00295EF7">
              <w:rPr>
                <w:sz w:val="16"/>
                <w:szCs w:val="20"/>
              </w:rPr>
              <w:t>3</w:t>
            </w:r>
            <w:r w:rsidR="00D06541">
              <w:rPr>
                <w:sz w:val="16"/>
                <w:szCs w:val="20"/>
              </w:rPr>
              <w:t>6</w:t>
            </w:r>
          </w:p>
        </w:tc>
        <w:tc>
          <w:tcPr>
            <w:tcW w:w="1417" w:type="dxa"/>
          </w:tcPr>
          <w:p w14:paraId="3728C273" w14:textId="0D839366" w:rsidR="00295EF7" w:rsidRPr="00D06541" w:rsidRDefault="00295EF7" w:rsidP="00295EF7">
            <w:pPr>
              <w:rPr>
                <w:iCs/>
                <w:sz w:val="16"/>
                <w:szCs w:val="20"/>
              </w:rPr>
            </w:pPr>
            <w:r w:rsidRPr="00D06541">
              <w:rPr>
                <w:iCs/>
                <w:sz w:val="16"/>
                <w:szCs w:val="20"/>
              </w:rPr>
              <w:t>1</w:t>
            </w:r>
            <w:r w:rsidR="00D06541" w:rsidRPr="00D06541">
              <w:rPr>
                <w:iCs/>
                <w:sz w:val="16"/>
                <w:szCs w:val="20"/>
              </w:rPr>
              <w:t>8.8</w:t>
            </w:r>
            <w:r w:rsidRPr="00D06541">
              <w:rPr>
                <w:iCs/>
                <w:sz w:val="16"/>
                <w:szCs w:val="20"/>
              </w:rPr>
              <w:t>%</w:t>
            </w:r>
          </w:p>
        </w:tc>
        <w:tc>
          <w:tcPr>
            <w:tcW w:w="1417" w:type="dxa"/>
          </w:tcPr>
          <w:p w14:paraId="31359B93" w14:textId="1BC9F570" w:rsidR="00295EF7" w:rsidRPr="00D06541" w:rsidRDefault="00295EF7" w:rsidP="00295EF7">
            <w:pPr>
              <w:rPr>
                <w:sz w:val="16"/>
                <w:szCs w:val="20"/>
              </w:rPr>
            </w:pPr>
            <w:r w:rsidRPr="00D06541">
              <w:rPr>
                <w:sz w:val="16"/>
                <w:szCs w:val="20"/>
              </w:rPr>
              <w:t>2</w:t>
            </w:r>
            <w:r w:rsidR="00D06541" w:rsidRPr="00D06541">
              <w:rPr>
                <w:sz w:val="16"/>
                <w:szCs w:val="20"/>
              </w:rPr>
              <w:t>8.6</w:t>
            </w:r>
            <w:r w:rsidRPr="00D06541">
              <w:rPr>
                <w:sz w:val="16"/>
                <w:szCs w:val="20"/>
              </w:rPr>
              <w:t>%</w:t>
            </w:r>
          </w:p>
        </w:tc>
      </w:tr>
      <w:tr w:rsidR="00295EF7" w:rsidRPr="00295EF7" w14:paraId="5B7F78C5" w14:textId="709E16FD" w:rsidTr="00A1309F">
        <w:tc>
          <w:tcPr>
            <w:tcW w:w="4390" w:type="dxa"/>
            <w:vAlign w:val="center"/>
          </w:tcPr>
          <w:p w14:paraId="0C6DFFFC" w14:textId="3BB9AC24"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Wrong timing</w:t>
            </w:r>
          </w:p>
        </w:tc>
        <w:tc>
          <w:tcPr>
            <w:tcW w:w="1134" w:type="dxa"/>
          </w:tcPr>
          <w:p w14:paraId="73021EBE" w14:textId="19CA309C" w:rsidR="00295EF7" w:rsidRPr="00295EF7" w:rsidRDefault="00D06541" w:rsidP="00295EF7">
            <w:pPr>
              <w:rPr>
                <w:iCs/>
                <w:sz w:val="16"/>
                <w:szCs w:val="20"/>
              </w:rPr>
            </w:pPr>
            <w:r>
              <w:rPr>
                <w:iCs/>
                <w:sz w:val="16"/>
                <w:szCs w:val="20"/>
              </w:rPr>
              <w:t>30</w:t>
            </w:r>
          </w:p>
        </w:tc>
        <w:tc>
          <w:tcPr>
            <w:tcW w:w="1417" w:type="dxa"/>
          </w:tcPr>
          <w:p w14:paraId="336241B5" w14:textId="63A6D71B" w:rsidR="00295EF7" w:rsidRPr="00D06541" w:rsidRDefault="00295EF7" w:rsidP="00295EF7">
            <w:pPr>
              <w:rPr>
                <w:iCs/>
                <w:sz w:val="16"/>
                <w:szCs w:val="20"/>
                <w:highlight w:val="yellow"/>
              </w:rPr>
            </w:pPr>
            <w:r w:rsidRPr="00D06541">
              <w:rPr>
                <w:iCs/>
                <w:sz w:val="16"/>
                <w:szCs w:val="20"/>
              </w:rPr>
              <w:t>15.</w:t>
            </w:r>
            <w:r w:rsidR="00D06541" w:rsidRPr="00D06541">
              <w:rPr>
                <w:iCs/>
                <w:sz w:val="16"/>
                <w:szCs w:val="20"/>
              </w:rPr>
              <w:t>6</w:t>
            </w:r>
            <w:r w:rsidRPr="00D06541">
              <w:rPr>
                <w:iCs/>
                <w:sz w:val="16"/>
                <w:szCs w:val="20"/>
              </w:rPr>
              <w:t>%</w:t>
            </w:r>
          </w:p>
        </w:tc>
        <w:tc>
          <w:tcPr>
            <w:tcW w:w="1417" w:type="dxa"/>
          </w:tcPr>
          <w:p w14:paraId="7BE4D7C6" w14:textId="0C333F78" w:rsidR="00295EF7" w:rsidRPr="00D06541" w:rsidRDefault="00295EF7" w:rsidP="00295EF7">
            <w:pPr>
              <w:rPr>
                <w:sz w:val="16"/>
                <w:szCs w:val="20"/>
              </w:rPr>
            </w:pPr>
            <w:r w:rsidRPr="00D06541">
              <w:rPr>
                <w:sz w:val="16"/>
                <w:szCs w:val="20"/>
              </w:rPr>
              <w:t>23.</w:t>
            </w:r>
            <w:r w:rsidR="00D06541" w:rsidRPr="00D06541">
              <w:rPr>
                <w:sz w:val="16"/>
                <w:szCs w:val="20"/>
              </w:rPr>
              <w:t>8</w:t>
            </w:r>
            <w:r w:rsidRPr="00D06541">
              <w:rPr>
                <w:sz w:val="16"/>
                <w:szCs w:val="20"/>
              </w:rPr>
              <w:t>%</w:t>
            </w:r>
          </w:p>
        </w:tc>
      </w:tr>
      <w:tr w:rsidR="00295EF7" w:rsidRPr="00295EF7" w14:paraId="3A0693EF" w14:textId="1536CE7A" w:rsidTr="00A1309F">
        <w:tc>
          <w:tcPr>
            <w:tcW w:w="4390" w:type="dxa"/>
            <w:vAlign w:val="center"/>
          </w:tcPr>
          <w:p w14:paraId="44490A5D" w14:textId="7699AE94"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Other reason</w:t>
            </w:r>
            <w:r w:rsidR="00A1309F">
              <w:rPr>
                <w:color w:val="000000"/>
                <w:sz w:val="16"/>
                <w:szCs w:val="16"/>
              </w:rPr>
              <w:t>s</w:t>
            </w:r>
          </w:p>
        </w:tc>
        <w:tc>
          <w:tcPr>
            <w:tcW w:w="1134" w:type="dxa"/>
          </w:tcPr>
          <w:p w14:paraId="411F61BC" w14:textId="23614471" w:rsidR="00295EF7" w:rsidRPr="00295EF7" w:rsidRDefault="00D06541" w:rsidP="00295EF7">
            <w:pPr>
              <w:rPr>
                <w:iCs/>
                <w:sz w:val="16"/>
                <w:szCs w:val="20"/>
              </w:rPr>
            </w:pPr>
            <w:r>
              <w:rPr>
                <w:iCs/>
                <w:sz w:val="16"/>
                <w:szCs w:val="20"/>
              </w:rPr>
              <w:t>24</w:t>
            </w:r>
          </w:p>
        </w:tc>
        <w:tc>
          <w:tcPr>
            <w:tcW w:w="1417" w:type="dxa"/>
          </w:tcPr>
          <w:p w14:paraId="6BF53BDE" w14:textId="5247E252" w:rsidR="00295EF7" w:rsidRPr="00D06541" w:rsidRDefault="00D06541" w:rsidP="00295EF7">
            <w:pPr>
              <w:rPr>
                <w:iCs/>
                <w:sz w:val="16"/>
                <w:szCs w:val="20"/>
                <w:highlight w:val="yellow"/>
              </w:rPr>
            </w:pPr>
            <w:r w:rsidRPr="00D06541">
              <w:rPr>
                <w:iCs/>
                <w:sz w:val="16"/>
                <w:szCs w:val="20"/>
              </w:rPr>
              <w:t>12.5</w:t>
            </w:r>
            <w:r w:rsidR="00295EF7" w:rsidRPr="00D06541">
              <w:rPr>
                <w:iCs/>
                <w:sz w:val="16"/>
                <w:szCs w:val="20"/>
              </w:rPr>
              <w:t>%</w:t>
            </w:r>
          </w:p>
        </w:tc>
        <w:tc>
          <w:tcPr>
            <w:tcW w:w="1417" w:type="dxa"/>
          </w:tcPr>
          <w:p w14:paraId="729BE86C" w14:textId="1D6763D2" w:rsidR="00295EF7" w:rsidRPr="00D06541" w:rsidRDefault="00D06541" w:rsidP="00295EF7">
            <w:pPr>
              <w:rPr>
                <w:sz w:val="16"/>
                <w:szCs w:val="20"/>
                <w:highlight w:val="yellow"/>
              </w:rPr>
            </w:pPr>
            <w:r w:rsidRPr="00D06541">
              <w:rPr>
                <w:sz w:val="16"/>
                <w:szCs w:val="20"/>
              </w:rPr>
              <w:t>19.0</w:t>
            </w:r>
            <w:r w:rsidR="00295EF7" w:rsidRPr="00D06541">
              <w:rPr>
                <w:sz w:val="16"/>
                <w:szCs w:val="20"/>
              </w:rPr>
              <w:t>%</w:t>
            </w:r>
          </w:p>
        </w:tc>
      </w:tr>
      <w:tr w:rsidR="00295EF7" w:rsidRPr="00295EF7" w14:paraId="060FC6B0" w14:textId="623069B9" w:rsidTr="00A1309F">
        <w:tc>
          <w:tcPr>
            <w:tcW w:w="4390" w:type="dxa"/>
            <w:vAlign w:val="center"/>
          </w:tcPr>
          <w:p w14:paraId="2965FB09" w14:textId="02B14246"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Not suitable</w:t>
            </w:r>
          </w:p>
        </w:tc>
        <w:tc>
          <w:tcPr>
            <w:tcW w:w="1134" w:type="dxa"/>
          </w:tcPr>
          <w:p w14:paraId="485C5F7C" w14:textId="77777777" w:rsidR="00295EF7" w:rsidRPr="00295EF7" w:rsidRDefault="00295EF7" w:rsidP="00295EF7">
            <w:pPr>
              <w:rPr>
                <w:iCs/>
                <w:sz w:val="16"/>
                <w:szCs w:val="20"/>
              </w:rPr>
            </w:pPr>
            <w:r w:rsidRPr="00295EF7">
              <w:rPr>
                <w:sz w:val="16"/>
                <w:szCs w:val="20"/>
              </w:rPr>
              <w:t>12</w:t>
            </w:r>
          </w:p>
        </w:tc>
        <w:tc>
          <w:tcPr>
            <w:tcW w:w="1417" w:type="dxa"/>
          </w:tcPr>
          <w:p w14:paraId="1AC8025F" w14:textId="6007201D" w:rsidR="00295EF7" w:rsidRPr="00D06541" w:rsidRDefault="00295EF7" w:rsidP="00295EF7">
            <w:pPr>
              <w:rPr>
                <w:iCs/>
                <w:sz w:val="16"/>
                <w:szCs w:val="20"/>
              </w:rPr>
            </w:pPr>
            <w:r w:rsidRPr="00D06541">
              <w:rPr>
                <w:iCs/>
                <w:sz w:val="16"/>
                <w:szCs w:val="20"/>
              </w:rPr>
              <w:t>6.3%</w:t>
            </w:r>
          </w:p>
        </w:tc>
        <w:tc>
          <w:tcPr>
            <w:tcW w:w="1417" w:type="dxa"/>
          </w:tcPr>
          <w:p w14:paraId="7654CD06" w14:textId="1F9794D8" w:rsidR="00295EF7" w:rsidRPr="00D06541" w:rsidRDefault="00295EF7" w:rsidP="00295EF7">
            <w:pPr>
              <w:rPr>
                <w:sz w:val="16"/>
                <w:szCs w:val="20"/>
              </w:rPr>
            </w:pPr>
            <w:r w:rsidRPr="00D06541">
              <w:rPr>
                <w:sz w:val="16"/>
                <w:szCs w:val="20"/>
              </w:rPr>
              <w:t>9.5%</w:t>
            </w:r>
          </w:p>
        </w:tc>
      </w:tr>
      <w:tr w:rsidR="00295EF7" w:rsidRPr="00295EF7" w14:paraId="41451793" w14:textId="2E4A51D2" w:rsidTr="00A1309F">
        <w:tc>
          <w:tcPr>
            <w:tcW w:w="4390" w:type="dxa"/>
            <w:vAlign w:val="center"/>
          </w:tcPr>
          <w:p w14:paraId="26460F0D" w14:textId="3CE2ED81"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Medical reason</w:t>
            </w:r>
          </w:p>
        </w:tc>
        <w:tc>
          <w:tcPr>
            <w:tcW w:w="1134" w:type="dxa"/>
          </w:tcPr>
          <w:p w14:paraId="68BC39A4" w14:textId="27B73315" w:rsidR="00295EF7" w:rsidRPr="00295EF7" w:rsidRDefault="00295EF7" w:rsidP="00295EF7">
            <w:pPr>
              <w:rPr>
                <w:iCs/>
                <w:sz w:val="16"/>
                <w:szCs w:val="20"/>
              </w:rPr>
            </w:pPr>
            <w:r w:rsidRPr="00295EF7">
              <w:rPr>
                <w:sz w:val="16"/>
                <w:szCs w:val="20"/>
              </w:rPr>
              <w:t>1</w:t>
            </w:r>
            <w:r w:rsidR="00D06541">
              <w:rPr>
                <w:sz w:val="16"/>
                <w:szCs w:val="20"/>
              </w:rPr>
              <w:t>2</w:t>
            </w:r>
          </w:p>
        </w:tc>
        <w:tc>
          <w:tcPr>
            <w:tcW w:w="1417" w:type="dxa"/>
          </w:tcPr>
          <w:p w14:paraId="17FC3334" w14:textId="2C8EA23F" w:rsidR="00295EF7" w:rsidRPr="00D06541" w:rsidRDefault="00D06541" w:rsidP="00295EF7">
            <w:pPr>
              <w:rPr>
                <w:iCs/>
                <w:sz w:val="16"/>
                <w:szCs w:val="20"/>
              </w:rPr>
            </w:pPr>
            <w:r w:rsidRPr="00D06541">
              <w:rPr>
                <w:iCs/>
                <w:sz w:val="16"/>
                <w:szCs w:val="20"/>
              </w:rPr>
              <w:t>6.3</w:t>
            </w:r>
            <w:r w:rsidR="00295EF7" w:rsidRPr="00D06541">
              <w:rPr>
                <w:iCs/>
                <w:sz w:val="16"/>
                <w:szCs w:val="20"/>
              </w:rPr>
              <w:t>%</w:t>
            </w:r>
          </w:p>
        </w:tc>
        <w:tc>
          <w:tcPr>
            <w:tcW w:w="1417" w:type="dxa"/>
          </w:tcPr>
          <w:p w14:paraId="7431BBD4" w14:textId="20BD97E6" w:rsidR="00295EF7" w:rsidRPr="00D06541" w:rsidRDefault="00D06541" w:rsidP="00295EF7">
            <w:pPr>
              <w:rPr>
                <w:sz w:val="16"/>
                <w:szCs w:val="20"/>
              </w:rPr>
            </w:pPr>
            <w:r w:rsidRPr="00D06541">
              <w:rPr>
                <w:sz w:val="16"/>
                <w:szCs w:val="20"/>
              </w:rPr>
              <w:t>9.5</w:t>
            </w:r>
            <w:r w:rsidR="00295EF7" w:rsidRPr="00D06541">
              <w:rPr>
                <w:sz w:val="16"/>
                <w:szCs w:val="20"/>
              </w:rPr>
              <w:t>%</w:t>
            </w:r>
          </w:p>
        </w:tc>
      </w:tr>
      <w:tr w:rsidR="00295EF7" w:rsidRPr="00295EF7" w14:paraId="2442F11C" w14:textId="32FFAC5A" w:rsidTr="00A1309F">
        <w:tc>
          <w:tcPr>
            <w:tcW w:w="4390" w:type="dxa"/>
            <w:vAlign w:val="center"/>
          </w:tcPr>
          <w:p w14:paraId="12A63966" w14:textId="70FC1E52"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Other services more appropriate</w:t>
            </w:r>
          </w:p>
        </w:tc>
        <w:tc>
          <w:tcPr>
            <w:tcW w:w="1134" w:type="dxa"/>
          </w:tcPr>
          <w:p w14:paraId="0DF4AD1D" w14:textId="4875273C" w:rsidR="00295EF7" w:rsidRPr="00295EF7" w:rsidRDefault="00D06541" w:rsidP="00295EF7">
            <w:pPr>
              <w:rPr>
                <w:iCs/>
                <w:sz w:val="16"/>
                <w:szCs w:val="20"/>
              </w:rPr>
            </w:pPr>
            <w:r>
              <w:rPr>
                <w:iCs/>
                <w:sz w:val="16"/>
                <w:szCs w:val="20"/>
              </w:rPr>
              <w:t>6</w:t>
            </w:r>
          </w:p>
        </w:tc>
        <w:tc>
          <w:tcPr>
            <w:tcW w:w="1417" w:type="dxa"/>
          </w:tcPr>
          <w:p w14:paraId="7EA1E7B4" w14:textId="694D7FCF" w:rsidR="00295EF7" w:rsidRPr="00D06541" w:rsidRDefault="00295EF7" w:rsidP="00295EF7">
            <w:pPr>
              <w:rPr>
                <w:iCs/>
                <w:sz w:val="16"/>
                <w:szCs w:val="20"/>
              </w:rPr>
            </w:pPr>
            <w:r w:rsidRPr="00D06541">
              <w:rPr>
                <w:iCs/>
                <w:sz w:val="16"/>
                <w:szCs w:val="20"/>
              </w:rPr>
              <w:t>3.</w:t>
            </w:r>
            <w:r w:rsidR="00D06541" w:rsidRPr="00D06541">
              <w:rPr>
                <w:iCs/>
                <w:sz w:val="16"/>
                <w:szCs w:val="20"/>
              </w:rPr>
              <w:t>1</w:t>
            </w:r>
            <w:r w:rsidRPr="00D06541">
              <w:rPr>
                <w:iCs/>
                <w:sz w:val="16"/>
                <w:szCs w:val="20"/>
              </w:rPr>
              <w:t>%</w:t>
            </w:r>
          </w:p>
        </w:tc>
        <w:tc>
          <w:tcPr>
            <w:tcW w:w="1417" w:type="dxa"/>
          </w:tcPr>
          <w:p w14:paraId="1583C7BF" w14:textId="5AB1C990" w:rsidR="00295EF7" w:rsidRPr="00D06541" w:rsidRDefault="00D06541" w:rsidP="00295EF7">
            <w:pPr>
              <w:rPr>
                <w:sz w:val="16"/>
                <w:szCs w:val="20"/>
              </w:rPr>
            </w:pPr>
            <w:r w:rsidRPr="00D06541">
              <w:rPr>
                <w:sz w:val="16"/>
                <w:szCs w:val="20"/>
              </w:rPr>
              <w:t>4.8</w:t>
            </w:r>
            <w:r w:rsidR="00295EF7" w:rsidRPr="00D06541">
              <w:rPr>
                <w:sz w:val="16"/>
                <w:szCs w:val="20"/>
              </w:rPr>
              <w:t>%</w:t>
            </w:r>
          </w:p>
        </w:tc>
      </w:tr>
      <w:tr w:rsidR="00295EF7" w:rsidRPr="00295EF7" w14:paraId="1D6F35D2" w14:textId="7B92B610" w:rsidTr="00A1309F">
        <w:tc>
          <w:tcPr>
            <w:tcW w:w="4390" w:type="dxa"/>
            <w:vAlign w:val="center"/>
          </w:tcPr>
          <w:p w14:paraId="37287772" w14:textId="7DFE57EA"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Moved out of area</w:t>
            </w:r>
          </w:p>
        </w:tc>
        <w:tc>
          <w:tcPr>
            <w:tcW w:w="1134" w:type="dxa"/>
          </w:tcPr>
          <w:p w14:paraId="267B13B4" w14:textId="77777777" w:rsidR="00295EF7" w:rsidRPr="00295EF7" w:rsidRDefault="00295EF7" w:rsidP="00295EF7">
            <w:pPr>
              <w:rPr>
                <w:iCs/>
                <w:sz w:val="16"/>
                <w:szCs w:val="20"/>
              </w:rPr>
            </w:pPr>
            <w:r w:rsidRPr="00295EF7">
              <w:rPr>
                <w:sz w:val="16"/>
                <w:szCs w:val="20"/>
              </w:rPr>
              <w:t>6</w:t>
            </w:r>
          </w:p>
        </w:tc>
        <w:tc>
          <w:tcPr>
            <w:tcW w:w="1417" w:type="dxa"/>
          </w:tcPr>
          <w:p w14:paraId="5AAF9836" w14:textId="274838D4" w:rsidR="00295EF7" w:rsidRPr="00D06541" w:rsidRDefault="00295EF7" w:rsidP="00295EF7">
            <w:pPr>
              <w:rPr>
                <w:iCs/>
                <w:sz w:val="16"/>
                <w:szCs w:val="20"/>
              </w:rPr>
            </w:pPr>
            <w:r w:rsidRPr="00D06541">
              <w:rPr>
                <w:iCs/>
                <w:sz w:val="16"/>
                <w:szCs w:val="20"/>
              </w:rPr>
              <w:t>3.1%</w:t>
            </w:r>
          </w:p>
        </w:tc>
        <w:tc>
          <w:tcPr>
            <w:tcW w:w="1417" w:type="dxa"/>
          </w:tcPr>
          <w:p w14:paraId="465F6F2F" w14:textId="58566ADF" w:rsidR="00295EF7" w:rsidRPr="00D06541" w:rsidRDefault="00295EF7" w:rsidP="00295EF7">
            <w:pPr>
              <w:rPr>
                <w:sz w:val="16"/>
                <w:szCs w:val="20"/>
              </w:rPr>
            </w:pPr>
            <w:r w:rsidRPr="00D06541">
              <w:rPr>
                <w:sz w:val="16"/>
                <w:szCs w:val="20"/>
              </w:rPr>
              <w:t>4.8%</w:t>
            </w:r>
          </w:p>
        </w:tc>
      </w:tr>
      <w:tr w:rsidR="00295EF7" w14:paraId="2E362E3D" w14:textId="3ADE8578" w:rsidTr="00A1309F">
        <w:tc>
          <w:tcPr>
            <w:tcW w:w="4390" w:type="dxa"/>
          </w:tcPr>
          <w:p w14:paraId="68F1FC9F" w14:textId="0A38D1CF" w:rsidR="00295EF7" w:rsidRPr="00295EF7" w:rsidRDefault="00295EF7" w:rsidP="00295EF7">
            <w:pPr>
              <w:rPr>
                <w:b/>
                <w:bCs/>
                <w:iCs/>
                <w:sz w:val="16"/>
                <w:szCs w:val="16"/>
              </w:rPr>
            </w:pPr>
            <w:r w:rsidRPr="00295EF7">
              <w:rPr>
                <w:b/>
                <w:bCs/>
                <w:iCs/>
                <w:sz w:val="16"/>
                <w:szCs w:val="16"/>
              </w:rPr>
              <w:t>Total</w:t>
            </w:r>
          </w:p>
        </w:tc>
        <w:tc>
          <w:tcPr>
            <w:tcW w:w="1134" w:type="dxa"/>
          </w:tcPr>
          <w:p w14:paraId="26755148" w14:textId="7B94DD7F" w:rsidR="00295EF7" w:rsidRPr="00295EF7" w:rsidRDefault="00295EF7" w:rsidP="00295EF7">
            <w:pPr>
              <w:rPr>
                <w:b/>
                <w:bCs/>
                <w:iCs/>
                <w:sz w:val="16"/>
                <w:szCs w:val="16"/>
              </w:rPr>
            </w:pPr>
            <w:r w:rsidRPr="00295EF7">
              <w:rPr>
                <w:b/>
                <w:bCs/>
                <w:iCs/>
                <w:sz w:val="16"/>
                <w:szCs w:val="16"/>
              </w:rPr>
              <w:t>192</w:t>
            </w:r>
          </w:p>
        </w:tc>
        <w:tc>
          <w:tcPr>
            <w:tcW w:w="1417" w:type="dxa"/>
          </w:tcPr>
          <w:p w14:paraId="7DBBF1BF" w14:textId="77777777" w:rsidR="00295EF7" w:rsidRPr="00295EF7" w:rsidRDefault="00295EF7" w:rsidP="00295EF7">
            <w:pPr>
              <w:rPr>
                <w:b/>
                <w:bCs/>
                <w:iCs/>
                <w:sz w:val="16"/>
                <w:szCs w:val="16"/>
              </w:rPr>
            </w:pPr>
            <w:r w:rsidRPr="00295EF7">
              <w:rPr>
                <w:b/>
                <w:bCs/>
                <w:iCs/>
                <w:sz w:val="16"/>
                <w:szCs w:val="16"/>
              </w:rPr>
              <w:t>100.0%</w:t>
            </w:r>
          </w:p>
        </w:tc>
        <w:tc>
          <w:tcPr>
            <w:tcW w:w="1417" w:type="dxa"/>
          </w:tcPr>
          <w:p w14:paraId="05B32371" w14:textId="04FA4B7F" w:rsidR="00295EF7" w:rsidRPr="00295EF7" w:rsidRDefault="00295EF7" w:rsidP="00295EF7">
            <w:pPr>
              <w:rPr>
                <w:b/>
                <w:bCs/>
                <w:iCs/>
                <w:sz w:val="16"/>
                <w:szCs w:val="16"/>
              </w:rPr>
            </w:pPr>
            <w:r w:rsidRPr="00295EF7">
              <w:rPr>
                <w:b/>
                <w:bCs/>
                <w:iCs/>
                <w:sz w:val="16"/>
                <w:szCs w:val="16"/>
              </w:rPr>
              <w:t>100.0%</w:t>
            </w:r>
          </w:p>
        </w:tc>
      </w:tr>
    </w:tbl>
    <w:p w14:paraId="45A2EA06" w14:textId="448B2B2A" w:rsidR="003537D5" w:rsidRPr="00AA2391" w:rsidRDefault="00AA2391" w:rsidP="00C93F90">
      <w:pPr>
        <w:rPr>
          <w:sz w:val="16"/>
          <w:szCs w:val="18"/>
        </w:rPr>
      </w:pPr>
      <w:r w:rsidRPr="00AA2391">
        <w:rPr>
          <w:sz w:val="16"/>
          <w:szCs w:val="18"/>
        </w:rPr>
        <w:t>Note: Percentages may not add to 100 percent due to rounding.</w:t>
      </w:r>
    </w:p>
    <w:p w14:paraId="1BCD2833" w14:textId="26FD4B52" w:rsidR="000C14D4" w:rsidRDefault="000C14D4" w:rsidP="00C93F90">
      <w:r w:rsidRPr="000C14D4">
        <w:t>Reasons may not be mutually exclusive; we recommend that clearer classifications are used in future</w:t>
      </w:r>
      <w:r w:rsidR="003C0E1E">
        <w:t xml:space="preserve"> services</w:t>
      </w:r>
      <w:r w:rsidRPr="000C14D4">
        <w:t xml:space="preserve"> to correctly capture the range of reasons those referred to the service may not ultimately take part.</w:t>
      </w:r>
    </w:p>
    <w:p w14:paraId="017D5F69" w14:textId="5F79357D" w:rsidR="003537D5" w:rsidRDefault="000C14D4" w:rsidP="00C93F90">
      <w:r>
        <w:t>Additionally</w:t>
      </w:r>
      <w:r w:rsidR="00295EF7">
        <w:t xml:space="preserve">, </w:t>
      </w:r>
      <w:r w:rsidR="00490001">
        <w:t>we</w:t>
      </w:r>
      <w:r w:rsidR="00295EF7">
        <w:t xml:space="preserve"> are unable to dive further into understanding the specific circumstances which led to people being unable to be contacted</w:t>
      </w:r>
      <w:r w:rsidR="006E1B03">
        <w:t>,</w:t>
      </w:r>
      <w:r w:rsidR="00295EF7">
        <w:t xml:space="preserve"> declining to participate</w:t>
      </w:r>
      <w:r w:rsidR="00A1309F">
        <w:t xml:space="preserve"> in REACH</w:t>
      </w:r>
      <w:r w:rsidR="006E1B03">
        <w:t>, or having their referral declined</w:t>
      </w:r>
      <w:r w:rsidR="00295EF7">
        <w:t xml:space="preserve">. </w:t>
      </w:r>
      <w:r w:rsidR="00490001">
        <w:t xml:space="preserve">The qualitative evaluation findings may be better able to answer </w:t>
      </w:r>
      <w:r w:rsidR="00BB10BA">
        <w:t>these</w:t>
      </w:r>
      <w:r w:rsidR="00490001">
        <w:t xml:space="preserve"> questions.</w:t>
      </w:r>
    </w:p>
    <w:p w14:paraId="45D3AE79" w14:textId="64D9346B" w:rsidR="003537D5" w:rsidRDefault="003537D5" w:rsidP="00C93F90"/>
    <w:p w14:paraId="7BBCCC40" w14:textId="14F4BC39" w:rsidR="003537D5" w:rsidRDefault="003537D5" w:rsidP="00C93F90"/>
    <w:p w14:paraId="0BE58BAF" w14:textId="002C7C2A" w:rsidR="003537D5" w:rsidRDefault="003537D5" w:rsidP="00C93F90"/>
    <w:p w14:paraId="45A40497" w14:textId="4805EF5A" w:rsidR="003537D5" w:rsidRDefault="003537D5" w:rsidP="00C93F90"/>
    <w:p w14:paraId="26BC1B99" w14:textId="77777777" w:rsidR="000C14D4" w:rsidRDefault="000C14D4" w:rsidP="00C93F90"/>
    <w:p w14:paraId="7B43E9D5" w14:textId="776E87D0" w:rsidR="003537D5" w:rsidRDefault="003537D5" w:rsidP="00C93F90"/>
    <w:p w14:paraId="665D2514" w14:textId="112EFC6A" w:rsidR="003537D5" w:rsidRDefault="003537D5" w:rsidP="00C93F90"/>
    <w:p w14:paraId="43318A1B" w14:textId="77777777" w:rsidR="00295EF7" w:rsidRDefault="00295EF7" w:rsidP="00C93F90"/>
    <w:p w14:paraId="302234CE" w14:textId="6CA82B15" w:rsidR="003537D5" w:rsidRDefault="003537D5" w:rsidP="003537D5">
      <w:pPr>
        <w:pStyle w:val="Heading3"/>
      </w:pPr>
      <w:r>
        <w:lastRenderedPageBreak/>
        <w:t xml:space="preserve">As at the end of June 2021, </w:t>
      </w:r>
      <w:r w:rsidR="003C0E1E">
        <w:t xml:space="preserve">just over 89 percent of </w:t>
      </w:r>
      <w:r>
        <w:t xml:space="preserve">participants </w:t>
      </w:r>
      <w:r w:rsidR="0058713A">
        <w:t xml:space="preserve">(153) </w:t>
      </w:r>
      <w:r>
        <w:t>had exited the REACH service.</w:t>
      </w:r>
    </w:p>
    <w:p w14:paraId="6C0EAC92" w14:textId="36AD58DD" w:rsidR="003537D5" w:rsidRPr="0058713A" w:rsidRDefault="00EA3FCF" w:rsidP="0058713A">
      <w:pPr>
        <w:rPr>
          <w:iCs/>
        </w:rPr>
      </w:pPr>
      <w:r w:rsidRPr="0058713A">
        <w:rPr>
          <w:iCs/>
        </w:rPr>
        <w:t>Most</w:t>
      </w:r>
      <w:r w:rsidR="00A51B94" w:rsidRPr="0058713A">
        <w:rPr>
          <w:iCs/>
        </w:rPr>
        <w:t xml:space="preserve"> exits were </w:t>
      </w:r>
      <w:r w:rsidR="003263A5" w:rsidRPr="0058713A">
        <w:rPr>
          <w:iCs/>
        </w:rPr>
        <w:t xml:space="preserve">because the participant had </w:t>
      </w:r>
      <w:r w:rsidRPr="0058713A">
        <w:rPr>
          <w:iCs/>
        </w:rPr>
        <w:t>c</w:t>
      </w:r>
      <w:r w:rsidR="00A51B94" w:rsidRPr="0058713A">
        <w:rPr>
          <w:iCs/>
        </w:rPr>
        <w:t xml:space="preserve">ompleted </w:t>
      </w:r>
      <w:r w:rsidRPr="0058713A">
        <w:rPr>
          <w:iCs/>
        </w:rPr>
        <w:t>s</w:t>
      </w:r>
      <w:r w:rsidR="00A51B94" w:rsidRPr="0058713A">
        <w:rPr>
          <w:iCs/>
        </w:rPr>
        <w:t xml:space="preserve">ervice </w:t>
      </w:r>
      <w:r w:rsidRPr="0058713A">
        <w:rPr>
          <w:iCs/>
        </w:rPr>
        <w:t>d</w:t>
      </w:r>
      <w:r w:rsidR="00A51B94" w:rsidRPr="0058713A">
        <w:rPr>
          <w:iCs/>
        </w:rPr>
        <w:t>uration</w:t>
      </w:r>
      <w:r w:rsidR="003263A5" w:rsidRPr="0058713A">
        <w:rPr>
          <w:iCs/>
        </w:rPr>
        <w:t xml:space="preserve"> or achieved desired outcomes</w:t>
      </w:r>
      <w:r w:rsidR="00A51B94" w:rsidRPr="0058713A">
        <w:rPr>
          <w:iCs/>
        </w:rPr>
        <w:t xml:space="preserve"> </w:t>
      </w:r>
      <w:r w:rsidR="003537D5" w:rsidRPr="0058713A">
        <w:rPr>
          <w:iCs/>
        </w:rPr>
        <w:t>(</w:t>
      </w:r>
      <w:r w:rsidR="00A51B94" w:rsidRPr="0058713A">
        <w:rPr>
          <w:iCs/>
        </w:rPr>
        <w:t>6</w:t>
      </w:r>
      <w:r w:rsidR="00C9626C" w:rsidRPr="0058713A">
        <w:rPr>
          <w:iCs/>
        </w:rPr>
        <w:t>4.7</w:t>
      </w:r>
      <w:r w:rsidR="00A51B94" w:rsidRPr="0058713A">
        <w:rPr>
          <w:iCs/>
        </w:rPr>
        <w:t xml:space="preserve"> percent</w:t>
      </w:r>
      <w:r w:rsidR="003537D5" w:rsidRPr="0058713A">
        <w:rPr>
          <w:iCs/>
        </w:rPr>
        <w:t xml:space="preserve">, or </w:t>
      </w:r>
      <w:r w:rsidR="00C9626C" w:rsidRPr="0058713A">
        <w:rPr>
          <w:iCs/>
        </w:rPr>
        <w:t>99</w:t>
      </w:r>
      <w:r w:rsidR="003537D5" w:rsidRPr="0058713A">
        <w:rPr>
          <w:iCs/>
        </w:rPr>
        <w:t xml:space="preserve"> participants</w:t>
      </w:r>
      <w:r w:rsidR="00A51B94" w:rsidRPr="0058713A">
        <w:rPr>
          <w:iCs/>
        </w:rPr>
        <w:t xml:space="preserve">). </w:t>
      </w:r>
    </w:p>
    <w:p w14:paraId="441E61DA" w14:textId="04B4619C" w:rsidR="00A33D42" w:rsidRPr="003537D5" w:rsidRDefault="00A51B94" w:rsidP="00F113EF">
      <w:pPr>
        <w:rPr>
          <w:i/>
          <w:sz w:val="24"/>
          <w:szCs w:val="24"/>
        </w:rPr>
      </w:pPr>
      <w:r>
        <w:rPr>
          <w:iCs/>
        </w:rPr>
        <w:t>Th</w:t>
      </w:r>
      <w:r w:rsidR="0090378E">
        <w:rPr>
          <w:iCs/>
        </w:rPr>
        <w:t xml:space="preserve">e </w:t>
      </w:r>
      <w:r w:rsidR="00DF3EA7">
        <w:rPr>
          <w:iCs/>
        </w:rPr>
        <w:t>next</w:t>
      </w:r>
      <w:r w:rsidR="0090378E">
        <w:rPr>
          <w:iCs/>
        </w:rPr>
        <w:t xml:space="preserve"> most common reason</w:t>
      </w:r>
      <w:r w:rsidR="00DF3EA7">
        <w:rPr>
          <w:iCs/>
        </w:rPr>
        <w:t>s</w:t>
      </w:r>
      <w:r w:rsidR="0090378E">
        <w:rPr>
          <w:iCs/>
        </w:rPr>
        <w:t xml:space="preserve"> for </w:t>
      </w:r>
      <w:r w:rsidR="00DC425C">
        <w:rPr>
          <w:iCs/>
        </w:rPr>
        <w:t xml:space="preserve">exit were </w:t>
      </w:r>
      <w:r>
        <w:rPr>
          <w:iCs/>
        </w:rPr>
        <w:t>“</w:t>
      </w:r>
      <w:r w:rsidR="00EA3FCF">
        <w:rPr>
          <w:iCs/>
        </w:rPr>
        <w:t>p</w:t>
      </w:r>
      <w:r>
        <w:rPr>
          <w:iCs/>
        </w:rPr>
        <w:t>rovider dismissed client” (1</w:t>
      </w:r>
      <w:r w:rsidR="00C9626C">
        <w:rPr>
          <w:iCs/>
        </w:rPr>
        <w:t>3.7</w:t>
      </w:r>
      <w:r>
        <w:rPr>
          <w:iCs/>
        </w:rPr>
        <w:t xml:space="preserve"> percent</w:t>
      </w:r>
      <w:r w:rsidR="003537D5">
        <w:rPr>
          <w:iCs/>
        </w:rPr>
        <w:t>, or 2</w:t>
      </w:r>
      <w:r w:rsidR="00C9626C">
        <w:rPr>
          <w:iCs/>
        </w:rPr>
        <w:t>1</w:t>
      </w:r>
      <w:r w:rsidR="003537D5">
        <w:rPr>
          <w:iCs/>
        </w:rPr>
        <w:t xml:space="preserve"> participants</w:t>
      </w:r>
      <w:r>
        <w:rPr>
          <w:iCs/>
        </w:rPr>
        <w:t>)</w:t>
      </w:r>
      <w:r w:rsidR="008D1A6F">
        <w:rPr>
          <w:iCs/>
        </w:rPr>
        <w:t xml:space="preserve"> and “client withdrew” (</w:t>
      </w:r>
      <w:r w:rsidR="00791448">
        <w:rPr>
          <w:iCs/>
        </w:rPr>
        <w:t>7.8</w:t>
      </w:r>
      <w:r w:rsidR="008D1A6F">
        <w:rPr>
          <w:iCs/>
        </w:rPr>
        <w:t xml:space="preserve"> percent, or 1</w:t>
      </w:r>
      <w:r w:rsidR="00791448">
        <w:rPr>
          <w:iCs/>
        </w:rPr>
        <w:t>2</w:t>
      </w:r>
      <w:r w:rsidR="008D1A6F">
        <w:rPr>
          <w:iCs/>
        </w:rPr>
        <w:t xml:space="preserve"> participants)</w:t>
      </w:r>
      <w:r w:rsidR="0045698D">
        <w:rPr>
          <w:iCs/>
        </w:rPr>
        <w:t>.</w:t>
      </w:r>
      <w:r w:rsidR="003537D5">
        <w:rPr>
          <w:iCs/>
        </w:rPr>
        <w:t xml:space="preserve"> </w:t>
      </w:r>
    </w:p>
    <w:p w14:paraId="621CD29D" w14:textId="26F97D5A" w:rsidR="00EA3FCF" w:rsidRPr="00EA3FCF" w:rsidRDefault="00EA3FCF" w:rsidP="00EA3FCF">
      <w:pPr>
        <w:rPr>
          <w:b/>
          <w:bCs/>
          <w:iCs/>
          <w:sz w:val="18"/>
          <w:szCs w:val="20"/>
        </w:rPr>
      </w:pPr>
      <w:bookmarkStart w:id="15" w:name="_Ref71640198"/>
      <w:r w:rsidRPr="00C9626C">
        <w:rPr>
          <w:b/>
          <w:bCs/>
          <w:sz w:val="18"/>
          <w:szCs w:val="20"/>
        </w:rPr>
        <w:t xml:space="preserve">Table </w:t>
      </w:r>
      <w:r w:rsidRPr="00C9626C">
        <w:rPr>
          <w:b/>
          <w:bCs/>
          <w:sz w:val="18"/>
          <w:szCs w:val="20"/>
        </w:rPr>
        <w:fldChar w:fldCharType="begin"/>
      </w:r>
      <w:r w:rsidRPr="00C9626C">
        <w:rPr>
          <w:b/>
          <w:bCs/>
          <w:sz w:val="18"/>
          <w:szCs w:val="20"/>
        </w:rPr>
        <w:instrText xml:space="preserve"> SEQ Table \* ARABIC </w:instrText>
      </w:r>
      <w:r w:rsidRPr="00C9626C">
        <w:rPr>
          <w:b/>
          <w:bCs/>
          <w:sz w:val="18"/>
          <w:szCs w:val="20"/>
        </w:rPr>
        <w:fldChar w:fldCharType="separate"/>
      </w:r>
      <w:r w:rsidR="00F75DF1" w:rsidRPr="00C9626C">
        <w:rPr>
          <w:b/>
          <w:bCs/>
          <w:noProof/>
          <w:sz w:val="18"/>
          <w:szCs w:val="20"/>
        </w:rPr>
        <w:t>2</w:t>
      </w:r>
      <w:r w:rsidRPr="00C9626C">
        <w:rPr>
          <w:b/>
          <w:bCs/>
          <w:sz w:val="18"/>
          <w:szCs w:val="20"/>
        </w:rPr>
        <w:fldChar w:fldCharType="end"/>
      </w:r>
      <w:bookmarkEnd w:id="15"/>
      <w:r w:rsidRPr="00C9626C">
        <w:rPr>
          <w:b/>
          <w:bCs/>
          <w:sz w:val="18"/>
          <w:szCs w:val="20"/>
        </w:rPr>
        <w:t>: Exits, by reason.</w:t>
      </w:r>
    </w:p>
    <w:tbl>
      <w:tblPr>
        <w:tblStyle w:val="TableGrid"/>
        <w:tblW w:w="0" w:type="auto"/>
        <w:tblLook w:val="04A0" w:firstRow="1" w:lastRow="0" w:firstColumn="1" w:lastColumn="0" w:noHBand="0" w:noVBand="1"/>
      </w:tblPr>
      <w:tblGrid>
        <w:gridCol w:w="4390"/>
        <w:gridCol w:w="1134"/>
        <w:gridCol w:w="1417"/>
      </w:tblGrid>
      <w:tr w:rsidR="00A51B94" w:rsidRPr="00A33D42" w14:paraId="5926C16F" w14:textId="77777777" w:rsidTr="008209CD">
        <w:tc>
          <w:tcPr>
            <w:tcW w:w="4390" w:type="dxa"/>
          </w:tcPr>
          <w:p w14:paraId="6C3066BE" w14:textId="0F470744" w:rsidR="00A51B94" w:rsidRPr="00A33D42" w:rsidRDefault="00A51B94" w:rsidP="008209CD">
            <w:pPr>
              <w:rPr>
                <w:b/>
                <w:bCs/>
                <w:iCs/>
                <w:sz w:val="16"/>
                <w:szCs w:val="16"/>
              </w:rPr>
            </w:pPr>
            <w:r>
              <w:rPr>
                <w:b/>
                <w:bCs/>
                <w:iCs/>
                <w:sz w:val="16"/>
                <w:szCs w:val="16"/>
              </w:rPr>
              <w:t>Exit</w:t>
            </w:r>
            <w:r w:rsidRPr="00A33D42">
              <w:rPr>
                <w:b/>
                <w:bCs/>
                <w:iCs/>
                <w:sz w:val="16"/>
                <w:szCs w:val="16"/>
              </w:rPr>
              <w:t xml:space="preserve"> reason</w:t>
            </w:r>
          </w:p>
        </w:tc>
        <w:tc>
          <w:tcPr>
            <w:tcW w:w="1134" w:type="dxa"/>
          </w:tcPr>
          <w:p w14:paraId="17E27ACA" w14:textId="77777777" w:rsidR="00A51B94" w:rsidRPr="00A33D42" w:rsidRDefault="00A51B94" w:rsidP="008209CD">
            <w:pPr>
              <w:rPr>
                <w:b/>
                <w:bCs/>
                <w:iCs/>
                <w:sz w:val="16"/>
                <w:szCs w:val="16"/>
              </w:rPr>
            </w:pPr>
            <w:r w:rsidRPr="00A33D42">
              <w:rPr>
                <w:b/>
                <w:bCs/>
                <w:iCs/>
                <w:sz w:val="16"/>
                <w:szCs w:val="16"/>
              </w:rPr>
              <w:t>Number</w:t>
            </w:r>
          </w:p>
        </w:tc>
        <w:tc>
          <w:tcPr>
            <w:tcW w:w="1417" w:type="dxa"/>
          </w:tcPr>
          <w:p w14:paraId="668D6348" w14:textId="77777777" w:rsidR="00A51B94" w:rsidRPr="00A33D42" w:rsidRDefault="00A51B94" w:rsidP="008209CD">
            <w:pPr>
              <w:rPr>
                <w:b/>
                <w:bCs/>
                <w:iCs/>
                <w:sz w:val="16"/>
                <w:szCs w:val="16"/>
              </w:rPr>
            </w:pPr>
            <w:r w:rsidRPr="00A33D42">
              <w:rPr>
                <w:b/>
                <w:bCs/>
                <w:iCs/>
                <w:sz w:val="16"/>
                <w:szCs w:val="16"/>
              </w:rPr>
              <w:t>Percentage</w:t>
            </w:r>
          </w:p>
        </w:tc>
      </w:tr>
      <w:tr w:rsidR="003537D5" w:rsidRPr="00A33D42" w14:paraId="00E50641" w14:textId="77777777" w:rsidTr="00524183">
        <w:tc>
          <w:tcPr>
            <w:tcW w:w="4390" w:type="dxa"/>
            <w:vAlign w:val="bottom"/>
          </w:tcPr>
          <w:p w14:paraId="3ED797F7" w14:textId="5372FC46" w:rsidR="003537D5" w:rsidRPr="00EA3FCF" w:rsidRDefault="003537D5" w:rsidP="003537D5">
            <w:pPr>
              <w:rPr>
                <w:iCs/>
                <w:sz w:val="16"/>
                <w:szCs w:val="16"/>
              </w:rPr>
            </w:pPr>
            <w:r w:rsidRPr="00EA3FCF">
              <w:rPr>
                <w:color w:val="000000"/>
                <w:sz w:val="16"/>
                <w:szCs w:val="16"/>
              </w:rPr>
              <w:t>Completed service duration</w:t>
            </w:r>
            <w:r w:rsidR="009845CF">
              <w:rPr>
                <w:color w:val="000000"/>
                <w:sz w:val="16"/>
                <w:szCs w:val="16"/>
              </w:rPr>
              <w:t>/Achieved desired outcomes</w:t>
            </w:r>
          </w:p>
        </w:tc>
        <w:tc>
          <w:tcPr>
            <w:tcW w:w="1134" w:type="dxa"/>
          </w:tcPr>
          <w:p w14:paraId="6FEDB3FF" w14:textId="05CF7766" w:rsidR="003537D5" w:rsidRPr="00C9626C" w:rsidRDefault="00C9626C" w:rsidP="003537D5">
            <w:pPr>
              <w:rPr>
                <w:iCs/>
                <w:sz w:val="16"/>
                <w:szCs w:val="20"/>
              </w:rPr>
            </w:pPr>
            <w:r w:rsidRPr="00C9626C">
              <w:rPr>
                <w:sz w:val="16"/>
                <w:szCs w:val="20"/>
              </w:rPr>
              <w:t>99</w:t>
            </w:r>
          </w:p>
        </w:tc>
        <w:tc>
          <w:tcPr>
            <w:tcW w:w="1417" w:type="dxa"/>
          </w:tcPr>
          <w:p w14:paraId="0D1F329A" w14:textId="73DE1693" w:rsidR="003537D5" w:rsidRPr="00C9626C" w:rsidRDefault="003537D5" w:rsidP="003537D5">
            <w:pPr>
              <w:rPr>
                <w:iCs/>
                <w:sz w:val="16"/>
                <w:szCs w:val="20"/>
              </w:rPr>
            </w:pPr>
            <w:r w:rsidRPr="00C9626C">
              <w:rPr>
                <w:sz w:val="16"/>
                <w:szCs w:val="20"/>
              </w:rPr>
              <w:t>6</w:t>
            </w:r>
            <w:r w:rsidR="00C9626C" w:rsidRPr="00C9626C">
              <w:rPr>
                <w:sz w:val="16"/>
                <w:szCs w:val="20"/>
              </w:rPr>
              <w:t>4.7</w:t>
            </w:r>
            <w:r w:rsidRPr="00C9626C">
              <w:rPr>
                <w:sz w:val="16"/>
                <w:szCs w:val="20"/>
              </w:rPr>
              <w:t>%</w:t>
            </w:r>
          </w:p>
        </w:tc>
      </w:tr>
      <w:tr w:rsidR="003537D5" w:rsidRPr="00A33D42" w14:paraId="30474868" w14:textId="77777777" w:rsidTr="00524183">
        <w:tc>
          <w:tcPr>
            <w:tcW w:w="4390" w:type="dxa"/>
            <w:vAlign w:val="bottom"/>
          </w:tcPr>
          <w:p w14:paraId="6D2DA9F4" w14:textId="62944355" w:rsidR="003537D5" w:rsidRPr="00EA3FCF" w:rsidRDefault="003537D5" w:rsidP="003537D5">
            <w:pPr>
              <w:rPr>
                <w:iCs/>
                <w:sz w:val="16"/>
                <w:szCs w:val="16"/>
              </w:rPr>
            </w:pPr>
            <w:r w:rsidRPr="00EA3FCF">
              <w:rPr>
                <w:color w:val="000000"/>
                <w:sz w:val="16"/>
                <w:szCs w:val="16"/>
              </w:rPr>
              <w:t>Provider dismissed client</w:t>
            </w:r>
          </w:p>
        </w:tc>
        <w:tc>
          <w:tcPr>
            <w:tcW w:w="1134" w:type="dxa"/>
          </w:tcPr>
          <w:p w14:paraId="0BDDD448" w14:textId="21A694BB" w:rsidR="003537D5" w:rsidRPr="00C9626C" w:rsidRDefault="003537D5" w:rsidP="003537D5">
            <w:pPr>
              <w:rPr>
                <w:iCs/>
                <w:sz w:val="16"/>
                <w:szCs w:val="20"/>
              </w:rPr>
            </w:pPr>
            <w:r w:rsidRPr="00C9626C">
              <w:rPr>
                <w:sz w:val="16"/>
                <w:szCs w:val="20"/>
              </w:rPr>
              <w:t>2</w:t>
            </w:r>
            <w:r w:rsidR="00C9626C" w:rsidRPr="00C9626C">
              <w:rPr>
                <w:sz w:val="16"/>
                <w:szCs w:val="20"/>
              </w:rPr>
              <w:t>1</w:t>
            </w:r>
          </w:p>
        </w:tc>
        <w:tc>
          <w:tcPr>
            <w:tcW w:w="1417" w:type="dxa"/>
          </w:tcPr>
          <w:p w14:paraId="582576B1" w14:textId="30F71E76" w:rsidR="003537D5" w:rsidRPr="00C9626C" w:rsidRDefault="003537D5" w:rsidP="003537D5">
            <w:pPr>
              <w:rPr>
                <w:iCs/>
                <w:sz w:val="16"/>
                <w:szCs w:val="20"/>
              </w:rPr>
            </w:pPr>
            <w:r w:rsidRPr="00C9626C">
              <w:rPr>
                <w:sz w:val="16"/>
                <w:szCs w:val="20"/>
              </w:rPr>
              <w:t>1</w:t>
            </w:r>
            <w:r w:rsidR="00C9626C" w:rsidRPr="00C9626C">
              <w:rPr>
                <w:sz w:val="16"/>
                <w:szCs w:val="20"/>
              </w:rPr>
              <w:t>3.7</w:t>
            </w:r>
            <w:r w:rsidRPr="00C9626C">
              <w:rPr>
                <w:sz w:val="16"/>
                <w:szCs w:val="20"/>
              </w:rPr>
              <w:t>%</w:t>
            </w:r>
          </w:p>
        </w:tc>
      </w:tr>
      <w:tr w:rsidR="003537D5" w:rsidRPr="00A33D42" w14:paraId="7711C7B6" w14:textId="77777777" w:rsidTr="00524183">
        <w:tc>
          <w:tcPr>
            <w:tcW w:w="4390" w:type="dxa"/>
            <w:vAlign w:val="bottom"/>
          </w:tcPr>
          <w:p w14:paraId="39B18B08" w14:textId="190A7858" w:rsidR="003537D5" w:rsidRPr="00EA3FCF" w:rsidRDefault="003537D5" w:rsidP="003537D5">
            <w:pPr>
              <w:rPr>
                <w:iCs/>
                <w:sz w:val="16"/>
                <w:szCs w:val="16"/>
              </w:rPr>
            </w:pPr>
            <w:r w:rsidRPr="00EA3FCF">
              <w:rPr>
                <w:color w:val="000000"/>
                <w:sz w:val="16"/>
                <w:szCs w:val="16"/>
              </w:rPr>
              <w:t>Client withdrew</w:t>
            </w:r>
          </w:p>
        </w:tc>
        <w:tc>
          <w:tcPr>
            <w:tcW w:w="1134" w:type="dxa"/>
          </w:tcPr>
          <w:p w14:paraId="6B2F9628" w14:textId="5CCA1000" w:rsidR="003537D5" w:rsidRPr="00C9626C" w:rsidRDefault="003537D5" w:rsidP="003537D5">
            <w:pPr>
              <w:rPr>
                <w:iCs/>
                <w:sz w:val="16"/>
                <w:szCs w:val="20"/>
              </w:rPr>
            </w:pPr>
            <w:r w:rsidRPr="00C9626C">
              <w:rPr>
                <w:sz w:val="16"/>
                <w:szCs w:val="20"/>
              </w:rPr>
              <w:t>1</w:t>
            </w:r>
            <w:r w:rsidR="00C9626C" w:rsidRPr="00C9626C">
              <w:rPr>
                <w:sz w:val="16"/>
                <w:szCs w:val="20"/>
              </w:rPr>
              <w:t>2</w:t>
            </w:r>
          </w:p>
        </w:tc>
        <w:tc>
          <w:tcPr>
            <w:tcW w:w="1417" w:type="dxa"/>
          </w:tcPr>
          <w:p w14:paraId="1BA07E16" w14:textId="7F30A568" w:rsidR="003537D5" w:rsidRPr="00C9626C" w:rsidRDefault="00C9626C" w:rsidP="003537D5">
            <w:pPr>
              <w:rPr>
                <w:iCs/>
                <w:sz w:val="16"/>
                <w:szCs w:val="20"/>
              </w:rPr>
            </w:pPr>
            <w:r w:rsidRPr="00C9626C">
              <w:rPr>
                <w:sz w:val="16"/>
                <w:szCs w:val="20"/>
              </w:rPr>
              <w:t>7.8</w:t>
            </w:r>
            <w:r w:rsidR="003537D5" w:rsidRPr="00C9626C">
              <w:rPr>
                <w:sz w:val="16"/>
                <w:szCs w:val="20"/>
              </w:rPr>
              <w:t>%</w:t>
            </w:r>
          </w:p>
        </w:tc>
      </w:tr>
      <w:tr w:rsidR="003537D5" w:rsidRPr="00A33D42" w14:paraId="6E23191C" w14:textId="77777777" w:rsidTr="00524183">
        <w:tc>
          <w:tcPr>
            <w:tcW w:w="4390" w:type="dxa"/>
            <w:vAlign w:val="bottom"/>
          </w:tcPr>
          <w:p w14:paraId="00279A64" w14:textId="3B06E80C" w:rsidR="003537D5" w:rsidRPr="00EA3FCF" w:rsidRDefault="003537D5" w:rsidP="003537D5">
            <w:pPr>
              <w:rPr>
                <w:iCs/>
                <w:sz w:val="16"/>
                <w:szCs w:val="16"/>
              </w:rPr>
            </w:pPr>
            <w:r w:rsidRPr="00EA3FCF">
              <w:rPr>
                <w:color w:val="000000"/>
                <w:sz w:val="16"/>
                <w:szCs w:val="16"/>
              </w:rPr>
              <w:t>Medical reason</w:t>
            </w:r>
          </w:p>
        </w:tc>
        <w:tc>
          <w:tcPr>
            <w:tcW w:w="1134" w:type="dxa"/>
          </w:tcPr>
          <w:p w14:paraId="0A5A98D1" w14:textId="26653042" w:rsidR="003537D5" w:rsidRPr="00C9626C" w:rsidRDefault="00012EA4" w:rsidP="003537D5">
            <w:pPr>
              <w:rPr>
                <w:iCs/>
                <w:sz w:val="16"/>
                <w:szCs w:val="20"/>
              </w:rPr>
            </w:pPr>
            <w:r w:rsidRPr="00C9626C">
              <w:rPr>
                <w:iCs/>
                <w:sz w:val="16"/>
                <w:szCs w:val="20"/>
              </w:rPr>
              <w:t>9</w:t>
            </w:r>
          </w:p>
        </w:tc>
        <w:tc>
          <w:tcPr>
            <w:tcW w:w="1417" w:type="dxa"/>
          </w:tcPr>
          <w:p w14:paraId="50A53D07" w14:textId="12737D5E" w:rsidR="003537D5" w:rsidRPr="00C9626C" w:rsidRDefault="00012EA4" w:rsidP="003537D5">
            <w:pPr>
              <w:rPr>
                <w:iCs/>
                <w:sz w:val="16"/>
                <w:szCs w:val="20"/>
              </w:rPr>
            </w:pPr>
            <w:r w:rsidRPr="00C9626C">
              <w:rPr>
                <w:sz w:val="16"/>
                <w:szCs w:val="20"/>
              </w:rPr>
              <w:t>5.</w:t>
            </w:r>
            <w:r w:rsidR="00C9626C" w:rsidRPr="00C9626C">
              <w:rPr>
                <w:sz w:val="16"/>
                <w:szCs w:val="20"/>
              </w:rPr>
              <w:t>9</w:t>
            </w:r>
            <w:r w:rsidR="003537D5" w:rsidRPr="00C9626C">
              <w:rPr>
                <w:sz w:val="16"/>
                <w:szCs w:val="20"/>
              </w:rPr>
              <w:t>%</w:t>
            </w:r>
          </w:p>
        </w:tc>
      </w:tr>
      <w:tr w:rsidR="003537D5" w:rsidRPr="00A33D42" w14:paraId="7F00F0AD" w14:textId="77777777" w:rsidTr="00524183">
        <w:tc>
          <w:tcPr>
            <w:tcW w:w="4390" w:type="dxa"/>
            <w:vAlign w:val="bottom"/>
          </w:tcPr>
          <w:p w14:paraId="53874773" w14:textId="30A299C5" w:rsidR="003537D5" w:rsidRPr="00EA3FCF" w:rsidRDefault="003537D5" w:rsidP="003537D5">
            <w:pPr>
              <w:rPr>
                <w:iCs/>
                <w:sz w:val="16"/>
                <w:szCs w:val="16"/>
              </w:rPr>
            </w:pPr>
            <w:r w:rsidRPr="00EA3FCF">
              <w:rPr>
                <w:color w:val="000000"/>
                <w:sz w:val="16"/>
                <w:szCs w:val="16"/>
              </w:rPr>
              <w:t>Unknown/Client disengaged</w:t>
            </w:r>
            <w:r w:rsidR="003C0E1E">
              <w:rPr>
                <w:color w:val="000000"/>
                <w:sz w:val="16"/>
                <w:szCs w:val="16"/>
              </w:rPr>
              <w:t>/Other reasons</w:t>
            </w:r>
          </w:p>
        </w:tc>
        <w:tc>
          <w:tcPr>
            <w:tcW w:w="1134" w:type="dxa"/>
          </w:tcPr>
          <w:p w14:paraId="07CCDF6C" w14:textId="25AA2669" w:rsidR="003537D5" w:rsidRPr="00C9626C" w:rsidRDefault="003C0E1E" w:rsidP="003537D5">
            <w:pPr>
              <w:rPr>
                <w:iCs/>
                <w:sz w:val="16"/>
                <w:szCs w:val="20"/>
              </w:rPr>
            </w:pPr>
            <w:r>
              <w:rPr>
                <w:iCs/>
                <w:sz w:val="16"/>
                <w:szCs w:val="20"/>
              </w:rPr>
              <w:t>9</w:t>
            </w:r>
          </w:p>
        </w:tc>
        <w:tc>
          <w:tcPr>
            <w:tcW w:w="1417" w:type="dxa"/>
          </w:tcPr>
          <w:p w14:paraId="59A3E123" w14:textId="3C30798A" w:rsidR="003537D5" w:rsidRPr="00C9626C" w:rsidRDefault="003C0E1E" w:rsidP="003537D5">
            <w:pPr>
              <w:rPr>
                <w:iCs/>
                <w:sz w:val="16"/>
                <w:szCs w:val="20"/>
              </w:rPr>
            </w:pPr>
            <w:r>
              <w:rPr>
                <w:sz w:val="16"/>
                <w:szCs w:val="20"/>
              </w:rPr>
              <w:t>5</w:t>
            </w:r>
            <w:r w:rsidR="003537D5" w:rsidRPr="00C9626C">
              <w:rPr>
                <w:sz w:val="16"/>
                <w:szCs w:val="20"/>
              </w:rPr>
              <w:t>.</w:t>
            </w:r>
            <w:r w:rsidR="00012EA4" w:rsidRPr="00C9626C">
              <w:rPr>
                <w:sz w:val="16"/>
                <w:szCs w:val="20"/>
              </w:rPr>
              <w:t>9</w:t>
            </w:r>
            <w:r w:rsidR="003537D5" w:rsidRPr="00C9626C">
              <w:rPr>
                <w:sz w:val="16"/>
                <w:szCs w:val="20"/>
              </w:rPr>
              <w:t>%</w:t>
            </w:r>
          </w:p>
        </w:tc>
      </w:tr>
      <w:tr w:rsidR="00A51B94" w:rsidRPr="00A33D42" w14:paraId="7BA56DFF" w14:textId="77777777" w:rsidTr="008209CD">
        <w:tc>
          <w:tcPr>
            <w:tcW w:w="4390" w:type="dxa"/>
          </w:tcPr>
          <w:p w14:paraId="1396CD90" w14:textId="77777777" w:rsidR="00A51B94" w:rsidRPr="00A33D42" w:rsidRDefault="00A51B94" w:rsidP="008209CD">
            <w:pPr>
              <w:rPr>
                <w:b/>
                <w:bCs/>
                <w:iCs/>
                <w:sz w:val="16"/>
                <w:szCs w:val="16"/>
              </w:rPr>
            </w:pPr>
            <w:r w:rsidRPr="00A33D42">
              <w:rPr>
                <w:b/>
                <w:bCs/>
                <w:iCs/>
                <w:sz w:val="16"/>
                <w:szCs w:val="16"/>
              </w:rPr>
              <w:t>Total</w:t>
            </w:r>
          </w:p>
        </w:tc>
        <w:tc>
          <w:tcPr>
            <w:tcW w:w="1134" w:type="dxa"/>
          </w:tcPr>
          <w:p w14:paraId="1B58D240" w14:textId="21E39993" w:rsidR="00A51B94" w:rsidRPr="00A33D42" w:rsidRDefault="003537D5" w:rsidP="008209CD">
            <w:pPr>
              <w:rPr>
                <w:b/>
                <w:bCs/>
                <w:iCs/>
                <w:sz w:val="16"/>
                <w:szCs w:val="16"/>
              </w:rPr>
            </w:pPr>
            <w:r>
              <w:rPr>
                <w:b/>
                <w:bCs/>
                <w:iCs/>
                <w:sz w:val="16"/>
                <w:szCs w:val="16"/>
              </w:rPr>
              <w:t>15</w:t>
            </w:r>
            <w:r w:rsidR="009845CF">
              <w:rPr>
                <w:b/>
                <w:bCs/>
                <w:iCs/>
                <w:sz w:val="16"/>
                <w:szCs w:val="16"/>
              </w:rPr>
              <w:t>3</w:t>
            </w:r>
          </w:p>
        </w:tc>
        <w:tc>
          <w:tcPr>
            <w:tcW w:w="1417" w:type="dxa"/>
          </w:tcPr>
          <w:p w14:paraId="398698EC" w14:textId="77777777" w:rsidR="00A51B94" w:rsidRPr="00A33D42" w:rsidRDefault="00A51B94" w:rsidP="008209CD">
            <w:pPr>
              <w:rPr>
                <w:b/>
                <w:bCs/>
                <w:iCs/>
                <w:sz w:val="16"/>
                <w:szCs w:val="16"/>
              </w:rPr>
            </w:pPr>
            <w:r w:rsidRPr="00A33D42">
              <w:rPr>
                <w:b/>
                <w:bCs/>
                <w:iCs/>
                <w:sz w:val="16"/>
                <w:szCs w:val="16"/>
              </w:rPr>
              <w:t>100.0%</w:t>
            </w:r>
          </w:p>
        </w:tc>
      </w:tr>
    </w:tbl>
    <w:p w14:paraId="47136843" w14:textId="4D60C848" w:rsidR="00A51B94" w:rsidRPr="00AA2391" w:rsidRDefault="00AA2391" w:rsidP="00F113EF">
      <w:pPr>
        <w:rPr>
          <w:sz w:val="16"/>
          <w:szCs w:val="18"/>
        </w:rPr>
      </w:pPr>
      <w:r w:rsidRPr="00AA2391">
        <w:rPr>
          <w:sz w:val="16"/>
          <w:szCs w:val="18"/>
        </w:rPr>
        <w:t>Note: Percentages may not add to 100 percent due to rounding</w:t>
      </w:r>
      <w:r w:rsidR="00C9626C">
        <w:rPr>
          <w:sz w:val="16"/>
          <w:szCs w:val="18"/>
        </w:rPr>
        <w:t>. Numbers may not add to totals due to random rounding.</w:t>
      </w:r>
    </w:p>
    <w:p w14:paraId="1C0B447A" w14:textId="2FEF9B6D" w:rsidR="00BB10BA" w:rsidRDefault="00DC4761" w:rsidP="00BB10BA">
      <w:r>
        <w:t>W</w:t>
      </w:r>
      <w:r w:rsidR="00BB10BA">
        <w:t>e are unable to dive further into understanding the specific circumstances which led to people exiting the REACH service</w:t>
      </w:r>
      <w:r>
        <w:t>, due to data availability</w:t>
      </w:r>
      <w:r w:rsidR="00BB10BA">
        <w:t>. The qualitative evaluation findings may be better able to answer these questions</w:t>
      </w:r>
      <w:r w:rsidR="00FD3B74">
        <w:t>.</w:t>
      </w:r>
      <w:r w:rsidR="0090378E">
        <w:rPr>
          <w:rStyle w:val="FootnoteReference"/>
        </w:rPr>
        <w:footnoteReference w:id="16"/>
      </w:r>
    </w:p>
    <w:p w14:paraId="0DBCC1DB" w14:textId="799D2116" w:rsidR="00295EF7" w:rsidRDefault="00295EF7" w:rsidP="00295EF7"/>
    <w:p w14:paraId="1BEA1EEE" w14:textId="7FB15CCF" w:rsidR="00555C6C" w:rsidRDefault="00555C6C" w:rsidP="00F113EF">
      <w:pPr>
        <w:rPr>
          <w:iCs/>
        </w:rPr>
      </w:pPr>
    </w:p>
    <w:p w14:paraId="524274EC" w14:textId="1D8677ED" w:rsidR="00555C6C" w:rsidRDefault="00555C6C" w:rsidP="00F113EF">
      <w:pPr>
        <w:rPr>
          <w:iCs/>
        </w:rPr>
      </w:pPr>
    </w:p>
    <w:p w14:paraId="4AB37F89" w14:textId="0AEC838E" w:rsidR="00555C6C" w:rsidRDefault="00555C6C" w:rsidP="00F113EF">
      <w:pPr>
        <w:rPr>
          <w:iCs/>
        </w:rPr>
      </w:pPr>
    </w:p>
    <w:p w14:paraId="2E7F888C" w14:textId="0F8AD5B3" w:rsidR="00555C6C" w:rsidRDefault="00555C6C" w:rsidP="00F113EF">
      <w:pPr>
        <w:rPr>
          <w:iCs/>
        </w:rPr>
      </w:pPr>
    </w:p>
    <w:p w14:paraId="5C34DECF" w14:textId="7354A089" w:rsidR="00922BDC" w:rsidRDefault="00922BDC" w:rsidP="00F113EF">
      <w:pPr>
        <w:rPr>
          <w:iCs/>
        </w:rPr>
      </w:pPr>
    </w:p>
    <w:p w14:paraId="109F92D8" w14:textId="54D131AC" w:rsidR="00922BDC" w:rsidRDefault="00922BDC" w:rsidP="00F113EF">
      <w:pPr>
        <w:rPr>
          <w:iCs/>
        </w:rPr>
      </w:pPr>
    </w:p>
    <w:p w14:paraId="786B7F14" w14:textId="4EF71C2C" w:rsidR="00922BDC" w:rsidRDefault="00922BDC" w:rsidP="00F113EF">
      <w:pPr>
        <w:rPr>
          <w:iCs/>
        </w:rPr>
      </w:pPr>
    </w:p>
    <w:p w14:paraId="7900B233" w14:textId="2AC15626" w:rsidR="00922BDC" w:rsidRDefault="00922BDC" w:rsidP="00F113EF">
      <w:pPr>
        <w:rPr>
          <w:iCs/>
        </w:rPr>
      </w:pPr>
    </w:p>
    <w:p w14:paraId="5612C0F3" w14:textId="28811F9E" w:rsidR="00922BDC" w:rsidRDefault="00922BDC" w:rsidP="00F113EF">
      <w:pPr>
        <w:rPr>
          <w:iCs/>
        </w:rPr>
      </w:pPr>
    </w:p>
    <w:p w14:paraId="7CA6B51B" w14:textId="227EBC4E" w:rsidR="00922BDC" w:rsidRDefault="00922BDC" w:rsidP="00F113EF">
      <w:pPr>
        <w:rPr>
          <w:iCs/>
        </w:rPr>
      </w:pPr>
    </w:p>
    <w:p w14:paraId="01C9A60E" w14:textId="3622A510" w:rsidR="00555C6C" w:rsidRDefault="00555C6C" w:rsidP="00F113EF">
      <w:pPr>
        <w:rPr>
          <w:iCs/>
        </w:rPr>
      </w:pPr>
    </w:p>
    <w:p w14:paraId="5549C1A9" w14:textId="63D28D3B" w:rsidR="00CC5042" w:rsidRPr="00CC5042" w:rsidRDefault="00DF3EA7" w:rsidP="0058713A">
      <w:pPr>
        <w:pStyle w:val="Heading3"/>
      </w:pPr>
      <w:r>
        <w:lastRenderedPageBreak/>
        <w:t xml:space="preserve">Fewer </w:t>
      </w:r>
      <w:r w:rsidR="00CC5042" w:rsidRPr="0094223B">
        <w:t>Māori</w:t>
      </w:r>
      <w:r w:rsidR="00CC5042">
        <w:t xml:space="preserve"> participants than expected successfully completed the </w:t>
      </w:r>
      <w:r w:rsidR="007E0391">
        <w:t>service</w:t>
      </w:r>
      <w:r w:rsidR="00CC5042">
        <w:t xml:space="preserve">, </w:t>
      </w:r>
      <w:r w:rsidR="004843E9">
        <w:t xml:space="preserve">compared to </w:t>
      </w:r>
      <w:r w:rsidR="00906BB6">
        <w:t>exited participants overall</w:t>
      </w:r>
      <w:r w:rsidR="00CC5042">
        <w:t>.</w:t>
      </w:r>
      <w:r w:rsidR="00CC5042">
        <w:rPr>
          <w:rStyle w:val="FootnoteReference"/>
        </w:rPr>
        <w:footnoteReference w:id="17"/>
      </w:r>
      <w:r w:rsidR="00CC5042">
        <w:t xml:space="preserve"> </w:t>
      </w:r>
    </w:p>
    <w:p w14:paraId="7DDD1DC8" w14:textId="1CF812A1" w:rsidR="006210BE" w:rsidRDefault="0094223B" w:rsidP="00F113EF">
      <w:r>
        <w:t xml:space="preserve">Table 3 shows </w:t>
      </w:r>
      <w:r w:rsidR="006210BE">
        <w:t xml:space="preserve">exit rates for </w:t>
      </w:r>
      <w:r w:rsidR="00DC4761">
        <w:t xml:space="preserve">those who </w:t>
      </w:r>
      <w:r w:rsidR="006210BE">
        <w:t xml:space="preserve">completed </w:t>
      </w:r>
      <w:r w:rsidR="00DC4761">
        <w:t xml:space="preserve">the service, </w:t>
      </w:r>
      <w:r w:rsidR="006210BE">
        <w:t xml:space="preserve">and </w:t>
      </w:r>
      <w:r w:rsidR="00DC4761">
        <w:t>those that did not complete the service</w:t>
      </w:r>
      <w:r w:rsidR="0058713A">
        <w:t>,</w:t>
      </w:r>
      <w:r w:rsidR="006210BE">
        <w:t xml:space="preserve"> across age, total response ethnic groups, </w:t>
      </w:r>
      <w:r w:rsidR="00E745CD">
        <w:t>gender,</w:t>
      </w:r>
      <w:r w:rsidR="006210BE">
        <w:t xml:space="preserve"> and selected health conditions. Most of the categories did not show results that were much different from the overall rates. However, we did find that </w:t>
      </w:r>
      <w:r w:rsidR="00CA43F1">
        <w:t>Māori</w:t>
      </w:r>
      <w:r w:rsidR="006210BE">
        <w:t xml:space="preserve"> participants </w:t>
      </w:r>
      <w:r w:rsidR="00DC4761">
        <w:t xml:space="preserve">who had exited </w:t>
      </w:r>
      <w:r w:rsidR="006210BE">
        <w:t xml:space="preserve">were statistically much less likely to complete the service when compared to </w:t>
      </w:r>
      <w:r w:rsidR="00B74886">
        <w:t>exited participants overall</w:t>
      </w:r>
      <w:r w:rsidR="006210BE">
        <w:t>.</w:t>
      </w:r>
      <w:r w:rsidR="00CA43F1">
        <w:rPr>
          <w:rStyle w:val="FootnoteReference"/>
        </w:rPr>
        <w:footnoteReference w:id="18"/>
      </w:r>
    </w:p>
    <w:p w14:paraId="4463115A" w14:textId="3DFD2D04" w:rsidR="00206AE3" w:rsidRPr="00EA3FCF" w:rsidRDefault="00206AE3" w:rsidP="00206AE3">
      <w:pPr>
        <w:rPr>
          <w:b/>
          <w:bCs/>
          <w:iCs/>
          <w:sz w:val="18"/>
          <w:szCs w:val="20"/>
        </w:rPr>
      </w:pPr>
      <w:bookmarkStart w:id="16" w:name="_Ref71899461"/>
      <w:r w:rsidRPr="00521400">
        <w:rPr>
          <w:b/>
          <w:bCs/>
          <w:sz w:val="18"/>
          <w:szCs w:val="20"/>
        </w:rPr>
        <w:t xml:space="preserve">Table </w:t>
      </w:r>
      <w:r w:rsidRPr="00521400">
        <w:rPr>
          <w:b/>
          <w:bCs/>
          <w:sz w:val="18"/>
          <w:szCs w:val="20"/>
        </w:rPr>
        <w:fldChar w:fldCharType="begin"/>
      </w:r>
      <w:r w:rsidRPr="00521400">
        <w:rPr>
          <w:b/>
          <w:bCs/>
          <w:sz w:val="18"/>
          <w:szCs w:val="20"/>
        </w:rPr>
        <w:instrText xml:space="preserve"> SEQ Table \* ARABIC </w:instrText>
      </w:r>
      <w:r w:rsidRPr="00521400">
        <w:rPr>
          <w:b/>
          <w:bCs/>
          <w:sz w:val="18"/>
          <w:szCs w:val="20"/>
        </w:rPr>
        <w:fldChar w:fldCharType="separate"/>
      </w:r>
      <w:r w:rsidR="00F75DF1">
        <w:rPr>
          <w:b/>
          <w:bCs/>
          <w:noProof/>
          <w:sz w:val="18"/>
          <w:szCs w:val="20"/>
        </w:rPr>
        <w:t>3</w:t>
      </w:r>
      <w:r w:rsidRPr="00521400">
        <w:rPr>
          <w:b/>
          <w:bCs/>
          <w:sz w:val="18"/>
          <w:szCs w:val="20"/>
        </w:rPr>
        <w:fldChar w:fldCharType="end"/>
      </w:r>
      <w:bookmarkEnd w:id="16"/>
      <w:r w:rsidRPr="00521400">
        <w:rPr>
          <w:b/>
          <w:bCs/>
          <w:sz w:val="18"/>
          <w:szCs w:val="20"/>
        </w:rPr>
        <w:t>: Exits, by exit reason grouping and demographic variables.</w:t>
      </w:r>
    </w:p>
    <w:tbl>
      <w:tblPr>
        <w:tblStyle w:val="TableGrid"/>
        <w:tblW w:w="0" w:type="auto"/>
        <w:tblLook w:val="04A0" w:firstRow="1" w:lastRow="0" w:firstColumn="1" w:lastColumn="0" w:noHBand="0" w:noVBand="1"/>
      </w:tblPr>
      <w:tblGrid>
        <w:gridCol w:w="4248"/>
        <w:gridCol w:w="1559"/>
        <w:gridCol w:w="1559"/>
        <w:gridCol w:w="1650"/>
      </w:tblGrid>
      <w:tr w:rsidR="00454AF4" w14:paraId="1A9E615E" w14:textId="5211D882" w:rsidTr="00B74886">
        <w:tc>
          <w:tcPr>
            <w:tcW w:w="4248" w:type="dxa"/>
          </w:tcPr>
          <w:p w14:paraId="78610D19" w14:textId="7EDFF668" w:rsidR="00454AF4" w:rsidRPr="00A77C53" w:rsidRDefault="00454AF4" w:rsidP="00F113EF">
            <w:pPr>
              <w:rPr>
                <w:b/>
                <w:bCs/>
                <w:iCs/>
                <w:sz w:val="16"/>
                <w:szCs w:val="20"/>
              </w:rPr>
            </w:pPr>
            <w:r w:rsidRPr="00A77C53">
              <w:rPr>
                <w:b/>
                <w:bCs/>
                <w:iCs/>
                <w:sz w:val="16"/>
                <w:szCs w:val="20"/>
              </w:rPr>
              <w:t>Category</w:t>
            </w:r>
          </w:p>
        </w:tc>
        <w:tc>
          <w:tcPr>
            <w:tcW w:w="1559" w:type="dxa"/>
          </w:tcPr>
          <w:p w14:paraId="3E406900" w14:textId="04153D9A" w:rsidR="00454AF4" w:rsidRPr="00A77C53" w:rsidRDefault="009C3BA1" w:rsidP="00F113EF">
            <w:pPr>
              <w:rPr>
                <w:b/>
                <w:bCs/>
                <w:iCs/>
                <w:sz w:val="16"/>
                <w:szCs w:val="20"/>
              </w:rPr>
            </w:pPr>
            <w:r>
              <w:rPr>
                <w:b/>
                <w:bCs/>
                <w:iCs/>
                <w:sz w:val="16"/>
                <w:szCs w:val="20"/>
              </w:rPr>
              <w:t>Completed</w:t>
            </w:r>
          </w:p>
        </w:tc>
        <w:tc>
          <w:tcPr>
            <w:tcW w:w="1559" w:type="dxa"/>
          </w:tcPr>
          <w:p w14:paraId="4808F4A6" w14:textId="7D28EDE8" w:rsidR="00454AF4" w:rsidRPr="00A77C53" w:rsidRDefault="009C3BA1" w:rsidP="00F113EF">
            <w:pPr>
              <w:rPr>
                <w:b/>
                <w:bCs/>
                <w:iCs/>
                <w:sz w:val="16"/>
                <w:szCs w:val="20"/>
              </w:rPr>
            </w:pPr>
            <w:r>
              <w:rPr>
                <w:b/>
                <w:bCs/>
                <w:iCs/>
                <w:sz w:val="16"/>
                <w:szCs w:val="20"/>
              </w:rPr>
              <w:t>Not completed</w:t>
            </w:r>
          </w:p>
        </w:tc>
        <w:tc>
          <w:tcPr>
            <w:tcW w:w="1650" w:type="dxa"/>
          </w:tcPr>
          <w:p w14:paraId="11ABCB58" w14:textId="0F48F9D8" w:rsidR="00454AF4" w:rsidRPr="00A77C53" w:rsidRDefault="00454AF4" w:rsidP="00F113EF">
            <w:pPr>
              <w:rPr>
                <w:b/>
                <w:bCs/>
                <w:iCs/>
                <w:sz w:val="16"/>
                <w:szCs w:val="20"/>
              </w:rPr>
            </w:pPr>
            <w:r>
              <w:rPr>
                <w:b/>
                <w:bCs/>
                <w:iCs/>
                <w:sz w:val="16"/>
                <w:szCs w:val="20"/>
              </w:rPr>
              <w:t>Total</w:t>
            </w:r>
          </w:p>
        </w:tc>
      </w:tr>
      <w:tr w:rsidR="008975A5" w14:paraId="7FA43AC5" w14:textId="06A4B9D3" w:rsidTr="00CF2640">
        <w:tc>
          <w:tcPr>
            <w:tcW w:w="9016" w:type="dxa"/>
            <w:gridSpan w:val="4"/>
          </w:tcPr>
          <w:p w14:paraId="787998BC" w14:textId="161D6FE8" w:rsidR="008975A5" w:rsidRPr="003263A5" w:rsidRDefault="008975A5" w:rsidP="00F113EF">
            <w:pPr>
              <w:rPr>
                <w:b/>
                <w:bCs/>
                <w:iCs/>
                <w:sz w:val="16"/>
                <w:szCs w:val="20"/>
                <w:highlight w:val="yellow"/>
              </w:rPr>
            </w:pPr>
            <w:r w:rsidRPr="00191DE6">
              <w:rPr>
                <w:b/>
                <w:bCs/>
                <w:iCs/>
                <w:sz w:val="16"/>
                <w:szCs w:val="20"/>
              </w:rPr>
              <w:t>Age</w:t>
            </w:r>
            <w:r w:rsidR="0045698D" w:rsidRPr="00191DE6">
              <w:rPr>
                <w:b/>
                <w:bCs/>
                <w:iCs/>
                <w:sz w:val="16"/>
                <w:szCs w:val="20"/>
              </w:rPr>
              <w:t xml:space="preserve"> as at enrolment</w:t>
            </w:r>
          </w:p>
        </w:tc>
      </w:tr>
      <w:tr w:rsidR="00454AF4" w14:paraId="0D69D54D" w14:textId="6BE55044" w:rsidTr="00B74886">
        <w:tc>
          <w:tcPr>
            <w:tcW w:w="4248" w:type="dxa"/>
          </w:tcPr>
          <w:p w14:paraId="5A6F8662" w14:textId="4AE49EBE" w:rsidR="00454AF4" w:rsidRPr="00191DE6" w:rsidRDefault="00454AF4" w:rsidP="00F113EF">
            <w:pPr>
              <w:rPr>
                <w:iCs/>
                <w:sz w:val="16"/>
                <w:szCs w:val="20"/>
              </w:rPr>
            </w:pPr>
            <w:r w:rsidRPr="00191DE6">
              <w:rPr>
                <w:iCs/>
                <w:sz w:val="16"/>
                <w:szCs w:val="20"/>
              </w:rPr>
              <w:t>18 to 34</w:t>
            </w:r>
          </w:p>
        </w:tc>
        <w:tc>
          <w:tcPr>
            <w:tcW w:w="1559" w:type="dxa"/>
          </w:tcPr>
          <w:p w14:paraId="03835052" w14:textId="0D93D232" w:rsidR="00454AF4" w:rsidRPr="00191DE6" w:rsidRDefault="003537D5" w:rsidP="00F113EF">
            <w:pPr>
              <w:rPr>
                <w:iCs/>
                <w:sz w:val="16"/>
                <w:szCs w:val="20"/>
              </w:rPr>
            </w:pPr>
            <w:r w:rsidRPr="00191DE6">
              <w:rPr>
                <w:iCs/>
                <w:sz w:val="16"/>
                <w:szCs w:val="20"/>
              </w:rPr>
              <w:t>6</w:t>
            </w:r>
            <w:r w:rsidR="00191DE6" w:rsidRPr="00191DE6">
              <w:rPr>
                <w:iCs/>
                <w:sz w:val="16"/>
                <w:szCs w:val="20"/>
              </w:rPr>
              <w:t>3</w:t>
            </w:r>
            <w:r w:rsidRPr="00191DE6">
              <w:rPr>
                <w:iCs/>
                <w:sz w:val="16"/>
                <w:szCs w:val="20"/>
              </w:rPr>
              <w:t xml:space="preserve"> (</w:t>
            </w:r>
            <w:r w:rsidR="00191DE6">
              <w:rPr>
                <w:iCs/>
                <w:sz w:val="16"/>
                <w:szCs w:val="20"/>
              </w:rPr>
              <w:t>67.7</w:t>
            </w:r>
            <w:r w:rsidR="001F58E5" w:rsidRPr="00191DE6">
              <w:rPr>
                <w:iCs/>
                <w:sz w:val="16"/>
                <w:szCs w:val="20"/>
              </w:rPr>
              <w:t>%)</w:t>
            </w:r>
          </w:p>
        </w:tc>
        <w:tc>
          <w:tcPr>
            <w:tcW w:w="1559" w:type="dxa"/>
          </w:tcPr>
          <w:p w14:paraId="5FAD10C9" w14:textId="66BB92C0" w:rsidR="00454AF4" w:rsidRPr="00191DE6" w:rsidRDefault="00191DE6" w:rsidP="00F113EF">
            <w:pPr>
              <w:rPr>
                <w:iCs/>
                <w:sz w:val="16"/>
                <w:szCs w:val="20"/>
              </w:rPr>
            </w:pPr>
            <w:r w:rsidRPr="00191DE6">
              <w:rPr>
                <w:iCs/>
                <w:sz w:val="16"/>
                <w:szCs w:val="20"/>
              </w:rPr>
              <w:t>30</w:t>
            </w:r>
            <w:r w:rsidR="001F58E5" w:rsidRPr="00191DE6">
              <w:rPr>
                <w:iCs/>
                <w:sz w:val="16"/>
                <w:szCs w:val="20"/>
              </w:rPr>
              <w:t xml:space="preserve"> (</w:t>
            </w:r>
            <w:r>
              <w:rPr>
                <w:iCs/>
                <w:sz w:val="16"/>
                <w:szCs w:val="20"/>
              </w:rPr>
              <w:t>32.3</w:t>
            </w:r>
            <w:r w:rsidR="001F58E5" w:rsidRPr="00191DE6">
              <w:rPr>
                <w:iCs/>
                <w:sz w:val="16"/>
                <w:szCs w:val="20"/>
              </w:rPr>
              <w:t>%)</w:t>
            </w:r>
          </w:p>
        </w:tc>
        <w:tc>
          <w:tcPr>
            <w:tcW w:w="1650" w:type="dxa"/>
          </w:tcPr>
          <w:p w14:paraId="5745372A" w14:textId="48F9A6F9" w:rsidR="00454AF4" w:rsidRPr="00191DE6" w:rsidRDefault="001F58E5" w:rsidP="00F113EF">
            <w:pPr>
              <w:rPr>
                <w:b/>
                <w:bCs/>
                <w:iCs/>
                <w:sz w:val="16"/>
                <w:szCs w:val="20"/>
              </w:rPr>
            </w:pPr>
            <w:r w:rsidRPr="00191DE6">
              <w:rPr>
                <w:b/>
                <w:bCs/>
                <w:iCs/>
                <w:sz w:val="16"/>
                <w:szCs w:val="20"/>
              </w:rPr>
              <w:t>93 (</w:t>
            </w:r>
            <w:r w:rsidR="00191DE6">
              <w:rPr>
                <w:b/>
                <w:bCs/>
                <w:iCs/>
                <w:sz w:val="16"/>
                <w:szCs w:val="20"/>
              </w:rPr>
              <w:t>100.0%)</w:t>
            </w:r>
          </w:p>
        </w:tc>
      </w:tr>
      <w:tr w:rsidR="00454AF4" w14:paraId="194D7590" w14:textId="156226D8" w:rsidTr="00B74886">
        <w:tc>
          <w:tcPr>
            <w:tcW w:w="4248" w:type="dxa"/>
          </w:tcPr>
          <w:p w14:paraId="30289C20" w14:textId="503C7A3D" w:rsidR="00454AF4" w:rsidRPr="00191DE6" w:rsidRDefault="00454AF4" w:rsidP="00F113EF">
            <w:pPr>
              <w:rPr>
                <w:iCs/>
                <w:sz w:val="16"/>
                <w:szCs w:val="20"/>
              </w:rPr>
            </w:pPr>
            <w:r w:rsidRPr="00191DE6">
              <w:rPr>
                <w:iCs/>
                <w:sz w:val="16"/>
                <w:szCs w:val="20"/>
              </w:rPr>
              <w:t>35 to 64</w:t>
            </w:r>
          </w:p>
        </w:tc>
        <w:tc>
          <w:tcPr>
            <w:tcW w:w="1559" w:type="dxa"/>
          </w:tcPr>
          <w:p w14:paraId="20FA5776" w14:textId="259943CF" w:rsidR="00454AF4" w:rsidRPr="00191DE6" w:rsidRDefault="001F58E5" w:rsidP="00F113EF">
            <w:pPr>
              <w:rPr>
                <w:iCs/>
                <w:sz w:val="16"/>
                <w:szCs w:val="20"/>
              </w:rPr>
            </w:pPr>
            <w:r w:rsidRPr="00191DE6">
              <w:rPr>
                <w:iCs/>
                <w:sz w:val="16"/>
                <w:szCs w:val="20"/>
              </w:rPr>
              <w:t>3</w:t>
            </w:r>
            <w:r w:rsidR="00191DE6" w:rsidRPr="00191DE6">
              <w:rPr>
                <w:iCs/>
                <w:sz w:val="16"/>
                <w:szCs w:val="20"/>
              </w:rPr>
              <w:t>6</w:t>
            </w:r>
            <w:r w:rsidRPr="00191DE6">
              <w:rPr>
                <w:iCs/>
                <w:sz w:val="16"/>
                <w:szCs w:val="20"/>
              </w:rPr>
              <w:t xml:space="preserve"> (</w:t>
            </w:r>
            <w:r w:rsidR="00191DE6">
              <w:rPr>
                <w:iCs/>
                <w:sz w:val="16"/>
                <w:szCs w:val="20"/>
              </w:rPr>
              <w:t>60.0</w:t>
            </w:r>
            <w:r w:rsidRPr="00191DE6">
              <w:rPr>
                <w:iCs/>
                <w:sz w:val="16"/>
                <w:szCs w:val="20"/>
              </w:rPr>
              <w:t>%)</w:t>
            </w:r>
          </w:p>
        </w:tc>
        <w:tc>
          <w:tcPr>
            <w:tcW w:w="1559" w:type="dxa"/>
          </w:tcPr>
          <w:p w14:paraId="3EFA098E" w14:textId="32157DD8" w:rsidR="00454AF4" w:rsidRPr="00191DE6" w:rsidRDefault="001F58E5" w:rsidP="00F113EF">
            <w:pPr>
              <w:rPr>
                <w:iCs/>
                <w:sz w:val="16"/>
                <w:szCs w:val="20"/>
              </w:rPr>
            </w:pPr>
            <w:r w:rsidRPr="00191DE6">
              <w:rPr>
                <w:iCs/>
                <w:sz w:val="16"/>
                <w:szCs w:val="20"/>
              </w:rPr>
              <w:t>24 (</w:t>
            </w:r>
            <w:r w:rsidR="00191DE6">
              <w:rPr>
                <w:iCs/>
                <w:sz w:val="16"/>
                <w:szCs w:val="20"/>
              </w:rPr>
              <w:t>40.0</w:t>
            </w:r>
            <w:r w:rsidRPr="00191DE6">
              <w:rPr>
                <w:iCs/>
                <w:sz w:val="16"/>
                <w:szCs w:val="20"/>
              </w:rPr>
              <w:t>%)</w:t>
            </w:r>
          </w:p>
        </w:tc>
        <w:tc>
          <w:tcPr>
            <w:tcW w:w="1650" w:type="dxa"/>
          </w:tcPr>
          <w:p w14:paraId="7178E51D" w14:textId="713C4A96" w:rsidR="00454AF4" w:rsidRPr="00191DE6" w:rsidRDefault="001F58E5" w:rsidP="00F113EF">
            <w:pPr>
              <w:rPr>
                <w:b/>
                <w:bCs/>
                <w:iCs/>
                <w:sz w:val="16"/>
                <w:szCs w:val="20"/>
              </w:rPr>
            </w:pPr>
            <w:r w:rsidRPr="00191DE6">
              <w:rPr>
                <w:b/>
                <w:bCs/>
                <w:iCs/>
                <w:sz w:val="16"/>
                <w:szCs w:val="20"/>
              </w:rPr>
              <w:t>6</w:t>
            </w:r>
            <w:r w:rsidR="00191DE6" w:rsidRPr="00191DE6">
              <w:rPr>
                <w:b/>
                <w:bCs/>
                <w:iCs/>
                <w:sz w:val="16"/>
                <w:szCs w:val="20"/>
              </w:rPr>
              <w:t>0</w:t>
            </w:r>
            <w:r w:rsidRPr="00191DE6">
              <w:rPr>
                <w:b/>
                <w:bCs/>
                <w:iCs/>
                <w:sz w:val="16"/>
                <w:szCs w:val="20"/>
              </w:rPr>
              <w:t xml:space="preserve"> </w:t>
            </w:r>
            <w:r w:rsidR="00191DE6" w:rsidRPr="00191DE6">
              <w:rPr>
                <w:b/>
                <w:bCs/>
                <w:iCs/>
                <w:sz w:val="16"/>
                <w:szCs w:val="20"/>
              </w:rPr>
              <w:t>(</w:t>
            </w:r>
            <w:r w:rsidR="00191DE6">
              <w:rPr>
                <w:b/>
                <w:bCs/>
                <w:iCs/>
                <w:sz w:val="16"/>
                <w:szCs w:val="20"/>
              </w:rPr>
              <w:t>100.0%)</w:t>
            </w:r>
          </w:p>
        </w:tc>
      </w:tr>
      <w:tr w:rsidR="008975A5" w14:paraId="63C4B939" w14:textId="45FA6FAA" w:rsidTr="00CF2640">
        <w:tc>
          <w:tcPr>
            <w:tcW w:w="9016" w:type="dxa"/>
            <w:gridSpan w:val="4"/>
          </w:tcPr>
          <w:p w14:paraId="339A966A" w14:textId="025AD7E0" w:rsidR="008975A5" w:rsidRPr="00EA0281" w:rsidRDefault="003263A5" w:rsidP="00F113EF">
            <w:pPr>
              <w:rPr>
                <w:b/>
                <w:bCs/>
                <w:iCs/>
                <w:sz w:val="16"/>
                <w:szCs w:val="20"/>
              </w:rPr>
            </w:pPr>
            <w:r w:rsidRPr="00EA0281">
              <w:rPr>
                <w:b/>
                <w:bCs/>
                <w:iCs/>
                <w:sz w:val="16"/>
                <w:szCs w:val="20"/>
              </w:rPr>
              <w:t>Selected</w:t>
            </w:r>
            <w:r w:rsidR="0045698D" w:rsidRPr="00EA0281">
              <w:rPr>
                <w:b/>
                <w:bCs/>
                <w:iCs/>
                <w:sz w:val="16"/>
                <w:szCs w:val="20"/>
              </w:rPr>
              <w:t xml:space="preserve"> </w:t>
            </w:r>
            <w:r w:rsidR="001F312B" w:rsidRPr="00EA0281">
              <w:rPr>
                <w:b/>
                <w:bCs/>
                <w:iCs/>
                <w:sz w:val="16"/>
                <w:szCs w:val="20"/>
              </w:rPr>
              <w:t xml:space="preserve">total response </w:t>
            </w:r>
            <w:r w:rsidRPr="00EA0281">
              <w:rPr>
                <w:b/>
                <w:bCs/>
                <w:iCs/>
                <w:sz w:val="16"/>
                <w:szCs w:val="20"/>
              </w:rPr>
              <w:t>ethnic</w:t>
            </w:r>
            <w:r w:rsidR="001F312B" w:rsidRPr="00EA0281">
              <w:rPr>
                <w:b/>
                <w:bCs/>
                <w:iCs/>
                <w:sz w:val="16"/>
                <w:szCs w:val="20"/>
              </w:rPr>
              <w:t xml:space="preserve"> groups</w:t>
            </w:r>
            <w:r w:rsidR="0045698D" w:rsidRPr="00EA0281">
              <w:rPr>
                <w:b/>
                <w:bCs/>
                <w:iCs/>
                <w:sz w:val="16"/>
                <w:szCs w:val="20"/>
              </w:rPr>
              <w:t xml:space="preserve"> as at enrolment</w:t>
            </w:r>
          </w:p>
        </w:tc>
      </w:tr>
      <w:tr w:rsidR="001F312B" w14:paraId="16D8375A" w14:textId="77777777" w:rsidTr="00B74886">
        <w:tc>
          <w:tcPr>
            <w:tcW w:w="4248" w:type="dxa"/>
          </w:tcPr>
          <w:p w14:paraId="31404EDA" w14:textId="79F57473" w:rsidR="001F312B" w:rsidRPr="001F312B" w:rsidRDefault="001F312B" w:rsidP="00F113EF">
            <w:pPr>
              <w:rPr>
                <w:iCs/>
                <w:sz w:val="16"/>
                <w:szCs w:val="20"/>
              </w:rPr>
            </w:pPr>
            <w:r w:rsidRPr="001F312B">
              <w:rPr>
                <w:iCs/>
                <w:sz w:val="16"/>
                <w:szCs w:val="20"/>
              </w:rPr>
              <w:t>European</w:t>
            </w:r>
          </w:p>
        </w:tc>
        <w:tc>
          <w:tcPr>
            <w:tcW w:w="1559" w:type="dxa"/>
          </w:tcPr>
          <w:p w14:paraId="0B1DC9E1" w14:textId="5F88079C" w:rsidR="001F312B" w:rsidRPr="001F312B" w:rsidRDefault="001F312B" w:rsidP="00F113EF">
            <w:pPr>
              <w:rPr>
                <w:iCs/>
                <w:sz w:val="16"/>
                <w:szCs w:val="20"/>
              </w:rPr>
            </w:pPr>
            <w:r w:rsidRPr="001F312B">
              <w:rPr>
                <w:iCs/>
                <w:sz w:val="16"/>
                <w:szCs w:val="20"/>
              </w:rPr>
              <w:t>75 (69.4%)</w:t>
            </w:r>
          </w:p>
        </w:tc>
        <w:tc>
          <w:tcPr>
            <w:tcW w:w="1559" w:type="dxa"/>
          </w:tcPr>
          <w:p w14:paraId="10D685F2" w14:textId="09386CB9" w:rsidR="001F312B" w:rsidRPr="001F312B" w:rsidRDefault="001F312B" w:rsidP="00F113EF">
            <w:pPr>
              <w:rPr>
                <w:iCs/>
                <w:sz w:val="16"/>
                <w:szCs w:val="20"/>
              </w:rPr>
            </w:pPr>
            <w:r w:rsidRPr="001F312B">
              <w:rPr>
                <w:iCs/>
                <w:sz w:val="16"/>
                <w:szCs w:val="20"/>
              </w:rPr>
              <w:t>33 (30.6%)</w:t>
            </w:r>
          </w:p>
        </w:tc>
        <w:tc>
          <w:tcPr>
            <w:tcW w:w="1650" w:type="dxa"/>
          </w:tcPr>
          <w:p w14:paraId="10DD5A27" w14:textId="17CD34BC" w:rsidR="001F312B" w:rsidRPr="001F312B" w:rsidRDefault="001F312B" w:rsidP="00F113EF">
            <w:pPr>
              <w:rPr>
                <w:b/>
                <w:bCs/>
                <w:iCs/>
                <w:sz w:val="16"/>
                <w:szCs w:val="20"/>
              </w:rPr>
            </w:pPr>
            <w:r w:rsidRPr="001F312B">
              <w:rPr>
                <w:b/>
                <w:bCs/>
                <w:iCs/>
                <w:sz w:val="16"/>
                <w:szCs w:val="20"/>
              </w:rPr>
              <w:t>108 (100.0%)</w:t>
            </w:r>
          </w:p>
        </w:tc>
      </w:tr>
      <w:tr w:rsidR="00454AF4" w14:paraId="31A2CA57" w14:textId="4C892930" w:rsidTr="00B74886">
        <w:tc>
          <w:tcPr>
            <w:tcW w:w="4248" w:type="dxa"/>
          </w:tcPr>
          <w:p w14:paraId="0D029F18" w14:textId="509527BF" w:rsidR="00454AF4" w:rsidRPr="001172A8" w:rsidRDefault="00454AF4" w:rsidP="00F113EF">
            <w:pPr>
              <w:rPr>
                <w:iCs/>
                <w:sz w:val="16"/>
                <w:szCs w:val="20"/>
              </w:rPr>
            </w:pPr>
            <w:r w:rsidRPr="001172A8">
              <w:rPr>
                <w:iCs/>
                <w:sz w:val="16"/>
                <w:szCs w:val="20"/>
              </w:rPr>
              <w:t>Māori</w:t>
            </w:r>
            <w:r w:rsidR="00CA43F1" w:rsidRPr="00CA43F1">
              <w:rPr>
                <w:vertAlign w:val="superscript"/>
              </w:rPr>
              <w:t>1</w:t>
            </w:r>
            <w:r w:rsidR="00CC6C0E">
              <w:rPr>
                <w:vertAlign w:val="superscript"/>
              </w:rPr>
              <w:t>8</w:t>
            </w:r>
          </w:p>
        </w:tc>
        <w:tc>
          <w:tcPr>
            <w:tcW w:w="1559" w:type="dxa"/>
          </w:tcPr>
          <w:p w14:paraId="389E17F6" w14:textId="0A1CA362" w:rsidR="00454AF4" w:rsidRPr="001172A8" w:rsidRDefault="00454AF4" w:rsidP="00F113EF">
            <w:pPr>
              <w:rPr>
                <w:iCs/>
                <w:sz w:val="16"/>
                <w:szCs w:val="20"/>
              </w:rPr>
            </w:pPr>
            <w:r w:rsidRPr="001172A8">
              <w:rPr>
                <w:iCs/>
                <w:sz w:val="16"/>
                <w:szCs w:val="20"/>
              </w:rPr>
              <w:t>1</w:t>
            </w:r>
            <w:r w:rsidR="001172A8" w:rsidRPr="001172A8">
              <w:rPr>
                <w:iCs/>
                <w:sz w:val="16"/>
                <w:szCs w:val="20"/>
              </w:rPr>
              <w:t>8</w:t>
            </w:r>
            <w:r w:rsidRPr="001172A8">
              <w:rPr>
                <w:iCs/>
                <w:sz w:val="16"/>
                <w:szCs w:val="20"/>
              </w:rPr>
              <w:t xml:space="preserve"> (</w:t>
            </w:r>
            <w:r w:rsidR="001172A8" w:rsidRPr="001172A8">
              <w:rPr>
                <w:iCs/>
                <w:sz w:val="16"/>
                <w:szCs w:val="20"/>
              </w:rPr>
              <w:t>42.9</w:t>
            </w:r>
            <w:r w:rsidR="00D36017" w:rsidRPr="001172A8">
              <w:rPr>
                <w:iCs/>
                <w:sz w:val="16"/>
                <w:szCs w:val="20"/>
              </w:rPr>
              <w:t>%)</w:t>
            </w:r>
          </w:p>
        </w:tc>
        <w:tc>
          <w:tcPr>
            <w:tcW w:w="1559" w:type="dxa"/>
          </w:tcPr>
          <w:p w14:paraId="240A13B5" w14:textId="3F34210A" w:rsidR="00454AF4" w:rsidRPr="001172A8" w:rsidRDefault="00454AF4" w:rsidP="00F113EF">
            <w:pPr>
              <w:rPr>
                <w:iCs/>
                <w:sz w:val="16"/>
                <w:szCs w:val="20"/>
              </w:rPr>
            </w:pPr>
            <w:r w:rsidRPr="001172A8">
              <w:rPr>
                <w:iCs/>
                <w:sz w:val="16"/>
                <w:szCs w:val="20"/>
              </w:rPr>
              <w:t>2</w:t>
            </w:r>
            <w:r w:rsidR="001172A8" w:rsidRPr="001172A8">
              <w:rPr>
                <w:iCs/>
                <w:sz w:val="16"/>
                <w:szCs w:val="20"/>
              </w:rPr>
              <w:t>4</w:t>
            </w:r>
            <w:r w:rsidRPr="001172A8">
              <w:rPr>
                <w:iCs/>
                <w:sz w:val="16"/>
                <w:szCs w:val="20"/>
              </w:rPr>
              <w:t xml:space="preserve"> (</w:t>
            </w:r>
            <w:r w:rsidR="001172A8" w:rsidRPr="001172A8">
              <w:rPr>
                <w:iCs/>
                <w:sz w:val="16"/>
                <w:szCs w:val="20"/>
              </w:rPr>
              <w:t>57.1</w:t>
            </w:r>
            <w:r w:rsidR="00D36017" w:rsidRPr="001172A8">
              <w:rPr>
                <w:iCs/>
                <w:sz w:val="16"/>
                <w:szCs w:val="20"/>
              </w:rPr>
              <w:t>%)</w:t>
            </w:r>
          </w:p>
        </w:tc>
        <w:tc>
          <w:tcPr>
            <w:tcW w:w="1650" w:type="dxa"/>
          </w:tcPr>
          <w:p w14:paraId="44FDF79F" w14:textId="58A6B272" w:rsidR="00454AF4" w:rsidRPr="001172A8" w:rsidRDefault="001F58E5" w:rsidP="00F113EF">
            <w:pPr>
              <w:rPr>
                <w:b/>
                <w:bCs/>
                <w:iCs/>
                <w:sz w:val="16"/>
                <w:szCs w:val="20"/>
              </w:rPr>
            </w:pPr>
            <w:r w:rsidRPr="001172A8">
              <w:rPr>
                <w:b/>
                <w:bCs/>
                <w:iCs/>
                <w:sz w:val="16"/>
                <w:szCs w:val="20"/>
              </w:rPr>
              <w:t>42</w:t>
            </w:r>
            <w:r w:rsidR="009C3BA1" w:rsidRPr="001172A8">
              <w:rPr>
                <w:b/>
                <w:bCs/>
                <w:iCs/>
                <w:sz w:val="16"/>
                <w:szCs w:val="20"/>
              </w:rPr>
              <w:t xml:space="preserve"> </w:t>
            </w:r>
            <w:r w:rsidR="00191DE6" w:rsidRPr="001172A8">
              <w:rPr>
                <w:b/>
                <w:bCs/>
                <w:iCs/>
                <w:sz w:val="16"/>
                <w:szCs w:val="20"/>
              </w:rPr>
              <w:t>(100.0%)</w:t>
            </w:r>
          </w:p>
        </w:tc>
      </w:tr>
      <w:tr w:rsidR="008975A5" w14:paraId="52A44A78" w14:textId="349618DC" w:rsidTr="00CF2640">
        <w:tc>
          <w:tcPr>
            <w:tcW w:w="9016" w:type="dxa"/>
            <w:gridSpan w:val="4"/>
          </w:tcPr>
          <w:p w14:paraId="7D447BD2" w14:textId="551D22E4" w:rsidR="008975A5" w:rsidRPr="003263A5" w:rsidRDefault="008975A5" w:rsidP="00F113EF">
            <w:pPr>
              <w:rPr>
                <w:b/>
                <w:bCs/>
                <w:iCs/>
                <w:sz w:val="16"/>
                <w:szCs w:val="20"/>
                <w:highlight w:val="yellow"/>
              </w:rPr>
            </w:pPr>
            <w:r w:rsidRPr="00C47E9D">
              <w:rPr>
                <w:b/>
                <w:bCs/>
                <w:iCs/>
                <w:sz w:val="16"/>
                <w:szCs w:val="20"/>
              </w:rPr>
              <w:t>Gender</w:t>
            </w:r>
            <w:r w:rsidR="0045698D" w:rsidRPr="00C47E9D">
              <w:rPr>
                <w:b/>
                <w:bCs/>
                <w:iCs/>
                <w:sz w:val="16"/>
                <w:szCs w:val="20"/>
              </w:rPr>
              <w:t xml:space="preserve"> as at enrolment</w:t>
            </w:r>
          </w:p>
        </w:tc>
      </w:tr>
      <w:tr w:rsidR="00454AF4" w14:paraId="0AE8C4E8" w14:textId="474F2791" w:rsidTr="00B74886">
        <w:tc>
          <w:tcPr>
            <w:tcW w:w="4248" w:type="dxa"/>
          </w:tcPr>
          <w:p w14:paraId="7696D041" w14:textId="5E1903A8" w:rsidR="00454AF4" w:rsidRPr="00C47E9D" w:rsidRDefault="00454AF4" w:rsidP="00F113EF">
            <w:pPr>
              <w:rPr>
                <w:iCs/>
                <w:sz w:val="16"/>
                <w:szCs w:val="20"/>
              </w:rPr>
            </w:pPr>
            <w:r w:rsidRPr="00C47E9D">
              <w:rPr>
                <w:iCs/>
                <w:sz w:val="16"/>
                <w:szCs w:val="20"/>
              </w:rPr>
              <w:t>Female</w:t>
            </w:r>
          </w:p>
        </w:tc>
        <w:tc>
          <w:tcPr>
            <w:tcW w:w="1559" w:type="dxa"/>
          </w:tcPr>
          <w:p w14:paraId="12C046ED" w14:textId="64FF59C2" w:rsidR="00454AF4" w:rsidRPr="00C47E9D" w:rsidRDefault="00191DE6" w:rsidP="00F113EF">
            <w:pPr>
              <w:rPr>
                <w:iCs/>
                <w:sz w:val="16"/>
                <w:szCs w:val="20"/>
              </w:rPr>
            </w:pPr>
            <w:r w:rsidRPr="00C47E9D">
              <w:rPr>
                <w:iCs/>
                <w:sz w:val="16"/>
                <w:szCs w:val="20"/>
              </w:rPr>
              <w:t>39</w:t>
            </w:r>
            <w:r w:rsidR="00454AF4" w:rsidRPr="00C47E9D">
              <w:rPr>
                <w:iCs/>
                <w:sz w:val="16"/>
                <w:szCs w:val="20"/>
              </w:rPr>
              <w:t xml:space="preserve"> (</w:t>
            </w:r>
            <w:r w:rsidRPr="00C47E9D">
              <w:rPr>
                <w:iCs/>
                <w:sz w:val="16"/>
                <w:szCs w:val="20"/>
              </w:rPr>
              <w:t>59.1</w:t>
            </w:r>
            <w:r w:rsidR="00D36017" w:rsidRPr="00C47E9D">
              <w:rPr>
                <w:iCs/>
                <w:sz w:val="16"/>
                <w:szCs w:val="20"/>
              </w:rPr>
              <w:t>%)</w:t>
            </w:r>
          </w:p>
        </w:tc>
        <w:tc>
          <w:tcPr>
            <w:tcW w:w="1559" w:type="dxa"/>
          </w:tcPr>
          <w:p w14:paraId="756DA891" w14:textId="209797F7" w:rsidR="00454AF4" w:rsidRPr="00C47E9D" w:rsidRDefault="00191DE6" w:rsidP="00F113EF">
            <w:pPr>
              <w:rPr>
                <w:iCs/>
                <w:sz w:val="16"/>
                <w:szCs w:val="20"/>
              </w:rPr>
            </w:pPr>
            <w:r w:rsidRPr="00C47E9D">
              <w:rPr>
                <w:iCs/>
                <w:sz w:val="16"/>
                <w:szCs w:val="20"/>
              </w:rPr>
              <w:t>27</w:t>
            </w:r>
            <w:r w:rsidR="00454AF4" w:rsidRPr="00C47E9D">
              <w:rPr>
                <w:iCs/>
                <w:sz w:val="16"/>
                <w:szCs w:val="20"/>
              </w:rPr>
              <w:t xml:space="preserve"> (</w:t>
            </w:r>
            <w:r w:rsidR="00C47E9D" w:rsidRPr="00C47E9D">
              <w:rPr>
                <w:iCs/>
                <w:sz w:val="16"/>
                <w:szCs w:val="20"/>
              </w:rPr>
              <w:t>40.9</w:t>
            </w:r>
            <w:r w:rsidR="00D36017" w:rsidRPr="00C47E9D">
              <w:rPr>
                <w:iCs/>
                <w:sz w:val="16"/>
                <w:szCs w:val="20"/>
              </w:rPr>
              <w:t>%)</w:t>
            </w:r>
          </w:p>
        </w:tc>
        <w:tc>
          <w:tcPr>
            <w:tcW w:w="1650" w:type="dxa"/>
          </w:tcPr>
          <w:p w14:paraId="42ADBE51" w14:textId="0D4E7D15" w:rsidR="00454AF4" w:rsidRPr="00191DE6" w:rsidRDefault="001F58E5" w:rsidP="00F113EF">
            <w:pPr>
              <w:rPr>
                <w:b/>
                <w:bCs/>
                <w:iCs/>
                <w:sz w:val="16"/>
                <w:szCs w:val="20"/>
              </w:rPr>
            </w:pPr>
            <w:r w:rsidRPr="00191DE6">
              <w:rPr>
                <w:b/>
                <w:bCs/>
                <w:iCs/>
                <w:sz w:val="16"/>
                <w:szCs w:val="20"/>
              </w:rPr>
              <w:t>6</w:t>
            </w:r>
            <w:r w:rsidR="00191DE6" w:rsidRPr="00191DE6">
              <w:rPr>
                <w:b/>
                <w:bCs/>
                <w:iCs/>
                <w:sz w:val="16"/>
                <w:szCs w:val="20"/>
              </w:rPr>
              <w:t>6</w:t>
            </w:r>
            <w:r w:rsidR="009C3BA1" w:rsidRPr="00191DE6">
              <w:rPr>
                <w:b/>
                <w:bCs/>
                <w:iCs/>
                <w:sz w:val="16"/>
                <w:szCs w:val="20"/>
              </w:rPr>
              <w:t xml:space="preserve"> </w:t>
            </w:r>
            <w:r w:rsidR="00191DE6" w:rsidRPr="00191DE6">
              <w:rPr>
                <w:b/>
                <w:bCs/>
                <w:iCs/>
                <w:sz w:val="16"/>
                <w:szCs w:val="20"/>
              </w:rPr>
              <w:t>(100.0%)</w:t>
            </w:r>
          </w:p>
        </w:tc>
      </w:tr>
      <w:tr w:rsidR="00454AF4" w14:paraId="6D7C5618" w14:textId="1E6AFEB2" w:rsidTr="00B74886">
        <w:tc>
          <w:tcPr>
            <w:tcW w:w="4248" w:type="dxa"/>
          </w:tcPr>
          <w:p w14:paraId="4CF346C2" w14:textId="57111925" w:rsidR="00454AF4" w:rsidRPr="00C47E9D" w:rsidRDefault="00454AF4" w:rsidP="00F113EF">
            <w:pPr>
              <w:rPr>
                <w:iCs/>
                <w:sz w:val="16"/>
                <w:szCs w:val="20"/>
              </w:rPr>
            </w:pPr>
            <w:r w:rsidRPr="00C47E9D">
              <w:rPr>
                <w:iCs/>
                <w:sz w:val="16"/>
                <w:szCs w:val="20"/>
              </w:rPr>
              <w:t>Male</w:t>
            </w:r>
          </w:p>
        </w:tc>
        <w:tc>
          <w:tcPr>
            <w:tcW w:w="1559" w:type="dxa"/>
          </w:tcPr>
          <w:p w14:paraId="2BEE5885" w14:textId="494B9396" w:rsidR="00454AF4" w:rsidRPr="00C47E9D" w:rsidRDefault="001F58E5" w:rsidP="00F113EF">
            <w:pPr>
              <w:rPr>
                <w:iCs/>
                <w:sz w:val="16"/>
                <w:szCs w:val="20"/>
              </w:rPr>
            </w:pPr>
            <w:r w:rsidRPr="00C47E9D">
              <w:rPr>
                <w:iCs/>
                <w:sz w:val="16"/>
                <w:szCs w:val="20"/>
              </w:rPr>
              <w:t>60</w:t>
            </w:r>
            <w:r w:rsidR="00454AF4" w:rsidRPr="00C47E9D">
              <w:rPr>
                <w:iCs/>
                <w:sz w:val="16"/>
                <w:szCs w:val="20"/>
              </w:rPr>
              <w:t xml:space="preserve"> (</w:t>
            </w:r>
            <w:r w:rsidR="00C47E9D" w:rsidRPr="00C47E9D">
              <w:rPr>
                <w:iCs/>
                <w:sz w:val="16"/>
                <w:szCs w:val="20"/>
              </w:rPr>
              <w:t>69.0</w:t>
            </w:r>
            <w:r w:rsidR="00D36017" w:rsidRPr="00C47E9D">
              <w:rPr>
                <w:iCs/>
                <w:sz w:val="16"/>
                <w:szCs w:val="20"/>
              </w:rPr>
              <w:t>%)</w:t>
            </w:r>
          </w:p>
        </w:tc>
        <w:tc>
          <w:tcPr>
            <w:tcW w:w="1559" w:type="dxa"/>
          </w:tcPr>
          <w:p w14:paraId="71C6AA33" w14:textId="53589A6E" w:rsidR="00454AF4" w:rsidRPr="00C47E9D" w:rsidRDefault="001F58E5" w:rsidP="00F113EF">
            <w:pPr>
              <w:rPr>
                <w:iCs/>
                <w:sz w:val="16"/>
                <w:szCs w:val="20"/>
              </w:rPr>
            </w:pPr>
            <w:r w:rsidRPr="00C47E9D">
              <w:rPr>
                <w:iCs/>
                <w:sz w:val="16"/>
                <w:szCs w:val="20"/>
              </w:rPr>
              <w:t>27</w:t>
            </w:r>
            <w:r w:rsidR="00454AF4" w:rsidRPr="00C47E9D">
              <w:rPr>
                <w:iCs/>
                <w:sz w:val="16"/>
                <w:szCs w:val="20"/>
              </w:rPr>
              <w:t xml:space="preserve"> (</w:t>
            </w:r>
            <w:r w:rsidR="00C47E9D" w:rsidRPr="00C47E9D">
              <w:rPr>
                <w:iCs/>
                <w:sz w:val="16"/>
                <w:szCs w:val="20"/>
              </w:rPr>
              <w:t>31.0</w:t>
            </w:r>
            <w:r w:rsidR="00D36017" w:rsidRPr="00C47E9D">
              <w:rPr>
                <w:iCs/>
                <w:sz w:val="16"/>
                <w:szCs w:val="20"/>
              </w:rPr>
              <w:t>%)</w:t>
            </w:r>
          </w:p>
        </w:tc>
        <w:tc>
          <w:tcPr>
            <w:tcW w:w="1650" w:type="dxa"/>
          </w:tcPr>
          <w:p w14:paraId="09B9C144" w14:textId="70D54448" w:rsidR="00454AF4" w:rsidRPr="00191DE6" w:rsidRDefault="001F58E5" w:rsidP="00F113EF">
            <w:pPr>
              <w:rPr>
                <w:b/>
                <w:bCs/>
                <w:iCs/>
                <w:sz w:val="16"/>
                <w:szCs w:val="20"/>
              </w:rPr>
            </w:pPr>
            <w:r w:rsidRPr="00191DE6">
              <w:rPr>
                <w:b/>
                <w:bCs/>
                <w:iCs/>
                <w:sz w:val="16"/>
                <w:szCs w:val="20"/>
              </w:rPr>
              <w:t>87</w:t>
            </w:r>
            <w:r w:rsidR="009C3BA1" w:rsidRPr="00191DE6">
              <w:rPr>
                <w:b/>
                <w:bCs/>
                <w:iCs/>
                <w:sz w:val="16"/>
                <w:szCs w:val="20"/>
              </w:rPr>
              <w:t xml:space="preserve"> </w:t>
            </w:r>
            <w:r w:rsidR="00191DE6" w:rsidRPr="00191DE6">
              <w:rPr>
                <w:b/>
                <w:bCs/>
                <w:iCs/>
                <w:sz w:val="16"/>
                <w:szCs w:val="20"/>
              </w:rPr>
              <w:t>(100.0%)</w:t>
            </w:r>
          </w:p>
        </w:tc>
      </w:tr>
      <w:tr w:rsidR="008975A5" w14:paraId="01209670" w14:textId="363815EF" w:rsidTr="00CF2640">
        <w:tc>
          <w:tcPr>
            <w:tcW w:w="9016" w:type="dxa"/>
            <w:gridSpan w:val="4"/>
          </w:tcPr>
          <w:p w14:paraId="20AE4F90" w14:textId="32456289" w:rsidR="008975A5" w:rsidRPr="003263A5" w:rsidRDefault="003263A5" w:rsidP="00F113EF">
            <w:pPr>
              <w:rPr>
                <w:b/>
                <w:bCs/>
                <w:iCs/>
                <w:sz w:val="16"/>
                <w:szCs w:val="20"/>
                <w:highlight w:val="yellow"/>
              </w:rPr>
            </w:pPr>
            <w:r w:rsidRPr="00EA0281">
              <w:rPr>
                <w:b/>
                <w:bCs/>
                <w:iCs/>
                <w:sz w:val="16"/>
                <w:szCs w:val="20"/>
              </w:rPr>
              <w:t>Selected h</w:t>
            </w:r>
            <w:r w:rsidR="0045698D" w:rsidRPr="00EA0281">
              <w:rPr>
                <w:b/>
                <w:bCs/>
                <w:iCs/>
                <w:sz w:val="16"/>
                <w:szCs w:val="20"/>
              </w:rPr>
              <w:t xml:space="preserve">ealth conditions on medical certificate at </w:t>
            </w:r>
            <w:r w:rsidRPr="00EA0281">
              <w:rPr>
                <w:b/>
                <w:bCs/>
                <w:iCs/>
                <w:sz w:val="16"/>
                <w:szCs w:val="20"/>
              </w:rPr>
              <w:t>referra</w:t>
            </w:r>
            <w:r w:rsidR="006210BE" w:rsidRPr="00EA0281">
              <w:rPr>
                <w:b/>
                <w:bCs/>
                <w:iCs/>
                <w:sz w:val="16"/>
                <w:szCs w:val="20"/>
              </w:rPr>
              <w:t>l</w:t>
            </w:r>
            <w:r w:rsidR="0045698D" w:rsidRPr="00EA0281">
              <w:rPr>
                <w:b/>
                <w:bCs/>
                <w:iCs/>
                <w:sz w:val="16"/>
                <w:szCs w:val="20"/>
              </w:rPr>
              <w:t xml:space="preserve"> date</w:t>
            </w:r>
          </w:p>
        </w:tc>
      </w:tr>
      <w:tr w:rsidR="0045698D" w14:paraId="688826FA" w14:textId="5A2F03B4" w:rsidTr="00B74886">
        <w:tc>
          <w:tcPr>
            <w:tcW w:w="4248" w:type="dxa"/>
          </w:tcPr>
          <w:p w14:paraId="08E602D8" w14:textId="13801ABC" w:rsidR="0045698D" w:rsidRPr="006210BE" w:rsidRDefault="0045698D" w:rsidP="0045698D">
            <w:pPr>
              <w:rPr>
                <w:iCs/>
                <w:sz w:val="16"/>
                <w:szCs w:val="20"/>
              </w:rPr>
            </w:pPr>
            <w:r w:rsidRPr="006210BE">
              <w:rPr>
                <w:iCs/>
                <w:sz w:val="16"/>
                <w:szCs w:val="20"/>
              </w:rPr>
              <w:t xml:space="preserve">Mental health </w:t>
            </w:r>
            <w:r w:rsidR="00B74886">
              <w:rPr>
                <w:iCs/>
                <w:sz w:val="16"/>
                <w:szCs w:val="20"/>
              </w:rPr>
              <w:t>conditions</w:t>
            </w:r>
          </w:p>
        </w:tc>
        <w:tc>
          <w:tcPr>
            <w:tcW w:w="1559" w:type="dxa"/>
          </w:tcPr>
          <w:p w14:paraId="7B07D4C8" w14:textId="7E2EEA64" w:rsidR="0045698D" w:rsidRPr="006210BE" w:rsidRDefault="00B74886" w:rsidP="0045698D">
            <w:pPr>
              <w:rPr>
                <w:iCs/>
                <w:sz w:val="16"/>
                <w:szCs w:val="20"/>
              </w:rPr>
            </w:pPr>
            <w:r>
              <w:rPr>
                <w:iCs/>
                <w:sz w:val="16"/>
                <w:szCs w:val="20"/>
              </w:rPr>
              <w:t>57</w:t>
            </w:r>
            <w:r w:rsidR="0045698D" w:rsidRPr="006210BE">
              <w:rPr>
                <w:iCs/>
                <w:sz w:val="16"/>
                <w:szCs w:val="20"/>
              </w:rPr>
              <w:t xml:space="preserve"> (</w:t>
            </w:r>
            <w:r w:rsidR="006210BE" w:rsidRPr="006210BE">
              <w:rPr>
                <w:iCs/>
                <w:sz w:val="16"/>
                <w:szCs w:val="20"/>
              </w:rPr>
              <w:t>6</w:t>
            </w:r>
            <w:r>
              <w:rPr>
                <w:iCs/>
                <w:sz w:val="16"/>
                <w:szCs w:val="20"/>
              </w:rPr>
              <w:t>3.3</w:t>
            </w:r>
            <w:r w:rsidR="0045698D" w:rsidRPr="006210BE">
              <w:rPr>
                <w:iCs/>
                <w:sz w:val="16"/>
                <w:szCs w:val="20"/>
              </w:rPr>
              <w:t>%)</w:t>
            </w:r>
          </w:p>
        </w:tc>
        <w:tc>
          <w:tcPr>
            <w:tcW w:w="1559" w:type="dxa"/>
          </w:tcPr>
          <w:p w14:paraId="767B0553" w14:textId="2D71D603" w:rsidR="0045698D" w:rsidRPr="006210BE" w:rsidRDefault="001F58E5" w:rsidP="0045698D">
            <w:pPr>
              <w:rPr>
                <w:iCs/>
                <w:sz w:val="16"/>
                <w:szCs w:val="20"/>
              </w:rPr>
            </w:pPr>
            <w:r w:rsidRPr="006210BE">
              <w:rPr>
                <w:iCs/>
                <w:sz w:val="16"/>
                <w:szCs w:val="20"/>
              </w:rPr>
              <w:t>3</w:t>
            </w:r>
            <w:r w:rsidR="006210BE" w:rsidRPr="006210BE">
              <w:rPr>
                <w:iCs/>
                <w:sz w:val="16"/>
                <w:szCs w:val="20"/>
              </w:rPr>
              <w:t>3</w:t>
            </w:r>
            <w:r w:rsidR="0045698D" w:rsidRPr="006210BE">
              <w:rPr>
                <w:iCs/>
                <w:sz w:val="16"/>
                <w:szCs w:val="20"/>
              </w:rPr>
              <w:t xml:space="preserve"> (</w:t>
            </w:r>
            <w:r w:rsidR="006210BE" w:rsidRPr="006210BE">
              <w:rPr>
                <w:iCs/>
                <w:sz w:val="16"/>
                <w:szCs w:val="20"/>
              </w:rPr>
              <w:t>3</w:t>
            </w:r>
            <w:r w:rsidR="00B74886">
              <w:rPr>
                <w:iCs/>
                <w:sz w:val="16"/>
                <w:szCs w:val="20"/>
              </w:rPr>
              <w:t>6.7</w:t>
            </w:r>
            <w:r w:rsidR="0045698D" w:rsidRPr="006210BE">
              <w:rPr>
                <w:iCs/>
                <w:sz w:val="16"/>
                <w:szCs w:val="20"/>
              </w:rPr>
              <w:t>%)</w:t>
            </w:r>
          </w:p>
        </w:tc>
        <w:tc>
          <w:tcPr>
            <w:tcW w:w="1650" w:type="dxa"/>
          </w:tcPr>
          <w:p w14:paraId="58ADF9AA" w14:textId="28FB1E29" w:rsidR="0045698D" w:rsidRPr="006210BE" w:rsidRDefault="001F58E5" w:rsidP="0045698D">
            <w:pPr>
              <w:rPr>
                <w:b/>
                <w:bCs/>
                <w:iCs/>
                <w:sz w:val="16"/>
                <w:szCs w:val="20"/>
              </w:rPr>
            </w:pPr>
            <w:r w:rsidRPr="006210BE">
              <w:rPr>
                <w:b/>
                <w:bCs/>
                <w:iCs/>
                <w:sz w:val="16"/>
                <w:szCs w:val="20"/>
              </w:rPr>
              <w:t>9</w:t>
            </w:r>
            <w:r w:rsidR="00B74886">
              <w:rPr>
                <w:b/>
                <w:bCs/>
                <w:iCs/>
                <w:sz w:val="16"/>
                <w:szCs w:val="20"/>
              </w:rPr>
              <w:t>0</w:t>
            </w:r>
            <w:r w:rsidR="0045698D" w:rsidRPr="006210BE">
              <w:rPr>
                <w:b/>
                <w:bCs/>
                <w:iCs/>
                <w:sz w:val="16"/>
                <w:szCs w:val="20"/>
              </w:rPr>
              <w:t xml:space="preserve"> </w:t>
            </w:r>
            <w:r w:rsidR="00191DE6" w:rsidRPr="006210BE">
              <w:rPr>
                <w:b/>
                <w:bCs/>
                <w:iCs/>
                <w:sz w:val="16"/>
                <w:szCs w:val="20"/>
              </w:rPr>
              <w:t>(100.0%)</w:t>
            </w:r>
          </w:p>
        </w:tc>
      </w:tr>
      <w:tr w:rsidR="00454AF4" w14:paraId="10BFC82F" w14:textId="1FC50F5C" w:rsidTr="00B74886">
        <w:tc>
          <w:tcPr>
            <w:tcW w:w="4248" w:type="dxa"/>
          </w:tcPr>
          <w:p w14:paraId="7A43A255" w14:textId="2438B796" w:rsidR="00454AF4" w:rsidRPr="006210BE" w:rsidRDefault="00454AF4" w:rsidP="00F113EF">
            <w:pPr>
              <w:rPr>
                <w:b/>
                <w:bCs/>
                <w:iCs/>
                <w:sz w:val="16"/>
                <w:szCs w:val="20"/>
              </w:rPr>
            </w:pPr>
            <w:r w:rsidRPr="006210BE">
              <w:rPr>
                <w:b/>
                <w:bCs/>
                <w:iCs/>
                <w:sz w:val="16"/>
                <w:szCs w:val="20"/>
              </w:rPr>
              <w:t>Total</w:t>
            </w:r>
          </w:p>
        </w:tc>
        <w:tc>
          <w:tcPr>
            <w:tcW w:w="1559" w:type="dxa"/>
          </w:tcPr>
          <w:p w14:paraId="0FB78613" w14:textId="38015B3A" w:rsidR="00454AF4" w:rsidRPr="006210BE" w:rsidRDefault="00191DE6" w:rsidP="00F113EF">
            <w:pPr>
              <w:rPr>
                <w:b/>
                <w:bCs/>
                <w:iCs/>
                <w:sz w:val="16"/>
                <w:szCs w:val="20"/>
              </w:rPr>
            </w:pPr>
            <w:r w:rsidRPr="006210BE">
              <w:rPr>
                <w:b/>
                <w:bCs/>
                <w:iCs/>
                <w:sz w:val="16"/>
                <w:szCs w:val="20"/>
              </w:rPr>
              <w:t>99</w:t>
            </w:r>
            <w:r w:rsidR="009C3BA1" w:rsidRPr="006210BE">
              <w:rPr>
                <w:b/>
                <w:bCs/>
                <w:iCs/>
                <w:sz w:val="16"/>
                <w:szCs w:val="20"/>
              </w:rPr>
              <w:t xml:space="preserve"> </w:t>
            </w:r>
            <w:r w:rsidR="00D36017" w:rsidRPr="006210BE">
              <w:rPr>
                <w:b/>
                <w:bCs/>
                <w:iCs/>
                <w:sz w:val="16"/>
                <w:szCs w:val="20"/>
              </w:rPr>
              <w:t>(</w:t>
            </w:r>
            <w:r w:rsidRPr="006210BE">
              <w:rPr>
                <w:b/>
                <w:bCs/>
                <w:iCs/>
                <w:sz w:val="16"/>
                <w:szCs w:val="20"/>
              </w:rPr>
              <w:t>64.7</w:t>
            </w:r>
            <w:r w:rsidR="00D36017" w:rsidRPr="006210BE">
              <w:rPr>
                <w:b/>
                <w:bCs/>
                <w:iCs/>
                <w:sz w:val="16"/>
                <w:szCs w:val="20"/>
              </w:rPr>
              <w:t>%)</w:t>
            </w:r>
          </w:p>
        </w:tc>
        <w:tc>
          <w:tcPr>
            <w:tcW w:w="1559" w:type="dxa"/>
          </w:tcPr>
          <w:p w14:paraId="0E9F4FA9" w14:textId="6518B53D" w:rsidR="00454AF4" w:rsidRPr="006210BE" w:rsidRDefault="001F58E5" w:rsidP="00F113EF">
            <w:pPr>
              <w:rPr>
                <w:b/>
                <w:bCs/>
                <w:iCs/>
                <w:sz w:val="16"/>
                <w:szCs w:val="20"/>
              </w:rPr>
            </w:pPr>
            <w:r w:rsidRPr="006210BE">
              <w:rPr>
                <w:b/>
                <w:bCs/>
                <w:iCs/>
                <w:sz w:val="16"/>
                <w:szCs w:val="20"/>
              </w:rPr>
              <w:t>5</w:t>
            </w:r>
            <w:r w:rsidR="00191DE6" w:rsidRPr="006210BE">
              <w:rPr>
                <w:b/>
                <w:bCs/>
                <w:iCs/>
                <w:sz w:val="16"/>
                <w:szCs w:val="20"/>
              </w:rPr>
              <w:t>4</w:t>
            </w:r>
            <w:r w:rsidR="009C3BA1" w:rsidRPr="006210BE">
              <w:rPr>
                <w:b/>
                <w:bCs/>
                <w:iCs/>
                <w:sz w:val="16"/>
                <w:szCs w:val="20"/>
              </w:rPr>
              <w:t xml:space="preserve"> </w:t>
            </w:r>
            <w:r w:rsidR="00D36017" w:rsidRPr="006210BE">
              <w:rPr>
                <w:b/>
                <w:bCs/>
                <w:iCs/>
                <w:sz w:val="16"/>
                <w:szCs w:val="20"/>
              </w:rPr>
              <w:t>(</w:t>
            </w:r>
            <w:r w:rsidR="00191DE6" w:rsidRPr="006210BE">
              <w:rPr>
                <w:b/>
                <w:bCs/>
                <w:iCs/>
                <w:sz w:val="16"/>
                <w:szCs w:val="20"/>
              </w:rPr>
              <w:t>35.3</w:t>
            </w:r>
            <w:r w:rsidR="00D36017" w:rsidRPr="006210BE">
              <w:rPr>
                <w:b/>
                <w:bCs/>
                <w:iCs/>
                <w:sz w:val="16"/>
                <w:szCs w:val="20"/>
              </w:rPr>
              <w:t>%)</w:t>
            </w:r>
          </w:p>
        </w:tc>
        <w:tc>
          <w:tcPr>
            <w:tcW w:w="1650" w:type="dxa"/>
          </w:tcPr>
          <w:p w14:paraId="65EAF01F" w14:textId="075DEA69" w:rsidR="00454AF4" w:rsidRPr="006210BE" w:rsidRDefault="003537D5" w:rsidP="00F113EF">
            <w:pPr>
              <w:rPr>
                <w:b/>
                <w:bCs/>
                <w:iCs/>
                <w:sz w:val="16"/>
                <w:szCs w:val="20"/>
              </w:rPr>
            </w:pPr>
            <w:r w:rsidRPr="006210BE">
              <w:rPr>
                <w:b/>
                <w:bCs/>
                <w:iCs/>
                <w:sz w:val="16"/>
                <w:szCs w:val="20"/>
              </w:rPr>
              <w:t>15</w:t>
            </w:r>
            <w:r w:rsidR="00191DE6" w:rsidRPr="006210BE">
              <w:rPr>
                <w:b/>
                <w:bCs/>
                <w:iCs/>
                <w:sz w:val="16"/>
                <w:szCs w:val="20"/>
              </w:rPr>
              <w:t>3</w:t>
            </w:r>
            <w:r w:rsidR="00454AF4" w:rsidRPr="006210BE">
              <w:rPr>
                <w:b/>
                <w:bCs/>
                <w:iCs/>
                <w:sz w:val="16"/>
                <w:szCs w:val="20"/>
              </w:rPr>
              <w:t xml:space="preserve"> (100.0%)</w:t>
            </w:r>
          </w:p>
        </w:tc>
      </w:tr>
    </w:tbl>
    <w:p w14:paraId="1BCB9610" w14:textId="77777777" w:rsidR="00AA2391" w:rsidRPr="00AA2391" w:rsidRDefault="00AA2391" w:rsidP="00AA2391">
      <w:pPr>
        <w:rPr>
          <w:sz w:val="16"/>
          <w:szCs w:val="18"/>
        </w:rPr>
      </w:pPr>
      <w:r w:rsidRPr="00AA2391">
        <w:rPr>
          <w:sz w:val="16"/>
          <w:szCs w:val="18"/>
        </w:rPr>
        <w:t>Note: Percentages may not add to 100 percent due to rounding.</w:t>
      </w:r>
    </w:p>
    <w:p w14:paraId="095924FB" w14:textId="3BEC64CF" w:rsidR="00555C6C" w:rsidRDefault="00555C6C" w:rsidP="004F3F7F">
      <w:pPr>
        <w:rPr>
          <w:iCs/>
          <w:sz w:val="16"/>
          <w:szCs w:val="18"/>
        </w:rPr>
      </w:pPr>
    </w:p>
    <w:p w14:paraId="76E438CE" w14:textId="2C642E59" w:rsidR="00555C6C" w:rsidRDefault="00555C6C" w:rsidP="004F3F7F">
      <w:pPr>
        <w:rPr>
          <w:iCs/>
          <w:sz w:val="16"/>
          <w:szCs w:val="18"/>
        </w:rPr>
      </w:pPr>
    </w:p>
    <w:p w14:paraId="1A52DB62" w14:textId="77B70A47" w:rsidR="00555C6C" w:rsidRDefault="00555C6C" w:rsidP="004F3F7F">
      <w:pPr>
        <w:rPr>
          <w:iCs/>
          <w:sz w:val="16"/>
          <w:szCs w:val="18"/>
        </w:rPr>
      </w:pPr>
    </w:p>
    <w:p w14:paraId="4412312A" w14:textId="08F4FD57" w:rsidR="00555C6C" w:rsidRDefault="00555C6C" w:rsidP="004F3F7F">
      <w:pPr>
        <w:rPr>
          <w:iCs/>
          <w:sz w:val="16"/>
          <w:szCs w:val="18"/>
        </w:rPr>
      </w:pPr>
    </w:p>
    <w:p w14:paraId="39A7A75B" w14:textId="5F52E4B4" w:rsidR="00555C6C" w:rsidRDefault="00555C6C" w:rsidP="004F3F7F">
      <w:pPr>
        <w:rPr>
          <w:iCs/>
          <w:sz w:val="16"/>
          <w:szCs w:val="18"/>
        </w:rPr>
      </w:pPr>
    </w:p>
    <w:p w14:paraId="0A1CC4D4" w14:textId="4A55A525" w:rsidR="00CC5042" w:rsidRDefault="00CC5042" w:rsidP="004F3F7F">
      <w:pPr>
        <w:rPr>
          <w:iCs/>
          <w:sz w:val="16"/>
          <w:szCs w:val="18"/>
        </w:rPr>
      </w:pPr>
    </w:p>
    <w:p w14:paraId="52AD47D2" w14:textId="5FC7B3DF" w:rsidR="00B74886" w:rsidRDefault="00B74886" w:rsidP="004F3F7F">
      <w:pPr>
        <w:rPr>
          <w:iCs/>
          <w:sz w:val="16"/>
          <w:szCs w:val="18"/>
        </w:rPr>
      </w:pPr>
    </w:p>
    <w:p w14:paraId="0B4C5944" w14:textId="0B0944B9" w:rsidR="00B74886" w:rsidRDefault="00B74886" w:rsidP="004F3F7F">
      <w:pPr>
        <w:rPr>
          <w:iCs/>
          <w:sz w:val="16"/>
          <w:szCs w:val="18"/>
        </w:rPr>
      </w:pPr>
    </w:p>
    <w:p w14:paraId="7D9E1777" w14:textId="77777777" w:rsidR="00B74886" w:rsidRDefault="00B74886" w:rsidP="004F3F7F">
      <w:pPr>
        <w:rPr>
          <w:iCs/>
          <w:sz w:val="16"/>
          <w:szCs w:val="18"/>
        </w:rPr>
      </w:pPr>
    </w:p>
    <w:p w14:paraId="02011813" w14:textId="77777777" w:rsidR="00C47E9D" w:rsidRDefault="00C47E9D" w:rsidP="004F3F7F">
      <w:pPr>
        <w:rPr>
          <w:iCs/>
          <w:sz w:val="16"/>
          <w:szCs w:val="18"/>
        </w:rPr>
      </w:pPr>
    </w:p>
    <w:p w14:paraId="0074CC04" w14:textId="1BC357D9" w:rsidR="00CC5042" w:rsidRDefault="00CC5042" w:rsidP="004F3F7F">
      <w:pPr>
        <w:rPr>
          <w:iCs/>
          <w:sz w:val="16"/>
          <w:szCs w:val="18"/>
        </w:rPr>
      </w:pPr>
    </w:p>
    <w:p w14:paraId="300DE19F" w14:textId="77777777" w:rsidR="00CC5042" w:rsidRDefault="00CC5042" w:rsidP="004F3F7F">
      <w:pPr>
        <w:rPr>
          <w:iCs/>
          <w:sz w:val="16"/>
          <w:szCs w:val="18"/>
        </w:rPr>
      </w:pPr>
    </w:p>
    <w:p w14:paraId="18F32850" w14:textId="2F3D6A6A" w:rsidR="005C436A" w:rsidRPr="00C9626C" w:rsidRDefault="00C9626C" w:rsidP="0058713A">
      <w:pPr>
        <w:pStyle w:val="Heading3"/>
      </w:pPr>
      <w:r w:rsidRPr="00C9626C">
        <w:lastRenderedPageBreak/>
        <w:t>Just over 60 percent</w:t>
      </w:r>
      <w:r w:rsidR="005C436A" w:rsidRPr="00C9626C">
        <w:t xml:space="preserve"> of participants</w:t>
      </w:r>
      <w:r w:rsidR="00A575D6">
        <w:t xml:space="preserve"> (93)</w:t>
      </w:r>
      <w:r w:rsidR="005C436A" w:rsidRPr="00C9626C">
        <w:t xml:space="preserve"> spent between 6</w:t>
      </w:r>
      <w:r w:rsidRPr="00C9626C">
        <w:t>0</w:t>
      </w:r>
      <w:r w:rsidR="005C436A" w:rsidRPr="00C9626C">
        <w:t xml:space="preserve"> and 1</w:t>
      </w:r>
      <w:r w:rsidRPr="00C9626C">
        <w:t>50</w:t>
      </w:r>
      <w:r w:rsidR="005C436A" w:rsidRPr="00C9626C">
        <w:t xml:space="preserve"> days in the REACH service from enrolment to exit.</w:t>
      </w:r>
    </w:p>
    <w:p w14:paraId="4B1FF562" w14:textId="7F3D77BD" w:rsidR="005C436A" w:rsidRPr="00C9626C" w:rsidRDefault="004819D8" w:rsidP="00B02EF4">
      <w:pPr>
        <w:rPr>
          <w:iCs/>
        </w:rPr>
      </w:pPr>
      <w:r w:rsidRPr="00C9626C">
        <w:rPr>
          <w:iCs/>
        </w:rPr>
        <w:t xml:space="preserve">From enrolment, participants are </w:t>
      </w:r>
      <w:r w:rsidR="009A3D72" w:rsidRPr="00C9626C">
        <w:rPr>
          <w:iCs/>
        </w:rPr>
        <w:t xml:space="preserve">normally </w:t>
      </w:r>
      <w:r w:rsidRPr="00C9626C">
        <w:rPr>
          <w:iCs/>
        </w:rPr>
        <w:t xml:space="preserve">able to receive the REACH service for 20 weeks, or 140 days. </w:t>
      </w:r>
      <w:r w:rsidR="00FB3EA6" w:rsidRPr="00C9626C">
        <w:rPr>
          <w:iCs/>
        </w:rPr>
        <w:t xml:space="preserve">However, events such as COVID-19 lockdowns meant that some participants may have received the service for a longer </w:t>
      </w:r>
      <w:r w:rsidR="00DC4761" w:rsidRPr="00C9626C">
        <w:rPr>
          <w:iCs/>
        </w:rPr>
        <w:t>period</w:t>
      </w:r>
      <w:r w:rsidR="00FB3EA6" w:rsidRPr="00C9626C">
        <w:rPr>
          <w:iCs/>
        </w:rPr>
        <w:t>.</w:t>
      </w:r>
      <w:r w:rsidR="00577518" w:rsidRPr="00C9626C">
        <w:rPr>
          <w:iCs/>
        </w:rPr>
        <w:t xml:space="preserve"> </w:t>
      </w:r>
    </w:p>
    <w:p w14:paraId="1D1FDDA6" w14:textId="5578B4D9" w:rsidR="00521400" w:rsidRPr="00C9626C" w:rsidRDefault="00E816C4" w:rsidP="00B02EF4">
      <w:pPr>
        <w:rPr>
          <w:iCs/>
        </w:rPr>
      </w:pPr>
      <w:r w:rsidRPr="00C9626C">
        <w:rPr>
          <w:iCs/>
        </w:rPr>
        <w:t xml:space="preserve">The median time between enrolment and exit was </w:t>
      </w:r>
      <w:r w:rsidR="009A3D72" w:rsidRPr="00C9626C">
        <w:rPr>
          <w:iCs/>
        </w:rPr>
        <w:t>9</w:t>
      </w:r>
      <w:r w:rsidR="005C436A" w:rsidRPr="00C9626C">
        <w:rPr>
          <w:iCs/>
        </w:rPr>
        <w:t>1.5</w:t>
      </w:r>
      <w:r w:rsidRPr="00C9626C">
        <w:rPr>
          <w:iCs/>
        </w:rPr>
        <w:t xml:space="preserve"> days. The range was between 0 and 224 days, with no clear outlier clusters (</w:t>
      </w:r>
      <w:r w:rsidRPr="00C9626C">
        <w:rPr>
          <w:iCs/>
        </w:rPr>
        <w:fldChar w:fldCharType="begin"/>
      </w:r>
      <w:r w:rsidRPr="00C9626C">
        <w:rPr>
          <w:iCs/>
        </w:rPr>
        <w:instrText xml:space="preserve"> REF _Ref71640637 \h  \* MERGEFORMAT </w:instrText>
      </w:r>
      <w:r w:rsidRPr="00C9626C">
        <w:rPr>
          <w:iCs/>
        </w:rPr>
      </w:r>
      <w:r w:rsidRPr="00C9626C">
        <w:rPr>
          <w:iCs/>
        </w:rPr>
        <w:fldChar w:fldCharType="separate"/>
      </w:r>
      <w:r w:rsidR="00F75DF1" w:rsidRPr="00C9626C">
        <w:rPr>
          <w:iCs/>
        </w:rPr>
        <w:t xml:space="preserve">Figure </w:t>
      </w:r>
      <w:r w:rsidR="00F75DF1" w:rsidRPr="00C9626C">
        <w:rPr>
          <w:iCs/>
          <w:noProof/>
        </w:rPr>
        <w:t>11</w:t>
      </w:r>
      <w:r w:rsidRPr="00C9626C">
        <w:rPr>
          <w:iCs/>
        </w:rPr>
        <w:fldChar w:fldCharType="end"/>
      </w:r>
      <w:r w:rsidRPr="00C9626C">
        <w:rPr>
          <w:iCs/>
        </w:rPr>
        <w:t>).</w:t>
      </w:r>
    </w:p>
    <w:p w14:paraId="6E2B4706" w14:textId="71333FD4" w:rsidR="00E816C4" w:rsidRPr="00D70FB0" w:rsidRDefault="00E816C4" w:rsidP="00D70FB0">
      <w:pPr>
        <w:pStyle w:val="Caption"/>
      </w:pPr>
      <w:bookmarkStart w:id="17" w:name="_Ref71640637"/>
      <w:r w:rsidRPr="00C9626C">
        <w:t xml:space="preserve">Figure </w:t>
      </w:r>
      <w:fldSimple w:instr=" SEQ Figure \* ARABIC ">
        <w:r w:rsidR="00F75DF1" w:rsidRPr="00C9626C">
          <w:rPr>
            <w:noProof/>
          </w:rPr>
          <w:t>11</w:t>
        </w:r>
      </w:fldSimple>
      <w:bookmarkEnd w:id="17"/>
      <w:r w:rsidRPr="00C9626C">
        <w:t>: Distribution of time from enrolment to exit.</w:t>
      </w:r>
    </w:p>
    <w:p w14:paraId="0D50B043" w14:textId="3B69B054" w:rsidR="00E816C4" w:rsidRDefault="00E745CD" w:rsidP="00E816C4">
      <w:pPr>
        <w:rPr>
          <w:iCs/>
        </w:rPr>
      </w:pPr>
      <w:r>
        <w:rPr>
          <w:noProof/>
        </w:rPr>
        <w:drawing>
          <wp:inline distT="0" distB="0" distL="0" distR="0" wp14:anchorId="609E667F" wp14:editId="57B37FBE">
            <wp:extent cx="4572000" cy="2743200"/>
            <wp:effectExtent l="0" t="0" r="0" b="0"/>
            <wp:docPr id="6" name="Chart 6">
              <a:extLst xmlns:a="http://schemas.openxmlformats.org/drawingml/2006/main">
                <a:ext uri="{FF2B5EF4-FFF2-40B4-BE49-F238E27FC236}">
                  <a16:creationId xmlns:a16="http://schemas.microsoft.com/office/drawing/2014/main" id="{1D041CC4-ECB6-4F6B-9B07-404781CEA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858F8A" w14:textId="77777777" w:rsidR="005C436A" w:rsidRDefault="005C436A" w:rsidP="00E816C4">
      <w:pPr>
        <w:rPr>
          <w:iCs/>
        </w:rPr>
      </w:pPr>
    </w:p>
    <w:p w14:paraId="1863BFF5" w14:textId="77777777" w:rsidR="005C436A" w:rsidRDefault="005C436A" w:rsidP="00E816C4">
      <w:pPr>
        <w:rPr>
          <w:iCs/>
        </w:rPr>
      </w:pPr>
    </w:p>
    <w:p w14:paraId="21922646" w14:textId="77777777" w:rsidR="005C436A" w:rsidRPr="00E745CD" w:rsidRDefault="005C436A" w:rsidP="00E816C4">
      <w:pPr>
        <w:rPr>
          <w:iCs/>
          <w:lang w:val="en-US"/>
        </w:rPr>
      </w:pPr>
    </w:p>
    <w:p w14:paraId="02BD1719" w14:textId="77777777" w:rsidR="005C436A" w:rsidRDefault="005C436A" w:rsidP="00E816C4">
      <w:pPr>
        <w:rPr>
          <w:iCs/>
        </w:rPr>
      </w:pPr>
    </w:p>
    <w:p w14:paraId="4CA19FCB" w14:textId="77777777" w:rsidR="005C436A" w:rsidRDefault="005C436A" w:rsidP="00E816C4">
      <w:pPr>
        <w:rPr>
          <w:iCs/>
        </w:rPr>
      </w:pPr>
    </w:p>
    <w:p w14:paraId="042B96A0" w14:textId="77777777" w:rsidR="005C436A" w:rsidRDefault="005C436A" w:rsidP="00E816C4">
      <w:pPr>
        <w:rPr>
          <w:iCs/>
        </w:rPr>
      </w:pPr>
    </w:p>
    <w:p w14:paraId="4749828C" w14:textId="77777777" w:rsidR="005C436A" w:rsidRDefault="005C436A" w:rsidP="00E816C4">
      <w:pPr>
        <w:rPr>
          <w:iCs/>
        </w:rPr>
      </w:pPr>
    </w:p>
    <w:p w14:paraId="392768DA" w14:textId="77777777" w:rsidR="005C436A" w:rsidRDefault="005C436A" w:rsidP="00E816C4">
      <w:pPr>
        <w:rPr>
          <w:iCs/>
        </w:rPr>
      </w:pPr>
    </w:p>
    <w:p w14:paraId="4CFF9914" w14:textId="77777777" w:rsidR="005C436A" w:rsidRDefault="005C436A" w:rsidP="00E816C4">
      <w:pPr>
        <w:rPr>
          <w:iCs/>
        </w:rPr>
      </w:pPr>
    </w:p>
    <w:p w14:paraId="197915D0" w14:textId="77777777" w:rsidR="005C436A" w:rsidRDefault="005C436A" w:rsidP="00E816C4">
      <w:pPr>
        <w:rPr>
          <w:iCs/>
        </w:rPr>
      </w:pPr>
    </w:p>
    <w:p w14:paraId="0C37D67B" w14:textId="77777777" w:rsidR="005C436A" w:rsidRDefault="005C436A" w:rsidP="00E816C4">
      <w:pPr>
        <w:rPr>
          <w:iCs/>
        </w:rPr>
      </w:pPr>
    </w:p>
    <w:p w14:paraId="10E703B0" w14:textId="77777777" w:rsidR="005C436A" w:rsidRDefault="005C436A" w:rsidP="00E816C4">
      <w:pPr>
        <w:rPr>
          <w:iCs/>
        </w:rPr>
      </w:pPr>
    </w:p>
    <w:p w14:paraId="56796201" w14:textId="43F2386D" w:rsidR="005C436A" w:rsidRDefault="005C436A" w:rsidP="00E816C4">
      <w:pPr>
        <w:rPr>
          <w:iCs/>
        </w:rPr>
      </w:pPr>
    </w:p>
    <w:p w14:paraId="3E6B7EF8" w14:textId="7CB6F9DF" w:rsidR="00D00390" w:rsidRDefault="00D00390" w:rsidP="00E816C4">
      <w:pPr>
        <w:rPr>
          <w:iCs/>
        </w:rPr>
      </w:pPr>
    </w:p>
    <w:p w14:paraId="129CE071" w14:textId="275B0F6B" w:rsidR="00D00390" w:rsidRDefault="00D00390" w:rsidP="00E816C4">
      <w:pPr>
        <w:rPr>
          <w:iCs/>
        </w:rPr>
      </w:pPr>
    </w:p>
    <w:p w14:paraId="6B6B3078" w14:textId="77777777" w:rsidR="00D00390" w:rsidRDefault="00D00390" w:rsidP="00E816C4">
      <w:pPr>
        <w:rPr>
          <w:iCs/>
        </w:rPr>
      </w:pPr>
    </w:p>
    <w:p w14:paraId="6E8A6460" w14:textId="5EA5F543" w:rsidR="0059449F" w:rsidRDefault="0059449F" w:rsidP="00EC5C2A">
      <w:pPr>
        <w:pStyle w:val="Heading1"/>
      </w:pPr>
      <w:bookmarkStart w:id="18" w:name="_Toc116997614"/>
      <w:r w:rsidRPr="00C42E0A">
        <w:lastRenderedPageBreak/>
        <w:t xml:space="preserve">To what extent have </w:t>
      </w:r>
      <w:r w:rsidR="004843E9">
        <w:t>participants</w:t>
      </w:r>
      <w:r w:rsidRPr="00C42E0A">
        <w:t xml:space="preserve"> been assigned a dedicated support team or person?</w:t>
      </w:r>
      <w:bookmarkEnd w:id="18"/>
    </w:p>
    <w:p w14:paraId="4FFFD08C" w14:textId="1F80FB6F" w:rsidR="0059449F" w:rsidRPr="00AC16A6" w:rsidRDefault="0089235F" w:rsidP="00AC16A6">
      <w:pPr>
        <w:pStyle w:val="Heading3"/>
      </w:pPr>
      <w:bookmarkStart w:id="19" w:name="_Hlk87631388"/>
      <w:r w:rsidRPr="00AC16A6">
        <w:rPr>
          <w:rStyle w:val="Heading4Char"/>
        </w:rPr>
        <w:t xml:space="preserve">Almost </w:t>
      </w:r>
      <w:r w:rsidR="00CC5042" w:rsidRPr="00AC16A6">
        <w:rPr>
          <w:rStyle w:val="Heading4Char"/>
        </w:rPr>
        <w:t xml:space="preserve">all </w:t>
      </w:r>
      <w:r w:rsidRPr="00AC16A6">
        <w:rPr>
          <w:rStyle w:val="Heading4Char"/>
        </w:rPr>
        <w:t xml:space="preserve">participants </w:t>
      </w:r>
      <w:r w:rsidR="00B415A0" w:rsidRPr="00AC16A6">
        <w:rPr>
          <w:rStyle w:val="Heading4Char"/>
        </w:rPr>
        <w:t>had been assigned their non-MSD support people.</w:t>
      </w:r>
    </w:p>
    <w:p w14:paraId="0CCA7FE7" w14:textId="19643BB3" w:rsidR="00F530DC" w:rsidRDefault="006A4F20" w:rsidP="00B415A0">
      <w:r>
        <w:t>As part of the design of the REACH service, participants received a range of supports while in the service.</w:t>
      </w:r>
      <w:r w:rsidR="00A50B17">
        <w:t xml:space="preserve"> A key part of this was the team that was assigned to working with the participants. This team included:</w:t>
      </w:r>
    </w:p>
    <w:p w14:paraId="1D71049C" w14:textId="2594E1E2" w:rsidR="00F530DC" w:rsidRDefault="00B415A0" w:rsidP="00F530DC">
      <w:pPr>
        <w:pStyle w:val="ListParagraph"/>
        <w:numPr>
          <w:ilvl w:val="0"/>
          <w:numId w:val="43"/>
        </w:numPr>
      </w:pPr>
      <w:r>
        <w:t>a</w:t>
      </w:r>
      <w:r w:rsidR="00F530DC">
        <w:t xml:space="preserve"> Key Worker, wh</w:t>
      </w:r>
      <w:r w:rsidR="00DC4761">
        <w:t>o</w:t>
      </w:r>
      <w:r w:rsidR="00F530DC">
        <w:t xml:space="preserve"> would meet with clients weekly and use </w:t>
      </w:r>
      <w:r w:rsidR="00F530DC" w:rsidRPr="00A50B17">
        <w:t>Cognitive Behavioural Techniques</w:t>
      </w:r>
      <w:r w:rsidR="00F530DC">
        <w:t xml:space="preserve"> to support clients to improve their wellbeing and achieve their goals</w:t>
      </w:r>
    </w:p>
    <w:p w14:paraId="35125315" w14:textId="7411CBC7" w:rsidR="00A50B17" w:rsidRDefault="00B415A0" w:rsidP="00A50B17">
      <w:pPr>
        <w:pStyle w:val="ListParagraph"/>
        <w:numPr>
          <w:ilvl w:val="0"/>
          <w:numId w:val="43"/>
        </w:numPr>
      </w:pPr>
      <w:r>
        <w:t>a</w:t>
      </w:r>
      <w:r w:rsidR="00A50B17">
        <w:t xml:space="preserve"> </w:t>
      </w:r>
      <w:r w:rsidR="00F530DC">
        <w:t>L</w:t>
      </w:r>
      <w:r w:rsidR="00A50B17">
        <w:t xml:space="preserve">iving </w:t>
      </w:r>
      <w:r w:rsidR="00F530DC">
        <w:t>W</w:t>
      </w:r>
      <w:r w:rsidR="00A50B17">
        <w:t xml:space="preserve">ell </w:t>
      </w:r>
      <w:r w:rsidR="00F530DC">
        <w:t>C</w:t>
      </w:r>
      <w:r w:rsidR="00A50B17">
        <w:t>oach, wh</w:t>
      </w:r>
      <w:r w:rsidR="00DC4761">
        <w:t>o</w:t>
      </w:r>
      <w:r w:rsidR="00A50B17">
        <w:t xml:space="preserve"> supported participants to establish healthy routines. A participant </w:t>
      </w:r>
      <w:r w:rsidR="00DC4761">
        <w:t>could</w:t>
      </w:r>
      <w:r w:rsidR="00A50B17">
        <w:t xml:space="preserve"> contact their </w:t>
      </w:r>
      <w:r w:rsidR="00DC4761">
        <w:t>L</w:t>
      </w:r>
      <w:r w:rsidR="00A50B17">
        <w:t xml:space="preserve">iving </w:t>
      </w:r>
      <w:r w:rsidR="00DC4761">
        <w:t>W</w:t>
      </w:r>
      <w:r w:rsidR="00A50B17">
        <w:t xml:space="preserve">ell </w:t>
      </w:r>
      <w:r w:rsidR="00DC4761">
        <w:t>C</w:t>
      </w:r>
      <w:r w:rsidR="00A50B17">
        <w:t>oach up to three times a day</w:t>
      </w:r>
      <w:r w:rsidR="00DC4761">
        <w:t>,</w:t>
      </w:r>
      <w:r w:rsidR="00A50B17">
        <w:t xml:space="preserve"> with one of the contacts being face to face</w:t>
      </w:r>
    </w:p>
    <w:p w14:paraId="16A088B6" w14:textId="61CF9977" w:rsidR="00A50B17" w:rsidRDefault="00B415A0" w:rsidP="00A50B17">
      <w:pPr>
        <w:pStyle w:val="ListParagraph"/>
        <w:numPr>
          <w:ilvl w:val="0"/>
          <w:numId w:val="43"/>
        </w:numPr>
      </w:pPr>
      <w:r>
        <w:t>t</w:t>
      </w:r>
      <w:r w:rsidR="00A50B17">
        <w:t xml:space="preserve">he participants </w:t>
      </w:r>
      <w:r w:rsidR="00F530DC">
        <w:t>General Practitioner</w:t>
      </w:r>
      <w:r w:rsidR="00A50B17">
        <w:t>, who help</w:t>
      </w:r>
      <w:r w:rsidR="00DC4761">
        <w:t>ed</w:t>
      </w:r>
      <w:r w:rsidR="00A50B17">
        <w:t xml:space="preserve"> the participant manage their health and get any health services they needed</w:t>
      </w:r>
    </w:p>
    <w:p w14:paraId="3A9E64C6" w14:textId="38D17FC4" w:rsidR="00F530DC" w:rsidRDefault="00B415A0" w:rsidP="00F530DC">
      <w:pPr>
        <w:pStyle w:val="ListParagraph"/>
        <w:numPr>
          <w:ilvl w:val="0"/>
          <w:numId w:val="43"/>
        </w:numPr>
      </w:pPr>
      <w:r>
        <w:t>a</w:t>
      </w:r>
      <w:r w:rsidR="00DF3EA7">
        <w:t>n</w:t>
      </w:r>
      <w:r w:rsidR="00F530DC">
        <w:t xml:space="preserve"> MSD Case Manager</w:t>
      </w:r>
      <w:r w:rsidR="004843E9">
        <w:t xml:space="preserve"> or Programme Co-ordinator</w:t>
      </w:r>
      <w:r w:rsidR="00F530DC">
        <w:t>, who would work with the participant and their key worker to support participants to access further support services, as well as helping the participant to prepare and look for work.</w:t>
      </w:r>
    </w:p>
    <w:p w14:paraId="7E60C1A0" w14:textId="28489713" w:rsidR="00C9626C" w:rsidRDefault="00C9626C" w:rsidP="00C9626C">
      <w:r>
        <w:t>Analysis showed that over 98 percent of participants had been assigned to their non-MSD support people and had a named General Practitioner or General Practice.</w:t>
      </w:r>
      <w:r>
        <w:rPr>
          <w:rStyle w:val="FootnoteReference"/>
        </w:rPr>
        <w:footnoteReference w:id="19"/>
      </w:r>
      <w:r>
        <w:t xml:space="preserve"> </w:t>
      </w:r>
    </w:p>
    <w:bookmarkEnd w:id="19"/>
    <w:p w14:paraId="1F20E843" w14:textId="09340484" w:rsidR="0089235F" w:rsidRDefault="00C9626C" w:rsidP="00F113EF">
      <w:pPr>
        <w:rPr>
          <w:iCs/>
        </w:rPr>
      </w:pPr>
      <w:r>
        <w:rPr>
          <w:iCs/>
        </w:rPr>
        <w:t>However, t</w:t>
      </w:r>
      <w:r w:rsidR="00100547">
        <w:rPr>
          <w:iCs/>
        </w:rPr>
        <w:t>he</w:t>
      </w:r>
      <w:r w:rsidR="0089235F">
        <w:rPr>
          <w:iCs/>
        </w:rPr>
        <w:t xml:space="preserve"> available </w:t>
      </w:r>
      <w:r w:rsidR="00100547">
        <w:rPr>
          <w:iCs/>
        </w:rPr>
        <w:t xml:space="preserve">data does not allow us </w:t>
      </w:r>
      <w:r w:rsidR="0089235F">
        <w:rPr>
          <w:iCs/>
        </w:rPr>
        <w:t xml:space="preserve">to </w:t>
      </w:r>
      <w:r w:rsidR="00945446">
        <w:rPr>
          <w:iCs/>
        </w:rPr>
        <w:t>establish</w:t>
      </w:r>
      <w:r w:rsidR="0089235F">
        <w:rPr>
          <w:iCs/>
        </w:rPr>
        <w:t xml:space="preserve"> </w:t>
      </w:r>
      <w:r w:rsidR="00EA3FCF">
        <w:rPr>
          <w:iCs/>
        </w:rPr>
        <w:t>whether</w:t>
      </w:r>
      <w:r w:rsidR="0089235F">
        <w:rPr>
          <w:iCs/>
        </w:rPr>
        <w:t xml:space="preserve"> </w:t>
      </w:r>
      <w:r w:rsidR="00EA3FCF">
        <w:rPr>
          <w:iCs/>
        </w:rPr>
        <w:t>all</w:t>
      </w:r>
      <w:r w:rsidR="0089235F">
        <w:rPr>
          <w:iCs/>
        </w:rPr>
        <w:t xml:space="preserve"> the participants </w:t>
      </w:r>
      <w:r w:rsidR="00E745CD">
        <w:rPr>
          <w:iCs/>
        </w:rPr>
        <w:t>were</w:t>
      </w:r>
      <w:r w:rsidR="0089235F">
        <w:rPr>
          <w:iCs/>
        </w:rPr>
        <w:t xml:space="preserve"> assigned to </w:t>
      </w:r>
      <w:r w:rsidR="004819D8">
        <w:rPr>
          <w:iCs/>
        </w:rPr>
        <w:t>MSD C</w:t>
      </w:r>
      <w:r w:rsidR="0089235F">
        <w:rPr>
          <w:iCs/>
        </w:rPr>
        <w:t xml:space="preserve">ase </w:t>
      </w:r>
      <w:r w:rsidR="004819D8">
        <w:rPr>
          <w:iCs/>
        </w:rPr>
        <w:t>M</w:t>
      </w:r>
      <w:r w:rsidR="0089235F">
        <w:rPr>
          <w:iCs/>
        </w:rPr>
        <w:t>anager</w:t>
      </w:r>
      <w:r w:rsidR="00DF3EA7">
        <w:rPr>
          <w:iCs/>
        </w:rPr>
        <w:t>s</w:t>
      </w:r>
      <w:r w:rsidR="004843E9">
        <w:rPr>
          <w:iCs/>
        </w:rPr>
        <w:t xml:space="preserve"> or Programme Co-ordinators</w:t>
      </w:r>
      <w:r w:rsidR="0089235F">
        <w:rPr>
          <w:iCs/>
        </w:rPr>
        <w:t>. This means we are unable to</w:t>
      </w:r>
      <w:r w:rsidR="00E745CD">
        <w:rPr>
          <w:iCs/>
        </w:rPr>
        <w:t xml:space="preserve"> fully answer the question of whether participants had been assigned a dedicated support team or person.</w:t>
      </w:r>
    </w:p>
    <w:p w14:paraId="667A0CF0" w14:textId="734F49B9" w:rsidR="003E0279" w:rsidRDefault="003E0279" w:rsidP="00F113EF">
      <w:pPr>
        <w:rPr>
          <w:iCs/>
        </w:rPr>
      </w:pPr>
    </w:p>
    <w:p w14:paraId="43CC25AF" w14:textId="4FDF94DB" w:rsidR="003E0279" w:rsidRDefault="003E0279" w:rsidP="00F113EF">
      <w:pPr>
        <w:rPr>
          <w:iCs/>
        </w:rPr>
      </w:pPr>
    </w:p>
    <w:p w14:paraId="4F5E8008" w14:textId="77629103" w:rsidR="00C9626C" w:rsidRDefault="00C9626C" w:rsidP="00F113EF">
      <w:pPr>
        <w:rPr>
          <w:iCs/>
        </w:rPr>
      </w:pPr>
    </w:p>
    <w:p w14:paraId="1B6225B1" w14:textId="1F4CA5AF" w:rsidR="00C9626C" w:rsidRDefault="00C9626C" w:rsidP="00F113EF">
      <w:pPr>
        <w:rPr>
          <w:iCs/>
        </w:rPr>
      </w:pPr>
    </w:p>
    <w:p w14:paraId="5A7CEEC2" w14:textId="05E06D8F" w:rsidR="00C9626C" w:rsidRDefault="00C9626C" w:rsidP="00F113EF">
      <w:pPr>
        <w:rPr>
          <w:iCs/>
        </w:rPr>
      </w:pPr>
    </w:p>
    <w:p w14:paraId="0DD7BBB4" w14:textId="77777777" w:rsidR="00C9626C" w:rsidRDefault="00C9626C" w:rsidP="00F113EF">
      <w:pPr>
        <w:rPr>
          <w:iCs/>
        </w:rPr>
      </w:pPr>
    </w:p>
    <w:p w14:paraId="51DA7244" w14:textId="445E82A1" w:rsidR="003E0279" w:rsidRDefault="003E0279" w:rsidP="00F113EF">
      <w:pPr>
        <w:rPr>
          <w:iCs/>
        </w:rPr>
      </w:pPr>
    </w:p>
    <w:p w14:paraId="78C631DA" w14:textId="66737074" w:rsidR="003E0279" w:rsidRDefault="003E0279" w:rsidP="00F113EF">
      <w:pPr>
        <w:rPr>
          <w:iCs/>
        </w:rPr>
      </w:pPr>
    </w:p>
    <w:p w14:paraId="6CF2956B" w14:textId="1F923A3C" w:rsidR="00B412DD" w:rsidRDefault="00994B8E" w:rsidP="00EC5C2A">
      <w:pPr>
        <w:pStyle w:val="Heading1"/>
      </w:pPr>
      <w:bookmarkStart w:id="20" w:name="_Toc116997615"/>
      <w:r w:rsidRPr="00C42E0A">
        <w:lastRenderedPageBreak/>
        <w:t xml:space="preserve">Have </w:t>
      </w:r>
      <w:r w:rsidR="004843E9">
        <w:t>participants</w:t>
      </w:r>
      <w:r w:rsidRPr="00C42E0A">
        <w:t xml:space="preserve"> been enabled (by the dedicated support team/person) to develop wellbeing and employment goals and plans?</w:t>
      </w:r>
      <w:bookmarkEnd w:id="20"/>
    </w:p>
    <w:p w14:paraId="561BFD24" w14:textId="6D3EA450" w:rsidR="00DA2B1A" w:rsidRDefault="002A5641" w:rsidP="00AC16A6">
      <w:pPr>
        <w:pStyle w:val="Heading3"/>
      </w:pPr>
      <w:r>
        <w:t xml:space="preserve">Most participants </w:t>
      </w:r>
      <w:r w:rsidR="00A575D6">
        <w:t xml:space="preserve">(150) </w:t>
      </w:r>
      <w:r>
        <w:t>had a Wellbeing Plan in place as at the end of June 2021</w:t>
      </w:r>
      <w:r w:rsidR="001A2237">
        <w:t>, with most of these being completed within a month of enrolment.</w:t>
      </w:r>
    </w:p>
    <w:p w14:paraId="0D4576B7" w14:textId="1712D2E5" w:rsidR="00994B8E" w:rsidRDefault="00994B8E" w:rsidP="00F113EF">
      <w:pPr>
        <w:rPr>
          <w:rFonts w:eastAsia="Times New Roman"/>
          <w:iCs/>
          <w:szCs w:val="20"/>
        </w:rPr>
      </w:pPr>
      <w:r w:rsidRPr="001A2237">
        <w:rPr>
          <w:rFonts w:eastAsia="Times New Roman"/>
          <w:iCs/>
          <w:szCs w:val="20"/>
        </w:rPr>
        <w:t xml:space="preserve">An important part of the REACH service is the development of a </w:t>
      </w:r>
      <w:r w:rsidR="00EA3FCF" w:rsidRPr="001A2237">
        <w:rPr>
          <w:rFonts w:eastAsia="Times New Roman"/>
          <w:iCs/>
          <w:szCs w:val="20"/>
        </w:rPr>
        <w:t>W</w:t>
      </w:r>
      <w:r w:rsidRPr="001A2237">
        <w:rPr>
          <w:rFonts w:eastAsia="Times New Roman"/>
          <w:iCs/>
          <w:szCs w:val="20"/>
        </w:rPr>
        <w:t>ellbeing Plan.</w:t>
      </w:r>
      <w:r w:rsidR="00DC4761">
        <w:rPr>
          <w:rFonts w:eastAsia="Times New Roman"/>
          <w:iCs/>
          <w:szCs w:val="20"/>
        </w:rPr>
        <w:t xml:space="preserve"> </w:t>
      </w:r>
      <w:r w:rsidR="00BC2F19">
        <w:rPr>
          <w:rFonts w:eastAsia="Times New Roman"/>
          <w:iCs/>
          <w:szCs w:val="20"/>
        </w:rPr>
        <w:t xml:space="preserve">The Wellbeing Plan </w:t>
      </w:r>
      <w:r w:rsidR="00E71D4A">
        <w:rPr>
          <w:rFonts w:eastAsia="Times New Roman"/>
          <w:iCs/>
          <w:szCs w:val="20"/>
        </w:rPr>
        <w:t>was</w:t>
      </w:r>
      <w:r w:rsidR="00BC2F19">
        <w:rPr>
          <w:rFonts w:eastAsia="Times New Roman"/>
          <w:iCs/>
          <w:szCs w:val="20"/>
        </w:rPr>
        <w:t xml:space="preserve"> an individually tailored plan to help participants towards achieving their goals and aspirations. Just under 88 percent of</w:t>
      </w:r>
      <w:r w:rsidRPr="001A2237">
        <w:rPr>
          <w:rFonts w:eastAsia="Times New Roman"/>
          <w:iCs/>
          <w:szCs w:val="20"/>
        </w:rPr>
        <w:t xml:space="preserve"> participants (</w:t>
      </w:r>
      <w:r w:rsidR="00BC2F19">
        <w:rPr>
          <w:rFonts w:eastAsia="Times New Roman"/>
          <w:iCs/>
          <w:szCs w:val="20"/>
        </w:rPr>
        <w:t>150</w:t>
      </w:r>
      <w:r w:rsidRPr="001A2237">
        <w:rPr>
          <w:rFonts w:eastAsia="Times New Roman"/>
          <w:iCs/>
          <w:szCs w:val="20"/>
        </w:rPr>
        <w:t xml:space="preserve">) had a Wellbeing Plan in place as at the end of </w:t>
      </w:r>
      <w:r w:rsidR="00DA2B1A" w:rsidRPr="001A2237">
        <w:rPr>
          <w:rFonts w:eastAsia="Times New Roman"/>
          <w:iCs/>
          <w:szCs w:val="20"/>
        </w:rPr>
        <w:t>June</w:t>
      </w:r>
      <w:r w:rsidRPr="001A2237">
        <w:rPr>
          <w:rFonts w:eastAsia="Times New Roman"/>
          <w:iCs/>
          <w:szCs w:val="20"/>
        </w:rPr>
        <w:t xml:space="preserve"> 2021. </w:t>
      </w:r>
      <w:bookmarkStart w:id="21" w:name="_Hlk87629702"/>
      <w:r w:rsidR="009A3D72" w:rsidRPr="001A2237">
        <w:rPr>
          <w:rFonts w:eastAsia="Times New Roman"/>
          <w:iCs/>
          <w:szCs w:val="20"/>
        </w:rPr>
        <w:t xml:space="preserve">Of </w:t>
      </w:r>
      <w:r w:rsidR="00E71D4A">
        <w:rPr>
          <w:rFonts w:eastAsia="Times New Roman"/>
          <w:iCs/>
          <w:szCs w:val="20"/>
        </w:rPr>
        <w:t>the 12 percent (18)</w:t>
      </w:r>
      <w:r w:rsidR="009A3D72" w:rsidRPr="001A2237">
        <w:rPr>
          <w:rFonts w:eastAsia="Times New Roman"/>
          <w:iCs/>
          <w:szCs w:val="20"/>
        </w:rPr>
        <w:t xml:space="preserve"> who did not have a plan in place</w:t>
      </w:r>
      <w:r w:rsidR="00BC2F19">
        <w:rPr>
          <w:rFonts w:eastAsia="Times New Roman"/>
          <w:iCs/>
          <w:szCs w:val="20"/>
        </w:rPr>
        <w:t>,</w:t>
      </w:r>
      <w:r w:rsidR="009A3D72" w:rsidRPr="001A2237">
        <w:rPr>
          <w:rFonts w:eastAsia="Times New Roman"/>
          <w:iCs/>
          <w:szCs w:val="20"/>
        </w:rPr>
        <w:t xml:space="preserve"> </w:t>
      </w:r>
      <w:r w:rsidR="001A2237" w:rsidRPr="001A2237">
        <w:rPr>
          <w:rFonts w:eastAsia="Times New Roman"/>
          <w:iCs/>
          <w:szCs w:val="20"/>
        </w:rPr>
        <w:t>half</w:t>
      </w:r>
      <w:r w:rsidR="009A3D72" w:rsidRPr="001A2237">
        <w:rPr>
          <w:rFonts w:eastAsia="Times New Roman"/>
          <w:iCs/>
          <w:szCs w:val="20"/>
        </w:rPr>
        <w:t xml:space="preserve"> were dismissed </w:t>
      </w:r>
      <w:r w:rsidR="00724419">
        <w:rPr>
          <w:rFonts w:eastAsia="Times New Roman"/>
          <w:iCs/>
          <w:szCs w:val="20"/>
        </w:rPr>
        <w:t>from</w:t>
      </w:r>
      <w:r w:rsidR="009A3D72" w:rsidRPr="001A2237">
        <w:rPr>
          <w:rFonts w:eastAsia="Times New Roman"/>
          <w:iCs/>
          <w:szCs w:val="20"/>
        </w:rPr>
        <w:t xml:space="preserve"> </w:t>
      </w:r>
      <w:r w:rsidR="00724419">
        <w:rPr>
          <w:rFonts w:eastAsia="Times New Roman"/>
          <w:iCs/>
          <w:szCs w:val="20"/>
        </w:rPr>
        <w:t>REACH</w:t>
      </w:r>
      <w:r w:rsidR="009A3D72" w:rsidRPr="001A2237">
        <w:rPr>
          <w:rFonts w:eastAsia="Times New Roman"/>
          <w:iCs/>
          <w:szCs w:val="20"/>
        </w:rPr>
        <w:t xml:space="preserve">, </w:t>
      </w:r>
      <w:r w:rsidR="00406AF4" w:rsidRPr="001A2237">
        <w:rPr>
          <w:rFonts w:eastAsia="Times New Roman"/>
          <w:iCs/>
          <w:szCs w:val="20"/>
        </w:rPr>
        <w:t xml:space="preserve">while the rest </w:t>
      </w:r>
      <w:r w:rsidR="00406AF4" w:rsidRPr="001A2237">
        <w:t>exited for other reasons</w:t>
      </w:r>
      <w:r w:rsidR="009A3D72" w:rsidRPr="001A2237">
        <w:rPr>
          <w:rFonts w:eastAsia="Times New Roman"/>
          <w:iCs/>
          <w:szCs w:val="20"/>
        </w:rPr>
        <w:t>.</w:t>
      </w:r>
      <w:r w:rsidR="009A3D72">
        <w:rPr>
          <w:rFonts w:eastAsia="Times New Roman"/>
          <w:iCs/>
          <w:szCs w:val="20"/>
        </w:rPr>
        <w:t xml:space="preserve"> </w:t>
      </w:r>
    </w:p>
    <w:bookmarkEnd w:id="21"/>
    <w:p w14:paraId="13D59CD9" w14:textId="22E4589F" w:rsidR="00406AF4" w:rsidRDefault="001A2237" w:rsidP="004819D8">
      <w:pPr>
        <w:rPr>
          <w:rFonts w:eastAsia="Times New Roman"/>
          <w:iCs/>
          <w:szCs w:val="20"/>
        </w:rPr>
      </w:pPr>
      <w:r>
        <w:rPr>
          <w:rFonts w:eastAsia="Times New Roman"/>
          <w:iCs/>
          <w:szCs w:val="20"/>
        </w:rPr>
        <w:t>Out of participants with a Wellbeing Plan, t</w:t>
      </w:r>
      <w:r w:rsidR="00994B8E" w:rsidRPr="008120FD">
        <w:rPr>
          <w:rFonts w:eastAsia="Times New Roman"/>
          <w:iCs/>
          <w:szCs w:val="20"/>
        </w:rPr>
        <w:t xml:space="preserve">he median time between enrolment and the </w:t>
      </w:r>
      <w:r w:rsidR="00EA3FCF" w:rsidRPr="008120FD">
        <w:rPr>
          <w:rFonts w:eastAsia="Times New Roman"/>
          <w:iCs/>
          <w:szCs w:val="20"/>
        </w:rPr>
        <w:t>W</w:t>
      </w:r>
      <w:r w:rsidR="00994B8E" w:rsidRPr="008120FD">
        <w:rPr>
          <w:rFonts w:eastAsia="Times New Roman"/>
          <w:iCs/>
          <w:szCs w:val="20"/>
        </w:rPr>
        <w:t xml:space="preserve">ellbeing </w:t>
      </w:r>
      <w:r w:rsidR="00EA3FCF" w:rsidRPr="008120FD">
        <w:rPr>
          <w:rFonts w:eastAsia="Times New Roman"/>
          <w:iCs/>
          <w:szCs w:val="20"/>
        </w:rPr>
        <w:t>P</w:t>
      </w:r>
      <w:r w:rsidR="00994B8E" w:rsidRPr="008120FD">
        <w:rPr>
          <w:rFonts w:eastAsia="Times New Roman"/>
          <w:iCs/>
          <w:szCs w:val="20"/>
        </w:rPr>
        <w:t xml:space="preserve">lan being completed was </w:t>
      </w:r>
      <w:r w:rsidR="008120FD" w:rsidRPr="008120FD">
        <w:rPr>
          <w:rFonts w:eastAsia="Times New Roman"/>
          <w:iCs/>
          <w:szCs w:val="20"/>
        </w:rPr>
        <w:t>seven</w:t>
      </w:r>
      <w:r w:rsidR="00994B8E" w:rsidRPr="008120FD">
        <w:rPr>
          <w:rFonts w:eastAsia="Times New Roman"/>
          <w:iCs/>
          <w:szCs w:val="20"/>
        </w:rPr>
        <w:t xml:space="preserve"> days. </w:t>
      </w:r>
      <w:r w:rsidR="00791448">
        <w:rPr>
          <w:rFonts w:eastAsia="Times New Roman"/>
          <w:iCs/>
          <w:szCs w:val="20"/>
        </w:rPr>
        <w:t>Sixty-four</w:t>
      </w:r>
      <w:r w:rsidR="008120FD" w:rsidRPr="001A2237">
        <w:rPr>
          <w:rFonts w:eastAsia="Times New Roman"/>
          <w:iCs/>
          <w:szCs w:val="20"/>
        </w:rPr>
        <w:t xml:space="preserve"> percent</w:t>
      </w:r>
      <w:r w:rsidR="004819D8" w:rsidRPr="001A2237">
        <w:rPr>
          <w:rFonts w:eastAsia="Times New Roman"/>
          <w:iCs/>
          <w:szCs w:val="20"/>
        </w:rPr>
        <w:t xml:space="preserve"> of participants had a completed Wellbeing Plan within 1</w:t>
      </w:r>
      <w:r w:rsidR="00791448">
        <w:rPr>
          <w:rFonts w:eastAsia="Times New Roman"/>
          <w:iCs/>
          <w:szCs w:val="20"/>
        </w:rPr>
        <w:t>0</w:t>
      </w:r>
      <w:r w:rsidR="004819D8" w:rsidRPr="001A2237">
        <w:rPr>
          <w:rFonts w:eastAsia="Times New Roman"/>
          <w:iCs/>
          <w:szCs w:val="20"/>
        </w:rPr>
        <w:t xml:space="preserve"> days, increasing to 92</w:t>
      </w:r>
      <w:r w:rsidR="008120FD" w:rsidRPr="001A2237">
        <w:rPr>
          <w:rFonts w:eastAsia="Times New Roman"/>
          <w:iCs/>
          <w:szCs w:val="20"/>
        </w:rPr>
        <w:t xml:space="preserve"> percent</w:t>
      </w:r>
      <w:r w:rsidR="004819D8" w:rsidRPr="001A2237">
        <w:rPr>
          <w:rFonts w:eastAsia="Times New Roman"/>
          <w:iCs/>
          <w:szCs w:val="20"/>
        </w:rPr>
        <w:t xml:space="preserve"> within 30 days</w:t>
      </w:r>
      <w:r w:rsidR="008120FD" w:rsidRPr="001A2237">
        <w:rPr>
          <w:rFonts w:eastAsia="Times New Roman"/>
          <w:iCs/>
          <w:szCs w:val="20"/>
        </w:rPr>
        <w:t xml:space="preserve"> </w:t>
      </w:r>
      <w:r w:rsidR="002A5641" w:rsidRPr="001A2237">
        <w:rPr>
          <w:rFonts w:eastAsia="Times New Roman"/>
          <w:iCs/>
          <w:szCs w:val="20"/>
        </w:rPr>
        <w:t>(</w:t>
      </w:r>
      <w:r w:rsidR="002A5641" w:rsidRPr="001A2237">
        <w:rPr>
          <w:rFonts w:eastAsia="Times New Roman"/>
          <w:iCs/>
          <w:szCs w:val="20"/>
        </w:rPr>
        <w:fldChar w:fldCharType="begin"/>
      </w:r>
      <w:r w:rsidR="002A5641" w:rsidRPr="001A2237">
        <w:rPr>
          <w:rFonts w:eastAsia="Times New Roman"/>
          <w:iCs/>
          <w:szCs w:val="20"/>
        </w:rPr>
        <w:instrText xml:space="preserve"> REF _Ref71640670 \h  \* MERGEFORMAT </w:instrText>
      </w:r>
      <w:r w:rsidR="002A5641" w:rsidRPr="001A2237">
        <w:rPr>
          <w:rFonts w:eastAsia="Times New Roman"/>
          <w:iCs/>
          <w:szCs w:val="20"/>
        </w:rPr>
      </w:r>
      <w:r w:rsidR="002A5641" w:rsidRPr="001A2237">
        <w:rPr>
          <w:rFonts w:eastAsia="Times New Roman"/>
          <w:iCs/>
          <w:szCs w:val="20"/>
        </w:rPr>
        <w:fldChar w:fldCharType="separate"/>
      </w:r>
      <w:r w:rsidR="00F75DF1" w:rsidRPr="001A2237">
        <w:rPr>
          <w:iCs/>
        </w:rPr>
        <w:t xml:space="preserve">Figure </w:t>
      </w:r>
      <w:r w:rsidR="00F75DF1" w:rsidRPr="001A2237">
        <w:rPr>
          <w:iCs/>
          <w:noProof/>
        </w:rPr>
        <w:t>12</w:t>
      </w:r>
      <w:r w:rsidR="002A5641" w:rsidRPr="001A2237">
        <w:rPr>
          <w:rFonts w:eastAsia="Times New Roman"/>
          <w:iCs/>
          <w:szCs w:val="20"/>
        </w:rPr>
        <w:fldChar w:fldCharType="end"/>
      </w:r>
      <w:r w:rsidR="002A5641" w:rsidRPr="001A2237">
        <w:rPr>
          <w:rFonts w:eastAsia="Times New Roman"/>
          <w:iCs/>
          <w:szCs w:val="20"/>
        </w:rPr>
        <w:t>).</w:t>
      </w:r>
      <w:r w:rsidR="0058713A">
        <w:rPr>
          <w:rFonts w:eastAsia="Times New Roman"/>
          <w:iCs/>
          <w:szCs w:val="20"/>
        </w:rPr>
        <w:t xml:space="preserve"> Eight percent of</w:t>
      </w:r>
      <w:r w:rsidR="008120FD" w:rsidRPr="008120FD">
        <w:rPr>
          <w:rFonts w:eastAsia="Times New Roman"/>
          <w:iCs/>
          <w:szCs w:val="20"/>
        </w:rPr>
        <w:t xml:space="preserve"> participants</w:t>
      </w:r>
      <w:r w:rsidR="0058713A">
        <w:rPr>
          <w:rFonts w:eastAsia="Times New Roman"/>
          <w:iCs/>
          <w:szCs w:val="20"/>
        </w:rPr>
        <w:t xml:space="preserve"> (12)</w:t>
      </w:r>
      <w:r w:rsidR="008120FD" w:rsidRPr="008120FD">
        <w:rPr>
          <w:rFonts w:eastAsia="Times New Roman"/>
          <w:iCs/>
          <w:szCs w:val="20"/>
        </w:rPr>
        <w:t xml:space="preserve"> had more than a month pass between enrolment and a completed Wellbeing Plan. </w:t>
      </w:r>
    </w:p>
    <w:p w14:paraId="732BEB0F" w14:textId="33C67877" w:rsidR="00994B8E" w:rsidRDefault="00197B0E" w:rsidP="004819D8">
      <w:pPr>
        <w:rPr>
          <w:rFonts w:eastAsia="Times New Roman"/>
          <w:iCs/>
          <w:szCs w:val="20"/>
        </w:rPr>
      </w:pPr>
      <w:r w:rsidRPr="008120FD">
        <w:rPr>
          <w:rFonts w:eastAsia="Times New Roman"/>
          <w:iCs/>
          <w:szCs w:val="20"/>
        </w:rPr>
        <w:t xml:space="preserve">These delays could </w:t>
      </w:r>
      <w:r w:rsidR="00430D97">
        <w:rPr>
          <w:rFonts w:eastAsia="Times New Roman"/>
          <w:iCs/>
          <w:szCs w:val="20"/>
        </w:rPr>
        <w:t xml:space="preserve">possibly </w:t>
      </w:r>
      <w:r w:rsidRPr="008120FD">
        <w:rPr>
          <w:rFonts w:eastAsia="Times New Roman"/>
          <w:iCs/>
          <w:szCs w:val="20"/>
        </w:rPr>
        <w:t xml:space="preserve">be attributed to events like COVID-19 lockdowns and restrictions, or cold and flu prevention measures, which mean that staff and participants </w:t>
      </w:r>
      <w:r w:rsidR="003423DA">
        <w:rPr>
          <w:rFonts w:eastAsia="Times New Roman"/>
          <w:iCs/>
          <w:szCs w:val="20"/>
        </w:rPr>
        <w:t>we</w:t>
      </w:r>
      <w:r w:rsidR="003423DA" w:rsidRPr="008120FD">
        <w:rPr>
          <w:rFonts w:eastAsia="Times New Roman"/>
          <w:iCs/>
          <w:szCs w:val="20"/>
        </w:rPr>
        <w:t xml:space="preserve">re </w:t>
      </w:r>
      <w:r w:rsidRPr="008120FD">
        <w:rPr>
          <w:rFonts w:eastAsia="Times New Roman"/>
          <w:iCs/>
          <w:szCs w:val="20"/>
        </w:rPr>
        <w:t xml:space="preserve">unable to meet to complete their </w:t>
      </w:r>
      <w:r w:rsidR="008120FD">
        <w:rPr>
          <w:rFonts w:eastAsia="Times New Roman"/>
          <w:iCs/>
          <w:szCs w:val="20"/>
        </w:rPr>
        <w:t>W</w:t>
      </w:r>
      <w:r w:rsidRPr="008120FD">
        <w:rPr>
          <w:rFonts w:eastAsia="Times New Roman"/>
          <w:iCs/>
          <w:szCs w:val="20"/>
        </w:rPr>
        <w:t xml:space="preserve">ellbeing </w:t>
      </w:r>
      <w:r w:rsidR="008120FD">
        <w:rPr>
          <w:rFonts w:eastAsia="Times New Roman"/>
          <w:iCs/>
          <w:szCs w:val="20"/>
        </w:rPr>
        <w:t>P</w:t>
      </w:r>
      <w:r w:rsidRPr="008120FD">
        <w:rPr>
          <w:rFonts w:eastAsia="Times New Roman"/>
          <w:iCs/>
          <w:szCs w:val="20"/>
        </w:rPr>
        <w:t>lan.</w:t>
      </w:r>
      <w:r w:rsidR="0058713A">
        <w:rPr>
          <w:rFonts w:eastAsia="Times New Roman"/>
          <w:iCs/>
          <w:szCs w:val="20"/>
        </w:rPr>
        <w:t xml:space="preserve"> These delays could also be attributed to other administrative factors that are not contained within the data.</w:t>
      </w:r>
    </w:p>
    <w:p w14:paraId="2B4699B0" w14:textId="5FF2F8F5" w:rsidR="008209CD" w:rsidRPr="00D70FB0" w:rsidRDefault="008209CD" w:rsidP="00D70FB0">
      <w:pPr>
        <w:pStyle w:val="Caption"/>
      </w:pPr>
      <w:bookmarkStart w:id="22" w:name="_Ref71640670"/>
      <w:r w:rsidRPr="00D70FB0">
        <w:t xml:space="preserve">Figure </w:t>
      </w:r>
      <w:fldSimple w:instr=" SEQ Figure \* ARABIC ">
        <w:r w:rsidR="00F75DF1">
          <w:rPr>
            <w:noProof/>
          </w:rPr>
          <w:t>12</w:t>
        </w:r>
      </w:fldSimple>
      <w:bookmarkEnd w:id="22"/>
      <w:r w:rsidRPr="00D70FB0">
        <w:t xml:space="preserve">: </w:t>
      </w:r>
      <w:r w:rsidR="00EA3FCF" w:rsidRPr="00D70FB0">
        <w:t xml:space="preserve">Distribution of time between enrolment and </w:t>
      </w:r>
      <w:r w:rsidR="008120FD">
        <w:t>W</w:t>
      </w:r>
      <w:r w:rsidR="00EA3FCF" w:rsidRPr="00D70FB0">
        <w:t xml:space="preserve">ellbeing </w:t>
      </w:r>
      <w:r w:rsidR="008120FD">
        <w:t>P</w:t>
      </w:r>
      <w:r w:rsidR="00EA3FCF" w:rsidRPr="00D70FB0">
        <w:t>lan completed</w:t>
      </w:r>
      <w:r w:rsidR="00F83D85">
        <w:t>.</w:t>
      </w:r>
    </w:p>
    <w:p w14:paraId="799DAF26" w14:textId="26D85AF4" w:rsidR="00994B8E" w:rsidRDefault="00791448" w:rsidP="00F113EF">
      <w:pPr>
        <w:rPr>
          <w:rFonts w:eastAsia="Times New Roman"/>
          <w:iCs/>
          <w:szCs w:val="20"/>
        </w:rPr>
      </w:pPr>
      <w:r>
        <w:rPr>
          <w:noProof/>
        </w:rPr>
        <w:drawing>
          <wp:inline distT="0" distB="0" distL="0" distR="0" wp14:anchorId="5525FE95" wp14:editId="3EB21E13">
            <wp:extent cx="4572000" cy="2743200"/>
            <wp:effectExtent l="0" t="0" r="0" b="0"/>
            <wp:docPr id="8" name="Chart 8">
              <a:extLst xmlns:a="http://schemas.openxmlformats.org/drawingml/2006/main">
                <a:ext uri="{FF2B5EF4-FFF2-40B4-BE49-F238E27FC236}">
                  <a16:creationId xmlns:a16="http://schemas.microsoft.com/office/drawing/2014/main" id="{DB29BD2E-D75E-477D-AA00-408E717DA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7AC612" w14:textId="410D7642" w:rsidR="003E0279" w:rsidRDefault="003E0279" w:rsidP="00F113EF">
      <w:pPr>
        <w:rPr>
          <w:rFonts w:eastAsia="Times New Roman"/>
          <w:iCs/>
          <w:szCs w:val="20"/>
        </w:rPr>
      </w:pPr>
    </w:p>
    <w:p w14:paraId="3C7E9406" w14:textId="5F01800C" w:rsidR="003E0279" w:rsidRDefault="003E0279" w:rsidP="00F113EF">
      <w:pPr>
        <w:rPr>
          <w:rFonts w:eastAsia="Times New Roman"/>
          <w:iCs/>
          <w:szCs w:val="20"/>
        </w:rPr>
      </w:pPr>
    </w:p>
    <w:p w14:paraId="579A2C57" w14:textId="50A3F998" w:rsidR="003E0279" w:rsidRDefault="003E0279" w:rsidP="00F113EF">
      <w:pPr>
        <w:rPr>
          <w:rFonts w:eastAsia="Times New Roman"/>
          <w:iCs/>
          <w:szCs w:val="20"/>
        </w:rPr>
      </w:pPr>
    </w:p>
    <w:p w14:paraId="3DAB1CF4" w14:textId="68828339" w:rsidR="003E0279" w:rsidRDefault="003E0279" w:rsidP="00F113EF">
      <w:pPr>
        <w:rPr>
          <w:rFonts w:eastAsia="Times New Roman"/>
          <w:iCs/>
          <w:szCs w:val="20"/>
        </w:rPr>
      </w:pPr>
    </w:p>
    <w:p w14:paraId="683DAC89" w14:textId="4508D3AF" w:rsidR="00CB233C" w:rsidRDefault="00CB233C" w:rsidP="00EC5C2A">
      <w:pPr>
        <w:pStyle w:val="Heading1"/>
      </w:pPr>
      <w:bookmarkStart w:id="23" w:name="_Toc116997616"/>
      <w:r w:rsidRPr="00C42E0A">
        <w:lastRenderedPageBreak/>
        <w:t>Are the agreed plans being implemented?</w:t>
      </w:r>
      <w:bookmarkEnd w:id="23"/>
    </w:p>
    <w:p w14:paraId="7EADCD11" w14:textId="2AB0D580" w:rsidR="00CB233C" w:rsidRDefault="00CB233C" w:rsidP="00F113EF">
      <w:pPr>
        <w:rPr>
          <w:iCs/>
        </w:rPr>
      </w:pPr>
      <w:r>
        <w:rPr>
          <w:iCs/>
        </w:rPr>
        <w:t>There are two measures available in the REACH monitoring data</w:t>
      </w:r>
      <w:r w:rsidR="00EA3FCF">
        <w:rPr>
          <w:iCs/>
        </w:rPr>
        <w:t xml:space="preserve"> which can help to answer this question</w:t>
      </w:r>
      <w:r>
        <w:rPr>
          <w:iCs/>
        </w:rPr>
        <w:t>. One measure</w:t>
      </w:r>
      <w:r w:rsidR="0058713A">
        <w:rPr>
          <w:iCs/>
        </w:rPr>
        <w:t xml:space="preserve"> is</w:t>
      </w:r>
      <w:r>
        <w:rPr>
          <w:iCs/>
        </w:rPr>
        <w:t xml:space="preserve"> the </w:t>
      </w:r>
      <w:r w:rsidR="00D61BAB">
        <w:rPr>
          <w:iCs/>
        </w:rPr>
        <w:t xml:space="preserve">additional </w:t>
      </w:r>
      <w:r w:rsidR="00BB10BA">
        <w:rPr>
          <w:iCs/>
        </w:rPr>
        <w:t xml:space="preserve">external </w:t>
      </w:r>
      <w:r>
        <w:rPr>
          <w:iCs/>
        </w:rPr>
        <w:t xml:space="preserve">services accessed by participants, and the other </w:t>
      </w:r>
      <w:r w:rsidR="00475081">
        <w:rPr>
          <w:iCs/>
        </w:rPr>
        <w:t>is</w:t>
      </w:r>
      <w:r>
        <w:rPr>
          <w:iCs/>
        </w:rPr>
        <w:t xml:space="preserve"> the number of </w:t>
      </w:r>
      <w:r w:rsidR="004819D8">
        <w:rPr>
          <w:iCs/>
        </w:rPr>
        <w:t xml:space="preserve">programme </w:t>
      </w:r>
      <w:r>
        <w:rPr>
          <w:iCs/>
        </w:rPr>
        <w:t xml:space="preserve">fund grants that have been </w:t>
      </w:r>
      <w:r w:rsidR="004819D8">
        <w:rPr>
          <w:iCs/>
        </w:rPr>
        <w:t>accessed</w:t>
      </w:r>
      <w:r>
        <w:rPr>
          <w:iCs/>
        </w:rPr>
        <w:t>.</w:t>
      </w:r>
      <w:r w:rsidR="00D61BAB">
        <w:rPr>
          <w:iCs/>
        </w:rPr>
        <w:t xml:space="preserve"> </w:t>
      </w:r>
      <w:r w:rsidR="00A679CC">
        <w:rPr>
          <w:iCs/>
        </w:rPr>
        <w:t>Both</w:t>
      </w:r>
      <w:r w:rsidR="0048264E">
        <w:rPr>
          <w:iCs/>
        </w:rPr>
        <w:t xml:space="preserve"> are tools that clients can use to make progress towards agreed wellbeing and employment goals set out in their plans. </w:t>
      </w:r>
      <w:r w:rsidR="00D61BAB">
        <w:rPr>
          <w:iCs/>
        </w:rPr>
        <w:t>Additionally, implementing these plans may also involve actions wider than these measures that are not captured in the data.</w:t>
      </w:r>
    </w:p>
    <w:p w14:paraId="392DF2A3" w14:textId="77777777" w:rsidR="0058713A" w:rsidRDefault="0058713A" w:rsidP="00F113EF">
      <w:pPr>
        <w:rPr>
          <w:iCs/>
        </w:rPr>
      </w:pPr>
    </w:p>
    <w:p w14:paraId="113B8363" w14:textId="29CB5703" w:rsidR="00526234" w:rsidRPr="0058713A" w:rsidRDefault="00526234" w:rsidP="00475081">
      <w:pPr>
        <w:rPr>
          <w:iCs/>
        </w:rPr>
      </w:pPr>
      <w:r w:rsidRPr="008120FD">
        <w:rPr>
          <w:rStyle w:val="Heading3Char"/>
        </w:rPr>
        <w:t xml:space="preserve">As at the end of </w:t>
      </w:r>
      <w:r w:rsidR="008120FD" w:rsidRPr="008120FD">
        <w:rPr>
          <w:rStyle w:val="Heading3Char"/>
        </w:rPr>
        <w:t>June</w:t>
      </w:r>
      <w:r w:rsidRPr="008120FD">
        <w:rPr>
          <w:rStyle w:val="Heading3Char"/>
        </w:rPr>
        <w:t xml:space="preserve"> 2021,</w:t>
      </w:r>
      <w:r w:rsidR="00475081">
        <w:rPr>
          <w:rStyle w:val="Heading3Char"/>
        </w:rPr>
        <w:t xml:space="preserve"> just over 12 percent of participants (21) had accessed external services.</w:t>
      </w:r>
      <w:r w:rsidRPr="0058713A">
        <w:rPr>
          <w:iCs/>
        </w:rPr>
        <w:t xml:space="preserve"> </w:t>
      </w:r>
    </w:p>
    <w:p w14:paraId="3A7E9593" w14:textId="4A8BE38B" w:rsidR="00FD3B74" w:rsidRDefault="00214673" w:rsidP="00FD3B74">
      <w:pPr>
        <w:rPr>
          <w:iCs/>
        </w:rPr>
      </w:pPr>
      <w:r w:rsidRPr="00066F91">
        <w:rPr>
          <w:iCs/>
        </w:rPr>
        <w:t>Participants’ support teams would put them in touch with external services</w:t>
      </w:r>
      <w:r>
        <w:rPr>
          <w:iCs/>
        </w:rPr>
        <w:t xml:space="preserve"> to provide additional support or assistance where needed</w:t>
      </w:r>
      <w:r w:rsidR="00FD3B74" w:rsidRPr="00903870">
        <w:rPr>
          <w:iCs/>
        </w:rPr>
        <w:t>.</w:t>
      </w:r>
      <w:r w:rsidR="00406AF4">
        <w:rPr>
          <w:iCs/>
        </w:rPr>
        <w:t xml:space="preserve"> Due to the small number of external services being accessed, further breakdown of these services is unavailable for this report.</w:t>
      </w:r>
    </w:p>
    <w:p w14:paraId="7B270881" w14:textId="77777777" w:rsidR="0058713A" w:rsidRPr="00903870" w:rsidRDefault="0058713A" w:rsidP="00FD3B74">
      <w:pPr>
        <w:rPr>
          <w:iCs/>
        </w:rPr>
      </w:pPr>
    </w:p>
    <w:p w14:paraId="6BC7D071" w14:textId="54EDCCF0" w:rsidR="008120FD" w:rsidRPr="001A2237" w:rsidRDefault="008120FD" w:rsidP="008120FD">
      <w:pPr>
        <w:pStyle w:val="Heading3"/>
      </w:pPr>
      <w:r w:rsidRPr="001A2237">
        <w:t xml:space="preserve">As at the end of June 2021, there have been </w:t>
      </w:r>
      <w:r w:rsidR="001A2237" w:rsidRPr="001A2237">
        <w:t>39</w:t>
      </w:r>
      <w:r w:rsidRPr="001A2237">
        <w:t xml:space="preserve"> programme fund payments made</w:t>
      </w:r>
      <w:r w:rsidR="00E34E21" w:rsidRPr="001A2237">
        <w:t xml:space="preserve"> for REACH participants</w:t>
      </w:r>
      <w:r w:rsidRPr="001A2237">
        <w:t>, amounting to $</w:t>
      </w:r>
      <w:bookmarkStart w:id="24" w:name="_Hlk87629775"/>
      <w:r w:rsidRPr="001A2237">
        <w:t>11,161</w:t>
      </w:r>
      <w:bookmarkEnd w:id="24"/>
      <w:r w:rsidRPr="001A2237">
        <w:t xml:space="preserve">. </w:t>
      </w:r>
    </w:p>
    <w:p w14:paraId="4C59598B" w14:textId="3F5A2439" w:rsidR="005809D8" w:rsidRPr="001A2237" w:rsidRDefault="005809D8" w:rsidP="00F113EF">
      <w:pPr>
        <w:rPr>
          <w:iCs/>
        </w:rPr>
      </w:pPr>
      <w:r w:rsidRPr="001A2237">
        <w:rPr>
          <w:iCs/>
        </w:rPr>
        <w:t>The programme fund for REACH was a fund that could be used for things that would support the participant to work. While there was general guidance around how the payment could be used, each case was assessed on its own merits before a decision was made. This meant the payment could flex to accommodate for specific participant needs.</w:t>
      </w:r>
      <w:r w:rsidR="00FD3B74" w:rsidRPr="001A2237">
        <w:t xml:space="preserve"> </w:t>
      </w:r>
      <w:r w:rsidR="00FD3B74" w:rsidRPr="001A2237">
        <w:rPr>
          <w:iCs/>
        </w:rPr>
        <w:t>Payments using the programme fund were made from REACH directly to the provider of the good or service being purchased.</w:t>
      </w:r>
    </w:p>
    <w:p w14:paraId="3DA426B5" w14:textId="5F9EA028" w:rsidR="00521359" w:rsidRPr="001A2237" w:rsidRDefault="00475081" w:rsidP="00F113EF">
      <w:pPr>
        <w:rPr>
          <w:iCs/>
        </w:rPr>
      </w:pPr>
      <w:r>
        <w:rPr>
          <w:iCs/>
        </w:rPr>
        <w:t>P</w:t>
      </w:r>
      <w:r w:rsidR="008120FD" w:rsidRPr="001A2237">
        <w:rPr>
          <w:iCs/>
        </w:rPr>
        <w:t>rogramme fund payments were</w:t>
      </w:r>
      <w:r w:rsidR="00240F41" w:rsidRPr="001A2237">
        <w:rPr>
          <w:iCs/>
        </w:rPr>
        <w:t xml:space="preserve"> made to </w:t>
      </w:r>
      <w:r w:rsidR="001C78D6" w:rsidRPr="001A2237">
        <w:rPr>
          <w:iCs/>
        </w:rPr>
        <w:t>2</w:t>
      </w:r>
      <w:r w:rsidR="001A2237" w:rsidRPr="001A2237">
        <w:rPr>
          <w:iCs/>
        </w:rPr>
        <w:t>1.1</w:t>
      </w:r>
      <w:r w:rsidR="00240F41" w:rsidRPr="001A2237">
        <w:rPr>
          <w:iCs/>
        </w:rPr>
        <w:t xml:space="preserve"> percent of participants</w:t>
      </w:r>
      <w:r w:rsidR="003C0E1E">
        <w:rPr>
          <w:iCs/>
        </w:rPr>
        <w:t xml:space="preserve"> (36)</w:t>
      </w:r>
      <w:r w:rsidR="00240F41" w:rsidRPr="001A2237">
        <w:rPr>
          <w:iCs/>
        </w:rPr>
        <w:t xml:space="preserve">. The average payment </w:t>
      </w:r>
      <w:r w:rsidR="00F314AF" w:rsidRPr="001A2237">
        <w:rPr>
          <w:iCs/>
        </w:rPr>
        <w:t>was</w:t>
      </w:r>
      <w:r w:rsidR="00240F41" w:rsidRPr="001A2237">
        <w:rPr>
          <w:iCs/>
        </w:rPr>
        <w:t xml:space="preserve"> $2</w:t>
      </w:r>
      <w:r w:rsidR="001A2237" w:rsidRPr="001A2237">
        <w:rPr>
          <w:iCs/>
        </w:rPr>
        <w:t>86</w:t>
      </w:r>
      <w:r w:rsidR="00F314AF" w:rsidRPr="001A2237">
        <w:rPr>
          <w:iCs/>
        </w:rPr>
        <w:t>.</w:t>
      </w:r>
    </w:p>
    <w:p w14:paraId="05DA189A" w14:textId="53902064" w:rsidR="00292117" w:rsidRDefault="00240F41" w:rsidP="00F113EF">
      <w:pPr>
        <w:rPr>
          <w:iCs/>
        </w:rPr>
      </w:pPr>
      <w:r w:rsidRPr="001A2237">
        <w:rPr>
          <w:iCs/>
        </w:rPr>
        <w:t xml:space="preserve">As no information </w:t>
      </w:r>
      <w:r w:rsidR="0048264E" w:rsidRPr="001A2237">
        <w:rPr>
          <w:iCs/>
        </w:rPr>
        <w:t xml:space="preserve">is available on </w:t>
      </w:r>
      <w:r w:rsidRPr="001A2237">
        <w:rPr>
          <w:iCs/>
        </w:rPr>
        <w:t xml:space="preserve">what the </w:t>
      </w:r>
      <w:r w:rsidR="005809D8" w:rsidRPr="001A2237">
        <w:rPr>
          <w:iCs/>
        </w:rPr>
        <w:t xml:space="preserve">specific </w:t>
      </w:r>
      <w:r w:rsidRPr="001A2237">
        <w:rPr>
          <w:iCs/>
        </w:rPr>
        <w:t xml:space="preserve">payments were for, further analysis is not </w:t>
      </w:r>
      <w:r w:rsidR="0048264E" w:rsidRPr="001A2237">
        <w:rPr>
          <w:iCs/>
        </w:rPr>
        <w:t xml:space="preserve">possible </w:t>
      </w:r>
      <w:r w:rsidRPr="001A2237">
        <w:rPr>
          <w:iCs/>
        </w:rPr>
        <w:t>for this.</w:t>
      </w:r>
    </w:p>
    <w:p w14:paraId="5B377544" w14:textId="799AA2D7" w:rsidR="00A1309F" w:rsidRDefault="00A1309F" w:rsidP="00F113EF">
      <w:pPr>
        <w:rPr>
          <w:iCs/>
        </w:rPr>
      </w:pPr>
    </w:p>
    <w:p w14:paraId="3C661CF3" w14:textId="503135D3" w:rsidR="00A1309F" w:rsidRDefault="00A1309F" w:rsidP="00F113EF">
      <w:pPr>
        <w:rPr>
          <w:iCs/>
        </w:rPr>
      </w:pPr>
    </w:p>
    <w:p w14:paraId="0AEAD0DF" w14:textId="3D890A66" w:rsidR="00A1309F" w:rsidRDefault="00A1309F" w:rsidP="00F113EF">
      <w:pPr>
        <w:rPr>
          <w:iCs/>
        </w:rPr>
      </w:pPr>
    </w:p>
    <w:p w14:paraId="4D60CBA3" w14:textId="20772E53" w:rsidR="00A1309F" w:rsidRDefault="00A1309F" w:rsidP="00F113EF">
      <w:pPr>
        <w:rPr>
          <w:iCs/>
        </w:rPr>
      </w:pPr>
    </w:p>
    <w:p w14:paraId="1738E7DE" w14:textId="12A5CA59" w:rsidR="00A1309F" w:rsidRDefault="00A1309F" w:rsidP="00F113EF">
      <w:pPr>
        <w:rPr>
          <w:iCs/>
        </w:rPr>
      </w:pPr>
    </w:p>
    <w:p w14:paraId="7D507A1E" w14:textId="2288C53F" w:rsidR="00A1309F" w:rsidRDefault="00A1309F" w:rsidP="00F113EF">
      <w:pPr>
        <w:rPr>
          <w:iCs/>
        </w:rPr>
      </w:pPr>
    </w:p>
    <w:p w14:paraId="7403B50F" w14:textId="4A6BED59" w:rsidR="00A1309F" w:rsidRDefault="00A1309F" w:rsidP="00F113EF">
      <w:pPr>
        <w:rPr>
          <w:iCs/>
        </w:rPr>
      </w:pPr>
    </w:p>
    <w:p w14:paraId="297D40EE" w14:textId="7B439327" w:rsidR="00A1309F" w:rsidRDefault="00A1309F" w:rsidP="00F113EF">
      <w:pPr>
        <w:rPr>
          <w:iCs/>
        </w:rPr>
      </w:pPr>
    </w:p>
    <w:p w14:paraId="6A71352E" w14:textId="40EE7EC5" w:rsidR="00A1309F" w:rsidRDefault="00A1309F" w:rsidP="00F113EF">
      <w:pPr>
        <w:rPr>
          <w:iCs/>
        </w:rPr>
      </w:pPr>
    </w:p>
    <w:p w14:paraId="53AB8E22" w14:textId="11D15753" w:rsidR="00240F41" w:rsidRDefault="00240F41" w:rsidP="00EC5C2A">
      <w:pPr>
        <w:pStyle w:val="Heading1"/>
      </w:pPr>
      <w:bookmarkStart w:id="25" w:name="_Toc116997617"/>
      <w:r w:rsidRPr="00C42E0A">
        <w:lastRenderedPageBreak/>
        <w:t xml:space="preserve">Are </w:t>
      </w:r>
      <w:r w:rsidR="00FD3B74">
        <w:t>participants</w:t>
      </w:r>
      <w:r w:rsidRPr="00C42E0A">
        <w:t xml:space="preserve"> experiencing improvements in their health and wellbeing while in </w:t>
      </w:r>
      <w:r w:rsidR="00AC16A6">
        <w:t>REACH</w:t>
      </w:r>
      <w:r w:rsidRPr="00C42E0A">
        <w:t>?</w:t>
      </w:r>
      <w:bookmarkEnd w:id="25"/>
    </w:p>
    <w:p w14:paraId="02FCA27F" w14:textId="18B89591" w:rsidR="007D7F7C" w:rsidRDefault="003E0279" w:rsidP="003E0279">
      <w:r>
        <w:t xml:space="preserve">There are two </w:t>
      </w:r>
      <w:r w:rsidR="00E96546">
        <w:t xml:space="preserve">‘before’ and ‘after’ </w:t>
      </w:r>
      <w:r>
        <w:t xml:space="preserve">measures that are available to help answer this question. The </w:t>
      </w:r>
      <w:r w:rsidR="00673888">
        <w:t>W</w:t>
      </w:r>
      <w:r>
        <w:t xml:space="preserve">ellbeing </w:t>
      </w:r>
      <w:r w:rsidR="00673888">
        <w:t xml:space="preserve">Star </w:t>
      </w:r>
      <w:r>
        <w:t>scores that have been provided in the REACH monitoring data, and the known health conditions held in MSD administrative systems at different points</w:t>
      </w:r>
      <w:r w:rsidR="008209CD">
        <w:t xml:space="preserve"> of time</w:t>
      </w:r>
      <w:r>
        <w:t>.</w:t>
      </w:r>
      <w:r w:rsidR="00D61BAB">
        <w:t xml:space="preserve"> These are imperfect measures, as they are unable to determine the </w:t>
      </w:r>
      <w:r w:rsidR="0048264E">
        <w:t xml:space="preserve">extent </w:t>
      </w:r>
      <w:r w:rsidR="00D61BAB">
        <w:t xml:space="preserve">of change in </w:t>
      </w:r>
      <w:r w:rsidR="00475081">
        <w:t xml:space="preserve">health or </w:t>
      </w:r>
      <w:r w:rsidR="00D61BAB">
        <w:t>wellbeing, only that a change may have occurred.</w:t>
      </w:r>
      <w:r w:rsidR="007D7F7C">
        <w:t xml:space="preserve"> </w:t>
      </w:r>
    </w:p>
    <w:p w14:paraId="0A297FF6" w14:textId="4714E1EF" w:rsidR="003E0279" w:rsidRPr="00FF7B09" w:rsidRDefault="001D309F" w:rsidP="003E0279">
      <w:pPr>
        <w:rPr>
          <w:rFonts w:eastAsia="Times New Roman"/>
          <w:iCs/>
          <w:szCs w:val="20"/>
        </w:rPr>
      </w:pPr>
      <w:r>
        <w:rPr>
          <w:rFonts w:eastAsia="Times New Roman"/>
          <w:iCs/>
          <w:szCs w:val="20"/>
        </w:rPr>
        <w:t>This ‘before’ and ‘after’ analysis has a key limitation:</w:t>
      </w:r>
      <w:r w:rsidR="00FF7B09">
        <w:rPr>
          <w:rFonts w:eastAsia="Times New Roman"/>
          <w:iCs/>
          <w:szCs w:val="20"/>
        </w:rPr>
        <w:t xml:space="preserve"> a person’s situation </w:t>
      </w:r>
      <w:r w:rsidR="004300C3">
        <w:rPr>
          <w:rFonts w:eastAsia="Times New Roman"/>
          <w:iCs/>
          <w:szCs w:val="20"/>
        </w:rPr>
        <w:t xml:space="preserve">at the start of their time in the REACH service </w:t>
      </w:r>
      <w:r w:rsidR="00FF7B09">
        <w:rPr>
          <w:rFonts w:eastAsia="Times New Roman"/>
          <w:iCs/>
          <w:szCs w:val="20"/>
        </w:rPr>
        <w:t xml:space="preserve">may </w:t>
      </w:r>
      <w:r w:rsidR="004300C3">
        <w:rPr>
          <w:rFonts w:eastAsia="Times New Roman"/>
          <w:iCs/>
          <w:szCs w:val="20"/>
        </w:rPr>
        <w:t xml:space="preserve">have </w:t>
      </w:r>
      <w:r w:rsidR="00FF7B09">
        <w:rPr>
          <w:rFonts w:eastAsia="Times New Roman"/>
          <w:iCs/>
          <w:szCs w:val="20"/>
        </w:rPr>
        <w:t>be</w:t>
      </w:r>
      <w:r w:rsidR="004300C3">
        <w:rPr>
          <w:rFonts w:eastAsia="Times New Roman"/>
          <w:iCs/>
          <w:szCs w:val="20"/>
        </w:rPr>
        <w:t>en</w:t>
      </w:r>
      <w:r w:rsidR="00FF7B09">
        <w:rPr>
          <w:rFonts w:eastAsia="Times New Roman"/>
          <w:iCs/>
          <w:szCs w:val="20"/>
        </w:rPr>
        <w:t xml:space="preserve"> related to a crisis event</w:t>
      </w:r>
      <w:r w:rsidR="004300C3">
        <w:rPr>
          <w:rFonts w:eastAsia="Times New Roman"/>
          <w:iCs/>
          <w:szCs w:val="20"/>
        </w:rPr>
        <w:t>, or another event</w:t>
      </w:r>
      <w:r w:rsidR="00E96546">
        <w:rPr>
          <w:rFonts w:eastAsia="Times New Roman"/>
          <w:iCs/>
          <w:szCs w:val="20"/>
        </w:rPr>
        <w:t>,</w:t>
      </w:r>
      <w:r w:rsidR="004300C3">
        <w:rPr>
          <w:rFonts w:eastAsia="Times New Roman"/>
          <w:iCs/>
          <w:szCs w:val="20"/>
        </w:rPr>
        <w:t xml:space="preserve"> that triggered the referral to the </w:t>
      </w:r>
      <w:r w:rsidR="00E96546">
        <w:rPr>
          <w:rFonts w:eastAsia="Times New Roman"/>
          <w:iCs/>
          <w:szCs w:val="20"/>
        </w:rPr>
        <w:t xml:space="preserve">REACH </w:t>
      </w:r>
      <w:r w:rsidR="004300C3">
        <w:rPr>
          <w:rFonts w:eastAsia="Times New Roman"/>
          <w:iCs/>
          <w:szCs w:val="20"/>
        </w:rPr>
        <w:t>service. This means that</w:t>
      </w:r>
      <w:r w:rsidR="00FF7B09">
        <w:rPr>
          <w:rFonts w:eastAsia="Times New Roman"/>
          <w:iCs/>
          <w:szCs w:val="20"/>
        </w:rPr>
        <w:t xml:space="preserve"> the ‘after’ result </w:t>
      </w:r>
      <w:r w:rsidR="00E96546">
        <w:rPr>
          <w:rFonts w:eastAsia="Times New Roman"/>
          <w:iCs/>
          <w:szCs w:val="20"/>
        </w:rPr>
        <w:t>could</w:t>
      </w:r>
      <w:r w:rsidR="00FF7B09">
        <w:rPr>
          <w:rFonts w:eastAsia="Times New Roman"/>
          <w:iCs/>
          <w:szCs w:val="20"/>
        </w:rPr>
        <w:t xml:space="preserve"> be a regression towards that person’s usual situation</w:t>
      </w:r>
      <w:r>
        <w:rPr>
          <w:rFonts w:eastAsia="Times New Roman"/>
          <w:iCs/>
          <w:szCs w:val="20"/>
        </w:rPr>
        <w:t>, and not necessarily a reflection of the service</w:t>
      </w:r>
      <w:r w:rsidR="00E96546">
        <w:rPr>
          <w:rFonts w:eastAsia="Times New Roman"/>
          <w:iCs/>
          <w:szCs w:val="20"/>
        </w:rPr>
        <w:t>s impact</w:t>
      </w:r>
      <w:r w:rsidR="00FF7B09">
        <w:rPr>
          <w:rFonts w:eastAsia="Times New Roman"/>
          <w:iCs/>
          <w:szCs w:val="20"/>
        </w:rPr>
        <w:t>.</w:t>
      </w:r>
      <w:r>
        <w:rPr>
          <w:rFonts w:eastAsia="Times New Roman"/>
          <w:iCs/>
          <w:szCs w:val="20"/>
        </w:rPr>
        <w:t xml:space="preserve"> </w:t>
      </w:r>
      <w:r w:rsidR="00207F06" w:rsidRPr="007E07CD">
        <w:t xml:space="preserve">Additionally, without a comparison group, it is difficult to determine how much of any change is down to the </w:t>
      </w:r>
      <w:r w:rsidR="00207F06">
        <w:t xml:space="preserve">REACH </w:t>
      </w:r>
      <w:r w:rsidR="00207F06" w:rsidRPr="007E07CD">
        <w:t xml:space="preserve">service, </w:t>
      </w:r>
      <w:r w:rsidR="00207F06">
        <w:t>or</w:t>
      </w:r>
      <w:r w:rsidR="00207F06" w:rsidRPr="007E07CD">
        <w:t xml:space="preserve"> what would have happened anyway without the service. Therefore, any findings in this section should be treated as </w:t>
      </w:r>
      <w:r w:rsidR="00207F06">
        <w:t>indicative</w:t>
      </w:r>
      <w:r w:rsidR="00207F06" w:rsidRPr="007E07CD">
        <w:t xml:space="preserve">, </w:t>
      </w:r>
      <w:r w:rsidR="00207F06">
        <w:t>rather than</w:t>
      </w:r>
      <w:r w:rsidR="00207F06" w:rsidRPr="007E07CD">
        <w:t xml:space="preserve"> conclusive</w:t>
      </w:r>
      <w:r w:rsidR="00207F06">
        <w:t>,</w:t>
      </w:r>
      <w:r w:rsidR="00207F06" w:rsidRPr="007E07CD">
        <w:t xml:space="preserve"> findings.</w:t>
      </w:r>
    </w:p>
    <w:p w14:paraId="5BE13A49" w14:textId="77777777" w:rsidR="0058713A" w:rsidRPr="003E0279" w:rsidRDefault="0058713A" w:rsidP="003E0279"/>
    <w:p w14:paraId="508F9B59" w14:textId="71BF0522" w:rsidR="003E0279" w:rsidRPr="003E0279" w:rsidRDefault="00E34E21" w:rsidP="003E0279">
      <w:pPr>
        <w:pStyle w:val="Heading3"/>
      </w:pPr>
      <w:r>
        <w:t>Most participants</w:t>
      </w:r>
      <w:r w:rsidR="00A575D6">
        <w:t xml:space="preserve"> (147)</w:t>
      </w:r>
      <w:r>
        <w:t xml:space="preserve"> had at least one </w:t>
      </w:r>
      <w:r w:rsidR="00CA43F1">
        <w:t>W</w:t>
      </w:r>
      <w:r>
        <w:t>ellbeing</w:t>
      </w:r>
      <w:r w:rsidR="00CA43F1">
        <w:t xml:space="preserve"> Star</w:t>
      </w:r>
      <w:r>
        <w:t xml:space="preserve"> score recorded as at the end of June 2021.</w:t>
      </w:r>
    </w:p>
    <w:p w14:paraId="2F475179" w14:textId="16A7EA92" w:rsidR="00CA43F1" w:rsidRDefault="00CA43F1" w:rsidP="00680E27">
      <w:pPr>
        <w:rPr>
          <w:rFonts w:eastAsia="Times New Roman"/>
          <w:iCs/>
          <w:szCs w:val="20"/>
        </w:rPr>
      </w:pPr>
      <w:r>
        <w:rPr>
          <w:rFonts w:eastAsia="Times New Roman"/>
          <w:iCs/>
          <w:szCs w:val="20"/>
        </w:rPr>
        <w:t>The Wellbeing Star is a tool that was designed for people with a health condition or disability to help support and measure their progress towards achieving their goals.</w:t>
      </w:r>
      <w:r>
        <w:rPr>
          <w:rStyle w:val="FootnoteReference"/>
          <w:rFonts w:eastAsia="Times New Roman"/>
          <w:iCs/>
          <w:szCs w:val="20"/>
        </w:rPr>
        <w:footnoteReference w:id="20"/>
      </w:r>
      <w:r>
        <w:rPr>
          <w:rFonts w:eastAsia="Times New Roman"/>
          <w:iCs/>
          <w:szCs w:val="20"/>
        </w:rPr>
        <w:t xml:space="preserve"> </w:t>
      </w:r>
    </w:p>
    <w:p w14:paraId="4635ECF7" w14:textId="4834DE77" w:rsidR="004819D8" w:rsidRDefault="00680E27" w:rsidP="00680E27">
      <w:pPr>
        <w:rPr>
          <w:rFonts w:eastAsia="Times New Roman"/>
          <w:iCs/>
          <w:szCs w:val="20"/>
        </w:rPr>
      </w:pPr>
      <w:r>
        <w:rPr>
          <w:rFonts w:eastAsia="Times New Roman"/>
          <w:iCs/>
          <w:szCs w:val="20"/>
        </w:rPr>
        <w:t>For REACH, t</w:t>
      </w:r>
      <w:r w:rsidR="00FD3B74">
        <w:rPr>
          <w:rFonts w:eastAsia="Times New Roman"/>
          <w:iCs/>
          <w:szCs w:val="20"/>
        </w:rPr>
        <w:t xml:space="preserve">here was no set </w:t>
      </w:r>
      <w:r>
        <w:rPr>
          <w:rFonts w:eastAsia="Times New Roman"/>
          <w:iCs/>
          <w:szCs w:val="20"/>
        </w:rPr>
        <w:t>guidance</w:t>
      </w:r>
      <w:r w:rsidR="00FD3B74">
        <w:rPr>
          <w:rFonts w:eastAsia="Times New Roman"/>
          <w:iCs/>
          <w:szCs w:val="20"/>
        </w:rPr>
        <w:t xml:space="preserve"> </w:t>
      </w:r>
      <w:r>
        <w:rPr>
          <w:rFonts w:eastAsia="Times New Roman"/>
          <w:iCs/>
          <w:szCs w:val="20"/>
        </w:rPr>
        <w:t>as</w:t>
      </w:r>
      <w:r w:rsidR="00FD3B74">
        <w:rPr>
          <w:rFonts w:eastAsia="Times New Roman"/>
          <w:iCs/>
          <w:szCs w:val="20"/>
        </w:rPr>
        <w:t xml:space="preserve"> to how often Wellbeing Star assessment</w:t>
      </w:r>
      <w:r>
        <w:rPr>
          <w:rFonts w:eastAsia="Times New Roman"/>
          <w:iCs/>
          <w:szCs w:val="20"/>
        </w:rPr>
        <w:t>s</w:t>
      </w:r>
      <w:r w:rsidR="00FD3B74">
        <w:rPr>
          <w:rFonts w:eastAsia="Times New Roman"/>
          <w:iCs/>
          <w:szCs w:val="20"/>
        </w:rPr>
        <w:t xml:space="preserve"> were </w:t>
      </w:r>
      <w:r>
        <w:rPr>
          <w:rFonts w:eastAsia="Times New Roman"/>
          <w:iCs/>
          <w:szCs w:val="20"/>
        </w:rPr>
        <w:t xml:space="preserve">to be </w:t>
      </w:r>
      <w:r w:rsidR="00FD3B74">
        <w:rPr>
          <w:rFonts w:eastAsia="Times New Roman"/>
          <w:iCs/>
          <w:szCs w:val="20"/>
        </w:rPr>
        <w:t>completed</w:t>
      </w:r>
      <w:r>
        <w:rPr>
          <w:rFonts w:eastAsia="Times New Roman"/>
          <w:iCs/>
          <w:szCs w:val="20"/>
        </w:rPr>
        <w:t>.</w:t>
      </w:r>
      <w:r w:rsidR="00FD3B74">
        <w:rPr>
          <w:rFonts w:eastAsia="Times New Roman"/>
          <w:iCs/>
          <w:szCs w:val="20"/>
        </w:rPr>
        <w:t xml:space="preserve"> </w:t>
      </w:r>
      <w:r>
        <w:rPr>
          <w:rFonts w:eastAsia="Times New Roman"/>
          <w:iCs/>
          <w:szCs w:val="20"/>
        </w:rPr>
        <w:t>H</w:t>
      </w:r>
      <w:r w:rsidR="00FD3B74">
        <w:rPr>
          <w:rFonts w:eastAsia="Times New Roman"/>
          <w:iCs/>
          <w:szCs w:val="20"/>
        </w:rPr>
        <w:t>owever</w:t>
      </w:r>
      <w:r>
        <w:rPr>
          <w:rFonts w:eastAsia="Times New Roman"/>
          <w:iCs/>
          <w:szCs w:val="20"/>
        </w:rPr>
        <w:t xml:space="preserve">, as a rule of thumb, these were generally expected to be completed at around enrolment and exit. </w:t>
      </w:r>
    </w:p>
    <w:p w14:paraId="03F54461" w14:textId="03AC268B" w:rsidR="00FA5362" w:rsidRDefault="00FA5362" w:rsidP="00F113EF">
      <w:pPr>
        <w:rPr>
          <w:rFonts w:eastAsia="Times New Roman"/>
          <w:iCs/>
          <w:szCs w:val="20"/>
        </w:rPr>
      </w:pPr>
      <w:r w:rsidRPr="00B04CC7">
        <w:rPr>
          <w:rFonts w:eastAsia="Times New Roman"/>
          <w:iCs/>
          <w:szCs w:val="20"/>
        </w:rPr>
        <w:t>One approach to determining if participants</w:t>
      </w:r>
      <w:r>
        <w:rPr>
          <w:rFonts w:eastAsia="Times New Roman"/>
          <w:iCs/>
          <w:szCs w:val="20"/>
        </w:rPr>
        <w:t>’</w:t>
      </w:r>
      <w:r w:rsidRPr="00B04CC7">
        <w:rPr>
          <w:rFonts w:eastAsia="Times New Roman"/>
          <w:iCs/>
          <w:szCs w:val="20"/>
        </w:rPr>
        <w:t xml:space="preserve"> health and wellbeing has changed while in REACH is by analysing the </w:t>
      </w:r>
      <w:r>
        <w:rPr>
          <w:rFonts w:eastAsia="Times New Roman"/>
          <w:iCs/>
          <w:szCs w:val="20"/>
        </w:rPr>
        <w:t xml:space="preserve">changes between Wellbeing Star </w:t>
      </w:r>
      <w:r w:rsidRPr="00B04CC7">
        <w:rPr>
          <w:rFonts w:eastAsia="Times New Roman"/>
          <w:iCs/>
          <w:szCs w:val="20"/>
        </w:rPr>
        <w:t>score</w:t>
      </w:r>
      <w:r>
        <w:rPr>
          <w:rFonts w:eastAsia="Times New Roman"/>
          <w:iCs/>
          <w:szCs w:val="20"/>
        </w:rPr>
        <w:t>s</w:t>
      </w:r>
      <w:r w:rsidRPr="00B04CC7">
        <w:rPr>
          <w:rFonts w:eastAsia="Times New Roman"/>
          <w:iCs/>
          <w:szCs w:val="20"/>
        </w:rPr>
        <w:t xml:space="preserve"> in individual categories. This will give us a sense </w:t>
      </w:r>
      <w:r w:rsidR="008A7547">
        <w:rPr>
          <w:rFonts w:eastAsia="Times New Roman"/>
          <w:iCs/>
          <w:szCs w:val="20"/>
        </w:rPr>
        <w:t>of whether</w:t>
      </w:r>
      <w:r w:rsidRPr="00B04CC7">
        <w:rPr>
          <w:rFonts w:eastAsia="Times New Roman"/>
          <w:iCs/>
          <w:szCs w:val="20"/>
        </w:rPr>
        <w:t xml:space="preserve"> individual components of wellbeing</w:t>
      </w:r>
      <w:r>
        <w:rPr>
          <w:rFonts w:eastAsia="Times New Roman"/>
          <w:iCs/>
          <w:szCs w:val="20"/>
        </w:rPr>
        <w:t xml:space="preserve"> improved during participants’ time in </w:t>
      </w:r>
      <w:r w:rsidRPr="00B04CC7">
        <w:rPr>
          <w:rFonts w:eastAsia="Times New Roman"/>
          <w:iCs/>
          <w:szCs w:val="20"/>
        </w:rPr>
        <w:t>REACH</w:t>
      </w:r>
      <w:r>
        <w:rPr>
          <w:rFonts w:eastAsia="Times New Roman"/>
          <w:iCs/>
          <w:szCs w:val="20"/>
        </w:rPr>
        <w:t>.</w:t>
      </w:r>
      <w:r w:rsidRPr="00B04CC7">
        <w:rPr>
          <w:rFonts w:eastAsia="Times New Roman"/>
          <w:iCs/>
          <w:szCs w:val="20"/>
        </w:rPr>
        <w:t xml:space="preserve"> </w:t>
      </w:r>
      <w:r w:rsidRPr="00A43858">
        <w:rPr>
          <w:rFonts w:eastAsia="Times New Roman"/>
          <w:iCs/>
          <w:szCs w:val="20"/>
        </w:rPr>
        <w:t xml:space="preserve">However, </w:t>
      </w:r>
      <w:bookmarkStart w:id="26" w:name="_Hlk87629866"/>
      <w:r w:rsidRPr="00A43858">
        <w:rPr>
          <w:rFonts w:eastAsia="Times New Roman"/>
          <w:iCs/>
          <w:szCs w:val="20"/>
        </w:rPr>
        <w:t>due to the nature of the data, it is unclear whether these differences represent small or large differences in wellbeing.</w:t>
      </w:r>
      <w:r>
        <w:rPr>
          <w:rFonts w:eastAsia="Times New Roman"/>
          <w:iCs/>
          <w:szCs w:val="20"/>
        </w:rPr>
        <w:t xml:space="preserve"> </w:t>
      </w:r>
      <w:bookmarkEnd w:id="26"/>
    </w:p>
    <w:p w14:paraId="189305BA" w14:textId="227020ED" w:rsidR="004225F0" w:rsidRDefault="0008509F" w:rsidP="009617DD">
      <w:pPr>
        <w:rPr>
          <w:rFonts w:eastAsia="Times New Roman"/>
          <w:iCs/>
          <w:szCs w:val="20"/>
        </w:rPr>
      </w:pPr>
      <w:r w:rsidRPr="00C47E9D">
        <w:rPr>
          <w:rFonts w:eastAsia="Times New Roman"/>
          <w:iCs/>
          <w:szCs w:val="20"/>
        </w:rPr>
        <w:t>There were 2</w:t>
      </w:r>
      <w:r w:rsidR="00E34E21" w:rsidRPr="00C47E9D">
        <w:rPr>
          <w:rFonts w:eastAsia="Times New Roman"/>
          <w:iCs/>
          <w:szCs w:val="20"/>
        </w:rPr>
        <w:t>46</w:t>
      </w:r>
      <w:r w:rsidRPr="00C47E9D">
        <w:rPr>
          <w:rFonts w:eastAsia="Times New Roman"/>
          <w:iCs/>
          <w:szCs w:val="20"/>
        </w:rPr>
        <w:t xml:space="preserve"> unique </w:t>
      </w:r>
      <w:r w:rsidR="00673888">
        <w:rPr>
          <w:rFonts w:eastAsia="Times New Roman"/>
          <w:iCs/>
          <w:szCs w:val="20"/>
        </w:rPr>
        <w:t>W</w:t>
      </w:r>
      <w:r w:rsidRPr="00C47E9D">
        <w:rPr>
          <w:rFonts w:eastAsia="Times New Roman"/>
          <w:iCs/>
          <w:szCs w:val="20"/>
        </w:rPr>
        <w:t>ellbeing</w:t>
      </w:r>
      <w:r w:rsidR="00673888">
        <w:rPr>
          <w:rFonts w:eastAsia="Times New Roman"/>
          <w:iCs/>
          <w:szCs w:val="20"/>
        </w:rPr>
        <w:t xml:space="preserve"> Star</w:t>
      </w:r>
      <w:r w:rsidRPr="00C47E9D">
        <w:rPr>
          <w:rFonts w:eastAsia="Times New Roman"/>
          <w:iCs/>
          <w:szCs w:val="20"/>
        </w:rPr>
        <w:t xml:space="preserve"> scores recorded, </w:t>
      </w:r>
      <w:r w:rsidR="001D3EA8" w:rsidRPr="00C47E9D">
        <w:rPr>
          <w:rFonts w:eastAsia="Times New Roman"/>
          <w:iCs/>
          <w:szCs w:val="20"/>
        </w:rPr>
        <w:t xml:space="preserve">belonging to </w:t>
      </w:r>
      <w:r w:rsidR="003C0E1E">
        <w:rPr>
          <w:rFonts w:eastAsia="Times New Roman"/>
          <w:iCs/>
          <w:szCs w:val="20"/>
        </w:rPr>
        <w:t>86 percent of participants (</w:t>
      </w:r>
      <w:r w:rsidR="001D3EA8" w:rsidRPr="00C47E9D">
        <w:rPr>
          <w:rFonts w:eastAsia="Times New Roman"/>
          <w:iCs/>
          <w:szCs w:val="20"/>
        </w:rPr>
        <w:t>14</w:t>
      </w:r>
      <w:r w:rsidR="00524183" w:rsidRPr="00C47E9D">
        <w:rPr>
          <w:rFonts w:eastAsia="Times New Roman"/>
          <w:iCs/>
          <w:szCs w:val="20"/>
        </w:rPr>
        <w:t>7</w:t>
      </w:r>
      <w:r w:rsidR="003C0E1E">
        <w:rPr>
          <w:rFonts w:eastAsia="Times New Roman"/>
          <w:iCs/>
          <w:szCs w:val="20"/>
        </w:rPr>
        <w:t>)</w:t>
      </w:r>
      <w:r w:rsidR="009617DD" w:rsidRPr="00C47E9D">
        <w:rPr>
          <w:rFonts w:eastAsia="Times New Roman"/>
          <w:iCs/>
          <w:szCs w:val="20"/>
        </w:rPr>
        <w:t>.</w:t>
      </w:r>
      <w:r w:rsidR="00194213" w:rsidRPr="00C47E9D">
        <w:rPr>
          <w:rFonts w:eastAsia="Times New Roman"/>
          <w:iCs/>
          <w:szCs w:val="20"/>
        </w:rPr>
        <w:t xml:space="preserve"> Of those</w:t>
      </w:r>
      <w:r w:rsidR="003C0E1E">
        <w:rPr>
          <w:rFonts w:eastAsia="Times New Roman"/>
          <w:iCs/>
          <w:szCs w:val="20"/>
        </w:rPr>
        <w:t xml:space="preserve"> participants</w:t>
      </w:r>
      <w:r w:rsidR="00194213" w:rsidRPr="00C47E9D">
        <w:rPr>
          <w:rFonts w:eastAsia="Times New Roman"/>
          <w:iCs/>
          <w:szCs w:val="20"/>
        </w:rPr>
        <w:t xml:space="preserve">, </w:t>
      </w:r>
      <w:r w:rsidR="003C0E1E">
        <w:rPr>
          <w:rFonts w:eastAsia="Times New Roman"/>
          <w:iCs/>
          <w:szCs w:val="20"/>
        </w:rPr>
        <w:t>67.3 percent (</w:t>
      </w:r>
      <w:r w:rsidR="00524183" w:rsidRPr="00C47E9D">
        <w:rPr>
          <w:rFonts w:eastAsia="Times New Roman"/>
          <w:iCs/>
          <w:szCs w:val="20"/>
        </w:rPr>
        <w:t>99</w:t>
      </w:r>
      <w:r w:rsidR="003C0E1E">
        <w:rPr>
          <w:rFonts w:eastAsia="Times New Roman"/>
          <w:iCs/>
          <w:szCs w:val="20"/>
        </w:rPr>
        <w:t>)</w:t>
      </w:r>
      <w:r w:rsidR="00194213" w:rsidRPr="00C47E9D">
        <w:rPr>
          <w:rFonts w:eastAsia="Times New Roman"/>
          <w:iCs/>
          <w:szCs w:val="20"/>
        </w:rPr>
        <w:t xml:space="preserve"> have had a second entry recorded</w:t>
      </w:r>
      <w:r w:rsidR="008A7547">
        <w:rPr>
          <w:rFonts w:eastAsia="Times New Roman"/>
          <w:iCs/>
          <w:szCs w:val="20"/>
        </w:rPr>
        <w:t>. T</w:t>
      </w:r>
      <w:r w:rsidR="00FA5362" w:rsidRPr="00C47E9D">
        <w:rPr>
          <w:rFonts w:eastAsia="Times New Roman"/>
          <w:iCs/>
          <w:szCs w:val="20"/>
        </w:rPr>
        <w:t xml:space="preserve">hese </w:t>
      </w:r>
      <w:r w:rsidR="008A7547">
        <w:rPr>
          <w:rFonts w:eastAsia="Times New Roman"/>
          <w:iCs/>
          <w:szCs w:val="20"/>
        </w:rPr>
        <w:t>second entries were</w:t>
      </w:r>
      <w:r w:rsidR="00FA5362" w:rsidRPr="00C47E9D">
        <w:rPr>
          <w:rFonts w:eastAsia="Times New Roman"/>
          <w:iCs/>
          <w:szCs w:val="20"/>
        </w:rPr>
        <w:t xml:space="preserve"> recorded an average of 102 days</w:t>
      </w:r>
      <w:r w:rsidR="00343CBF" w:rsidRPr="00C47E9D">
        <w:rPr>
          <w:rFonts w:eastAsia="Times New Roman"/>
          <w:iCs/>
          <w:szCs w:val="20"/>
        </w:rPr>
        <w:t xml:space="preserve"> </w:t>
      </w:r>
      <w:r w:rsidR="00FA5362" w:rsidRPr="00C47E9D">
        <w:rPr>
          <w:rFonts w:eastAsia="Times New Roman"/>
          <w:iCs/>
          <w:szCs w:val="20"/>
        </w:rPr>
        <w:t>after the first entry</w:t>
      </w:r>
      <w:r w:rsidR="00194213" w:rsidRPr="00C47E9D">
        <w:rPr>
          <w:rFonts w:eastAsia="Times New Roman"/>
          <w:iCs/>
          <w:szCs w:val="20"/>
        </w:rPr>
        <w:t>.</w:t>
      </w:r>
      <w:r w:rsidR="00343CBF" w:rsidRPr="00C47E9D">
        <w:rPr>
          <w:rStyle w:val="FootnoteReference"/>
          <w:rFonts w:eastAsia="Times New Roman"/>
          <w:iCs/>
          <w:szCs w:val="20"/>
        </w:rPr>
        <w:footnoteReference w:id="21"/>
      </w:r>
      <w:r w:rsidR="004225F0" w:rsidRPr="00C47E9D">
        <w:rPr>
          <w:rFonts w:eastAsia="Times New Roman"/>
          <w:iCs/>
          <w:szCs w:val="20"/>
        </w:rPr>
        <w:t xml:space="preserve"> </w:t>
      </w:r>
      <w:r w:rsidR="00FA5362" w:rsidRPr="00C47E9D">
        <w:rPr>
          <w:rFonts w:eastAsia="Times New Roman"/>
          <w:iCs/>
          <w:szCs w:val="20"/>
        </w:rPr>
        <w:t>No participants</w:t>
      </w:r>
      <w:r w:rsidR="004225F0" w:rsidRPr="00C47E9D">
        <w:rPr>
          <w:rFonts w:eastAsia="Times New Roman"/>
          <w:iCs/>
          <w:szCs w:val="20"/>
        </w:rPr>
        <w:t xml:space="preserve"> had a third entry recorded. </w:t>
      </w:r>
      <w:r w:rsidR="00A74321" w:rsidRPr="00C47E9D">
        <w:rPr>
          <w:rFonts w:eastAsia="Times New Roman"/>
          <w:iCs/>
          <w:szCs w:val="20"/>
        </w:rPr>
        <w:t xml:space="preserve">We </w:t>
      </w:r>
      <w:r w:rsidR="00FA5362" w:rsidRPr="00C47E9D">
        <w:rPr>
          <w:rFonts w:eastAsia="Times New Roman"/>
          <w:iCs/>
          <w:szCs w:val="20"/>
        </w:rPr>
        <w:t xml:space="preserve">therefore </w:t>
      </w:r>
      <w:r w:rsidR="00A74321" w:rsidRPr="00C47E9D">
        <w:rPr>
          <w:rFonts w:eastAsia="Times New Roman"/>
          <w:iCs/>
          <w:szCs w:val="20"/>
        </w:rPr>
        <w:t xml:space="preserve">analyse 99 sets of scores in </w:t>
      </w:r>
      <w:r w:rsidR="00FA5362" w:rsidRPr="00C47E9D">
        <w:rPr>
          <w:rFonts w:eastAsia="Times New Roman"/>
          <w:iCs/>
          <w:szCs w:val="20"/>
        </w:rPr>
        <w:t>the following</w:t>
      </w:r>
      <w:r w:rsidR="00A74321" w:rsidRPr="00C47E9D">
        <w:rPr>
          <w:rFonts w:eastAsia="Times New Roman"/>
          <w:iCs/>
          <w:szCs w:val="20"/>
        </w:rPr>
        <w:t xml:space="preserve"> section.</w:t>
      </w:r>
      <w:r w:rsidR="00F77A3B">
        <w:rPr>
          <w:rFonts w:eastAsia="Times New Roman"/>
          <w:iCs/>
          <w:szCs w:val="20"/>
        </w:rPr>
        <w:br/>
      </w:r>
    </w:p>
    <w:p w14:paraId="4BA51156" w14:textId="1696DB83" w:rsidR="00F77A3B" w:rsidRDefault="00F77A3B" w:rsidP="009617DD">
      <w:pPr>
        <w:rPr>
          <w:rFonts w:eastAsia="Times New Roman"/>
          <w:iCs/>
          <w:szCs w:val="20"/>
        </w:rPr>
      </w:pPr>
    </w:p>
    <w:p w14:paraId="346FE27E" w14:textId="4350D490" w:rsidR="00F77A3B" w:rsidRDefault="00F77A3B" w:rsidP="009617DD">
      <w:pPr>
        <w:rPr>
          <w:rFonts w:eastAsia="Times New Roman"/>
          <w:iCs/>
          <w:szCs w:val="20"/>
        </w:rPr>
      </w:pPr>
    </w:p>
    <w:p w14:paraId="0EF77B85" w14:textId="474A63AD" w:rsidR="00F77A3B" w:rsidRDefault="00F77A3B" w:rsidP="009617DD">
      <w:pPr>
        <w:rPr>
          <w:rFonts w:eastAsia="Times New Roman"/>
          <w:iCs/>
          <w:szCs w:val="20"/>
        </w:rPr>
      </w:pPr>
    </w:p>
    <w:p w14:paraId="474E347C" w14:textId="63B694D7" w:rsidR="003A3445" w:rsidRDefault="00A74321" w:rsidP="0058713A">
      <w:pPr>
        <w:pStyle w:val="Heading3"/>
      </w:pPr>
      <w:r>
        <w:lastRenderedPageBreak/>
        <w:t xml:space="preserve">In </w:t>
      </w:r>
      <w:r w:rsidR="00F77A3B">
        <w:t>five</w:t>
      </w:r>
      <w:r>
        <w:t xml:space="preserve"> of the eight categories, most participants experienced a positive change in their score between their first and second entries.</w:t>
      </w:r>
    </w:p>
    <w:p w14:paraId="7AC8B7FA" w14:textId="6D9F2ECA" w:rsidR="0060619E" w:rsidRDefault="00383F5C" w:rsidP="0060619E">
      <w:r>
        <w:t>These categories were: “Your Lifestyle”, “Looking After Yourself”, “</w:t>
      </w:r>
      <w:r w:rsidR="00A1309F">
        <w:t>Managing</w:t>
      </w:r>
      <w:r>
        <w:t xml:space="preserve"> Symptoms”, “Work, Volunteering, Other Activities”</w:t>
      </w:r>
      <w:r w:rsidR="00F77A3B">
        <w:t xml:space="preserve"> </w:t>
      </w:r>
      <w:r>
        <w:t>and “Feeling Positive”</w:t>
      </w:r>
      <w:r w:rsidR="00F77A3B">
        <w:t xml:space="preserve"> (Table </w:t>
      </w:r>
      <w:r w:rsidR="00EA0281">
        <w:t>4</w:t>
      </w:r>
      <w:r w:rsidR="00F77A3B">
        <w:t>)</w:t>
      </w:r>
      <w:r>
        <w:t xml:space="preserve">. </w:t>
      </w:r>
    </w:p>
    <w:p w14:paraId="0531722D" w14:textId="4F1E7E16" w:rsidR="008A7547" w:rsidRDefault="00383F5C" w:rsidP="0060619E">
      <w:r>
        <w:t xml:space="preserve">For the most part, these categories </w:t>
      </w:r>
      <w:r w:rsidR="004300C3">
        <w:t>are suggestive of</w:t>
      </w:r>
      <w:r>
        <w:t xml:space="preserve"> potential changes in wellbeing due to behavioural aspects of the REACH service. </w:t>
      </w:r>
    </w:p>
    <w:p w14:paraId="3D2A7756" w14:textId="2EACE369" w:rsidR="008A7547" w:rsidRDefault="0060619E" w:rsidP="0060619E">
      <w:r>
        <w:t>REACH did not improve wellbeing in relation to material factors, such as a participant’s income, or their housing situation</w:t>
      </w:r>
      <w:r w:rsidR="008A7547">
        <w:t>, except for “Work, Volunteering, Other Activities”</w:t>
      </w:r>
      <w:r>
        <w:t xml:space="preserve">. </w:t>
      </w:r>
    </w:p>
    <w:p w14:paraId="29FF7099" w14:textId="3FEF7557" w:rsidR="00A74321" w:rsidRDefault="0060619E" w:rsidP="0060619E">
      <w:r>
        <w:t>This is expected, as the service was not designed to explicitly improve participants</w:t>
      </w:r>
      <w:r w:rsidR="008179BA">
        <w:t>’</w:t>
      </w:r>
      <w:r>
        <w:t xml:space="preserve"> </w:t>
      </w:r>
      <w:r w:rsidR="008A7547">
        <w:t>material wellbeing</w:t>
      </w:r>
      <w:r>
        <w:t>.</w:t>
      </w:r>
      <w:r w:rsidR="00A74321">
        <w:t xml:space="preserve"> </w:t>
      </w:r>
      <w:r w:rsidR="00F77A3B">
        <w:t xml:space="preserve">Additionally, due to the short-term duration of the service, there </w:t>
      </w:r>
      <w:r w:rsidR="008A7547">
        <w:t>may</w:t>
      </w:r>
      <w:r w:rsidR="00F77A3B">
        <w:t xml:space="preserve"> not </w:t>
      </w:r>
      <w:r w:rsidR="008A7547">
        <w:t xml:space="preserve">have been </w:t>
      </w:r>
      <w:r w:rsidR="00F77A3B">
        <w:t>enough time to effect positive changes in these categories in a way that could be captured by the Wellbeing Star tool.</w:t>
      </w:r>
    </w:p>
    <w:p w14:paraId="42117308" w14:textId="399CEF50" w:rsidR="00F77A3B" w:rsidRDefault="002018EA" w:rsidP="00F83D85">
      <w:pPr>
        <w:rPr>
          <w:rFonts w:eastAsia="Times New Roman"/>
          <w:iCs/>
          <w:szCs w:val="20"/>
        </w:rPr>
      </w:pPr>
      <w:r>
        <w:rPr>
          <w:rFonts w:eastAsia="Times New Roman"/>
          <w:iCs/>
          <w:szCs w:val="20"/>
        </w:rPr>
        <w:t xml:space="preserve">However, even though </w:t>
      </w:r>
      <w:r w:rsidR="002F2582">
        <w:rPr>
          <w:rFonts w:eastAsia="Times New Roman"/>
          <w:iCs/>
          <w:szCs w:val="20"/>
        </w:rPr>
        <w:t>most</w:t>
      </w:r>
      <w:r>
        <w:rPr>
          <w:rFonts w:eastAsia="Times New Roman"/>
          <w:iCs/>
          <w:szCs w:val="20"/>
        </w:rPr>
        <w:t xml:space="preserve"> participants with two Wellbeing Star scores did not report a positive change in the “Money”</w:t>
      </w:r>
      <w:r w:rsidR="00F77A3B">
        <w:rPr>
          <w:rFonts w:eastAsia="Times New Roman"/>
          <w:iCs/>
          <w:szCs w:val="20"/>
        </w:rPr>
        <w:t>, “Family and Friends”,</w:t>
      </w:r>
      <w:r>
        <w:rPr>
          <w:rFonts w:eastAsia="Times New Roman"/>
          <w:iCs/>
          <w:szCs w:val="20"/>
        </w:rPr>
        <w:t xml:space="preserve"> and “Where You Live” categories, </w:t>
      </w:r>
      <w:r w:rsidR="00F77A3B">
        <w:rPr>
          <w:rFonts w:eastAsia="Times New Roman"/>
          <w:iCs/>
          <w:szCs w:val="20"/>
        </w:rPr>
        <w:t>there was still a sizable group of participants that did report a positive change</w:t>
      </w:r>
      <w:r w:rsidR="002F2582">
        <w:rPr>
          <w:rFonts w:eastAsia="Times New Roman"/>
          <w:iCs/>
          <w:szCs w:val="20"/>
        </w:rPr>
        <w:t xml:space="preserve">. </w:t>
      </w:r>
    </w:p>
    <w:p w14:paraId="287A22DC" w14:textId="1C4D0AA7" w:rsidR="00F83D85" w:rsidRPr="00EA3FCF" w:rsidRDefault="00F83D85" w:rsidP="00F83D85">
      <w:pPr>
        <w:rPr>
          <w:b/>
          <w:bCs/>
          <w:iCs/>
          <w:sz w:val="18"/>
          <w:szCs w:val="20"/>
        </w:rPr>
      </w:pPr>
      <w:r w:rsidRPr="00EA0281">
        <w:rPr>
          <w:b/>
          <w:bCs/>
          <w:sz w:val="18"/>
          <w:szCs w:val="20"/>
        </w:rPr>
        <w:t xml:space="preserve">Table </w:t>
      </w:r>
      <w:r w:rsidRPr="00EA0281">
        <w:rPr>
          <w:b/>
          <w:bCs/>
          <w:sz w:val="18"/>
          <w:szCs w:val="20"/>
        </w:rPr>
        <w:fldChar w:fldCharType="begin"/>
      </w:r>
      <w:r w:rsidRPr="00EA0281">
        <w:rPr>
          <w:b/>
          <w:bCs/>
          <w:sz w:val="18"/>
          <w:szCs w:val="20"/>
        </w:rPr>
        <w:instrText xml:space="preserve"> SEQ Table \* ARABIC </w:instrText>
      </w:r>
      <w:r w:rsidRPr="00EA0281">
        <w:rPr>
          <w:b/>
          <w:bCs/>
          <w:sz w:val="18"/>
          <w:szCs w:val="20"/>
        </w:rPr>
        <w:fldChar w:fldCharType="separate"/>
      </w:r>
      <w:r w:rsidR="00EA0281">
        <w:rPr>
          <w:b/>
          <w:bCs/>
          <w:noProof/>
          <w:sz w:val="18"/>
          <w:szCs w:val="20"/>
        </w:rPr>
        <w:t>4</w:t>
      </w:r>
      <w:r w:rsidRPr="00EA0281">
        <w:rPr>
          <w:b/>
          <w:bCs/>
          <w:sz w:val="18"/>
          <w:szCs w:val="20"/>
        </w:rPr>
        <w:fldChar w:fldCharType="end"/>
      </w:r>
      <w:r w:rsidRPr="00EA0281">
        <w:rPr>
          <w:b/>
          <w:bCs/>
          <w:sz w:val="18"/>
          <w:szCs w:val="20"/>
        </w:rPr>
        <w:t xml:space="preserve">: </w:t>
      </w:r>
      <w:r w:rsidR="00477CD7" w:rsidRPr="00EA0281">
        <w:rPr>
          <w:b/>
          <w:bCs/>
          <w:sz w:val="18"/>
          <w:szCs w:val="20"/>
        </w:rPr>
        <w:t>Change</w:t>
      </w:r>
      <w:r w:rsidR="00477CD7">
        <w:rPr>
          <w:b/>
          <w:bCs/>
          <w:sz w:val="18"/>
          <w:szCs w:val="20"/>
        </w:rPr>
        <w:t xml:space="preserve"> in Wellbeing Star category scores between first and second score</w:t>
      </w:r>
      <w:r w:rsidR="008A3A19">
        <w:rPr>
          <w:b/>
          <w:bCs/>
          <w:sz w:val="18"/>
          <w:szCs w:val="20"/>
        </w:rPr>
        <w:t xml:space="preserve"> (n = 99)</w:t>
      </w:r>
      <w:r w:rsidR="00EA0281">
        <w:rPr>
          <w:b/>
          <w:bCs/>
          <w:sz w:val="18"/>
          <w:szCs w:val="20"/>
        </w:rPr>
        <w:t>.</w:t>
      </w:r>
    </w:p>
    <w:tbl>
      <w:tblPr>
        <w:tblStyle w:val="TableGrid"/>
        <w:tblW w:w="7083" w:type="dxa"/>
        <w:tblLook w:val="04A0" w:firstRow="1" w:lastRow="0" w:firstColumn="1" w:lastColumn="0" w:noHBand="0" w:noVBand="1"/>
      </w:tblPr>
      <w:tblGrid>
        <w:gridCol w:w="2405"/>
        <w:gridCol w:w="2268"/>
        <w:gridCol w:w="2410"/>
      </w:tblGrid>
      <w:tr w:rsidR="00477CD7" w14:paraId="1EFE5395" w14:textId="7A584A59" w:rsidTr="003C0E1E">
        <w:tc>
          <w:tcPr>
            <w:tcW w:w="2405" w:type="dxa"/>
          </w:tcPr>
          <w:p w14:paraId="0B9EEFBD" w14:textId="1A145CEF" w:rsidR="00477CD7" w:rsidRPr="00F83D85" w:rsidRDefault="00477CD7" w:rsidP="00F113EF">
            <w:pPr>
              <w:rPr>
                <w:rFonts w:eastAsia="Times New Roman"/>
                <w:b/>
                <w:bCs/>
                <w:iCs/>
                <w:sz w:val="16"/>
                <w:szCs w:val="18"/>
              </w:rPr>
            </w:pPr>
            <w:r w:rsidRPr="00F83D85">
              <w:rPr>
                <w:rFonts w:eastAsia="Times New Roman"/>
                <w:b/>
                <w:bCs/>
                <w:iCs/>
                <w:sz w:val="16"/>
                <w:szCs w:val="18"/>
              </w:rPr>
              <w:t>C</w:t>
            </w:r>
            <w:r w:rsidRPr="00F83D85">
              <w:rPr>
                <w:rFonts w:eastAsia="Times New Roman"/>
                <w:b/>
                <w:bCs/>
                <w:sz w:val="16"/>
                <w:szCs w:val="18"/>
              </w:rPr>
              <w:t>ategory</w:t>
            </w:r>
          </w:p>
        </w:tc>
        <w:tc>
          <w:tcPr>
            <w:tcW w:w="2268" w:type="dxa"/>
          </w:tcPr>
          <w:p w14:paraId="6B6FABCA" w14:textId="51E1744D" w:rsidR="00477CD7" w:rsidRPr="00F83D85" w:rsidRDefault="003C0E1E" w:rsidP="00F113EF">
            <w:pPr>
              <w:rPr>
                <w:rFonts w:eastAsia="Times New Roman"/>
                <w:b/>
                <w:bCs/>
                <w:iCs/>
                <w:sz w:val="16"/>
                <w:szCs w:val="18"/>
              </w:rPr>
            </w:pPr>
            <w:r>
              <w:rPr>
                <w:rFonts w:eastAsia="Times New Roman"/>
                <w:b/>
                <w:bCs/>
                <w:iCs/>
                <w:sz w:val="16"/>
                <w:szCs w:val="18"/>
              </w:rPr>
              <w:t>Percentage</w:t>
            </w:r>
            <w:r w:rsidR="00477CD7" w:rsidRPr="00F83D85">
              <w:rPr>
                <w:rFonts w:eastAsia="Times New Roman"/>
                <w:b/>
                <w:bCs/>
                <w:iCs/>
                <w:sz w:val="16"/>
                <w:szCs w:val="18"/>
              </w:rPr>
              <w:t xml:space="preserve"> (</w:t>
            </w:r>
            <w:r>
              <w:rPr>
                <w:rFonts w:eastAsia="Times New Roman"/>
                <w:b/>
                <w:bCs/>
                <w:iCs/>
                <w:sz w:val="16"/>
                <w:szCs w:val="18"/>
              </w:rPr>
              <w:t>number</w:t>
            </w:r>
            <w:r w:rsidR="00477CD7" w:rsidRPr="00F83D85">
              <w:rPr>
                <w:rFonts w:eastAsia="Times New Roman"/>
                <w:b/>
                <w:bCs/>
                <w:iCs/>
                <w:sz w:val="16"/>
                <w:szCs w:val="18"/>
              </w:rPr>
              <w:t>) that reported</w:t>
            </w:r>
            <w:r w:rsidR="00477CD7">
              <w:rPr>
                <w:rFonts w:eastAsia="Times New Roman"/>
                <w:b/>
                <w:bCs/>
                <w:iCs/>
                <w:sz w:val="16"/>
                <w:szCs w:val="18"/>
              </w:rPr>
              <w:t xml:space="preserve"> a decrease or</w:t>
            </w:r>
            <w:r w:rsidR="00477CD7" w:rsidRPr="00F83D85">
              <w:rPr>
                <w:rFonts w:eastAsia="Times New Roman"/>
                <w:b/>
                <w:bCs/>
                <w:iCs/>
                <w:sz w:val="16"/>
                <w:szCs w:val="18"/>
              </w:rPr>
              <w:t xml:space="preserve"> no change in category score</w:t>
            </w:r>
          </w:p>
        </w:tc>
        <w:tc>
          <w:tcPr>
            <w:tcW w:w="2410" w:type="dxa"/>
          </w:tcPr>
          <w:p w14:paraId="28293191" w14:textId="28F4AC34" w:rsidR="00477CD7" w:rsidRPr="00F83D85" w:rsidRDefault="004E4130" w:rsidP="00F113EF">
            <w:pPr>
              <w:rPr>
                <w:rFonts w:eastAsia="Times New Roman"/>
                <w:b/>
                <w:bCs/>
                <w:iCs/>
                <w:sz w:val="16"/>
                <w:szCs w:val="18"/>
              </w:rPr>
            </w:pPr>
            <w:r>
              <w:rPr>
                <w:rFonts w:eastAsia="Times New Roman"/>
                <w:b/>
                <w:bCs/>
                <w:iCs/>
                <w:sz w:val="16"/>
                <w:szCs w:val="18"/>
              </w:rPr>
              <w:t>Percentage</w:t>
            </w:r>
            <w:r w:rsidR="00477CD7" w:rsidRPr="00F83D85">
              <w:rPr>
                <w:rFonts w:eastAsia="Times New Roman"/>
                <w:b/>
                <w:bCs/>
                <w:iCs/>
                <w:sz w:val="16"/>
                <w:szCs w:val="18"/>
              </w:rPr>
              <w:t xml:space="preserve"> (</w:t>
            </w:r>
            <w:r>
              <w:rPr>
                <w:rFonts w:eastAsia="Times New Roman"/>
                <w:b/>
                <w:bCs/>
                <w:iCs/>
                <w:sz w:val="16"/>
                <w:szCs w:val="18"/>
              </w:rPr>
              <w:t>number</w:t>
            </w:r>
            <w:r w:rsidR="00477CD7" w:rsidRPr="00F83D85">
              <w:rPr>
                <w:rFonts w:eastAsia="Times New Roman"/>
                <w:b/>
                <w:bCs/>
                <w:iCs/>
                <w:sz w:val="16"/>
                <w:szCs w:val="18"/>
              </w:rPr>
              <w:t>) that reported a positive change in category score</w:t>
            </w:r>
          </w:p>
        </w:tc>
      </w:tr>
      <w:tr w:rsidR="00477CD7" w14:paraId="3E5C6451" w14:textId="4F5F5D9E" w:rsidTr="003C0E1E">
        <w:tc>
          <w:tcPr>
            <w:tcW w:w="2405" w:type="dxa"/>
          </w:tcPr>
          <w:p w14:paraId="1DD92B89" w14:textId="0E1256E9" w:rsidR="00477CD7" w:rsidRPr="003C0E1E" w:rsidRDefault="00477CD7" w:rsidP="006B20F6">
            <w:pPr>
              <w:rPr>
                <w:rFonts w:eastAsia="Times New Roman"/>
                <w:b/>
                <w:bCs/>
                <w:iCs/>
                <w:szCs w:val="20"/>
              </w:rPr>
            </w:pPr>
            <w:r w:rsidRPr="003C0E1E">
              <w:rPr>
                <w:rFonts w:eastAsia="Times New Roman"/>
                <w:b/>
                <w:bCs/>
                <w:iCs/>
                <w:sz w:val="16"/>
                <w:szCs w:val="18"/>
              </w:rPr>
              <w:t>1: Your Lifestyle</w:t>
            </w:r>
          </w:p>
        </w:tc>
        <w:tc>
          <w:tcPr>
            <w:tcW w:w="2268" w:type="dxa"/>
          </w:tcPr>
          <w:p w14:paraId="445C5EF7" w14:textId="66EBC0AC" w:rsidR="00477CD7" w:rsidRPr="00C47E9D" w:rsidRDefault="00477CD7" w:rsidP="006B20F6">
            <w:pPr>
              <w:rPr>
                <w:rFonts w:eastAsia="Times New Roman"/>
                <w:iCs/>
                <w:sz w:val="16"/>
                <w:szCs w:val="18"/>
              </w:rPr>
            </w:pPr>
            <w:r w:rsidRPr="00C47E9D">
              <w:rPr>
                <w:rFonts w:eastAsia="Times New Roman"/>
                <w:iCs/>
                <w:sz w:val="16"/>
                <w:szCs w:val="18"/>
              </w:rPr>
              <w:t>2</w:t>
            </w:r>
            <w:r w:rsidR="00C47E9D" w:rsidRPr="00C47E9D">
              <w:rPr>
                <w:rFonts w:eastAsia="Times New Roman"/>
                <w:iCs/>
                <w:sz w:val="16"/>
                <w:szCs w:val="18"/>
              </w:rPr>
              <w:t>7</w:t>
            </w:r>
            <w:r w:rsidRPr="00C47E9D">
              <w:rPr>
                <w:rFonts w:eastAsia="Times New Roman"/>
                <w:iCs/>
                <w:sz w:val="16"/>
                <w:szCs w:val="18"/>
              </w:rPr>
              <w:t>.</w:t>
            </w:r>
            <w:r w:rsidR="00C47E9D" w:rsidRPr="00C47E9D">
              <w:rPr>
                <w:rFonts w:eastAsia="Times New Roman"/>
                <w:iCs/>
                <w:sz w:val="16"/>
                <w:szCs w:val="18"/>
              </w:rPr>
              <w:t>3</w:t>
            </w:r>
            <w:r w:rsidRPr="00C47E9D">
              <w:rPr>
                <w:rFonts w:eastAsia="Times New Roman"/>
                <w:iCs/>
                <w:sz w:val="16"/>
                <w:szCs w:val="18"/>
              </w:rPr>
              <w:t>%</w:t>
            </w:r>
            <w:r w:rsidR="003C0E1E">
              <w:rPr>
                <w:rFonts w:eastAsia="Times New Roman"/>
                <w:iCs/>
                <w:sz w:val="16"/>
                <w:szCs w:val="18"/>
              </w:rPr>
              <w:t xml:space="preserve"> (27)</w:t>
            </w:r>
          </w:p>
        </w:tc>
        <w:tc>
          <w:tcPr>
            <w:tcW w:w="2410" w:type="dxa"/>
          </w:tcPr>
          <w:p w14:paraId="18975D5A" w14:textId="0013450A" w:rsidR="00477CD7" w:rsidRPr="00C47E9D" w:rsidRDefault="00477CD7" w:rsidP="006B20F6">
            <w:pPr>
              <w:rPr>
                <w:rFonts w:eastAsia="Times New Roman"/>
                <w:iCs/>
                <w:sz w:val="16"/>
                <w:szCs w:val="18"/>
              </w:rPr>
            </w:pPr>
            <w:r w:rsidRPr="00C47E9D">
              <w:rPr>
                <w:rFonts w:eastAsia="Times New Roman"/>
                <w:iCs/>
                <w:sz w:val="16"/>
                <w:szCs w:val="18"/>
              </w:rPr>
              <w:t>7</w:t>
            </w:r>
            <w:r w:rsidR="00C47E9D" w:rsidRPr="00C47E9D">
              <w:rPr>
                <w:rFonts w:eastAsia="Times New Roman"/>
                <w:iCs/>
                <w:sz w:val="16"/>
                <w:szCs w:val="18"/>
              </w:rPr>
              <w:t>2</w:t>
            </w:r>
            <w:r w:rsidRPr="00C47E9D">
              <w:rPr>
                <w:rFonts w:eastAsia="Times New Roman"/>
                <w:iCs/>
                <w:sz w:val="16"/>
                <w:szCs w:val="18"/>
              </w:rPr>
              <w:t>.7%</w:t>
            </w:r>
            <w:r w:rsidR="003C0E1E">
              <w:rPr>
                <w:rFonts w:eastAsia="Times New Roman"/>
                <w:iCs/>
                <w:sz w:val="16"/>
                <w:szCs w:val="18"/>
              </w:rPr>
              <w:t xml:space="preserve"> (72)</w:t>
            </w:r>
          </w:p>
        </w:tc>
      </w:tr>
      <w:tr w:rsidR="00477CD7" w14:paraId="6D230337" w14:textId="01E50F34" w:rsidTr="003C0E1E">
        <w:tc>
          <w:tcPr>
            <w:tcW w:w="2405" w:type="dxa"/>
          </w:tcPr>
          <w:p w14:paraId="79813A1C" w14:textId="709CD599" w:rsidR="00477CD7" w:rsidRPr="003C0E1E" w:rsidRDefault="00477CD7" w:rsidP="006B20F6">
            <w:pPr>
              <w:rPr>
                <w:rFonts w:eastAsia="Times New Roman"/>
                <w:b/>
                <w:bCs/>
                <w:iCs/>
                <w:szCs w:val="20"/>
              </w:rPr>
            </w:pPr>
            <w:r w:rsidRPr="003C0E1E">
              <w:rPr>
                <w:rFonts w:eastAsia="Times New Roman"/>
                <w:b/>
                <w:bCs/>
                <w:iCs/>
                <w:sz w:val="16"/>
                <w:szCs w:val="18"/>
              </w:rPr>
              <w:t>2: Looking After Yourself</w:t>
            </w:r>
          </w:p>
        </w:tc>
        <w:tc>
          <w:tcPr>
            <w:tcW w:w="2268" w:type="dxa"/>
          </w:tcPr>
          <w:p w14:paraId="61E2F641" w14:textId="7C755B6D" w:rsidR="00477CD7" w:rsidRPr="007F7045" w:rsidRDefault="007F7045" w:rsidP="006B20F6">
            <w:pPr>
              <w:rPr>
                <w:rFonts w:eastAsia="Times New Roman"/>
                <w:iCs/>
                <w:sz w:val="16"/>
                <w:szCs w:val="18"/>
              </w:rPr>
            </w:pPr>
            <w:r w:rsidRPr="007F7045">
              <w:rPr>
                <w:rFonts w:eastAsia="Times New Roman"/>
                <w:iCs/>
                <w:sz w:val="16"/>
                <w:szCs w:val="18"/>
              </w:rPr>
              <w:t>42.4</w:t>
            </w:r>
            <w:r w:rsidR="00477CD7" w:rsidRPr="007F7045">
              <w:rPr>
                <w:rFonts w:eastAsia="Times New Roman"/>
                <w:iCs/>
                <w:sz w:val="16"/>
                <w:szCs w:val="18"/>
              </w:rPr>
              <w:t>%</w:t>
            </w:r>
            <w:r w:rsidR="003C0E1E">
              <w:rPr>
                <w:rFonts w:eastAsia="Times New Roman"/>
                <w:iCs/>
                <w:sz w:val="16"/>
                <w:szCs w:val="18"/>
              </w:rPr>
              <w:t xml:space="preserve"> (42)</w:t>
            </w:r>
          </w:p>
        </w:tc>
        <w:tc>
          <w:tcPr>
            <w:tcW w:w="2410" w:type="dxa"/>
          </w:tcPr>
          <w:p w14:paraId="4B84F8A2" w14:textId="63003996" w:rsidR="00477CD7" w:rsidRPr="007F7045" w:rsidRDefault="00477CD7" w:rsidP="006B20F6">
            <w:pPr>
              <w:rPr>
                <w:rFonts w:eastAsia="Times New Roman"/>
                <w:iCs/>
                <w:sz w:val="16"/>
                <w:szCs w:val="18"/>
              </w:rPr>
            </w:pPr>
            <w:r w:rsidRPr="007F7045">
              <w:rPr>
                <w:rFonts w:eastAsia="Times New Roman"/>
                <w:iCs/>
                <w:sz w:val="16"/>
                <w:szCs w:val="18"/>
              </w:rPr>
              <w:t>57.6%</w:t>
            </w:r>
            <w:r w:rsidR="003C0E1E">
              <w:rPr>
                <w:rFonts w:eastAsia="Times New Roman"/>
                <w:iCs/>
                <w:sz w:val="16"/>
                <w:szCs w:val="18"/>
              </w:rPr>
              <w:t xml:space="preserve"> (57)</w:t>
            </w:r>
          </w:p>
        </w:tc>
      </w:tr>
      <w:tr w:rsidR="00477CD7" w14:paraId="74BE14E3" w14:textId="47434847" w:rsidTr="003C0E1E">
        <w:tc>
          <w:tcPr>
            <w:tcW w:w="2405" w:type="dxa"/>
          </w:tcPr>
          <w:p w14:paraId="733F57F4" w14:textId="4BBB4E2F" w:rsidR="00477CD7" w:rsidRPr="003C0E1E" w:rsidRDefault="00477CD7" w:rsidP="006B20F6">
            <w:pPr>
              <w:rPr>
                <w:rFonts w:eastAsia="Times New Roman"/>
                <w:b/>
                <w:bCs/>
                <w:iCs/>
                <w:szCs w:val="20"/>
              </w:rPr>
            </w:pPr>
            <w:r w:rsidRPr="003C0E1E">
              <w:rPr>
                <w:rFonts w:eastAsia="Times New Roman"/>
                <w:b/>
                <w:bCs/>
                <w:iCs/>
                <w:sz w:val="16"/>
                <w:szCs w:val="18"/>
              </w:rPr>
              <w:t>3: Managing Symptoms</w:t>
            </w:r>
          </w:p>
        </w:tc>
        <w:tc>
          <w:tcPr>
            <w:tcW w:w="2268" w:type="dxa"/>
          </w:tcPr>
          <w:p w14:paraId="43E6F9C9" w14:textId="3944CD92" w:rsidR="00477CD7" w:rsidRPr="007F7045" w:rsidRDefault="007F7045" w:rsidP="006B20F6">
            <w:pPr>
              <w:rPr>
                <w:rFonts w:eastAsia="Times New Roman"/>
                <w:iCs/>
                <w:sz w:val="16"/>
                <w:szCs w:val="18"/>
              </w:rPr>
            </w:pPr>
            <w:r w:rsidRPr="007F7045">
              <w:rPr>
                <w:rFonts w:eastAsia="Times New Roman"/>
                <w:iCs/>
                <w:sz w:val="16"/>
                <w:szCs w:val="18"/>
              </w:rPr>
              <w:t>33</w:t>
            </w:r>
            <w:r w:rsidR="00477CD7" w:rsidRPr="007F7045">
              <w:rPr>
                <w:rFonts w:eastAsia="Times New Roman"/>
                <w:iCs/>
                <w:sz w:val="16"/>
                <w:szCs w:val="18"/>
              </w:rPr>
              <w:t>.3%</w:t>
            </w:r>
            <w:r w:rsidR="003C0E1E">
              <w:rPr>
                <w:rFonts w:eastAsia="Times New Roman"/>
                <w:iCs/>
                <w:sz w:val="16"/>
                <w:szCs w:val="18"/>
              </w:rPr>
              <w:t xml:space="preserve"> (33)</w:t>
            </w:r>
          </w:p>
        </w:tc>
        <w:tc>
          <w:tcPr>
            <w:tcW w:w="2410" w:type="dxa"/>
          </w:tcPr>
          <w:p w14:paraId="7B38AC13" w14:textId="694BA015" w:rsidR="00477CD7" w:rsidRPr="007F7045" w:rsidRDefault="00477CD7" w:rsidP="006B20F6">
            <w:pPr>
              <w:rPr>
                <w:rFonts w:eastAsia="Times New Roman"/>
                <w:iCs/>
                <w:sz w:val="16"/>
                <w:szCs w:val="18"/>
              </w:rPr>
            </w:pPr>
            <w:r w:rsidRPr="007F7045">
              <w:rPr>
                <w:rFonts w:eastAsia="Times New Roman"/>
                <w:iCs/>
                <w:sz w:val="16"/>
                <w:szCs w:val="18"/>
              </w:rPr>
              <w:t>6</w:t>
            </w:r>
            <w:r w:rsidR="007F7045" w:rsidRPr="007F7045">
              <w:rPr>
                <w:rFonts w:eastAsia="Times New Roman"/>
                <w:iCs/>
                <w:sz w:val="16"/>
                <w:szCs w:val="18"/>
              </w:rPr>
              <w:t>6</w:t>
            </w:r>
            <w:r w:rsidRPr="007F7045">
              <w:rPr>
                <w:rFonts w:eastAsia="Times New Roman"/>
                <w:iCs/>
                <w:sz w:val="16"/>
                <w:szCs w:val="18"/>
              </w:rPr>
              <w:t>.7%</w:t>
            </w:r>
            <w:r w:rsidR="003C0E1E">
              <w:rPr>
                <w:rFonts w:eastAsia="Times New Roman"/>
                <w:iCs/>
                <w:sz w:val="16"/>
                <w:szCs w:val="18"/>
              </w:rPr>
              <w:t xml:space="preserve"> (66)</w:t>
            </w:r>
          </w:p>
        </w:tc>
      </w:tr>
      <w:tr w:rsidR="007F7045" w14:paraId="0E74F69F" w14:textId="482E3E67" w:rsidTr="003C0E1E">
        <w:tc>
          <w:tcPr>
            <w:tcW w:w="2405" w:type="dxa"/>
          </w:tcPr>
          <w:p w14:paraId="3B344DC3" w14:textId="6BB347CC" w:rsidR="007F7045" w:rsidRPr="003C0E1E" w:rsidRDefault="007F7045" w:rsidP="007F7045">
            <w:pPr>
              <w:rPr>
                <w:rFonts w:eastAsia="Times New Roman"/>
                <w:b/>
                <w:bCs/>
                <w:iCs/>
                <w:szCs w:val="20"/>
              </w:rPr>
            </w:pPr>
            <w:r w:rsidRPr="003C0E1E">
              <w:rPr>
                <w:rFonts w:eastAsia="Times New Roman"/>
                <w:b/>
                <w:bCs/>
                <w:iCs/>
                <w:sz w:val="16"/>
                <w:szCs w:val="18"/>
              </w:rPr>
              <w:t>4: Work, Volunteering, Other Activities</w:t>
            </w:r>
          </w:p>
        </w:tc>
        <w:tc>
          <w:tcPr>
            <w:tcW w:w="2268" w:type="dxa"/>
          </w:tcPr>
          <w:p w14:paraId="751F213E" w14:textId="2BC3C074" w:rsidR="007F7045" w:rsidRPr="007F7045" w:rsidRDefault="007F7045" w:rsidP="007F7045">
            <w:pPr>
              <w:rPr>
                <w:rFonts w:eastAsia="Times New Roman"/>
                <w:iCs/>
                <w:sz w:val="16"/>
                <w:szCs w:val="18"/>
              </w:rPr>
            </w:pPr>
            <w:r w:rsidRPr="007F7045">
              <w:rPr>
                <w:rFonts w:eastAsia="Times New Roman"/>
                <w:iCs/>
                <w:sz w:val="16"/>
                <w:szCs w:val="18"/>
              </w:rPr>
              <w:t>33.3%</w:t>
            </w:r>
            <w:r w:rsidR="003C0E1E">
              <w:rPr>
                <w:rFonts w:eastAsia="Times New Roman"/>
                <w:iCs/>
                <w:sz w:val="16"/>
                <w:szCs w:val="18"/>
              </w:rPr>
              <w:t xml:space="preserve"> (33)</w:t>
            </w:r>
          </w:p>
        </w:tc>
        <w:tc>
          <w:tcPr>
            <w:tcW w:w="2410" w:type="dxa"/>
          </w:tcPr>
          <w:p w14:paraId="311CC5AB" w14:textId="4A6ED500" w:rsidR="007F7045" w:rsidRPr="007F7045" w:rsidRDefault="007F7045" w:rsidP="007F7045">
            <w:pPr>
              <w:rPr>
                <w:rFonts w:eastAsia="Times New Roman"/>
                <w:iCs/>
                <w:sz w:val="16"/>
                <w:szCs w:val="18"/>
              </w:rPr>
            </w:pPr>
            <w:r w:rsidRPr="007F7045">
              <w:rPr>
                <w:rFonts w:eastAsia="Times New Roman"/>
                <w:iCs/>
                <w:sz w:val="16"/>
                <w:szCs w:val="18"/>
              </w:rPr>
              <w:t>66.7%</w:t>
            </w:r>
            <w:r w:rsidR="003C0E1E">
              <w:rPr>
                <w:rFonts w:eastAsia="Times New Roman"/>
                <w:iCs/>
                <w:sz w:val="16"/>
                <w:szCs w:val="18"/>
              </w:rPr>
              <w:t xml:space="preserve"> (66)</w:t>
            </w:r>
          </w:p>
        </w:tc>
      </w:tr>
      <w:tr w:rsidR="00477CD7" w14:paraId="7B65975B" w14:textId="37D7F934" w:rsidTr="003C0E1E">
        <w:tc>
          <w:tcPr>
            <w:tcW w:w="2405" w:type="dxa"/>
          </w:tcPr>
          <w:p w14:paraId="3825F499" w14:textId="57D65E6F" w:rsidR="00477CD7" w:rsidRPr="003C0E1E" w:rsidRDefault="00477CD7" w:rsidP="006B20F6">
            <w:pPr>
              <w:rPr>
                <w:rFonts w:eastAsia="Times New Roman"/>
                <w:b/>
                <w:bCs/>
                <w:iCs/>
                <w:szCs w:val="20"/>
              </w:rPr>
            </w:pPr>
            <w:r w:rsidRPr="003C0E1E">
              <w:rPr>
                <w:rFonts w:eastAsia="Times New Roman"/>
                <w:b/>
                <w:bCs/>
                <w:iCs/>
                <w:sz w:val="16"/>
                <w:szCs w:val="18"/>
              </w:rPr>
              <w:t>5: Money</w:t>
            </w:r>
          </w:p>
        </w:tc>
        <w:tc>
          <w:tcPr>
            <w:tcW w:w="2268" w:type="dxa"/>
          </w:tcPr>
          <w:p w14:paraId="4DDE00D7" w14:textId="3BB9298C" w:rsidR="00477CD7" w:rsidRPr="007F7045" w:rsidRDefault="00477CD7" w:rsidP="006B20F6">
            <w:pPr>
              <w:rPr>
                <w:rFonts w:eastAsia="Times New Roman"/>
                <w:iCs/>
                <w:sz w:val="16"/>
                <w:szCs w:val="18"/>
              </w:rPr>
            </w:pPr>
            <w:r w:rsidRPr="007F7045">
              <w:rPr>
                <w:rFonts w:eastAsia="Times New Roman"/>
                <w:iCs/>
                <w:sz w:val="16"/>
                <w:szCs w:val="18"/>
              </w:rPr>
              <w:t>5</w:t>
            </w:r>
            <w:r w:rsidR="007F7045" w:rsidRPr="007F7045">
              <w:rPr>
                <w:rFonts w:eastAsia="Times New Roman"/>
                <w:iCs/>
                <w:sz w:val="16"/>
                <w:szCs w:val="18"/>
              </w:rPr>
              <w:t>7.6</w:t>
            </w:r>
            <w:r w:rsidRPr="007F7045">
              <w:rPr>
                <w:rFonts w:eastAsia="Times New Roman"/>
                <w:iCs/>
                <w:sz w:val="16"/>
                <w:szCs w:val="18"/>
              </w:rPr>
              <w:t>%</w:t>
            </w:r>
            <w:r w:rsidR="003C0E1E">
              <w:rPr>
                <w:rFonts w:eastAsia="Times New Roman"/>
                <w:iCs/>
                <w:sz w:val="16"/>
                <w:szCs w:val="18"/>
              </w:rPr>
              <w:t xml:space="preserve"> (57)</w:t>
            </w:r>
          </w:p>
        </w:tc>
        <w:tc>
          <w:tcPr>
            <w:tcW w:w="2410" w:type="dxa"/>
          </w:tcPr>
          <w:p w14:paraId="73800FB0" w14:textId="12FA1A5E" w:rsidR="00477CD7" w:rsidRPr="007F7045" w:rsidRDefault="00477CD7" w:rsidP="006B20F6">
            <w:pPr>
              <w:rPr>
                <w:rFonts w:eastAsia="Times New Roman"/>
                <w:iCs/>
                <w:sz w:val="16"/>
                <w:szCs w:val="18"/>
              </w:rPr>
            </w:pPr>
            <w:r w:rsidRPr="007F7045">
              <w:rPr>
                <w:rFonts w:eastAsia="Times New Roman"/>
                <w:iCs/>
                <w:sz w:val="16"/>
                <w:szCs w:val="18"/>
              </w:rPr>
              <w:t>4</w:t>
            </w:r>
            <w:r w:rsidR="007F7045" w:rsidRPr="007F7045">
              <w:rPr>
                <w:rFonts w:eastAsia="Times New Roman"/>
                <w:iCs/>
                <w:sz w:val="16"/>
                <w:szCs w:val="18"/>
              </w:rPr>
              <w:t>2</w:t>
            </w:r>
            <w:r w:rsidRPr="007F7045">
              <w:rPr>
                <w:rFonts w:eastAsia="Times New Roman"/>
                <w:iCs/>
                <w:sz w:val="16"/>
                <w:szCs w:val="18"/>
              </w:rPr>
              <w:t>.4%</w:t>
            </w:r>
            <w:r w:rsidR="003C0E1E">
              <w:rPr>
                <w:rFonts w:eastAsia="Times New Roman"/>
                <w:iCs/>
                <w:sz w:val="16"/>
                <w:szCs w:val="18"/>
              </w:rPr>
              <w:t xml:space="preserve"> (42)</w:t>
            </w:r>
          </w:p>
        </w:tc>
      </w:tr>
      <w:tr w:rsidR="00477CD7" w14:paraId="654EBC0A" w14:textId="77777777" w:rsidTr="003C0E1E">
        <w:tc>
          <w:tcPr>
            <w:tcW w:w="2405" w:type="dxa"/>
          </w:tcPr>
          <w:p w14:paraId="7FDE3C7A" w14:textId="55F1B5F1" w:rsidR="00477CD7" w:rsidRPr="003C0E1E" w:rsidRDefault="00477CD7" w:rsidP="006B20F6">
            <w:pPr>
              <w:rPr>
                <w:rFonts w:eastAsia="Times New Roman"/>
                <w:b/>
                <w:bCs/>
                <w:iCs/>
                <w:szCs w:val="20"/>
              </w:rPr>
            </w:pPr>
            <w:r w:rsidRPr="003C0E1E">
              <w:rPr>
                <w:rFonts w:eastAsia="Times New Roman"/>
                <w:b/>
                <w:bCs/>
                <w:iCs/>
                <w:sz w:val="16"/>
                <w:szCs w:val="18"/>
              </w:rPr>
              <w:t>6: Where You Live</w:t>
            </w:r>
          </w:p>
        </w:tc>
        <w:tc>
          <w:tcPr>
            <w:tcW w:w="2268" w:type="dxa"/>
          </w:tcPr>
          <w:p w14:paraId="766FE304" w14:textId="60694386" w:rsidR="00477CD7" w:rsidRPr="00F77A3B" w:rsidRDefault="007F7045" w:rsidP="006B20F6">
            <w:pPr>
              <w:rPr>
                <w:rFonts w:eastAsia="Times New Roman"/>
                <w:iCs/>
                <w:sz w:val="16"/>
                <w:szCs w:val="18"/>
              </w:rPr>
            </w:pPr>
            <w:r w:rsidRPr="00F77A3B">
              <w:rPr>
                <w:rFonts w:eastAsia="Times New Roman"/>
                <w:iCs/>
                <w:sz w:val="16"/>
                <w:szCs w:val="18"/>
              </w:rPr>
              <w:t>75.</w:t>
            </w:r>
            <w:r w:rsidR="00F77A3B" w:rsidRPr="00F77A3B">
              <w:rPr>
                <w:rFonts w:eastAsia="Times New Roman"/>
                <w:iCs/>
                <w:sz w:val="16"/>
                <w:szCs w:val="18"/>
              </w:rPr>
              <w:t>8</w:t>
            </w:r>
            <w:r w:rsidR="00477CD7" w:rsidRPr="00F77A3B">
              <w:rPr>
                <w:rFonts w:eastAsia="Times New Roman"/>
                <w:iCs/>
                <w:sz w:val="16"/>
                <w:szCs w:val="18"/>
              </w:rPr>
              <w:t>%</w:t>
            </w:r>
            <w:r w:rsidR="003C0E1E">
              <w:rPr>
                <w:rFonts w:eastAsia="Times New Roman"/>
                <w:iCs/>
                <w:sz w:val="16"/>
                <w:szCs w:val="18"/>
              </w:rPr>
              <w:t xml:space="preserve"> (75)</w:t>
            </w:r>
          </w:p>
        </w:tc>
        <w:tc>
          <w:tcPr>
            <w:tcW w:w="2410" w:type="dxa"/>
          </w:tcPr>
          <w:p w14:paraId="3D64F66E" w14:textId="1BF41999" w:rsidR="00477CD7" w:rsidRPr="00F77A3B" w:rsidRDefault="00477CD7" w:rsidP="006B20F6">
            <w:pPr>
              <w:rPr>
                <w:rFonts w:eastAsia="Times New Roman"/>
                <w:iCs/>
                <w:sz w:val="16"/>
                <w:szCs w:val="18"/>
              </w:rPr>
            </w:pPr>
            <w:r w:rsidRPr="00F77A3B">
              <w:rPr>
                <w:rFonts w:eastAsia="Times New Roman"/>
                <w:iCs/>
                <w:sz w:val="16"/>
                <w:szCs w:val="18"/>
              </w:rPr>
              <w:t>2</w:t>
            </w:r>
            <w:r w:rsidR="00F77A3B" w:rsidRPr="00F77A3B">
              <w:rPr>
                <w:rFonts w:eastAsia="Times New Roman"/>
                <w:iCs/>
                <w:sz w:val="16"/>
                <w:szCs w:val="18"/>
              </w:rPr>
              <w:t>4</w:t>
            </w:r>
            <w:r w:rsidRPr="00F77A3B">
              <w:rPr>
                <w:rFonts w:eastAsia="Times New Roman"/>
                <w:iCs/>
                <w:sz w:val="16"/>
                <w:szCs w:val="18"/>
              </w:rPr>
              <w:t>.2%</w:t>
            </w:r>
            <w:r w:rsidR="003C0E1E">
              <w:rPr>
                <w:rFonts w:eastAsia="Times New Roman"/>
                <w:iCs/>
                <w:sz w:val="16"/>
                <w:szCs w:val="18"/>
              </w:rPr>
              <w:t xml:space="preserve"> (24)</w:t>
            </w:r>
          </w:p>
        </w:tc>
      </w:tr>
      <w:tr w:rsidR="00477CD7" w14:paraId="40A75084" w14:textId="77777777" w:rsidTr="003C0E1E">
        <w:tc>
          <w:tcPr>
            <w:tcW w:w="2405" w:type="dxa"/>
          </w:tcPr>
          <w:p w14:paraId="6170303E" w14:textId="34DDD4CA" w:rsidR="00477CD7" w:rsidRPr="003C0E1E" w:rsidRDefault="00477CD7" w:rsidP="006B20F6">
            <w:pPr>
              <w:rPr>
                <w:rFonts w:eastAsia="Times New Roman"/>
                <w:b/>
                <w:bCs/>
                <w:iCs/>
                <w:szCs w:val="20"/>
              </w:rPr>
            </w:pPr>
            <w:r w:rsidRPr="003C0E1E">
              <w:rPr>
                <w:rFonts w:eastAsia="Times New Roman"/>
                <w:b/>
                <w:bCs/>
                <w:iCs/>
                <w:sz w:val="16"/>
                <w:szCs w:val="18"/>
              </w:rPr>
              <w:t>7: Family and Friends</w:t>
            </w:r>
          </w:p>
        </w:tc>
        <w:tc>
          <w:tcPr>
            <w:tcW w:w="2268" w:type="dxa"/>
          </w:tcPr>
          <w:p w14:paraId="73DA8D97" w14:textId="0662592D" w:rsidR="00477CD7" w:rsidRPr="00F77A3B" w:rsidRDefault="00F77A3B" w:rsidP="006B20F6">
            <w:pPr>
              <w:rPr>
                <w:rFonts w:eastAsia="Times New Roman"/>
                <w:iCs/>
                <w:sz w:val="16"/>
                <w:szCs w:val="18"/>
              </w:rPr>
            </w:pPr>
            <w:r w:rsidRPr="00F77A3B">
              <w:rPr>
                <w:rFonts w:eastAsia="Times New Roman"/>
                <w:iCs/>
                <w:sz w:val="16"/>
                <w:szCs w:val="18"/>
              </w:rPr>
              <w:t>51.5</w:t>
            </w:r>
            <w:r w:rsidR="00477CD7" w:rsidRPr="00F77A3B">
              <w:rPr>
                <w:rFonts w:eastAsia="Times New Roman"/>
                <w:iCs/>
                <w:sz w:val="16"/>
                <w:szCs w:val="18"/>
              </w:rPr>
              <w:t>%</w:t>
            </w:r>
            <w:r w:rsidR="003C0E1E">
              <w:rPr>
                <w:rFonts w:eastAsia="Times New Roman"/>
                <w:iCs/>
                <w:sz w:val="16"/>
                <w:szCs w:val="18"/>
              </w:rPr>
              <w:t xml:space="preserve"> (51)</w:t>
            </w:r>
          </w:p>
        </w:tc>
        <w:tc>
          <w:tcPr>
            <w:tcW w:w="2410" w:type="dxa"/>
          </w:tcPr>
          <w:p w14:paraId="2276BFC3" w14:textId="0295A400" w:rsidR="00477CD7" w:rsidRPr="00F77A3B" w:rsidRDefault="00477CD7" w:rsidP="006B20F6">
            <w:pPr>
              <w:rPr>
                <w:rFonts w:eastAsia="Times New Roman"/>
                <w:iCs/>
                <w:sz w:val="16"/>
                <w:szCs w:val="18"/>
              </w:rPr>
            </w:pPr>
            <w:r w:rsidRPr="00F77A3B">
              <w:rPr>
                <w:rFonts w:eastAsia="Times New Roman"/>
                <w:iCs/>
                <w:sz w:val="16"/>
                <w:szCs w:val="18"/>
              </w:rPr>
              <w:t>48.5%</w:t>
            </w:r>
            <w:r w:rsidR="003C0E1E">
              <w:rPr>
                <w:rFonts w:eastAsia="Times New Roman"/>
                <w:iCs/>
                <w:sz w:val="16"/>
                <w:szCs w:val="18"/>
              </w:rPr>
              <w:t xml:space="preserve"> (48)</w:t>
            </w:r>
          </w:p>
        </w:tc>
      </w:tr>
      <w:tr w:rsidR="00477CD7" w14:paraId="202217CE" w14:textId="77777777" w:rsidTr="003C0E1E">
        <w:tc>
          <w:tcPr>
            <w:tcW w:w="2405" w:type="dxa"/>
          </w:tcPr>
          <w:p w14:paraId="6248E9D4" w14:textId="3D3914FC" w:rsidR="00477CD7" w:rsidRPr="003C0E1E" w:rsidRDefault="00477CD7" w:rsidP="006B20F6">
            <w:pPr>
              <w:rPr>
                <w:rFonts w:eastAsia="Times New Roman"/>
                <w:b/>
                <w:bCs/>
                <w:iCs/>
                <w:szCs w:val="20"/>
              </w:rPr>
            </w:pPr>
            <w:r w:rsidRPr="003C0E1E">
              <w:rPr>
                <w:rFonts w:eastAsia="Times New Roman"/>
                <w:b/>
                <w:bCs/>
                <w:iCs/>
                <w:sz w:val="16"/>
                <w:szCs w:val="18"/>
              </w:rPr>
              <w:t>8: Feeling Positive</w:t>
            </w:r>
          </w:p>
        </w:tc>
        <w:tc>
          <w:tcPr>
            <w:tcW w:w="2268" w:type="dxa"/>
          </w:tcPr>
          <w:p w14:paraId="3DF4AEFD" w14:textId="3C26BF66" w:rsidR="00477CD7" w:rsidRPr="00F77A3B" w:rsidRDefault="00477CD7" w:rsidP="006B20F6">
            <w:pPr>
              <w:rPr>
                <w:rFonts w:eastAsia="Times New Roman"/>
                <w:iCs/>
                <w:sz w:val="16"/>
                <w:szCs w:val="18"/>
              </w:rPr>
            </w:pPr>
            <w:r w:rsidRPr="00F77A3B">
              <w:rPr>
                <w:rFonts w:eastAsia="Times New Roman"/>
                <w:iCs/>
                <w:sz w:val="16"/>
                <w:szCs w:val="18"/>
              </w:rPr>
              <w:t>2</w:t>
            </w:r>
            <w:r w:rsidR="00F77A3B" w:rsidRPr="00F77A3B">
              <w:rPr>
                <w:rFonts w:eastAsia="Times New Roman"/>
                <w:iCs/>
                <w:sz w:val="16"/>
                <w:szCs w:val="18"/>
              </w:rPr>
              <w:t>7</w:t>
            </w:r>
            <w:r w:rsidRPr="00F77A3B">
              <w:rPr>
                <w:rFonts w:eastAsia="Times New Roman"/>
                <w:iCs/>
                <w:sz w:val="16"/>
                <w:szCs w:val="18"/>
              </w:rPr>
              <w:t>.3%</w:t>
            </w:r>
            <w:r w:rsidR="003C0E1E">
              <w:rPr>
                <w:rFonts w:eastAsia="Times New Roman"/>
                <w:iCs/>
                <w:sz w:val="16"/>
                <w:szCs w:val="18"/>
              </w:rPr>
              <w:t xml:space="preserve"> (27)</w:t>
            </w:r>
          </w:p>
        </w:tc>
        <w:tc>
          <w:tcPr>
            <w:tcW w:w="2410" w:type="dxa"/>
          </w:tcPr>
          <w:p w14:paraId="6EE9F327" w14:textId="55146ADD" w:rsidR="00477CD7" w:rsidRPr="00F77A3B" w:rsidRDefault="00477CD7" w:rsidP="006B20F6">
            <w:pPr>
              <w:rPr>
                <w:rFonts w:eastAsia="Times New Roman"/>
                <w:iCs/>
                <w:sz w:val="16"/>
                <w:szCs w:val="18"/>
              </w:rPr>
            </w:pPr>
            <w:r w:rsidRPr="00F77A3B">
              <w:rPr>
                <w:rFonts w:eastAsia="Times New Roman"/>
                <w:iCs/>
                <w:sz w:val="16"/>
                <w:szCs w:val="18"/>
              </w:rPr>
              <w:t>72.7%</w:t>
            </w:r>
            <w:r w:rsidR="003C0E1E">
              <w:rPr>
                <w:rFonts w:eastAsia="Times New Roman"/>
                <w:iCs/>
                <w:sz w:val="16"/>
                <w:szCs w:val="18"/>
              </w:rPr>
              <w:t xml:space="preserve"> (72)</w:t>
            </w:r>
          </w:p>
        </w:tc>
      </w:tr>
    </w:tbl>
    <w:p w14:paraId="4EFAA4E4" w14:textId="6ACB2306" w:rsidR="006B20F6" w:rsidRPr="00AA2391" w:rsidRDefault="00AA2391" w:rsidP="00F113EF">
      <w:pPr>
        <w:rPr>
          <w:sz w:val="16"/>
          <w:szCs w:val="18"/>
        </w:rPr>
      </w:pPr>
      <w:r w:rsidRPr="00AA2391">
        <w:rPr>
          <w:sz w:val="16"/>
          <w:szCs w:val="18"/>
        </w:rPr>
        <w:t>Note: Percentages may not add to 100 percent due to rounding.</w:t>
      </w:r>
    </w:p>
    <w:p w14:paraId="0B31E317" w14:textId="3A16497F" w:rsidR="002018EA" w:rsidRDefault="002018EA" w:rsidP="00F113EF">
      <w:pPr>
        <w:rPr>
          <w:rFonts w:eastAsia="Times New Roman"/>
          <w:iCs/>
          <w:szCs w:val="20"/>
        </w:rPr>
      </w:pPr>
    </w:p>
    <w:p w14:paraId="040E5F90" w14:textId="3674C34C" w:rsidR="002018EA" w:rsidRDefault="002018EA" w:rsidP="00F113EF">
      <w:pPr>
        <w:rPr>
          <w:rFonts w:eastAsia="Times New Roman"/>
          <w:iCs/>
          <w:szCs w:val="20"/>
        </w:rPr>
      </w:pPr>
    </w:p>
    <w:p w14:paraId="387505FD" w14:textId="7C738A68" w:rsidR="002018EA" w:rsidRDefault="002018EA" w:rsidP="00F113EF">
      <w:pPr>
        <w:rPr>
          <w:rFonts w:eastAsia="Times New Roman"/>
          <w:iCs/>
          <w:szCs w:val="20"/>
        </w:rPr>
      </w:pPr>
    </w:p>
    <w:p w14:paraId="7791AD44" w14:textId="2AB102B7" w:rsidR="002018EA" w:rsidRDefault="002018EA" w:rsidP="00F113EF">
      <w:pPr>
        <w:rPr>
          <w:rFonts w:eastAsia="Times New Roman"/>
          <w:iCs/>
          <w:szCs w:val="20"/>
        </w:rPr>
      </w:pPr>
    </w:p>
    <w:p w14:paraId="63C1E771" w14:textId="20D8C666" w:rsidR="002018EA" w:rsidRDefault="002018EA" w:rsidP="00F113EF">
      <w:pPr>
        <w:rPr>
          <w:rFonts w:eastAsia="Times New Roman"/>
          <w:iCs/>
          <w:szCs w:val="20"/>
        </w:rPr>
      </w:pPr>
    </w:p>
    <w:p w14:paraId="3740038F" w14:textId="2DD549E2" w:rsidR="002018EA" w:rsidRDefault="002018EA" w:rsidP="00F113EF">
      <w:pPr>
        <w:rPr>
          <w:rFonts w:eastAsia="Times New Roman"/>
          <w:iCs/>
          <w:szCs w:val="20"/>
        </w:rPr>
      </w:pPr>
    </w:p>
    <w:p w14:paraId="0F14698E" w14:textId="5EE3FF19" w:rsidR="001D1AE5" w:rsidRPr="009A5FAE" w:rsidRDefault="00F5681C" w:rsidP="003E0279">
      <w:pPr>
        <w:pStyle w:val="Heading3"/>
      </w:pPr>
      <w:r w:rsidRPr="009A5FAE">
        <w:lastRenderedPageBreak/>
        <w:t xml:space="preserve">There was no </w:t>
      </w:r>
      <w:r w:rsidR="00873363">
        <w:t xml:space="preserve">significant </w:t>
      </w:r>
      <w:r w:rsidRPr="009A5FAE">
        <w:t>change in wh</w:t>
      </w:r>
      <w:r w:rsidR="00544D11" w:rsidRPr="009A5FAE">
        <w:t>ich</w:t>
      </w:r>
      <w:r w:rsidRPr="009A5FAE">
        <w:t xml:space="preserve"> health conditions or disabilities were being reported on participants</w:t>
      </w:r>
      <w:r w:rsidR="00544D11" w:rsidRPr="009A5FAE">
        <w:t>’</w:t>
      </w:r>
      <w:r w:rsidRPr="009A5FAE">
        <w:t xml:space="preserve"> medical certificates.</w:t>
      </w:r>
    </w:p>
    <w:p w14:paraId="6E9D8C1C" w14:textId="6703608C" w:rsidR="00E54BEF" w:rsidRDefault="00E54BEF" w:rsidP="00E54BEF">
      <w:pPr>
        <w:rPr>
          <w:iCs/>
        </w:rPr>
      </w:pPr>
      <w:r>
        <w:rPr>
          <w:iCs/>
        </w:rPr>
        <w:t xml:space="preserve">The evaluation planned to use </w:t>
      </w:r>
      <w:r w:rsidR="00200336" w:rsidRPr="009A5FAE">
        <w:rPr>
          <w:iCs/>
        </w:rPr>
        <w:t xml:space="preserve">any change in </w:t>
      </w:r>
      <w:r w:rsidR="00544D11" w:rsidRPr="009A5FAE">
        <w:rPr>
          <w:iCs/>
        </w:rPr>
        <w:t xml:space="preserve">the </w:t>
      </w:r>
      <w:r w:rsidR="00200336" w:rsidRPr="009A5FAE">
        <w:rPr>
          <w:iCs/>
        </w:rPr>
        <w:t>health conditions or disabilities reported on medical certificates</w:t>
      </w:r>
      <w:r>
        <w:rPr>
          <w:iCs/>
        </w:rPr>
        <w:t xml:space="preserve"> as an indication of potential</w:t>
      </w:r>
      <w:r w:rsidRPr="009A5FAE">
        <w:rPr>
          <w:iCs/>
        </w:rPr>
        <w:t xml:space="preserve"> change</w:t>
      </w:r>
      <w:r>
        <w:rPr>
          <w:iCs/>
        </w:rPr>
        <w:t>s</w:t>
      </w:r>
      <w:r w:rsidRPr="009A5FAE">
        <w:rPr>
          <w:iCs/>
        </w:rPr>
        <w:t xml:space="preserve"> in participants’ health and wellbeing</w:t>
      </w:r>
      <w:r>
        <w:rPr>
          <w:iCs/>
        </w:rPr>
        <w:t>. However, the requirement to provide a medical certificate</w:t>
      </w:r>
      <w:r w:rsidR="002020C4">
        <w:rPr>
          <w:iCs/>
        </w:rPr>
        <w:t xml:space="preserve"> for existing MSD benefit recipients with a medical deferral</w:t>
      </w:r>
      <w:r>
        <w:rPr>
          <w:iCs/>
        </w:rPr>
        <w:t xml:space="preserve"> was removed in </w:t>
      </w:r>
      <w:r w:rsidR="00DC425C">
        <w:rPr>
          <w:iCs/>
        </w:rPr>
        <w:t>response</w:t>
      </w:r>
      <w:r w:rsidRPr="00D66AC5">
        <w:rPr>
          <w:iCs/>
        </w:rPr>
        <w:t xml:space="preserve"> to the impacts of COVID-</w:t>
      </w:r>
      <w:r w:rsidR="002020C4" w:rsidRPr="00D66AC5">
        <w:rPr>
          <w:iCs/>
        </w:rPr>
        <w:t>19</w:t>
      </w:r>
      <w:r w:rsidR="002020C4">
        <w:rPr>
          <w:iCs/>
        </w:rPr>
        <w:t>.</w:t>
      </w:r>
      <w:r w:rsidR="002020C4">
        <w:rPr>
          <w:rStyle w:val="FootnoteReference"/>
          <w:iCs/>
        </w:rPr>
        <w:footnoteReference w:id="22"/>
      </w:r>
      <w:r w:rsidR="002020C4">
        <w:rPr>
          <w:iCs/>
        </w:rPr>
        <w:t xml:space="preserve"> This requirement was never reintroduced</w:t>
      </w:r>
      <w:r w:rsidR="00673888">
        <w:rPr>
          <w:iCs/>
        </w:rPr>
        <w:t xml:space="preserve"> while REACH was still in service</w:t>
      </w:r>
      <w:r w:rsidR="002020C4">
        <w:rPr>
          <w:iCs/>
        </w:rPr>
        <w:t xml:space="preserve"> due to policy changes </w:t>
      </w:r>
      <w:r w:rsidR="0082464B">
        <w:rPr>
          <w:iCs/>
        </w:rPr>
        <w:t>that were introduced in early</w:t>
      </w:r>
      <w:r w:rsidR="002020C4">
        <w:rPr>
          <w:iCs/>
        </w:rPr>
        <w:t xml:space="preserve"> 2022</w:t>
      </w:r>
      <w:r>
        <w:rPr>
          <w:iCs/>
        </w:rPr>
        <w:t>.</w:t>
      </w:r>
      <w:r w:rsidR="002020C4">
        <w:rPr>
          <w:rStyle w:val="FootnoteReference"/>
          <w:iCs/>
        </w:rPr>
        <w:footnoteReference w:id="23"/>
      </w:r>
      <w:r>
        <w:rPr>
          <w:iCs/>
        </w:rPr>
        <w:t xml:space="preserve"> This means that</w:t>
      </w:r>
      <w:r w:rsidRPr="00D66AC5">
        <w:rPr>
          <w:iCs/>
        </w:rPr>
        <w:t xml:space="preserve"> participants wh</w:t>
      </w:r>
      <w:r>
        <w:rPr>
          <w:iCs/>
        </w:rPr>
        <w:t>o</w:t>
      </w:r>
      <w:r w:rsidRPr="00D66AC5">
        <w:rPr>
          <w:iCs/>
        </w:rPr>
        <w:t xml:space="preserve"> may have otherwise provided a medical certificate that would have removed health conditions or cleared them to work, may not have done so.</w:t>
      </w:r>
    </w:p>
    <w:p w14:paraId="5B2B70EF" w14:textId="7F8D0F74" w:rsidR="00A43858" w:rsidRPr="00D66AC5" w:rsidRDefault="002020C4" w:rsidP="008B7E33">
      <w:pPr>
        <w:rPr>
          <w:iCs/>
        </w:rPr>
      </w:pPr>
      <w:r>
        <w:rPr>
          <w:iCs/>
        </w:rPr>
        <w:t xml:space="preserve">However, </w:t>
      </w:r>
      <w:r w:rsidR="003A3445" w:rsidRPr="009A5FAE">
        <w:rPr>
          <w:iCs/>
        </w:rPr>
        <w:fldChar w:fldCharType="begin"/>
      </w:r>
      <w:r w:rsidR="003A3445" w:rsidRPr="009A5FAE">
        <w:rPr>
          <w:iCs/>
        </w:rPr>
        <w:instrText xml:space="preserve"> REF _Ref71640743 \h  \* MERGEFORMAT </w:instrText>
      </w:r>
      <w:r w:rsidR="003A3445" w:rsidRPr="009A5FAE">
        <w:rPr>
          <w:iCs/>
        </w:rPr>
      </w:r>
      <w:r w:rsidR="003A3445" w:rsidRPr="009A5FAE">
        <w:rPr>
          <w:iCs/>
        </w:rPr>
        <w:fldChar w:fldCharType="separate"/>
      </w:r>
      <w:r w:rsidR="00EA0281" w:rsidRPr="00EA0281">
        <w:rPr>
          <w:iCs/>
        </w:rPr>
        <w:t xml:space="preserve">Figure </w:t>
      </w:r>
      <w:r w:rsidR="00EA0281" w:rsidRPr="00EA0281">
        <w:rPr>
          <w:iCs/>
          <w:noProof/>
        </w:rPr>
        <w:t>13</w:t>
      </w:r>
      <w:r w:rsidR="003A3445" w:rsidRPr="009A5FAE">
        <w:rPr>
          <w:iCs/>
        </w:rPr>
        <w:fldChar w:fldCharType="end"/>
      </w:r>
      <w:r w:rsidR="003A3445" w:rsidRPr="009A5FAE">
        <w:rPr>
          <w:iCs/>
        </w:rPr>
        <w:t xml:space="preserve"> </w:t>
      </w:r>
      <w:r w:rsidR="00200336" w:rsidRPr="009A5FAE">
        <w:rPr>
          <w:iCs/>
        </w:rPr>
        <w:t>below shows that between</w:t>
      </w:r>
      <w:r w:rsidR="00200336">
        <w:rPr>
          <w:iCs/>
        </w:rPr>
        <w:t xml:space="preserve"> </w:t>
      </w:r>
      <w:r w:rsidR="00F5681C">
        <w:rPr>
          <w:iCs/>
        </w:rPr>
        <w:t>referral</w:t>
      </w:r>
      <w:r w:rsidR="00200336">
        <w:rPr>
          <w:iCs/>
        </w:rPr>
        <w:t xml:space="preserve"> and exit, there </w:t>
      </w:r>
      <w:r w:rsidR="00E54BEF">
        <w:rPr>
          <w:iCs/>
        </w:rPr>
        <w:t xml:space="preserve">were </w:t>
      </w:r>
      <w:r w:rsidR="009A5FAE">
        <w:rPr>
          <w:iCs/>
        </w:rPr>
        <w:t xml:space="preserve">some small shifts in the number of </w:t>
      </w:r>
      <w:r w:rsidR="008A7547">
        <w:rPr>
          <w:iCs/>
        </w:rPr>
        <w:t>participants</w:t>
      </w:r>
      <w:r w:rsidR="009A5FAE">
        <w:rPr>
          <w:iCs/>
        </w:rPr>
        <w:t xml:space="preserve"> reporting specific health conditions or disabilities. However, none of these shifts were statistically significant. </w:t>
      </w:r>
    </w:p>
    <w:p w14:paraId="068C3049" w14:textId="179727FA" w:rsidR="008209CD" w:rsidRPr="00D70FB0" w:rsidRDefault="008209CD" w:rsidP="00D70FB0">
      <w:pPr>
        <w:pStyle w:val="Caption"/>
      </w:pPr>
      <w:bookmarkStart w:id="27" w:name="_Ref71640743"/>
      <w:r w:rsidRPr="00D66AC5">
        <w:t xml:space="preserve">Figure </w:t>
      </w:r>
      <w:fldSimple w:instr=" SEQ Figure \* ARABIC ">
        <w:r w:rsidR="00EA0281">
          <w:rPr>
            <w:noProof/>
          </w:rPr>
          <w:t>13</w:t>
        </w:r>
      </w:fldSimple>
      <w:bookmarkEnd w:id="27"/>
      <w:r w:rsidRPr="00D66AC5">
        <w:t xml:space="preserve">: </w:t>
      </w:r>
      <w:r w:rsidR="002F0BBD" w:rsidRPr="00D66AC5">
        <w:t>Proportion of participants report</w:t>
      </w:r>
      <w:r w:rsidR="009A5FAE">
        <w:t>ing specific</w:t>
      </w:r>
      <w:r w:rsidR="002F0BBD" w:rsidRPr="00D66AC5">
        <w:t xml:space="preserve"> health condition</w:t>
      </w:r>
      <w:r w:rsidR="00A43858" w:rsidRPr="00D66AC5">
        <w:t>s</w:t>
      </w:r>
      <w:r w:rsidR="009A5FAE">
        <w:t xml:space="preserve"> or disabilities</w:t>
      </w:r>
      <w:r w:rsidR="002F0BBD" w:rsidRPr="00D66AC5">
        <w:t xml:space="preserve">, as at </w:t>
      </w:r>
      <w:r w:rsidR="00DF5462">
        <w:t>referral</w:t>
      </w:r>
      <w:r w:rsidR="002F0BBD" w:rsidRPr="00D66AC5">
        <w:t xml:space="preserve"> and exit</w:t>
      </w:r>
      <w:r w:rsidR="00B53A73" w:rsidRPr="00D66AC5">
        <w:t xml:space="preserve"> for participants with an exit date (n = 1</w:t>
      </w:r>
      <w:r w:rsidR="00F5681C">
        <w:t>5</w:t>
      </w:r>
      <w:r w:rsidR="0082464B">
        <w:t>3</w:t>
      </w:r>
      <w:r w:rsidR="00B53A73" w:rsidRPr="00D66AC5">
        <w:t>)</w:t>
      </w:r>
      <w:r w:rsidR="002F0BBD" w:rsidRPr="00D66AC5">
        <w:t>.</w:t>
      </w:r>
      <w:r w:rsidR="009A5FAE" w:rsidRPr="009A5FAE">
        <w:rPr>
          <w:rStyle w:val="FootnoteReference"/>
          <w:iCs w:val="0"/>
          <w:sz w:val="22"/>
          <w:szCs w:val="22"/>
        </w:rPr>
        <w:footnoteReference w:id="24"/>
      </w:r>
      <w:r w:rsidR="0082464B" w:rsidRPr="0082464B">
        <w:rPr>
          <w:vertAlign w:val="superscript"/>
        </w:rPr>
        <w:t>,</w:t>
      </w:r>
      <w:r w:rsidR="0082464B" w:rsidRPr="0082464B">
        <w:rPr>
          <w:rStyle w:val="FootnoteReference"/>
          <w:iCs w:val="0"/>
          <w:sz w:val="22"/>
          <w:szCs w:val="22"/>
        </w:rPr>
        <w:t xml:space="preserve"> </w:t>
      </w:r>
      <w:r w:rsidR="0082464B" w:rsidRPr="0082464B">
        <w:rPr>
          <w:rStyle w:val="FootnoteReference"/>
          <w:iCs w:val="0"/>
          <w:sz w:val="22"/>
          <w:szCs w:val="22"/>
        </w:rPr>
        <w:footnoteReference w:id="25"/>
      </w:r>
      <w:r w:rsidR="009A5FAE" w:rsidRPr="0082464B">
        <w:rPr>
          <w:rStyle w:val="FootnoteReference"/>
          <w:sz w:val="22"/>
          <w:szCs w:val="22"/>
        </w:rPr>
        <w:t xml:space="preserve"> </w:t>
      </w:r>
    </w:p>
    <w:p w14:paraId="7F140F58" w14:textId="4AC2FB4D" w:rsidR="00200336" w:rsidRDefault="0082464B" w:rsidP="00F113EF">
      <w:pPr>
        <w:rPr>
          <w:iCs/>
        </w:rPr>
      </w:pPr>
      <w:r>
        <w:rPr>
          <w:noProof/>
        </w:rPr>
        <w:drawing>
          <wp:inline distT="0" distB="0" distL="0" distR="0" wp14:anchorId="352F8F24" wp14:editId="73EB17AC">
            <wp:extent cx="5731510" cy="3619500"/>
            <wp:effectExtent l="0" t="0" r="2540" b="0"/>
            <wp:docPr id="2" name="Chart 2">
              <a:extLst xmlns:a="http://schemas.openxmlformats.org/drawingml/2006/main">
                <a:ext uri="{FF2B5EF4-FFF2-40B4-BE49-F238E27FC236}">
                  <a16:creationId xmlns:a16="http://schemas.microsoft.com/office/drawing/2014/main" id="{B94109DC-E99A-447B-B6CA-CBE286DD8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sectPr w:rsidR="00200336" w:rsidSect="00F56D24">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A082" w14:textId="77777777" w:rsidR="00177216" w:rsidRDefault="00177216" w:rsidP="00FC6821">
      <w:pPr>
        <w:spacing w:after="0" w:line="240" w:lineRule="auto"/>
      </w:pPr>
      <w:r>
        <w:separator/>
      </w:r>
    </w:p>
  </w:endnote>
  <w:endnote w:type="continuationSeparator" w:id="0">
    <w:p w14:paraId="10D072EA" w14:textId="77777777" w:rsidR="00177216" w:rsidRDefault="00177216" w:rsidP="00FC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F908" w14:textId="0A1A51BB" w:rsidR="00A36A01" w:rsidRPr="002F0BBD" w:rsidRDefault="00A36A01">
    <w:pPr>
      <w:pStyle w:val="Footer"/>
      <w:jc w:val="right"/>
      <w:rPr>
        <w:sz w:val="16"/>
        <w:szCs w:val="20"/>
      </w:rPr>
    </w:pPr>
  </w:p>
  <w:p w14:paraId="33F1382A" w14:textId="363D3EC5" w:rsidR="00A36A01" w:rsidRPr="002F0BBD" w:rsidRDefault="00A36A01">
    <w:pPr>
      <w:pStyle w:val="Footer"/>
      <w:rPr>
        <w:sz w:val="16"/>
        <w:szCs w:val="20"/>
      </w:rPr>
    </w:pPr>
    <w:r w:rsidRPr="002F0BBD">
      <w:rPr>
        <w:sz w:val="16"/>
        <w:szCs w:val="20"/>
      </w:rPr>
      <w:t>Oranga Mahi – REACH monitoring data analysis</w:t>
    </w:r>
    <w:r>
      <w:rPr>
        <w:sz w:val="16"/>
        <w:szCs w:val="20"/>
      </w:rPr>
      <w:t xml:space="preserve"> (November 2019 – June 2021)</w:t>
    </w:r>
    <w:r w:rsidRPr="002F0BBD">
      <w:rPr>
        <w:sz w:val="16"/>
        <w:szCs w:val="20"/>
      </w:rPr>
      <w:tab/>
    </w:r>
    <w:r w:rsidRPr="002F0BBD">
      <w:rPr>
        <w:sz w:val="16"/>
        <w:szCs w:val="20"/>
      </w:rPr>
      <w:fldChar w:fldCharType="begin"/>
    </w:r>
    <w:r w:rsidRPr="002F0BBD">
      <w:rPr>
        <w:sz w:val="16"/>
        <w:szCs w:val="20"/>
      </w:rPr>
      <w:instrText xml:space="preserve"> PAGE   \* MERGEFORMAT </w:instrText>
    </w:r>
    <w:r w:rsidRPr="002F0BBD">
      <w:rPr>
        <w:sz w:val="16"/>
        <w:szCs w:val="20"/>
      </w:rPr>
      <w:fldChar w:fldCharType="separate"/>
    </w:r>
    <w:r w:rsidRPr="002F0BBD">
      <w:rPr>
        <w:noProof/>
        <w:sz w:val="16"/>
        <w:szCs w:val="20"/>
      </w:rPr>
      <w:t>1</w:t>
    </w:r>
    <w:r w:rsidRPr="002F0BBD">
      <w:rPr>
        <w:noProof/>
        <w:sz w:val="16"/>
        <w:szCs w:val="20"/>
      </w:rPr>
      <w:fldChar w:fldCharType="end"/>
    </w:r>
    <w:r w:rsidRPr="002F0BBD">
      <w:rPr>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8976" w14:textId="77777777" w:rsidR="00177216" w:rsidRDefault="00177216" w:rsidP="00FC6821">
      <w:pPr>
        <w:spacing w:after="0" w:line="240" w:lineRule="auto"/>
      </w:pPr>
      <w:r>
        <w:separator/>
      </w:r>
    </w:p>
  </w:footnote>
  <w:footnote w:type="continuationSeparator" w:id="0">
    <w:p w14:paraId="2A8717F3" w14:textId="77777777" w:rsidR="00177216" w:rsidRDefault="00177216" w:rsidP="00FC6821">
      <w:pPr>
        <w:spacing w:after="0" w:line="240" w:lineRule="auto"/>
      </w:pPr>
      <w:r>
        <w:continuationSeparator/>
      </w:r>
    </w:p>
  </w:footnote>
  <w:footnote w:id="1">
    <w:p w14:paraId="42773EE4" w14:textId="77777777" w:rsidR="00C83CF4" w:rsidRDefault="00C83CF4" w:rsidP="00C83CF4">
      <w:pPr>
        <w:pStyle w:val="FootnoteText"/>
      </w:pPr>
      <w:r>
        <w:rPr>
          <w:rStyle w:val="FootnoteReference"/>
        </w:rPr>
        <w:footnoteRef/>
      </w:r>
      <w:r>
        <w:t xml:space="preserve"> </w:t>
      </w:r>
      <w:r w:rsidRPr="00B44782">
        <w:rPr>
          <w:sz w:val="16"/>
          <w:szCs w:val="18"/>
        </w:rPr>
        <w:t xml:space="preserve">Further information about what </w:t>
      </w:r>
      <w:r>
        <w:rPr>
          <w:sz w:val="16"/>
          <w:szCs w:val="18"/>
        </w:rPr>
        <w:t xml:space="preserve">programme </w:t>
      </w:r>
      <w:r w:rsidRPr="00B44782">
        <w:rPr>
          <w:sz w:val="16"/>
          <w:szCs w:val="18"/>
        </w:rPr>
        <w:t xml:space="preserve">fund grants </w:t>
      </w:r>
      <w:r>
        <w:rPr>
          <w:sz w:val="16"/>
          <w:szCs w:val="18"/>
        </w:rPr>
        <w:t>were</w:t>
      </w:r>
      <w:r w:rsidRPr="00B44782">
        <w:rPr>
          <w:sz w:val="16"/>
          <w:szCs w:val="18"/>
        </w:rPr>
        <w:t xml:space="preserve"> spent on is not available for this report.</w:t>
      </w:r>
    </w:p>
  </w:footnote>
  <w:footnote w:id="2">
    <w:p w14:paraId="2611E47F" w14:textId="6D175011" w:rsidR="00C83CF4" w:rsidRDefault="00C83CF4">
      <w:pPr>
        <w:pStyle w:val="FootnoteText"/>
      </w:pPr>
      <w:r>
        <w:rPr>
          <w:rStyle w:val="FootnoteReference"/>
        </w:rPr>
        <w:footnoteRef/>
      </w:r>
      <w:r>
        <w:t xml:space="preserve"> </w:t>
      </w:r>
      <w:r w:rsidRPr="00C83CF4">
        <w:rPr>
          <w:sz w:val="16"/>
          <w:szCs w:val="18"/>
        </w:rPr>
        <w:t>Some participants were yet to exit the REACH service at the time of data collection, but gradually exited in the weeks following as the service was wound down. Information on these participants and their exits is unavailable for this report.</w:t>
      </w:r>
    </w:p>
  </w:footnote>
  <w:footnote w:id="3">
    <w:p w14:paraId="71918445" w14:textId="77777777" w:rsidR="00C83CF4" w:rsidRPr="00873363" w:rsidRDefault="00C83CF4" w:rsidP="00C83CF4">
      <w:pPr>
        <w:pStyle w:val="FootnoteText"/>
        <w:rPr>
          <w:lang w:val="mi-NZ"/>
        </w:rPr>
      </w:pPr>
      <w:r>
        <w:rPr>
          <w:rStyle w:val="FootnoteReference"/>
        </w:rPr>
        <w:footnoteRef/>
      </w:r>
      <w:r>
        <w:t xml:space="preserve"> </w:t>
      </w:r>
      <w:r w:rsidRPr="00873363">
        <w:rPr>
          <w:sz w:val="16"/>
          <w:szCs w:val="16"/>
          <w:lang w:val="mi-NZ"/>
        </w:rPr>
        <w:t>A separate Kaupapa Māori strand of the evaluation is looking at how well Oranga Mahi services meets the needs of Maōri.</w:t>
      </w:r>
    </w:p>
  </w:footnote>
  <w:footnote w:id="4">
    <w:p w14:paraId="4EB8CE5A" w14:textId="483E1973" w:rsidR="00CA43F1" w:rsidRDefault="00CA43F1">
      <w:pPr>
        <w:pStyle w:val="FootnoteText"/>
      </w:pPr>
      <w:r>
        <w:rPr>
          <w:rStyle w:val="FootnoteReference"/>
        </w:rPr>
        <w:footnoteRef/>
      </w:r>
      <w:r>
        <w:t xml:space="preserve"> </w:t>
      </w:r>
      <w:r w:rsidRPr="00CA43F1">
        <w:rPr>
          <w:sz w:val="16"/>
          <w:szCs w:val="18"/>
        </w:rPr>
        <w:t xml:space="preserve">More information about the Wellbeing Star tool can be found at: </w:t>
      </w:r>
      <w:hyperlink r:id="rId1" w:history="1">
        <w:r w:rsidRPr="00CA43F1">
          <w:rPr>
            <w:rStyle w:val="Hyperlink"/>
            <w:sz w:val="16"/>
            <w:szCs w:val="18"/>
          </w:rPr>
          <w:t>https://www.outcomesstar.org.uk/using-the-star/see-the-stars/well-being-star/</w:t>
        </w:r>
      </w:hyperlink>
      <w:r w:rsidRPr="00CA43F1">
        <w:rPr>
          <w:sz w:val="16"/>
          <w:szCs w:val="18"/>
        </w:rPr>
        <w:t xml:space="preserve"> </w:t>
      </w:r>
    </w:p>
  </w:footnote>
  <w:footnote w:id="5">
    <w:p w14:paraId="7078F425" w14:textId="5951A798" w:rsidR="00A36A01" w:rsidRDefault="00A36A01">
      <w:pPr>
        <w:pStyle w:val="FootnoteText"/>
      </w:pPr>
      <w:r>
        <w:rPr>
          <w:rStyle w:val="FootnoteReference"/>
        </w:rPr>
        <w:footnoteRef/>
      </w:r>
      <w:r>
        <w:t xml:space="preserve"> </w:t>
      </w:r>
      <w:r w:rsidRPr="000C14D4">
        <w:rPr>
          <w:sz w:val="16"/>
          <w:szCs w:val="18"/>
        </w:rPr>
        <w:t>It was possible for participants to be enrolled within the service twice. For simplicity, we count these double enrolments separately in our data, as the participant</w:t>
      </w:r>
      <w:r w:rsidR="00B41C44">
        <w:rPr>
          <w:sz w:val="16"/>
          <w:szCs w:val="18"/>
        </w:rPr>
        <w:t>’</w:t>
      </w:r>
      <w:r w:rsidRPr="000C14D4">
        <w:rPr>
          <w:sz w:val="16"/>
          <w:szCs w:val="18"/>
        </w:rPr>
        <w:t>s circumstances may have changed between enrolments</w:t>
      </w:r>
    </w:p>
  </w:footnote>
  <w:footnote w:id="6">
    <w:p w14:paraId="2EBF9A01" w14:textId="4161A5DD" w:rsidR="00A36A01" w:rsidRDefault="00A36A01" w:rsidP="008B27A5">
      <w:pPr>
        <w:pStyle w:val="FootnoteText"/>
      </w:pPr>
      <w:r>
        <w:rPr>
          <w:rStyle w:val="FootnoteReference"/>
        </w:rPr>
        <w:footnoteRef/>
      </w:r>
      <w:r>
        <w:t xml:space="preserve"> </w:t>
      </w:r>
      <w:r w:rsidRPr="000D1627">
        <w:rPr>
          <w:i/>
          <w:iCs/>
          <w:sz w:val="16"/>
          <w:szCs w:val="18"/>
        </w:rPr>
        <w:t>X</w:t>
      </w:r>
      <w:r w:rsidRPr="000D1627">
        <w:rPr>
          <w:i/>
          <w:iCs/>
          <w:sz w:val="16"/>
          <w:szCs w:val="18"/>
          <w:vertAlign w:val="superscript"/>
        </w:rPr>
        <w:t>2</w:t>
      </w:r>
      <w:r w:rsidRPr="000D1627">
        <w:rPr>
          <w:sz w:val="16"/>
          <w:szCs w:val="18"/>
        </w:rPr>
        <w:t xml:space="preserve"> (</w:t>
      </w:r>
      <w:proofErr w:type="spellStart"/>
      <w:r w:rsidRPr="00CD6515">
        <w:rPr>
          <w:i/>
          <w:iCs/>
          <w:sz w:val="16"/>
          <w:szCs w:val="18"/>
        </w:rPr>
        <w:t>df</w:t>
      </w:r>
      <w:proofErr w:type="spellEnd"/>
      <w:r>
        <w:rPr>
          <w:sz w:val="16"/>
          <w:szCs w:val="18"/>
        </w:rPr>
        <w:t xml:space="preserve"> = </w:t>
      </w:r>
      <w:r w:rsidRPr="000D1627">
        <w:rPr>
          <w:sz w:val="16"/>
          <w:szCs w:val="18"/>
        </w:rPr>
        <w:t xml:space="preserve">4, </w:t>
      </w:r>
      <w:r w:rsidRPr="000D1627">
        <w:rPr>
          <w:i/>
          <w:iCs/>
          <w:sz w:val="16"/>
          <w:szCs w:val="18"/>
        </w:rPr>
        <w:t>N</w:t>
      </w:r>
      <w:r w:rsidRPr="000D1627">
        <w:rPr>
          <w:sz w:val="16"/>
          <w:szCs w:val="18"/>
        </w:rPr>
        <w:t xml:space="preserve"> = </w:t>
      </w:r>
      <w:r>
        <w:rPr>
          <w:sz w:val="16"/>
          <w:szCs w:val="18"/>
        </w:rPr>
        <w:t>171</w:t>
      </w:r>
      <w:r w:rsidRPr="000D1627">
        <w:rPr>
          <w:sz w:val="16"/>
          <w:szCs w:val="18"/>
        </w:rPr>
        <w:t xml:space="preserve">) = </w:t>
      </w:r>
      <w:r>
        <w:rPr>
          <w:sz w:val="16"/>
          <w:szCs w:val="18"/>
        </w:rPr>
        <w:t>107.35</w:t>
      </w:r>
      <w:r w:rsidRPr="000D1627">
        <w:rPr>
          <w:sz w:val="16"/>
          <w:szCs w:val="18"/>
        </w:rPr>
        <w:t xml:space="preserve">, </w:t>
      </w:r>
      <w:r w:rsidRPr="000D1627">
        <w:rPr>
          <w:i/>
          <w:iCs/>
          <w:sz w:val="16"/>
          <w:szCs w:val="18"/>
        </w:rPr>
        <w:t>p</w:t>
      </w:r>
      <w:r w:rsidRPr="000D1627">
        <w:rPr>
          <w:sz w:val="16"/>
          <w:szCs w:val="18"/>
        </w:rPr>
        <w:t xml:space="preserve"> &lt; 0.001</w:t>
      </w:r>
      <w:r>
        <w:rPr>
          <w:sz w:val="16"/>
          <w:szCs w:val="18"/>
        </w:rPr>
        <w:t>* – base calculation done with non-randomly rounded figures</w:t>
      </w:r>
    </w:p>
  </w:footnote>
  <w:footnote w:id="7">
    <w:p w14:paraId="4436F33F" w14:textId="77777777" w:rsidR="00A36A01" w:rsidRPr="00AD7244" w:rsidRDefault="00A36A01" w:rsidP="00902AA3">
      <w:pPr>
        <w:pStyle w:val="FootnoteText"/>
        <w:rPr>
          <w:sz w:val="16"/>
          <w:szCs w:val="18"/>
        </w:rPr>
      </w:pPr>
      <w:r>
        <w:rPr>
          <w:rStyle w:val="FootnoteReference"/>
        </w:rPr>
        <w:footnoteRef/>
      </w:r>
      <w:r>
        <w:t xml:space="preserve"> </w:t>
      </w:r>
      <w:r w:rsidRPr="00AD7244">
        <w:rPr>
          <w:sz w:val="16"/>
          <w:szCs w:val="18"/>
        </w:rPr>
        <w:t>Total response ethnicity means that if a person identifies with more than one ethnic group, they are counted</w:t>
      </w:r>
    </w:p>
    <w:p w14:paraId="0B1EA01E" w14:textId="77777777" w:rsidR="00A36A01" w:rsidRDefault="00A36A01" w:rsidP="00902AA3">
      <w:pPr>
        <w:pStyle w:val="FootnoteText"/>
      </w:pPr>
      <w:r w:rsidRPr="00AD7244">
        <w:rPr>
          <w:sz w:val="16"/>
          <w:szCs w:val="18"/>
        </w:rPr>
        <w:t>in each applicable group.</w:t>
      </w:r>
    </w:p>
  </w:footnote>
  <w:footnote w:id="8">
    <w:p w14:paraId="45D26F91" w14:textId="5FCDE680" w:rsidR="00A36A01" w:rsidRPr="00902AA3" w:rsidRDefault="00A36A01">
      <w:pPr>
        <w:pStyle w:val="FootnoteText"/>
        <w:rPr>
          <w:sz w:val="16"/>
          <w:szCs w:val="18"/>
        </w:rPr>
      </w:pPr>
      <w:r>
        <w:rPr>
          <w:rStyle w:val="FootnoteReference"/>
        </w:rPr>
        <w:footnoteRef/>
      </w:r>
      <w:r>
        <w:t xml:space="preserve"> </w:t>
      </w:r>
      <w:r w:rsidRPr="00743035">
        <w:rPr>
          <w:sz w:val="16"/>
          <w:szCs w:val="18"/>
        </w:rPr>
        <w:t xml:space="preserve">Pacific Peoples, Asian, </w:t>
      </w:r>
      <w:r w:rsidRPr="00B73F04">
        <w:rPr>
          <w:sz w:val="16"/>
          <w:szCs w:val="18"/>
        </w:rPr>
        <w:t>Middle Eastern/Latin American/African (</w:t>
      </w:r>
      <w:r w:rsidRPr="00902AA3">
        <w:rPr>
          <w:sz w:val="16"/>
          <w:szCs w:val="18"/>
        </w:rPr>
        <w:t>MELAA</w:t>
      </w:r>
      <w:r>
        <w:rPr>
          <w:sz w:val="16"/>
          <w:szCs w:val="18"/>
        </w:rPr>
        <w:t>) and Other are</w:t>
      </w:r>
      <w:r w:rsidRPr="00902AA3">
        <w:rPr>
          <w:sz w:val="16"/>
          <w:szCs w:val="18"/>
        </w:rPr>
        <w:t xml:space="preserve"> excluded from this plot as there were </w:t>
      </w:r>
      <w:r>
        <w:rPr>
          <w:sz w:val="16"/>
          <w:szCs w:val="18"/>
        </w:rPr>
        <w:t>very small numbers of</w:t>
      </w:r>
      <w:r w:rsidRPr="00902AA3">
        <w:rPr>
          <w:sz w:val="16"/>
          <w:szCs w:val="18"/>
        </w:rPr>
        <w:t xml:space="preserve"> participants in </w:t>
      </w:r>
      <w:r>
        <w:rPr>
          <w:sz w:val="16"/>
          <w:szCs w:val="18"/>
        </w:rPr>
        <w:t>these</w:t>
      </w:r>
      <w:r w:rsidRPr="00902AA3">
        <w:rPr>
          <w:sz w:val="16"/>
          <w:szCs w:val="18"/>
        </w:rPr>
        <w:t xml:space="preserve"> ethnic group</w:t>
      </w:r>
      <w:r>
        <w:rPr>
          <w:sz w:val="16"/>
          <w:szCs w:val="18"/>
        </w:rPr>
        <w:t>s.</w:t>
      </w:r>
    </w:p>
  </w:footnote>
  <w:footnote w:id="9">
    <w:p w14:paraId="318DA60F" w14:textId="1CF2A610" w:rsidR="00A36A01" w:rsidRPr="00B73F04" w:rsidRDefault="00A36A01">
      <w:pPr>
        <w:pStyle w:val="FootnoteText"/>
        <w:rPr>
          <w:lang w:val="en-US"/>
        </w:rPr>
      </w:pPr>
      <w:r>
        <w:rPr>
          <w:rStyle w:val="FootnoteReference"/>
        </w:rPr>
        <w:footnoteRef/>
      </w:r>
      <w:r>
        <w:t xml:space="preserve"> </w:t>
      </w:r>
      <w:r w:rsidRPr="00EA0281">
        <w:rPr>
          <w:sz w:val="16"/>
          <w:szCs w:val="18"/>
        </w:rPr>
        <w:t xml:space="preserve">European: </w:t>
      </w:r>
      <w:r w:rsidRPr="000D1627">
        <w:rPr>
          <w:i/>
          <w:iCs/>
          <w:sz w:val="16"/>
          <w:szCs w:val="18"/>
        </w:rPr>
        <w:t>X</w:t>
      </w:r>
      <w:r w:rsidRPr="000D1627">
        <w:rPr>
          <w:i/>
          <w:iCs/>
          <w:sz w:val="16"/>
          <w:szCs w:val="18"/>
          <w:vertAlign w:val="superscript"/>
        </w:rPr>
        <w:t>2</w:t>
      </w:r>
      <w:r w:rsidRPr="000D1627">
        <w:rPr>
          <w:sz w:val="16"/>
          <w:szCs w:val="18"/>
        </w:rPr>
        <w:t xml:space="preserve"> (</w:t>
      </w:r>
      <w:proofErr w:type="spellStart"/>
      <w:r w:rsidRPr="00CD6515">
        <w:rPr>
          <w:i/>
          <w:iCs/>
          <w:sz w:val="16"/>
          <w:szCs w:val="18"/>
        </w:rPr>
        <w:t>df</w:t>
      </w:r>
      <w:proofErr w:type="spellEnd"/>
      <w:r>
        <w:rPr>
          <w:sz w:val="16"/>
          <w:szCs w:val="18"/>
        </w:rPr>
        <w:t xml:space="preserve"> = </w:t>
      </w:r>
      <w:r w:rsidRPr="000D1627">
        <w:rPr>
          <w:sz w:val="16"/>
          <w:szCs w:val="18"/>
        </w:rPr>
        <w:t xml:space="preserve">4, </w:t>
      </w:r>
      <w:r w:rsidRPr="000D1627">
        <w:rPr>
          <w:i/>
          <w:iCs/>
          <w:sz w:val="16"/>
          <w:szCs w:val="18"/>
        </w:rPr>
        <w:t>N</w:t>
      </w:r>
      <w:r w:rsidRPr="000D1627">
        <w:rPr>
          <w:sz w:val="16"/>
          <w:szCs w:val="18"/>
        </w:rPr>
        <w:t xml:space="preserve"> = </w:t>
      </w:r>
      <w:r>
        <w:rPr>
          <w:sz w:val="16"/>
          <w:szCs w:val="18"/>
        </w:rPr>
        <w:t>171</w:t>
      </w:r>
      <w:r w:rsidRPr="000D1627">
        <w:rPr>
          <w:sz w:val="16"/>
          <w:szCs w:val="18"/>
        </w:rPr>
        <w:t xml:space="preserve">) = </w:t>
      </w:r>
      <w:r>
        <w:rPr>
          <w:sz w:val="16"/>
          <w:szCs w:val="18"/>
        </w:rPr>
        <w:t>11.04</w:t>
      </w:r>
      <w:r w:rsidRPr="000D1627">
        <w:rPr>
          <w:sz w:val="16"/>
          <w:szCs w:val="18"/>
        </w:rPr>
        <w:t xml:space="preserve">, </w:t>
      </w:r>
      <w:r w:rsidRPr="000D1627">
        <w:rPr>
          <w:i/>
          <w:iCs/>
          <w:sz w:val="16"/>
          <w:szCs w:val="18"/>
        </w:rPr>
        <w:t>p</w:t>
      </w:r>
      <w:r w:rsidRPr="000D1627">
        <w:rPr>
          <w:sz w:val="16"/>
          <w:szCs w:val="18"/>
        </w:rPr>
        <w:t xml:space="preserve"> &lt; 0.00</w:t>
      </w:r>
      <w:r>
        <w:rPr>
          <w:sz w:val="16"/>
          <w:szCs w:val="18"/>
        </w:rPr>
        <w:t>1* – base calculation done with non-randomly rounded figures and excludes people with an unspecified ethnicity</w:t>
      </w:r>
    </w:p>
  </w:footnote>
  <w:footnote w:id="10">
    <w:p w14:paraId="55688137" w14:textId="3CFE7D21" w:rsidR="00A36A01" w:rsidRDefault="00A36A01" w:rsidP="00902AA3">
      <w:pPr>
        <w:pStyle w:val="FootnoteText"/>
      </w:pPr>
      <w:r>
        <w:rPr>
          <w:rStyle w:val="FootnoteReference"/>
        </w:rPr>
        <w:footnoteRef/>
      </w:r>
      <w:r>
        <w:t xml:space="preserve"> </w:t>
      </w:r>
      <w:r>
        <w:rPr>
          <w:sz w:val="16"/>
          <w:szCs w:val="18"/>
        </w:rPr>
        <w:t>See footnote 8.</w:t>
      </w:r>
    </w:p>
  </w:footnote>
  <w:footnote w:id="11">
    <w:p w14:paraId="0D4B5647" w14:textId="3B5B2EFB" w:rsidR="00A36A01" w:rsidRDefault="00A36A01">
      <w:pPr>
        <w:pStyle w:val="FootnoteText"/>
      </w:pPr>
      <w:r w:rsidRPr="002834EA">
        <w:rPr>
          <w:rStyle w:val="FootnoteReference"/>
          <w:sz w:val="16"/>
          <w:szCs w:val="18"/>
        </w:rPr>
        <w:footnoteRef/>
      </w:r>
      <w:r w:rsidRPr="002834EA">
        <w:rPr>
          <w:sz w:val="16"/>
          <w:szCs w:val="18"/>
        </w:rPr>
        <w:t xml:space="preserve"> </w:t>
      </w:r>
      <w:r>
        <w:rPr>
          <w:sz w:val="16"/>
          <w:szCs w:val="18"/>
        </w:rPr>
        <w:t xml:space="preserve">This measure uses </w:t>
      </w:r>
      <w:r w:rsidRPr="002834EA">
        <w:rPr>
          <w:sz w:val="16"/>
          <w:szCs w:val="18"/>
        </w:rPr>
        <w:t xml:space="preserve">MSD </w:t>
      </w:r>
      <w:r>
        <w:rPr>
          <w:sz w:val="16"/>
          <w:szCs w:val="18"/>
        </w:rPr>
        <w:t>relationship</w:t>
      </w:r>
      <w:r w:rsidRPr="002834EA">
        <w:rPr>
          <w:sz w:val="16"/>
          <w:szCs w:val="18"/>
        </w:rPr>
        <w:t xml:space="preserve"> data</w:t>
      </w:r>
      <w:r>
        <w:rPr>
          <w:sz w:val="16"/>
          <w:szCs w:val="18"/>
        </w:rPr>
        <w:t>.</w:t>
      </w:r>
    </w:p>
  </w:footnote>
  <w:footnote w:id="12">
    <w:p w14:paraId="57F3B8FC" w14:textId="73E95D54" w:rsidR="00A36A01" w:rsidRDefault="00A36A01">
      <w:pPr>
        <w:pStyle w:val="FootnoteText"/>
      </w:pPr>
      <w:r>
        <w:rPr>
          <w:rStyle w:val="FootnoteReference"/>
        </w:rPr>
        <w:footnoteRef/>
      </w:r>
      <w:r>
        <w:t xml:space="preserve"> </w:t>
      </w:r>
      <w:r w:rsidRPr="00983083">
        <w:rPr>
          <w:sz w:val="16"/>
          <w:szCs w:val="18"/>
        </w:rPr>
        <w:t xml:space="preserve">See page 12 of: </w:t>
      </w:r>
      <w:hyperlink r:id="rId2" w:history="1">
        <w:r w:rsidRPr="00983083">
          <w:rPr>
            <w:rStyle w:val="Hyperlink"/>
            <w:sz w:val="16"/>
            <w:szCs w:val="18"/>
          </w:rPr>
          <w:t>https://www.msd.govt.nz/documents/about-msd-and-our-work/publications-resources/evaluation/family-packages/2021/monitoring-the-families-package-and-changes-to-income-support-from-2018-to-2021.pdf</w:t>
        </w:r>
      </w:hyperlink>
      <w:r w:rsidRPr="00983083">
        <w:rPr>
          <w:sz w:val="16"/>
          <w:szCs w:val="18"/>
        </w:rPr>
        <w:t xml:space="preserve"> </w:t>
      </w:r>
    </w:p>
  </w:footnote>
  <w:footnote w:id="13">
    <w:p w14:paraId="61649671" w14:textId="713C475E" w:rsidR="00A36A01" w:rsidRDefault="00A36A01">
      <w:pPr>
        <w:pStyle w:val="FootnoteText"/>
      </w:pPr>
      <w:r w:rsidRPr="00FB3EA6">
        <w:rPr>
          <w:rStyle w:val="FootnoteReference"/>
          <w:sz w:val="16"/>
          <w:szCs w:val="18"/>
        </w:rPr>
        <w:footnoteRef/>
      </w:r>
      <w:r w:rsidRPr="00FB3EA6">
        <w:rPr>
          <w:sz w:val="16"/>
          <w:szCs w:val="18"/>
        </w:rPr>
        <w:t xml:space="preserve"> “Cannot be matched” here describes participants that exist in the monitoring data but cannot be successfully linked to an MSD record for the purposes of this analysis.</w:t>
      </w:r>
      <w:r>
        <w:rPr>
          <w:sz w:val="16"/>
          <w:szCs w:val="18"/>
        </w:rPr>
        <w:t xml:space="preserve"> </w:t>
      </w:r>
    </w:p>
  </w:footnote>
  <w:footnote w:id="14">
    <w:p w14:paraId="4B0071DA" w14:textId="362CBDE1" w:rsidR="00A36A01" w:rsidRDefault="00A36A01">
      <w:pPr>
        <w:pStyle w:val="FootnoteText"/>
      </w:pPr>
      <w:r>
        <w:rPr>
          <w:rStyle w:val="FootnoteReference"/>
        </w:rPr>
        <w:footnoteRef/>
      </w:r>
      <w:r>
        <w:t xml:space="preserve"> </w:t>
      </w:r>
      <w:r w:rsidRPr="00D51D5D">
        <w:rPr>
          <w:sz w:val="16"/>
          <w:szCs w:val="18"/>
        </w:rPr>
        <w:t>In this section, the health conditions presented are based on the READ or SNOWMED codes provided to MSD by a General Practitioner on a Work Capacity Medical Certificate</w:t>
      </w:r>
      <w:r>
        <w:rPr>
          <w:sz w:val="16"/>
          <w:szCs w:val="18"/>
        </w:rPr>
        <w:t xml:space="preserve"> and stored in the SINC (SWIFTT Incapacity) dataset in MSD’s Integrated Analysis Platform. These counts are total response, and so therefore the totals and percentages may not add up to the total number of participants and 100 percent respectively. Some participants may have medical conditions recorded in other parts of MSD’s data systems that are not captured here or did not have a current medical certificate loaded into the system.</w:t>
      </w:r>
    </w:p>
  </w:footnote>
  <w:footnote w:id="15">
    <w:p w14:paraId="77CB6B2E" w14:textId="71420065" w:rsidR="00A36A01" w:rsidRDefault="00A36A01">
      <w:pPr>
        <w:pStyle w:val="FootnoteText"/>
      </w:pPr>
      <w:r>
        <w:rPr>
          <w:rStyle w:val="FootnoteReference"/>
        </w:rPr>
        <w:footnoteRef/>
      </w:r>
      <w:r>
        <w:t xml:space="preserve"> </w:t>
      </w:r>
      <w:r w:rsidRPr="009845CF">
        <w:rPr>
          <w:sz w:val="16"/>
          <w:szCs w:val="18"/>
        </w:rPr>
        <w:t xml:space="preserve">Some health conditions are not listed in this graph due to </w:t>
      </w:r>
      <w:r>
        <w:rPr>
          <w:sz w:val="16"/>
          <w:szCs w:val="18"/>
        </w:rPr>
        <w:t xml:space="preserve">very </w:t>
      </w:r>
      <w:r w:rsidRPr="009845CF">
        <w:rPr>
          <w:sz w:val="16"/>
          <w:szCs w:val="18"/>
        </w:rPr>
        <w:t>small numbers of participants reporting those conditions. These include: “symptoms, signs and ill-defined conditions”, “injury and poisoning”, “neoplasms” and “genitourinary system diseases”.</w:t>
      </w:r>
    </w:p>
  </w:footnote>
  <w:footnote w:id="16">
    <w:p w14:paraId="6F3C5BD3" w14:textId="78C6E1BD" w:rsidR="00A36A01" w:rsidRPr="0090378E" w:rsidRDefault="00A36A01">
      <w:pPr>
        <w:pStyle w:val="FootnoteText"/>
      </w:pPr>
      <w:r>
        <w:rPr>
          <w:rStyle w:val="FootnoteReference"/>
        </w:rPr>
        <w:footnoteRef/>
      </w:r>
      <w:r>
        <w:t xml:space="preserve"> T</w:t>
      </w:r>
      <w:r w:rsidRPr="00DF3EA7">
        <w:rPr>
          <w:sz w:val="16"/>
          <w:szCs w:val="16"/>
          <w:lang w:val="mi-NZ"/>
        </w:rPr>
        <w:t>he qualitative evalu</w:t>
      </w:r>
      <w:r w:rsidR="00C90982">
        <w:rPr>
          <w:sz w:val="16"/>
          <w:szCs w:val="16"/>
          <w:lang w:val="mi-NZ"/>
        </w:rPr>
        <w:t>a</w:t>
      </w:r>
      <w:r w:rsidRPr="00DF3EA7">
        <w:rPr>
          <w:sz w:val="16"/>
          <w:szCs w:val="16"/>
          <w:lang w:val="mi-NZ"/>
        </w:rPr>
        <w:t>tion include</w:t>
      </w:r>
      <w:r>
        <w:rPr>
          <w:sz w:val="16"/>
          <w:szCs w:val="16"/>
          <w:lang w:val="mi-NZ"/>
        </w:rPr>
        <w:t>d</w:t>
      </w:r>
      <w:r w:rsidRPr="00DF3EA7">
        <w:rPr>
          <w:sz w:val="16"/>
          <w:szCs w:val="16"/>
          <w:lang w:val="mi-NZ"/>
        </w:rPr>
        <w:t xml:space="preserve"> interviews with REACH clients who had exited the service, </w:t>
      </w:r>
      <w:r>
        <w:rPr>
          <w:sz w:val="16"/>
          <w:szCs w:val="16"/>
          <w:lang w:val="mi-NZ"/>
        </w:rPr>
        <w:t xml:space="preserve">and </w:t>
      </w:r>
      <w:r w:rsidRPr="00DF3EA7">
        <w:rPr>
          <w:sz w:val="16"/>
          <w:szCs w:val="16"/>
          <w:lang w:val="mi-NZ"/>
        </w:rPr>
        <w:t>discuss</w:t>
      </w:r>
      <w:r>
        <w:rPr>
          <w:sz w:val="16"/>
          <w:szCs w:val="16"/>
          <w:lang w:val="mi-NZ"/>
        </w:rPr>
        <w:t>o</w:t>
      </w:r>
      <w:r w:rsidRPr="00DF3EA7">
        <w:rPr>
          <w:sz w:val="16"/>
          <w:szCs w:val="16"/>
          <w:lang w:val="mi-NZ"/>
        </w:rPr>
        <w:t xml:space="preserve">ns with REACH staff and MSD stakeholders </w:t>
      </w:r>
      <w:r w:rsidR="00C90982">
        <w:rPr>
          <w:sz w:val="16"/>
          <w:szCs w:val="16"/>
          <w:lang w:val="mi-NZ"/>
        </w:rPr>
        <w:t>to</w:t>
      </w:r>
      <w:r>
        <w:rPr>
          <w:sz w:val="16"/>
          <w:szCs w:val="16"/>
          <w:lang w:val="mi-NZ"/>
        </w:rPr>
        <w:t xml:space="preserve"> </w:t>
      </w:r>
      <w:r w:rsidRPr="00DF3EA7">
        <w:rPr>
          <w:sz w:val="16"/>
          <w:szCs w:val="16"/>
          <w:lang w:val="mi-NZ"/>
        </w:rPr>
        <w:t>explor</w:t>
      </w:r>
      <w:r>
        <w:rPr>
          <w:sz w:val="16"/>
          <w:szCs w:val="16"/>
          <w:lang w:val="mi-NZ"/>
        </w:rPr>
        <w:t>e</w:t>
      </w:r>
      <w:r w:rsidRPr="00DF3EA7">
        <w:rPr>
          <w:sz w:val="16"/>
          <w:szCs w:val="16"/>
          <w:lang w:val="mi-NZ"/>
        </w:rPr>
        <w:t xml:space="preserve"> the referral and </w:t>
      </w:r>
      <w:r>
        <w:rPr>
          <w:sz w:val="16"/>
          <w:szCs w:val="16"/>
          <w:lang w:val="mi-NZ"/>
        </w:rPr>
        <w:t>enrolment</w:t>
      </w:r>
      <w:r w:rsidRPr="00DF3EA7">
        <w:rPr>
          <w:sz w:val="16"/>
          <w:szCs w:val="16"/>
          <w:lang w:val="mi-NZ"/>
        </w:rPr>
        <w:t xml:space="preserve"> process.</w:t>
      </w:r>
    </w:p>
  </w:footnote>
  <w:footnote w:id="17">
    <w:p w14:paraId="1EA36EFE" w14:textId="1B8D4E87" w:rsidR="00A36A01" w:rsidRDefault="00A36A01">
      <w:pPr>
        <w:pStyle w:val="FootnoteText"/>
      </w:pPr>
      <w:r>
        <w:rPr>
          <w:rStyle w:val="FootnoteReference"/>
        </w:rPr>
        <w:footnoteRef/>
      </w:r>
      <w:r>
        <w:t xml:space="preserve"> </w:t>
      </w:r>
      <w:r w:rsidRPr="00CC5042">
        <w:rPr>
          <w:sz w:val="16"/>
          <w:szCs w:val="16"/>
        </w:rPr>
        <w:t xml:space="preserve">A “completed” exit in this section includes the exit reasons: </w:t>
      </w:r>
      <w:r w:rsidRPr="00CC5042">
        <w:rPr>
          <w:iCs/>
          <w:sz w:val="16"/>
          <w:szCs w:val="16"/>
        </w:rPr>
        <w:t>“completed service duration” and “achieved desired outcomes”. A “not completed” or “early exit” includes all of the other exit reasons listed in Table 2 on the previous page.</w:t>
      </w:r>
    </w:p>
  </w:footnote>
  <w:footnote w:id="18">
    <w:p w14:paraId="73EF7663" w14:textId="7F794ADD" w:rsidR="00CA43F1" w:rsidRDefault="00CA43F1">
      <w:pPr>
        <w:pStyle w:val="FootnoteText"/>
      </w:pPr>
      <w:r>
        <w:rPr>
          <w:rStyle w:val="FootnoteReference"/>
        </w:rPr>
        <w:footnoteRef/>
      </w:r>
      <w:r>
        <w:t xml:space="preserve"> </w:t>
      </w:r>
      <w:r w:rsidRPr="001172A8">
        <w:rPr>
          <w:i/>
          <w:iCs/>
          <w:sz w:val="16"/>
          <w:szCs w:val="18"/>
        </w:rPr>
        <w:t>X</w:t>
      </w:r>
      <w:r w:rsidRPr="001172A8">
        <w:rPr>
          <w:i/>
          <w:iCs/>
          <w:sz w:val="16"/>
          <w:szCs w:val="18"/>
          <w:vertAlign w:val="superscript"/>
        </w:rPr>
        <w:t>2</w:t>
      </w:r>
      <w:r w:rsidRPr="001172A8">
        <w:rPr>
          <w:sz w:val="16"/>
          <w:szCs w:val="18"/>
        </w:rPr>
        <w:t xml:space="preserve"> (</w:t>
      </w:r>
      <w:proofErr w:type="spellStart"/>
      <w:r w:rsidRPr="003C0E1E">
        <w:rPr>
          <w:i/>
          <w:iCs/>
          <w:sz w:val="16"/>
          <w:szCs w:val="18"/>
        </w:rPr>
        <w:t>df</w:t>
      </w:r>
      <w:proofErr w:type="spellEnd"/>
      <w:r>
        <w:rPr>
          <w:sz w:val="16"/>
          <w:szCs w:val="18"/>
        </w:rPr>
        <w:t xml:space="preserve"> = </w:t>
      </w:r>
      <w:r w:rsidRPr="001172A8">
        <w:rPr>
          <w:sz w:val="16"/>
          <w:szCs w:val="18"/>
        </w:rPr>
        <w:t xml:space="preserve">1, </w:t>
      </w:r>
      <w:r w:rsidRPr="001172A8">
        <w:rPr>
          <w:i/>
          <w:iCs/>
          <w:sz w:val="16"/>
          <w:szCs w:val="18"/>
        </w:rPr>
        <w:t>N</w:t>
      </w:r>
      <w:r w:rsidRPr="001172A8">
        <w:rPr>
          <w:sz w:val="16"/>
          <w:szCs w:val="18"/>
        </w:rPr>
        <w:t xml:space="preserve"> = 42) = </w:t>
      </w:r>
      <w:r>
        <w:rPr>
          <w:sz w:val="16"/>
          <w:szCs w:val="18"/>
        </w:rPr>
        <w:t>7.72</w:t>
      </w:r>
      <w:r w:rsidRPr="001172A8">
        <w:rPr>
          <w:sz w:val="16"/>
          <w:szCs w:val="18"/>
        </w:rPr>
        <w:t xml:space="preserve">, </w:t>
      </w:r>
      <w:r w:rsidRPr="001172A8">
        <w:rPr>
          <w:i/>
          <w:iCs/>
          <w:sz w:val="16"/>
          <w:szCs w:val="18"/>
        </w:rPr>
        <w:t>p</w:t>
      </w:r>
      <w:r w:rsidRPr="001172A8">
        <w:rPr>
          <w:sz w:val="16"/>
          <w:szCs w:val="18"/>
        </w:rPr>
        <w:t xml:space="preserve"> = 0.00</w:t>
      </w:r>
      <w:r>
        <w:rPr>
          <w:sz w:val="16"/>
          <w:szCs w:val="18"/>
        </w:rPr>
        <w:t>6 – based on non-randomly rounded figures</w:t>
      </w:r>
    </w:p>
  </w:footnote>
  <w:footnote w:id="19">
    <w:p w14:paraId="03D86D9A" w14:textId="263E8FD6" w:rsidR="00A36A01" w:rsidRDefault="00A36A01">
      <w:pPr>
        <w:pStyle w:val="FootnoteText"/>
      </w:pPr>
      <w:r>
        <w:rPr>
          <w:rStyle w:val="FootnoteReference"/>
        </w:rPr>
        <w:footnoteRef/>
      </w:r>
      <w:r>
        <w:t xml:space="preserve"> </w:t>
      </w:r>
      <w:r w:rsidRPr="00C9626C">
        <w:rPr>
          <w:sz w:val="16"/>
          <w:szCs w:val="18"/>
        </w:rPr>
        <w:t xml:space="preserve">Due to the small number of participants that had not been assigned to their support teams, further information about </w:t>
      </w:r>
      <w:r>
        <w:rPr>
          <w:sz w:val="16"/>
          <w:szCs w:val="18"/>
        </w:rPr>
        <w:t>why that might be</w:t>
      </w:r>
      <w:r w:rsidRPr="00C9626C">
        <w:rPr>
          <w:sz w:val="16"/>
          <w:szCs w:val="18"/>
        </w:rPr>
        <w:t xml:space="preserve"> is unavailable</w:t>
      </w:r>
      <w:r>
        <w:rPr>
          <w:sz w:val="16"/>
          <w:szCs w:val="18"/>
        </w:rPr>
        <w:t xml:space="preserve"> to protect participant confidentiality</w:t>
      </w:r>
      <w:r w:rsidRPr="00C9626C">
        <w:rPr>
          <w:sz w:val="16"/>
          <w:szCs w:val="18"/>
        </w:rPr>
        <w:t>.</w:t>
      </w:r>
    </w:p>
  </w:footnote>
  <w:footnote w:id="20">
    <w:p w14:paraId="42DE9F95" w14:textId="50F6D56F" w:rsidR="00CA43F1" w:rsidRDefault="00CA43F1">
      <w:pPr>
        <w:pStyle w:val="FootnoteText"/>
      </w:pPr>
      <w:r>
        <w:rPr>
          <w:rStyle w:val="FootnoteReference"/>
        </w:rPr>
        <w:footnoteRef/>
      </w:r>
      <w:r>
        <w:t xml:space="preserve"> </w:t>
      </w:r>
      <w:r w:rsidRPr="00CA43F1">
        <w:rPr>
          <w:sz w:val="16"/>
          <w:szCs w:val="18"/>
        </w:rPr>
        <w:t>More information about the Wellbeing Star tool</w:t>
      </w:r>
      <w:r w:rsidR="002507FB">
        <w:rPr>
          <w:sz w:val="16"/>
          <w:szCs w:val="18"/>
        </w:rPr>
        <w:t>, including how it works,</w:t>
      </w:r>
      <w:r w:rsidRPr="00CA43F1">
        <w:rPr>
          <w:sz w:val="16"/>
          <w:szCs w:val="18"/>
        </w:rPr>
        <w:t xml:space="preserve"> can be found at: </w:t>
      </w:r>
      <w:hyperlink r:id="rId3" w:history="1">
        <w:r w:rsidRPr="00CA43F1">
          <w:rPr>
            <w:rStyle w:val="Hyperlink"/>
            <w:sz w:val="16"/>
            <w:szCs w:val="18"/>
          </w:rPr>
          <w:t>https://www.outcomesstar.org.uk/using-the-star/see-the-stars/well-being-star/</w:t>
        </w:r>
      </w:hyperlink>
      <w:r w:rsidRPr="00CA43F1">
        <w:rPr>
          <w:sz w:val="16"/>
          <w:szCs w:val="18"/>
        </w:rPr>
        <w:t xml:space="preserve"> </w:t>
      </w:r>
    </w:p>
  </w:footnote>
  <w:footnote w:id="21">
    <w:p w14:paraId="44D66C53" w14:textId="3033F5B5" w:rsidR="00A36A01" w:rsidRDefault="00A36A01">
      <w:pPr>
        <w:pStyle w:val="FootnoteText"/>
      </w:pPr>
      <w:r>
        <w:rPr>
          <w:rStyle w:val="FootnoteReference"/>
        </w:rPr>
        <w:footnoteRef/>
      </w:r>
      <w:r>
        <w:t xml:space="preserve"> </w:t>
      </w:r>
      <w:r w:rsidRPr="00343CBF">
        <w:rPr>
          <w:sz w:val="16"/>
          <w:szCs w:val="18"/>
        </w:rPr>
        <w:t>There was a standard deviation of 37.4 days for this measurement.</w:t>
      </w:r>
    </w:p>
  </w:footnote>
  <w:footnote w:id="22">
    <w:p w14:paraId="7E56801B" w14:textId="76BA9CCE" w:rsidR="00A36A01" w:rsidRDefault="00A36A01">
      <w:pPr>
        <w:pStyle w:val="FootnoteText"/>
      </w:pPr>
      <w:r>
        <w:rPr>
          <w:rStyle w:val="FootnoteReference"/>
        </w:rPr>
        <w:footnoteRef/>
      </w:r>
      <w:r>
        <w:t xml:space="preserve"> </w:t>
      </w:r>
      <w:r w:rsidRPr="00D66AC5">
        <w:rPr>
          <w:sz w:val="16"/>
          <w:szCs w:val="18"/>
        </w:rPr>
        <w:t xml:space="preserve">See: </w:t>
      </w:r>
      <w:hyperlink r:id="rId4" w:history="1">
        <w:r w:rsidRPr="002020C4">
          <w:rPr>
            <w:rStyle w:val="Hyperlink"/>
            <w:sz w:val="16"/>
            <w:szCs w:val="18"/>
          </w:rPr>
          <w:t>https://carematters.org.nz/information-from-ministry-of-social-development-msd/</w:t>
        </w:r>
      </w:hyperlink>
    </w:p>
  </w:footnote>
  <w:footnote w:id="23">
    <w:p w14:paraId="2170F46A" w14:textId="6FEA9982" w:rsidR="00A36A01" w:rsidRDefault="00A36A01">
      <w:pPr>
        <w:pStyle w:val="FootnoteText"/>
      </w:pPr>
      <w:r>
        <w:rPr>
          <w:rStyle w:val="FootnoteReference"/>
        </w:rPr>
        <w:footnoteRef/>
      </w:r>
      <w:r>
        <w:t xml:space="preserve"> </w:t>
      </w:r>
      <w:r w:rsidRPr="002020C4">
        <w:rPr>
          <w:sz w:val="16"/>
          <w:szCs w:val="18"/>
        </w:rPr>
        <w:t xml:space="preserve">See: </w:t>
      </w:r>
      <w:hyperlink r:id="rId5" w:history="1">
        <w:r w:rsidRPr="00A3333E">
          <w:rPr>
            <w:rStyle w:val="Hyperlink"/>
            <w:sz w:val="16"/>
            <w:szCs w:val="18"/>
          </w:rPr>
          <w:t>https://msd.govt.nz/about-msd-and-our-work/newsroom/budget/2021/factsheets/improving-work-capacity-medical-certificates.html</w:t>
        </w:r>
      </w:hyperlink>
    </w:p>
  </w:footnote>
  <w:footnote w:id="24">
    <w:p w14:paraId="750D1019" w14:textId="77777777" w:rsidR="00A36A01" w:rsidRDefault="00A36A01" w:rsidP="009A5FAE">
      <w:pPr>
        <w:pStyle w:val="FootnoteText"/>
      </w:pPr>
      <w:r>
        <w:rPr>
          <w:rStyle w:val="FootnoteReference"/>
        </w:rPr>
        <w:footnoteRef/>
      </w:r>
      <w:r>
        <w:t xml:space="preserve"> </w:t>
      </w:r>
      <w:r w:rsidRPr="00D51D5D">
        <w:rPr>
          <w:sz w:val="16"/>
          <w:szCs w:val="18"/>
        </w:rPr>
        <w:t>In this section, the health conditions presented are based on the READ or SNOWMED codes provided to MSD by a General Practitioner on a Work Capacity Medical Certificate</w:t>
      </w:r>
      <w:r>
        <w:rPr>
          <w:sz w:val="16"/>
          <w:szCs w:val="18"/>
        </w:rPr>
        <w:t xml:space="preserve"> and stored in the SINC (SWIFTT Incapacity) dataset in MSD’s Integrated Analysis Platform. These counts are total response, and so therefore the totals and percentages may not add up to the total number of participants and 100 percent respectively. Some participants may have medical conditions recorded in other parts of MSD’s data systems that are not captured here or did not have a current medical certificate loaded into the system.</w:t>
      </w:r>
    </w:p>
  </w:footnote>
  <w:footnote w:id="25">
    <w:p w14:paraId="2A9E74BB" w14:textId="77777777" w:rsidR="00A36A01" w:rsidRDefault="00A36A01" w:rsidP="0082464B">
      <w:pPr>
        <w:pStyle w:val="FootnoteText"/>
      </w:pPr>
      <w:r>
        <w:rPr>
          <w:rStyle w:val="FootnoteReference"/>
        </w:rPr>
        <w:footnoteRef/>
      </w:r>
      <w:r>
        <w:t xml:space="preserve"> </w:t>
      </w:r>
      <w:r w:rsidRPr="009845CF">
        <w:rPr>
          <w:sz w:val="16"/>
          <w:szCs w:val="18"/>
        </w:rPr>
        <w:t xml:space="preserve">Some health conditions are not listed in this graph due to </w:t>
      </w:r>
      <w:r>
        <w:rPr>
          <w:sz w:val="16"/>
          <w:szCs w:val="18"/>
        </w:rPr>
        <w:t xml:space="preserve">very </w:t>
      </w:r>
      <w:r w:rsidRPr="009845CF">
        <w:rPr>
          <w:sz w:val="16"/>
          <w:szCs w:val="18"/>
        </w:rPr>
        <w:t>small numbers of participants reporting those conditions. These include: “symptoms, signs and ill-defined conditions”, “injury and poisoning”, “neoplasms” and “genitourinary system diseases”.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A5321"/>
    <w:multiLevelType w:val="hybridMultilevel"/>
    <w:tmpl w:val="D3A2A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A631F1A"/>
    <w:multiLevelType w:val="hybridMultilevel"/>
    <w:tmpl w:val="C6D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9811ADF"/>
    <w:multiLevelType w:val="hybridMultilevel"/>
    <w:tmpl w:val="5EECE1DE"/>
    <w:lvl w:ilvl="0" w:tplc="E8D4BD44">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FDD06C1"/>
    <w:multiLevelType w:val="hybridMultilevel"/>
    <w:tmpl w:val="88E4FB9C"/>
    <w:lvl w:ilvl="0" w:tplc="30F23F8E">
      <w:start w:val="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3B2190A"/>
    <w:multiLevelType w:val="hybridMultilevel"/>
    <w:tmpl w:val="9BFEFEF4"/>
    <w:lvl w:ilvl="0" w:tplc="1BA8636C">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C71ADD"/>
    <w:multiLevelType w:val="hybridMultilevel"/>
    <w:tmpl w:val="78028B0E"/>
    <w:lvl w:ilvl="0" w:tplc="9CE44FF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4213AC"/>
    <w:multiLevelType w:val="hybridMultilevel"/>
    <w:tmpl w:val="AB906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86638E"/>
    <w:multiLevelType w:val="hybridMultilevel"/>
    <w:tmpl w:val="F5FA4368"/>
    <w:lvl w:ilvl="0" w:tplc="9CE44FF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3A7419"/>
    <w:multiLevelType w:val="hybridMultilevel"/>
    <w:tmpl w:val="6A1AB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5A1D60"/>
    <w:multiLevelType w:val="hybridMultilevel"/>
    <w:tmpl w:val="56661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CF46606"/>
    <w:multiLevelType w:val="hybridMultilevel"/>
    <w:tmpl w:val="A7D88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C93A2D"/>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C6D348B"/>
    <w:multiLevelType w:val="hybridMultilevel"/>
    <w:tmpl w:val="C87CD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5B639E"/>
    <w:multiLevelType w:val="hybridMultilevel"/>
    <w:tmpl w:val="EBA23240"/>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3"/>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7"/>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36"/>
  </w:num>
  <w:num w:numId="26">
    <w:abstractNumId w:val="37"/>
  </w:num>
  <w:num w:numId="27">
    <w:abstractNumId w:val="34"/>
  </w:num>
  <w:num w:numId="28">
    <w:abstractNumId w:val="24"/>
  </w:num>
  <w:num w:numId="29">
    <w:abstractNumId w:val="13"/>
  </w:num>
  <w:num w:numId="30">
    <w:abstractNumId w:val="26"/>
  </w:num>
  <w:num w:numId="31">
    <w:abstractNumId w:val="38"/>
  </w:num>
  <w:num w:numId="32">
    <w:abstractNumId w:val="31"/>
  </w:num>
  <w:num w:numId="33">
    <w:abstractNumId w:val="28"/>
  </w:num>
  <w:num w:numId="34">
    <w:abstractNumId w:val="19"/>
  </w:num>
  <w:num w:numId="35">
    <w:abstractNumId w:val="17"/>
  </w:num>
  <w:num w:numId="36">
    <w:abstractNumId w:val="18"/>
  </w:num>
  <w:num w:numId="37">
    <w:abstractNumId w:val="29"/>
  </w:num>
  <w:num w:numId="38">
    <w:abstractNumId w:val="12"/>
  </w:num>
  <w:num w:numId="39">
    <w:abstractNumId w:val="21"/>
  </w:num>
  <w:num w:numId="40">
    <w:abstractNumId w:val="11"/>
  </w:num>
  <w:num w:numId="41">
    <w:abstractNumId w:val="20"/>
  </w:num>
  <w:num w:numId="42">
    <w:abstractNumId w:val="25"/>
  </w:num>
  <w:num w:numId="43">
    <w:abstractNumId w:val="30"/>
  </w:num>
  <w:num w:numId="44">
    <w:abstractNumId w:val="35"/>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8"/>
    <w:rsid w:val="00000B4C"/>
    <w:rsid w:val="00005BBE"/>
    <w:rsid w:val="000106D0"/>
    <w:rsid w:val="00012EA4"/>
    <w:rsid w:val="00034336"/>
    <w:rsid w:val="00037CB0"/>
    <w:rsid w:val="000541A5"/>
    <w:rsid w:val="00062252"/>
    <w:rsid w:val="00066DD6"/>
    <w:rsid w:val="00073832"/>
    <w:rsid w:val="00080035"/>
    <w:rsid w:val="000822AC"/>
    <w:rsid w:val="0008509F"/>
    <w:rsid w:val="000A576B"/>
    <w:rsid w:val="000B1CCC"/>
    <w:rsid w:val="000B77D4"/>
    <w:rsid w:val="000C14D4"/>
    <w:rsid w:val="000D1627"/>
    <w:rsid w:val="000D1B7E"/>
    <w:rsid w:val="000D3938"/>
    <w:rsid w:val="000E3BB9"/>
    <w:rsid w:val="000E53F6"/>
    <w:rsid w:val="00100547"/>
    <w:rsid w:val="00106AED"/>
    <w:rsid w:val="00107A77"/>
    <w:rsid w:val="001172A8"/>
    <w:rsid w:val="00117BE2"/>
    <w:rsid w:val="00126215"/>
    <w:rsid w:val="00131F1D"/>
    <w:rsid w:val="001425F8"/>
    <w:rsid w:val="00152BC7"/>
    <w:rsid w:val="00152C76"/>
    <w:rsid w:val="00165B6E"/>
    <w:rsid w:val="00172E94"/>
    <w:rsid w:val="00173D98"/>
    <w:rsid w:val="00177216"/>
    <w:rsid w:val="00184456"/>
    <w:rsid w:val="00184561"/>
    <w:rsid w:val="00191DE6"/>
    <w:rsid w:val="00194213"/>
    <w:rsid w:val="00195DD1"/>
    <w:rsid w:val="00197B0E"/>
    <w:rsid w:val="001A1650"/>
    <w:rsid w:val="001A2237"/>
    <w:rsid w:val="001A2B2F"/>
    <w:rsid w:val="001A5F99"/>
    <w:rsid w:val="001A73F3"/>
    <w:rsid w:val="001A7ABD"/>
    <w:rsid w:val="001B04EF"/>
    <w:rsid w:val="001B0936"/>
    <w:rsid w:val="001B19F1"/>
    <w:rsid w:val="001B22A8"/>
    <w:rsid w:val="001B2AFC"/>
    <w:rsid w:val="001C3571"/>
    <w:rsid w:val="001C78D6"/>
    <w:rsid w:val="001D1AE5"/>
    <w:rsid w:val="001D309F"/>
    <w:rsid w:val="001D34D5"/>
    <w:rsid w:val="001D3744"/>
    <w:rsid w:val="001D3EA8"/>
    <w:rsid w:val="001D3F4A"/>
    <w:rsid w:val="001E01A1"/>
    <w:rsid w:val="001F312B"/>
    <w:rsid w:val="001F58E5"/>
    <w:rsid w:val="001F7D22"/>
    <w:rsid w:val="00200336"/>
    <w:rsid w:val="002018EA"/>
    <w:rsid w:val="002020C4"/>
    <w:rsid w:val="00205501"/>
    <w:rsid w:val="00206AE3"/>
    <w:rsid w:val="00207F06"/>
    <w:rsid w:val="0021117A"/>
    <w:rsid w:val="002113C1"/>
    <w:rsid w:val="002124B9"/>
    <w:rsid w:val="00213DA6"/>
    <w:rsid w:val="00214673"/>
    <w:rsid w:val="00216302"/>
    <w:rsid w:val="00231AD8"/>
    <w:rsid w:val="00236D2D"/>
    <w:rsid w:val="00240F41"/>
    <w:rsid w:val="0024487D"/>
    <w:rsid w:val="00245A2B"/>
    <w:rsid w:val="002507FB"/>
    <w:rsid w:val="00264439"/>
    <w:rsid w:val="00266EA3"/>
    <w:rsid w:val="00267E5F"/>
    <w:rsid w:val="002834EA"/>
    <w:rsid w:val="002873EF"/>
    <w:rsid w:val="00292117"/>
    <w:rsid w:val="00295EF7"/>
    <w:rsid w:val="002A302A"/>
    <w:rsid w:val="002A5641"/>
    <w:rsid w:val="002A7EFA"/>
    <w:rsid w:val="002B02FC"/>
    <w:rsid w:val="002B5F98"/>
    <w:rsid w:val="002C0589"/>
    <w:rsid w:val="002C3EB2"/>
    <w:rsid w:val="002C495C"/>
    <w:rsid w:val="002C5D53"/>
    <w:rsid w:val="002D1C62"/>
    <w:rsid w:val="002D367B"/>
    <w:rsid w:val="002D6677"/>
    <w:rsid w:val="002E18DD"/>
    <w:rsid w:val="002F0BBD"/>
    <w:rsid w:val="002F2582"/>
    <w:rsid w:val="0030283C"/>
    <w:rsid w:val="0030597C"/>
    <w:rsid w:val="003216FA"/>
    <w:rsid w:val="003242CE"/>
    <w:rsid w:val="00324920"/>
    <w:rsid w:val="00325437"/>
    <w:rsid w:val="003263A5"/>
    <w:rsid w:val="003423DA"/>
    <w:rsid w:val="00343CBF"/>
    <w:rsid w:val="003440CE"/>
    <w:rsid w:val="00347805"/>
    <w:rsid w:val="00347BA3"/>
    <w:rsid w:val="003537D5"/>
    <w:rsid w:val="00354EC2"/>
    <w:rsid w:val="00373C54"/>
    <w:rsid w:val="0037591D"/>
    <w:rsid w:val="00375C2A"/>
    <w:rsid w:val="00375FF7"/>
    <w:rsid w:val="00377994"/>
    <w:rsid w:val="0038165B"/>
    <w:rsid w:val="00383F5C"/>
    <w:rsid w:val="003912B5"/>
    <w:rsid w:val="0039432B"/>
    <w:rsid w:val="00397220"/>
    <w:rsid w:val="003979EC"/>
    <w:rsid w:val="003A3445"/>
    <w:rsid w:val="003A5E35"/>
    <w:rsid w:val="003B0A38"/>
    <w:rsid w:val="003B46E6"/>
    <w:rsid w:val="003B5C39"/>
    <w:rsid w:val="003C053D"/>
    <w:rsid w:val="003C0E1E"/>
    <w:rsid w:val="003D3F9B"/>
    <w:rsid w:val="003D7606"/>
    <w:rsid w:val="003E0279"/>
    <w:rsid w:val="003E2869"/>
    <w:rsid w:val="003E3722"/>
    <w:rsid w:val="003E686D"/>
    <w:rsid w:val="003E7647"/>
    <w:rsid w:val="00405D49"/>
    <w:rsid w:val="00406485"/>
    <w:rsid w:val="00406AF4"/>
    <w:rsid w:val="004141AF"/>
    <w:rsid w:val="004225F0"/>
    <w:rsid w:val="004227ED"/>
    <w:rsid w:val="004300C3"/>
    <w:rsid w:val="0043016C"/>
    <w:rsid w:val="004306EE"/>
    <w:rsid w:val="00430D97"/>
    <w:rsid w:val="00433A83"/>
    <w:rsid w:val="00443086"/>
    <w:rsid w:val="00443840"/>
    <w:rsid w:val="00445BCE"/>
    <w:rsid w:val="00454AF4"/>
    <w:rsid w:val="00454F25"/>
    <w:rsid w:val="00455D3E"/>
    <w:rsid w:val="0045698D"/>
    <w:rsid w:val="00465C3E"/>
    <w:rsid w:val="00465DBE"/>
    <w:rsid w:val="004710B8"/>
    <w:rsid w:val="00475081"/>
    <w:rsid w:val="00477CD7"/>
    <w:rsid w:val="0048156B"/>
    <w:rsid w:val="004819D8"/>
    <w:rsid w:val="00482393"/>
    <w:rsid w:val="0048264E"/>
    <w:rsid w:val="004828EF"/>
    <w:rsid w:val="004843E9"/>
    <w:rsid w:val="00484CF6"/>
    <w:rsid w:val="00490001"/>
    <w:rsid w:val="004971C5"/>
    <w:rsid w:val="004A019A"/>
    <w:rsid w:val="004B0E50"/>
    <w:rsid w:val="004B22B6"/>
    <w:rsid w:val="004B7CF4"/>
    <w:rsid w:val="004C1E00"/>
    <w:rsid w:val="004D4AAC"/>
    <w:rsid w:val="004D556B"/>
    <w:rsid w:val="004E1D43"/>
    <w:rsid w:val="004E4130"/>
    <w:rsid w:val="004F05B2"/>
    <w:rsid w:val="004F3F7F"/>
    <w:rsid w:val="004F53E5"/>
    <w:rsid w:val="004F630B"/>
    <w:rsid w:val="00516CF1"/>
    <w:rsid w:val="00521359"/>
    <w:rsid w:val="00521400"/>
    <w:rsid w:val="00523EA8"/>
    <w:rsid w:val="00524183"/>
    <w:rsid w:val="00526234"/>
    <w:rsid w:val="00533E65"/>
    <w:rsid w:val="00543095"/>
    <w:rsid w:val="00544D11"/>
    <w:rsid w:val="00547D4A"/>
    <w:rsid w:val="00554271"/>
    <w:rsid w:val="00555C6C"/>
    <w:rsid w:val="005628EA"/>
    <w:rsid w:val="00563FAB"/>
    <w:rsid w:val="0056681E"/>
    <w:rsid w:val="00572AA9"/>
    <w:rsid w:val="00574D23"/>
    <w:rsid w:val="00577518"/>
    <w:rsid w:val="005809D8"/>
    <w:rsid w:val="00581C0D"/>
    <w:rsid w:val="0058713A"/>
    <w:rsid w:val="0059449F"/>
    <w:rsid w:val="00595906"/>
    <w:rsid w:val="005A7ECF"/>
    <w:rsid w:val="005B11F9"/>
    <w:rsid w:val="005B75AF"/>
    <w:rsid w:val="005C436A"/>
    <w:rsid w:val="005C6713"/>
    <w:rsid w:val="006020A1"/>
    <w:rsid w:val="006041BB"/>
    <w:rsid w:val="0060619E"/>
    <w:rsid w:val="00617EE0"/>
    <w:rsid w:val="006210BE"/>
    <w:rsid w:val="00622C37"/>
    <w:rsid w:val="00631036"/>
    <w:rsid w:val="00631D73"/>
    <w:rsid w:val="00632854"/>
    <w:rsid w:val="00641611"/>
    <w:rsid w:val="00643E24"/>
    <w:rsid w:val="0065058C"/>
    <w:rsid w:val="0065202B"/>
    <w:rsid w:val="00655324"/>
    <w:rsid w:val="00655CB3"/>
    <w:rsid w:val="00661411"/>
    <w:rsid w:val="00673888"/>
    <w:rsid w:val="00676F8A"/>
    <w:rsid w:val="00680E27"/>
    <w:rsid w:val="006841E7"/>
    <w:rsid w:val="006A4F20"/>
    <w:rsid w:val="006B19BD"/>
    <w:rsid w:val="006B20F6"/>
    <w:rsid w:val="006C6168"/>
    <w:rsid w:val="006E0CB8"/>
    <w:rsid w:val="006E1B03"/>
    <w:rsid w:val="006E734A"/>
    <w:rsid w:val="006F0D38"/>
    <w:rsid w:val="006F1430"/>
    <w:rsid w:val="006F2856"/>
    <w:rsid w:val="00710B27"/>
    <w:rsid w:val="00724419"/>
    <w:rsid w:val="0073191D"/>
    <w:rsid w:val="00732BEF"/>
    <w:rsid w:val="00733C97"/>
    <w:rsid w:val="007377BC"/>
    <w:rsid w:val="0074215F"/>
    <w:rsid w:val="00743035"/>
    <w:rsid w:val="007520E6"/>
    <w:rsid w:val="00756BEA"/>
    <w:rsid w:val="00770953"/>
    <w:rsid w:val="00791448"/>
    <w:rsid w:val="007B1F0C"/>
    <w:rsid w:val="007B201A"/>
    <w:rsid w:val="007B432A"/>
    <w:rsid w:val="007C2143"/>
    <w:rsid w:val="007D663A"/>
    <w:rsid w:val="007D7F7C"/>
    <w:rsid w:val="007E0391"/>
    <w:rsid w:val="007F3ACD"/>
    <w:rsid w:val="007F6FED"/>
    <w:rsid w:val="007F7045"/>
    <w:rsid w:val="0080133F"/>
    <w:rsid w:val="0080498F"/>
    <w:rsid w:val="008079E5"/>
    <w:rsid w:val="008120FD"/>
    <w:rsid w:val="008179BA"/>
    <w:rsid w:val="008209CD"/>
    <w:rsid w:val="0082464B"/>
    <w:rsid w:val="00826C2A"/>
    <w:rsid w:val="0085055E"/>
    <w:rsid w:val="00860654"/>
    <w:rsid w:val="00861E38"/>
    <w:rsid w:val="00866ACB"/>
    <w:rsid w:val="0087150A"/>
    <w:rsid w:val="00873363"/>
    <w:rsid w:val="00873D65"/>
    <w:rsid w:val="0089235F"/>
    <w:rsid w:val="008975A5"/>
    <w:rsid w:val="008A1422"/>
    <w:rsid w:val="008A35B1"/>
    <w:rsid w:val="008A3A19"/>
    <w:rsid w:val="008A7547"/>
    <w:rsid w:val="008B24CC"/>
    <w:rsid w:val="008B27A5"/>
    <w:rsid w:val="008B4551"/>
    <w:rsid w:val="008B51DD"/>
    <w:rsid w:val="008B7E33"/>
    <w:rsid w:val="008C369D"/>
    <w:rsid w:val="008C4590"/>
    <w:rsid w:val="008C47A8"/>
    <w:rsid w:val="008D1A6F"/>
    <w:rsid w:val="008D6803"/>
    <w:rsid w:val="008E1E12"/>
    <w:rsid w:val="008F1921"/>
    <w:rsid w:val="008F2E37"/>
    <w:rsid w:val="00902AA3"/>
    <w:rsid w:val="00903467"/>
    <w:rsid w:val="0090378E"/>
    <w:rsid w:val="00904C7C"/>
    <w:rsid w:val="00906BB6"/>
    <w:rsid w:val="00906EAA"/>
    <w:rsid w:val="00922BDC"/>
    <w:rsid w:val="00926CB2"/>
    <w:rsid w:val="00933F19"/>
    <w:rsid w:val="0094223B"/>
    <w:rsid w:val="0094339C"/>
    <w:rsid w:val="00945292"/>
    <w:rsid w:val="00945446"/>
    <w:rsid w:val="00951008"/>
    <w:rsid w:val="009606C1"/>
    <w:rsid w:val="009617DD"/>
    <w:rsid w:val="00962E0B"/>
    <w:rsid w:val="00963387"/>
    <w:rsid w:val="009659B6"/>
    <w:rsid w:val="009674F1"/>
    <w:rsid w:val="00970DD2"/>
    <w:rsid w:val="0097168E"/>
    <w:rsid w:val="0098026F"/>
    <w:rsid w:val="009818C6"/>
    <w:rsid w:val="00983083"/>
    <w:rsid w:val="009845CF"/>
    <w:rsid w:val="009879F2"/>
    <w:rsid w:val="00994B8E"/>
    <w:rsid w:val="009A3D72"/>
    <w:rsid w:val="009A5FAE"/>
    <w:rsid w:val="009B0817"/>
    <w:rsid w:val="009B2CB6"/>
    <w:rsid w:val="009C0EBC"/>
    <w:rsid w:val="009C3BA1"/>
    <w:rsid w:val="009D15F1"/>
    <w:rsid w:val="009D2B10"/>
    <w:rsid w:val="009D52BC"/>
    <w:rsid w:val="009F40E8"/>
    <w:rsid w:val="00A115AE"/>
    <w:rsid w:val="00A1309F"/>
    <w:rsid w:val="00A2199C"/>
    <w:rsid w:val="00A26037"/>
    <w:rsid w:val="00A33D42"/>
    <w:rsid w:val="00A36A01"/>
    <w:rsid w:val="00A43858"/>
    <w:rsid w:val="00A43896"/>
    <w:rsid w:val="00A50B17"/>
    <w:rsid w:val="00A51B94"/>
    <w:rsid w:val="00A52791"/>
    <w:rsid w:val="00A55950"/>
    <w:rsid w:val="00A575D6"/>
    <w:rsid w:val="00A57D04"/>
    <w:rsid w:val="00A6244E"/>
    <w:rsid w:val="00A679CC"/>
    <w:rsid w:val="00A74321"/>
    <w:rsid w:val="00A77C53"/>
    <w:rsid w:val="00A80A1B"/>
    <w:rsid w:val="00A90764"/>
    <w:rsid w:val="00A96AD1"/>
    <w:rsid w:val="00A96E4C"/>
    <w:rsid w:val="00AA2391"/>
    <w:rsid w:val="00AA2D36"/>
    <w:rsid w:val="00AA6590"/>
    <w:rsid w:val="00AC16A6"/>
    <w:rsid w:val="00AC2988"/>
    <w:rsid w:val="00AC5178"/>
    <w:rsid w:val="00AD0AE4"/>
    <w:rsid w:val="00AD0CA2"/>
    <w:rsid w:val="00AE03E2"/>
    <w:rsid w:val="00AE4647"/>
    <w:rsid w:val="00AE744E"/>
    <w:rsid w:val="00AE7C71"/>
    <w:rsid w:val="00AF10F6"/>
    <w:rsid w:val="00AF3F32"/>
    <w:rsid w:val="00B01235"/>
    <w:rsid w:val="00B0204E"/>
    <w:rsid w:val="00B02EF4"/>
    <w:rsid w:val="00B04CC7"/>
    <w:rsid w:val="00B04DCF"/>
    <w:rsid w:val="00B1464A"/>
    <w:rsid w:val="00B412DD"/>
    <w:rsid w:val="00B415A0"/>
    <w:rsid w:val="00B41635"/>
    <w:rsid w:val="00B41C44"/>
    <w:rsid w:val="00B44782"/>
    <w:rsid w:val="00B477EB"/>
    <w:rsid w:val="00B503BD"/>
    <w:rsid w:val="00B5357A"/>
    <w:rsid w:val="00B53A73"/>
    <w:rsid w:val="00B73F04"/>
    <w:rsid w:val="00B73F1C"/>
    <w:rsid w:val="00B74886"/>
    <w:rsid w:val="00B8221B"/>
    <w:rsid w:val="00BA7637"/>
    <w:rsid w:val="00BB10BA"/>
    <w:rsid w:val="00BB3D07"/>
    <w:rsid w:val="00BC2F19"/>
    <w:rsid w:val="00BC34B2"/>
    <w:rsid w:val="00BD200A"/>
    <w:rsid w:val="00BE1A5A"/>
    <w:rsid w:val="00BE7219"/>
    <w:rsid w:val="00BF0BB7"/>
    <w:rsid w:val="00BF5B2E"/>
    <w:rsid w:val="00C0123A"/>
    <w:rsid w:val="00C3014D"/>
    <w:rsid w:val="00C30ECE"/>
    <w:rsid w:val="00C33E85"/>
    <w:rsid w:val="00C46A31"/>
    <w:rsid w:val="00C47E9D"/>
    <w:rsid w:val="00C503A7"/>
    <w:rsid w:val="00C5215F"/>
    <w:rsid w:val="00C571C3"/>
    <w:rsid w:val="00C80952"/>
    <w:rsid w:val="00C83CF4"/>
    <w:rsid w:val="00C90982"/>
    <w:rsid w:val="00C93F90"/>
    <w:rsid w:val="00C9626C"/>
    <w:rsid w:val="00CA27DF"/>
    <w:rsid w:val="00CA43F1"/>
    <w:rsid w:val="00CB1AB5"/>
    <w:rsid w:val="00CB233C"/>
    <w:rsid w:val="00CB31D8"/>
    <w:rsid w:val="00CB4A28"/>
    <w:rsid w:val="00CC0890"/>
    <w:rsid w:val="00CC5042"/>
    <w:rsid w:val="00CC6C0E"/>
    <w:rsid w:val="00CD6515"/>
    <w:rsid w:val="00CF068D"/>
    <w:rsid w:val="00CF2640"/>
    <w:rsid w:val="00CF4CE0"/>
    <w:rsid w:val="00CF5CA7"/>
    <w:rsid w:val="00CF674F"/>
    <w:rsid w:val="00D00390"/>
    <w:rsid w:val="00D00437"/>
    <w:rsid w:val="00D01ADA"/>
    <w:rsid w:val="00D06541"/>
    <w:rsid w:val="00D11298"/>
    <w:rsid w:val="00D12381"/>
    <w:rsid w:val="00D125FB"/>
    <w:rsid w:val="00D13743"/>
    <w:rsid w:val="00D22230"/>
    <w:rsid w:val="00D22F37"/>
    <w:rsid w:val="00D32019"/>
    <w:rsid w:val="00D34EA0"/>
    <w:rsid w:val="00D36017"/>
    <w:rsid w:val="00D478DE"/>
    <w:rsid w:val="00D51D5D"/>
    <w:rsid w:val="00D52F54"/>
    <w:rsid w:val="00D61BAB"/>
    <w:rsid w:val="00D66AC5"/>
    <w:rsid w:val="00D70FB0"/>
    <w:rsid w:val="00D75312"/>
    <w:rsid w:val="00D75E77"/>
    <w:rsid w:val="00D81749"/>
    <w:rsid w:val="00D82644"/>
    <w:rsid w:val="00D85EF3"/>
    <w:rsid w:val="00D94292"/>
    <w:rsid w:val="00DA2B1A"/>
    <w:rsid w:val="00DB24A4"/>
    <w:rsid w:val="00DB353D"/>
    <w:rsid w:val="00DC425C"/>
    <w:rsid w:val="00DC4761"/>
    <w:rsid w:val="00DD20B7"/>
    <w:rsid w:val="00DD6907"/>
    <w:rsid w:val="00DD7526"/>
    <w:rsid w:val="00DE051C"/>
    <w:rsid w:val="00DE3816"/>
    <w:rsid w:val="00DF1954"/>
    <w:rsid w:val="00DF3EA7"/>
    <w:rsid w:val="00DF4FD0"/>
    <w:rsid w:val="00DF5462"/>
    <w:rsid w:val="00DF6C8B"/>
    <w:rsid w:val="00E00490"/>
    <w:rsid w:val="00E02D42"/>
    <w:rsid w:val="00E101C7"/>
    <w:rsid w:val="00E21EA5"/>
    <w:rsid w:val="00E34E21"/>
    <w:rsid w:val="00E35C61"/>
    <w:rsid w:val="00E36CCC"/>
    <w:rsid w:val="00E4015A"/>
    <w:rsid w:val="00E43438"/>
    <w:rsid w:val="00E52423"/>
    <w:rsid w:val="00E54BEF"/>
    <w:rsid w:val="00E671C3"/>
    <w:rsid w:val="00E71D4A"/>
    <w:rsid w:val="00E745CD"/>
    <w:rsid w:val="00E816C4"/>
    <w:rsid w:val="00E90142"/>
    <w:rsid w:val="00E9269E"/>
    <w:rsid w:val="00E96546"/>
    <w:rsid w:val="00EA0281"/>
    <w:rsid w:val="00EA3FCF"/>
    <w:rsid w:val="00EB4322"/>
    <w:rsid w:val="00EC024A"/>
    <w:rsid w:val="00EC0EF0"/>
    <w:rsid w:val="00EC5C2A"/>
    <w:rsid w:val="00ED64AE"/>
    <w:rsid w:val="00EE4D73"/>
    <w:rsid w:val="00EF0251"/>
    <w:rsid w:val="00EF1191"/>
    <w:rsid w:val="00EF7C96"/>
    <w:rsid w:val="00F05F64"/>
    <w:rsid w:val="00F06EE8"/>
    <w:rsid w:val="00F07349"/>
    <w:rsid w:val="00F113EF"/>
    <w:rsid w:val="00F126F3"/>
    <w:rsid w:val="00F21209"/>
    <w:rsid w:val="00F22AE5"/>
    <w:rsid w:val="00F26729"/>
    <w:rsid w:val="00F271FF"/>
    <w:rsid w:val="00F314AF"/>
    <w:rsid w:val="00F3192C"/>
    <w:rsid w:val="00F461CB"/>
    <w:rsid w:val="00F464B1"/>
    <w:rsid w:val="00F52B5E"/>
    <w:rsid w:val="00F530DC"/>
    <w:rsid w:val="00F5681C"/>
    <w:rsid w:val="00F56D24"/>
    <w:rsid w:val="00F656F8"/>
    <w:rsid w:val="00F72B8B"/>
    <w:rsid w:val="00F75DF1"/>
    <w:rsid w:val="00F77A3B"/>
    <w:rsid w:val="00F77BE0"/>
    <w:rsid w:val="00F813FE"/>
    <w:rsid w:val="00F829C0"/>
    <w:rsid w:val="00F829F6"/>
    <w:rsid w:val="00F83D85"/>
    <w:rsid w:val="00FA5362"/>
    <w:rsid w:val="00FA5CC1"/>
    <w:rsid w:val="00FB3EA6"/>
    <w:rsid w:val="00FC4248"/>
    <w:rsid w:val="00FC6821"/>
    <w:rsid w:val="00FD325A"/>
    <w:rsid w:val="00FD3B74"/>
    <w:rsid w:val="00FD5EB5"/>
    <w:rsid w:val="00FE76E7"/>
    <w:rsid w:val="00FF6300"/>
    <w:rsid w:val="00FF7B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10DC"/>
  <w15:chartTrackingRefBased/>
  <w15:docId w15:val="{477C5E71-7FF8-4CCD-A118-BB77B51B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EC5C2A"/>
    <w:pPr>
      <w:keepNext/>
      <w:keepLines/>
      <w:spacing w:before="360" w:after="240"/>
      <w:outlineLvl w:val="0"/>
    </w:pPr>
    <w:rPr>
      <w:rFonts w:ascii="Georgia" w:eastAsiaTheme="majorEastAsia" w:hAnsi="Georgia"/>
      <w:b/>
      <w:bCs/>
      <w:color w:val="121F6B"/>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1B2AFC"/>
    <w:pPr>
      <w:outlineLvl w:val="3"/>
    </w:pPr>
    <w:rPr>
      <w:b w:val="0"/>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C2A"/>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1B2AFC"/>
    <w:rPr>
      <w:rFonts w:ascii="Verdana" w:hAnsi="Verdana" w:cs="Arial"/>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val="0"/>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val="0"/>
      <w:sz w:val="20"/>
      <w:szCs w:val="24"/>
    </w:rPr>
  </w:style>
  <w:style w:type="paragraph" w:styleId="TOCHeading">
    <w:name w:val="TOC Heading"/>
    <w:basedOn w:val="Heading1"/>
    <w:next w:val="Normal"/>
    <w:uiPriority w:val="39"/>
    <w:unhideWhenUsed/>
    <w:qFormat/>
    <w:rsid w:val="00EC5C2A"/>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unhideWhenUsed/>
    <w:rsid w:val="00FC6821"/>
    <w:rPr>
      <w:vertAlign w:val="superscript"/>
    </w:rPr>
  </w:style>
  <w:style w:type="paragraph" w:styleId="Header">
    <w:name w:val="header"/>
    <w:basedOn w:val="Normal"/>
    <w:link w:val="HeaderChar"/>
    <w:uiPriority w:val="99"/>
    <w:unhideWhenUsed/>
    <w:rsid w:val="001D3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4D5"/>
    <w:rPr>
      <w:rFonts w:ascii="Verdana" w:hAnsi="Verdana" w:cs="Arial"/>
      <w:szCs w:val="22"/>
    </w:rPr>
  </w:style>
  <w:style w:type="character" w:styleId="Hyperlink">
    <w:name w:val="Hyperlink"/>
    <w:basedOn w:val="DefaultParagraphFont"/>
    <w:uiPriority w:val="99"/>
    <w:unhideWhenUsed/>
    <w:rsid w:val="001D34D5"/>
    <w:rPr>
      <w:color w:val="0000FF" w:themeColor="hyperlink"/>
      <w:u w:val="single"/>
    </w:rPr>
  </w:style>
  <w:style w:type="paragraph" w:styleId="Caption">
    <w:name w:val="caption"/>
    <w:basedOn w:val="Normal"/>
    <w:next w:val="Normal"/>
    <w:uiPriority w:val="35"/>
    <w:unhideWhenUsed/>
    <w:qFormat/>
    <w:rsid w:val="008B24CC"/>
    <w:pPr>
      <w:spacing w:after="200" w:line="240" w:lineRule="auto"/>
    </w:pPr>
    <w:rPr>
      <w:b/>
      <w:iCs/>
      <w:sz w:val="18"/>
      <w:szCs w:val="18"/>
    </w:rPr>
  </w:style>
  <w:style w:type="paragraph" w:styleId="CommentSubject">
    <w:name w:val="annotation subject"/>
    <w:basedOn w:val="CommentText"/>
    <w:next w:val="CommentText"/>
    <w:link w:val="CommentSubjectChar"/>
    <w:uiPriority w:val="99"/>
    <w:semiHidden/>
    <w:unhideWhenUsed/>
    <w:rsid w:val="006F2856"/>
    <w:rPr>
      <w:b/>
      <w:bCs/>
    </w:rPr>
  </w:style>
  <w:style w:type="character" w:customStyle="1" w:styleId="CommentSubjectChar">
    <w:name w:val="Comment Subject Char"/>
    <w:basedOn w:val="CommentTextChar"/>
    <w:link w:val="CommentSubject"/>
    <w:uiPriority w:val="99"/>
    <w:semiHidden/>
    <w:rsid w:val="006F2856"/>
    <w:rPr>
      <w:rFonts w:ascii="Verdana" w:hAnsi="Verdana" w:cs="Arial"/>
      <w:b/>
      <w:bCs/>
    </w:rPr>
  </w:style>
  <w:style w:type="character" w:styleId="UnresolvedMention">
    <w:name w:val="Unresolved Mention"/>
    <w:basedOn w:val="DefaultParagraphFont"/>
    <w:uiPriority w:val="99"/>
    <w:semiHidden/>
    <w:unhideWhenUsed/>
    <w:rsid w:val="00324920"/>
    <w:rPr>
      <w:color w:val="605E5C"/>
      <w:shd w:val="clear" w:color="auto" w:fill="E1DFDD"/>
    </w:rPr>
  </w:style>
  <w:style w:type="paragraph" w:styleId="Revision">
    <w:name w:val="Revision"/>
    <w:hidden/>
    <w:uiPriority w:val="99"/>
    <w:semiHidden/>
    <w:rsid w:val="004B0E50"/>
    <w:rPr>
      <w:rFonts w:ascii="Verdana" w:hAnsi="Verdana" w:cs="Arial"/>
      <w:szCs w:val="22"/>
    </w:rPr>
  </w:style>
  <w:style w:type="character" w:styleId="FollowedHyperlink">
    <w:name w:val="FollowedHyperlink"/>
    <w:basedOn w:val="DefaultParagraphFont"/>
    <w:uiPriority w:val="99"/>
    <w:semiHidden/>
    <w:unhideWhenUsed/>
    <w:rsid w:val="00DB353D"/>
    <w:rPr>
      <w:color w:val="800080" w:themeColor="followedHyperlink"/>
      <w:u w:val="single"/>
    </w:rPr>
  </w:style>
  <w:style w:type="paragraph" w:customStyle="1" w:styleId="ReportBody">
    <w:name w:val="Report Body"/>
    <w:basedOn w:val="Normal"/>
    <w:link w:val="ReportBodyChar"/>
    <w:qFormat/>
    <w:rsid w:val="00F21209"/>
    <w:pPr>
      <w:numPr>
        <w:numId w:val="4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F21209"/>
    <w:pPr>
      <w:numPr>
        <w:ilvl w:val="1"/>
      </w:numPr>
      <w:tabs>
        <w:tab w:val="clear" w:pos="493"/>
        <w:tab w:val="num" w:pos="360"/>
      </w:tabs>
      <w:ind w:left="720" w:hanging="360"/>
    </w:pPr>
  </w:style>
  <w:style w:type="character" w:customStyle="1" w:styleId="ReportBodyChar">
    <w:name w:val="Report Body Char"/>
    <w:basedOn w:val="DefaultParagraphFont"/>
    <w:link w:val="ReportBody"/>
    <w:rsid w:val="00F21209"/>
    <w:rPr>
      <w:rFonts w:ascii="Verdana" w:eastAsia="Times New Roman" w:hAnsi="Verdana" w:cs="Arial"/>
      <w:color w:val="000000"/>
      <w:kern w:val="22"/>
      <w:lang w:eastAsia="en-NZ"/>
    </w:rPr>
  </w:style>
  <w:style w:type="paragraph" w:customStyle="1" w:styleId="Report2">
    <w:name w:val="Report2"/>
    <w:qFormat/>
    <w:rsid w:val="00EC5C2A"/>
    <w:pPr>
      <w:spacing w:before="240"/>
    </w:pPr>
    <w:rPr>
      <w:rFonts w:ascii="Georgia" w:hAnsi="Georgia" w:cs="Arial"/>
      <w:b/>
      <w:color w:val="121F6B"/>
      <w:kern w:val="28"/>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11240">
      <w:bodyDiv w:val="1"/>
      <w:marLeft w:val="0"/>
      <w:marRight w:val="0"/>
      <w:marTop w:val="0"/>
      <w:marBottom w:val="0"/>
      <w:divBdr>
        <w:top w:val="none" w:sz="0" w:space="0" w:color="auto"/>
        <w:left w:val="none" w:sz="0" w:space="0" w:color="auto"/>
        <w:bottom w:val="none" w:sz="0" w:space="0" w:color="auto"/>
        <w:right w:val="none" w:sz="0" w:space="0" w:color="auto"/>
      </w:divBdr>
    </w:div>
    <w:div w:id="1429542952">
      <w:bodyDiv w:val="1"/>
      <w:marLeft w:val="0"/>
      <w:marRight w:val="0"/>
      <w:marTop w:val="0"/>
      <w:marBottom w:val="0"/>
      <w:divBdr>
        <w:top w:val="none" w:sz="0" w:space="0" w:color="auto"/>
        <w:left w:val="none" w:sz="0" w:space="0" w:color="auto"/>
        <w:bottom w:val="none" w:sz="0" w:space="0" w:color="auto"/>
        <w:right w:val="none" w:sz="0" w:space="0" w:color="auto"/>
      </w:divBdr>
    </w:div>
    <w:div w:id="2099910372">
      <w:bodyDiv w:val="1"/>
      <w:marLeft w:val="0"/>
      <w:marRight w:val="0"/>
      <w:marTop w:val="0"/>
      <w:marBottom w:val="0"/>
      <w:divBdr>
        <w:top w:val="none" w:sz="0" w:space="0" w:color="auto"/>
        <w:left w:val="none" w:sz="0" w:space="0" w:color="auto"/>
        <w:bottom w:val="none" w:sz="0" w:space="0" w:color="auto"/>
        <w:right w:val="none" w:sz="0" w:space="0" w:color="auto"/>
      </w:divBdr>
    </w:div>
    <w:div w:id="2104065595">
      <w:bodyDiv w:val="1"/>
      <w:marLeft w:val="0"/>
      <w:marRight w:val="0"/>
      <w:marTop w:val="0"/>
      <w:marBottom w:val="0"/>
      <w:divBdr>
        <w:top w:val="none" w:sz="0" w:space="0" w:color="auto"/>
        <w:left w:val="none" w:sz="0" w:space="0" w:color="auto"/>
        <w:bottom w:val="none" w:sz="0" w:space="0" w:color="auto"/>
        <w:right w:val="none" w:sz="0" w:space="0" w:color="auto"/>
      </w:divBdr>
    </w:div>
    <w:div w:id="21222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s://www.msd.govt.nz/about-msd-and-our-work/work-programmes/research/evaluation-of-oranga-mahi-trials.html"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d.govt.nz/insights"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theme" Target="theme/theme1.xml"/><Relationship Id="rId10" Type="http://schemas.openxmlformats.org/officeDocument/2006/relationships/hyperlink" Target="https://www.msd.govt.nz/about-msd-and-our-work/tools/how-we-keep-data-private.html"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utcomesstar.org.uk/using-the-star/see-the-stars/well-being-star/" TargetMode="External"/><Relationship Id="rId2" Type="http://schemas.openxmlformats.org/officeDocument/2006/relationships/hyperlink" Target="https://www.msd.govt.nz/documents/about-msd-and-our-work/publications-resources/evaluation/family-packages/2021/monitoring-the-families-package-and-changes-to-income-support-from-2018-to-2021.pdf" TargetMode="External"/><Relationship Id="rId1" Type="http://schemas.openxmlformats.org/officeDocument/2006/relationships/hyperlink" Target="https://www.outcomesstar.org.uk/using-the-star/see-the-stars/well-being-star/" TargetMode="External"/><Relationship Id="rId5" Type="http://schemas.openxmlformats.org/officeDocument/2006/relationships/hyperlink" Target="https://msd.govt.nz/about-msd-and-our-work/newsroom/budget/2021/factsheets/improving-work-capacity-medical-certificates.html" TargetMode="External"/><Relationship Id="rId4" Type="http://schemas.openxmlformats.org/officeDocument/2006/relationships/hyperlink" Target="https://carematters.org.nz/information-from-ministry-of-social-development-ms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orp.ssi.govt.nz\usersl\larne001\Desktop\iMSD%20stuff\oranga%20mahi\reach\Final%20update\analysis3.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orp.ssi.govt.nz\usersl\larne001\Desktop\iMSD%20stuff\oranga%20mahi\reach\Final%20update\analysis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orp.ssi.govt.nz\usersl\larne001\Desktop\iMSD%20stuff\oranga%20mahi\reach\Final%20update\analysis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orp.ssi.govt.nz\usersl\larne001\Desktop\iMSD%20stuff\oranga%20mahi\reach\Final%20update\analysis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orp.ssi.govt.nz\usersl\larne001\Desktop\iMSD%20stuff\oranga%20mahi\reach\Final%20update\analysis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orp.ssi.govt.nz\usersl\larne001\Desktop\iMSD%20stuff\oranga%20mahi\reach\Final%20update\analysis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orp.ssi.govt.nz\usersl\larne001\Desktop\iMSD%20stuff\oranga%20mahi\reach\Final%20update\analysis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orp.ssi.govt.nz\usersl\larne001\Desktop\iMSD%20stuff\oranga%20mahi\reach\Final%20update\analysis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orp.ssi.govt.nz\usersl\larne001\Desktop\iMSD%20stuff\oranga%20mahi\reach\Final%20update\analysis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orp.ssi.govt.nz\usersl\larne001\Desktop\iMSD%20stuff\oranga%20mahi\reach\Final%20update\analysis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orp.ssi.govt.nz\usersl\larne001\Desktop\iMSD%20stuff\oranga%20mahi\reach\Final%20update\analysis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orp.ssi.govt.nz\usersl\larne001\Desktop\iMSD%20stuff\oranga%20mahi\reach\Final%20update\analysis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orp.ssi.govt.nz\usersl\larne001\Desktop\iMSD%20stuff\oranga%20mahi\reach\Final%20update\analysi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8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627D-497C-88E2-C2099A2AB5C5}"/>
              </c:ext>
            </c:extLst>
          </c:dPt>
          <c:dPt>
            <c:idx val="1"/>
            <c:invertIfNegative val="0"/>
            <c:bubble3D val="0"/>
            <c:spPr>
              <a:solidFill>
                <a:srgbClr val="00B0F0"/>
              </a:solidFill>
              <a:ln>
                <a:noFill/>
              </a:ln>
              <a:effectLst/>
            </c:spPr>
            <c:extLst>
              <c:ext xmlns:c16="http://schemas.microsoft.com/office/drawing/2014/chart" uri="{C3380CC4-5D6E-409C-BE32-E72D297353CC}">
                <c16:uniqueId val="{00000003-627D-497C-88E2-C2099A2AB5C5}"/>
              </c:ext>
            </c:extLst>
          </c:dPt>
          <c:dLbls>
            <c:dLbl>
              <c:idx val="0"/>
              <c:tx>
                <c:rich>
                  <a:bodyPr/>
                  <a:lstStyle/>
                  <a:p>
                    <a:fld id="{AB0B42D8-7758-42A9-9860-66CB1874DCCB}"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27D-497C-88E2-C2099A2AB5C5}"/>
                </c:ext>
              </c:extLst>
            </c:dLbl>
            <c:dLbl>
              <c:idx val="1"/>
              <c:tx>
                <c:rich>
                  <a:bodyPr/>
                  <a:lstStyle/>
                  <a:p>
                    <a:fld id="{69CD7C66-82EA-4FDA-93CA-97E322D5F7B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27D-497C-88E2-C2099A2AB5C5}"/>
                </c:ext>
              </c:extLst>
            </c:dLbl>
            <c:dLbl>
              <c:idx val="2"/>
              <c:tx>
                <c:rich>
                  <a:bodyPr/>
                  <a:lstStyle/>
                  <a:p>
                    <a:fld id="{B64E01EA-4FC4-4D54-B793-C513E28A0BC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27D-497C-88E2-C2099A2AB5C5}"/>
                </c:ext>
              </c:extLst>
            </c:dLbl>
            <c:dLbl>
              <c:idx val="3"/>
              <c:tx>
                <c:rich>
                  <a:bodyPr/>
                  <a:lstStyle/>
                  <a:p>
                    <a:fld id="{1FEF7A40-A454-4A1A-88FF-52A23DB19B9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27D-497C-88E2-C2099A2AB5C5}"/>
                </c:ext>
              </c:extLst>
            </c:dLbl>
            <c:dLbl>
              <c:idx val="4"/>
              <c:tx>
                <c:rich>
                  <a:bodyPr/>
                  <a:lstStyle/>
                  <a:p>
                    <a:fld id="{C6B13935-BFFC-45E5-8940-91BF4210E0AA}"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27D-497C-88E2-C2099A2AB5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'demographic analysis'!$B$11:$B$15</c:f>
              <c:strCache>
                <c:ptCount val="5"/>
                <c:pt idx="0">
                  <c:v>24 and under</c:v>
                </c:pt>
                <c:pt idx="1">
                  <c:v>25 - 34</c:v>
                </c:pt>
                <c:pt idx="2">
                  <c:v>35 - 44</c:v>
                </c:pt>
                <c:pt idx="3">
                  <c:v>45 - 54</c:v>
                </c:pt>
                <c:pt idx="4">
                  <c:v>55 - 64</c:v>
                </c:pt>
              </c:strCache>
            </c:strRef>
          </c:cat>
          <c:val>
            <c:numRef>
              <c:f>'demographic analysis'!$D$11:$D$15</c:f>
              <c:numCache>
                <c:formatCode>0.0%</c:formatCode>
                <c:ptCount val="5"/>
                <c:pt idx="0">
                  <c:v>0.33333333333333331</c:v>
                </c:pt>
                <c:pt idx="1">
                  <c:v>0.26315789473684209</c:v>
                </c:pt>
                <c:pt idx="2">
                  <c:v>0.14035087719298245</c:v>
                </c:pt>
                <c:pt idx="3">
                  <c:v>0.14035087719298245</c:v>
                </c:pt>
                <c:pt idx="4">
                  <c:v>0.10526315789473684</c:v>
                </c:pt>
              </c:numCache>
            </c:numRef>
          </c:val>
          <c:extLst>
            <c:ext xmlns:c15="http://schemas.microsoft.com/office/drawing/2012/chart" uri="{02D57815-91ED-43cb-92C2-25804820EDAC}">
              <c15:datalabelsRange>
                <c15:f>'demographic analysis'!$E$11:$E$15</c15:f>
                <c15:dlblRangeCache>
                  <c:ptCount val="5"/>
                  <c:pt idx="0">
                    <c:v>33.3% (57)</c:v>
                  </c:pt>
                  <c:pt idx="1">
                    <c:v>26.3% (45)</c:v>
                  </c:pt>
                  <c:pt idx="2">
                    <c:v>14.0% (24)</c:v>
                  </c:pt>
                  <c:pt idx="3">
                    <c:v>14.0% (24)</c:v>
                  </c:pt>
                  <c:pt idx="4">
                    <c:v>10.5% (18)</c:v>
                  </c:pt>
                </c15:dlblRangeCache>
              </c15:datalabelsRange>
            </c:ext>
            <c:ext xmlns:c16="http://schemas.microsoft.com/office/drawing/2014/chart" uri="{C3380CC4-5D6E-409C-BE32-E72D297353CC}">
              <c16:uniqueId val="{00000007-627D-497C-88E2-C2099A2AB5C5}"/>
            </c:ext>
          </c:extLst>
        </c:ser>
        <c:dLbls>
          <c:showLegendKey val="0"/>
          <c:showVal val="0"/>
          <c:showCatName val="0"/>
          <c:showSerName val="0"/>
          <c:showPercent val="0"/>
          <c:showBubbleSize val="0"/>
        </c:dLbls>
        <c:gapWidth val="50"/>
        <c:axId val="845883192"/>
        <c:axId val="845883520"/>
      </c:barChart>
      <c:catAx>
        <c:axId val="84588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883520"/>
        <c:crosses val="autoZero"/>
        <c:auto val="1"/>
        <c:lblAlgn val="ctr"/>
        <c:lblOffset val="100"/>
        <c:noMultiLvlLbl val="0"/>
      </c:catAx>
      <c:valAx>
        <c:axId val="845883520"/>
        <c:scaling>
          <c:orientation val="minMax"/>
        </c:scaling>
        <c:delete val="1"/>
        <c:axPos val="l"/>
        <c:numFmt formatCode="0.0%" sourceLinked="1"/>
        <c:majorTickMark val="none"/>
        <c:minorTickMark val="none"/>
        <c:tickLblPos val="nextTo"/>
        <c:crossAx val="845883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2.7777777777777776E-2"/>
          <c:w val="0.93888888888888888"/>
          <c:h val="0.82820939049285502"/>
        </c:manualLayout>
      </c:layout>
      <c:barChart>
        <c:barDir val="col"/>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95AD-4A47-ACAD-A25556266906}"/>
              </c:ext>
            </c:extLst>
          </c:dPt>
          <c:dLbls>
            <c:dLbl>
              <c:idx val="0"/>
              <c:tx>
                <c:rich>
                  <a:bodyPr/>
                  <a:lstStyle/>
                  <a:p>
                    <a:fld id="{05ACDEF5-9186-485E-9763-4AFD8738E6EA}"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5AD-4A47-ACAD-A25556266906}"/>
                </c:ext>
              </c:extLst>
            </c:dLbl>
            <c:dLbl>
              <c:idx val="1"/>
              <c:tx>
                <c:rich>
                  <a:bodyPr/>
                  <a:lstStyle/>
                  <a:p>
                    <a:fld id="{A7A819CD-5374-4E34-9D8F-5FEB5E5D748F}"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5AD-4A47-ACAD-A25556266906}"/>
                </c:ext>
              </c:extLst>
            </c:dLbl>
            <c:dLbl>
              <c:idx val="2"/>
              <c:tx>
                <c:rich>
                  <a:bodyPr/>
                  <a:lstStyle/>
                  <a:p>
                    <a:fld id="{790C6AB8-0477-44DC-8027-9B5DFC52759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5AD-4A47-ACAD-A25556266906}"/>
                </c:ext>
              </c:extLst>
            </c:dLbl>
            <c:dLbl>
              <c:idx val="3"/>
              <c:tx>
                <c:rich>
                  <a:bodyPr/>
                  <a:lstStyle/>
                  <a:p>
                    <a:fld id="{944D7649-3486-48A0-9C19-1925E176987D}"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5AD-4A47-ACAD-A25556266906}"/>
                </c:ext>
              </c:extLst>
            </c:dLbl>
            <c:dLbl>
              <c:idx val="4"/>
              <c:tx>
                <c:rich>
                  <a:bodyPr/>
                  <a:lstStyle/>
                  <a:p>
                    <a:fld id="{2F666FA4-4242-4DAC-BC4E-DEAA7FF6BD9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5AD-4A47-ACAD-A25556266906}"/>
                </c:ext>
              </c:extLst>
            </c:dLbl>
            <c:dLbl>
              <c:idx val="5"/>
              <c:tx>
                <c:rich>
                  <a:bodyPr/>
                  <a:lstStyle/>
                  <a:p>
                    <a:fld id="{4E908E6F-B5F0-49C8-BD53-0BAE272194E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95AD-4A47-ACAD-A25556266906}"/>
                </c:ext>
              </c:extLst>
            </c:dLbl>
            <c:dLbl>
              <c:idx val="6"/>
              <c:tx>
                <c:rich>
                  <a:bodyPr/>
                  <a:lstStyle/>
                  <a:p>
                    <a:fld id="{346C374F-7201-4284-A5B7-638DF66C884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5AD-4A47-ACAD-A25556266906}"/>
                </c:ext>
              </c:extLst>
            </c:dLbl>
            <c:dLbl>
              <c:idx val="7"/>
              <c:tx>
                <c:rich>
                  <a:bodyPr/>
                  <a:lstStyle/>
                  <a:p>
                    <a:fld id="{1C2A1F53-2E3F-4241-9A9E-BF4867CF075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5AD-4A47-ACAD-A255562669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'timings &amp; refer to exit'!$U$15:$U$22</c:f>
              <c:strCache>
                <c:ptCount val="8"/>
                <c:pt idx="0">
                  <c:v>0 to 9 days</c:v>
                </c:pt>
                <c:pt idx="1">
                  <c:v>10 to 19 days</c:v>
                </c:pt>
                <c:pt idx="2">
                  <c:v>20 to 29 days</c:v>
                </c:pt>
                <c:pt idx="3">
                  <c:v>30 to 39 days</c:v>
                </c:pt>
                <c:pt idx="4">
                  <c:v>40 to 49 days</c:v>
                </c:pt>
                <c:pt idx="5">
                  <c:v>50 to 59 days</c:v>
                </c:pt>
                <c:pt idx="6">
                  <c:v>60 to 69 days</c:v>
                </c:pt>
                <c:pt idx="7">
                  <c:v>70 days or more</c:v>
                </c:pt>
              </c:strCache>
            </c:strRef>
          </c:cat>
          <c:val>
            <c:numRef>
              <c:f>'timings &amp; refer to exit'!$W$15:$W$22</c:f>
              <c:numCache>
                <c:formatCode>0.0%</c:formatCode>
                <c:ptCount val="8"/>
                <c:pt idx="0">
                  <c:v>0.49122807017543857</c:v>
                </c:pt>
                <c:pt idx="1">
                  <c:v>0.31578947368421051</c:v>
                </c:pt>
                <c:pt idx="2">
                  <c:v>0.10526315789473684</c:v>
                </c:pt>
                <c:pt idx="3">
                  <c:v>5.2631578947368418E-2</c:v>
                </c:pt>
                <c:pt idx="4">
                  <c:v>0</c:v>
                </c:pt>
                <c:pt idx="5">
                  <c:v>0</c:v>
                </c:pt>
                <c:pt idx="6">
                  <c:v>0</c:v>
                </c:pt>
                <c:pt idx="7">
                  <c:v>3.5087719298245612E-2</c:v>
                </c:pt>
              </c:numCache>
            </c:numRef>
          </c:val>
          <c:extLst>
            <c:ext xmlns:c15="http://schemas.microsoft.com/office/drawing/2012/chart" uri="{02D57815-91ED-43cb-92C2-25804820EDAC}">
              <c15:datalabelsRange>
                <c15:f>'timings &amp; refer to exit'!$X$15:$X$22</c15:f>
                <c15:dlblRangeCache>
                  <c:ptCount val="8"/>
                  <c:pt idx="0">
                    <c:v>49.1% (84)</c:v>
                  </c:pt>
                  <c:pt idx="1">
                    <c:v>31.6% (54)</c:v>
                  </c:pt>
                  <c:pt idx="2">
                    <c:v>10.5% (18)</c:v>
                  </c:pt>
                  <c:pt idx="3">
                    <c:v>5.3% (9)</c:v>
                  </c:pt>
                  <c:pt idx="4">
                    <c:v>0.0% (0)</c:v>
                  </c:pt>
                  <c:pt idx="5">
                    <c:v>0.0% (0)</c:v>
                  </c:pt>
                  <c:pt idx="6">
                    <c:v>0.0% (0)</c:v>
                  </c:pt>
                  <c:pt idx="7">
                    <c:v>3.5% (6)</c:v>
                  </c:pt>
                </c15:dlblRangeCache>
              </c15:datalabelsRange>
            </c:ext>
            <c:ext xmlns:c16="http://schemas.microsoft.com/office/drawing/2014/chart" uri="{C3380CC4-5D6E-409C-BE32-E72D297353CC}">
              <c16:uniqueId val="{00000009-95AD-4A47-ACAD-A25556266906}"/>
            </c:ext>
          </c:extLst>
        </c:ser>
        <c:dLbls>
          <c:showLegendKey val="0"/>
          <c:showVal val="0"/>
          <c:showCatName val="0"/>
          <c:showSerName val="0"/>
          <c:showPercent val="0"/>
          <c:showBubbleSize val="0"/>
        </c:dLbls>
        <c:gapWidth val="50"/>
        <c:overlap val="-27"/>
        <c:axId val="806675664"/>
        <c:axId val="806674024"/>
      </c:barChart>
      <c:catAx>
        <c:axId val="80667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674024"/>
        <c:crosses val="autoZero"/>
        <c:auto val="1"/>
        <c:lblAlgn val="ctr"/>
        <c:lblOffset val="100"/>
        <c:noMultiLvlLbl val="0"/>
      </c:catAx>
      <c:valAx>
        <c:axId val="806674024"/>
        <c:scaling>
          <c:orientation val="minMax"/>
        </c:scaling>
        <c:delete val="1"/>
        <c:axPos val="l"/>
        <c:numFmt formatCode="0.0%" sourceLinked="1"/>
        <c:majorTickMark val="none"/>
        <c:minorTickMark val="none"/>
        <c:tickLblPos val="nextTo"/>
        <c:crossAx val="806675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2"/>
            <c:invertIfNegative val="0"/>
            <c:bubble3D val="0"/>
            <c:spPr>
              <a:solidFill>
                <a:srgbClr val="00B0F0"/>
              </a:solidFill>
              <a:ln>
                <a:noFill/>
              </a:ln>
              <a:effectLst/>
            </c:spPr>
            <c:extLst>
              <c:ext xmlns:c16="http://schemas.microsoft.com/office/drawing/2014/chart" uri="{C3380CC4-5D6E-409C-BE32-E72D297353CC}">
                <c16:uniqueId val="{00000001-04F7-4CFF-A536-DDBAAD6F0631}"/>
              </c:ext>
            </c:extLst>
          </c:dPt>
          <c:dPt>
            <c:idx val="3"/>
            <c:invertIfNegative val="0"/>
            <c:bubble3D val="0"/>
            <c:spPr>
              <a:solidFill>
                <a:srgbClr val="00B0F0"/>
              </a:solidFill>
              <a:ln>
                <a:noFill/>
              </a:ln>
              <a:effectLst/>
            </c:spPr>
            <c:extLst>
              <c:ext xmlns:c16="http://schemas.microsoft.com/office/drawing/2014/chart" uri="{C3380CC4-5D6E-409C-BE32-E72D297353CC}">
                <c16:uniqueId val="{00000003-04F7-4CFF-A536-DDBAAD6F0631}"/>
              </c:ext>
            </c:extLst>
          </c:dPt>
          <c:dPt>
            <c:idx val="4"/>
            <c:invertIfNegative val="0"/>
            <c:bubble3D val="0"/>
            <c:spPr>
              <a:solidFill>
                <a:srgbClr val="00B0F0"/>
              </a:solidFill>
              <a:ln>
                <a:noFill/>
              </a:ln>
              <a:effectLst/>
            </c:spPr>
            <c:extLst>
              <c:ext xmlns:c16="http://schemas.microsoft.com/office/drawing/2014/chart" uri="{C3380CC4-5D6E-409C-BE32-E72D297353CC}">
                <c16:uniqueId val="{00000005-04F7-4CFF-A536-DDBAAD6F0631}"/>
              </c:ext>
            </c:extLst>
          </c:dPt>
          <c:dLbls>
            <c:dLbl>
              <c:idx val="0"/>
              <c:tx>
                <c:rich>
                  <a:bodyPr/>
                  <a:lstStyle/>
                  <a:p>
                    <a:fld id="{26DB28A1-8606-4AC5-A6DD-6034EC1D52EF}"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04F7-4CFF-A536-DDBAAD6F0631}"/>
                </c:ext>
              </c:extLst>
            </c:dLbl>
            <c:dLbl>
              <c:idx val="1"/>
              <c:tx>
                <c:rich>
                  <a:bodyPr/>
                  <a:lstStyle/>
                  <a:p>
                    <a:fld id="{6E36BC36-E1FE-43EC-B43B-E641283FCBC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4F7-4CFF-A536-DDBAAD6F0631}"/>
                </c:ext>
              </c:extLst>
            </c:dLbl>
            <c:dLbl>
              <c:idx val="2"/>
              <c:tx>
                <c:rich>
                  <a:bodyPr/>
                  <a:lstStyle/>
                  <a:p>
                    <a:fld id="{1515B868-8536-4537-8C87-9F34B5A5397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4F7-4CFF-A536-DDBAAD6F0631}"/>
                </c:ext>
              </c:extLst>
            </c:dLbl>
            <c:dLbl>
              <c:idx val="3"/>
              <c:tx>
                <c:rich>
                  <a:bodyPr/>
                  <a:lstStyle/>
                  <a:p>
                    <a:fld id="{85372A5A-A859-4BCE-ADAA-B502EAA4F2A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4F7-4CFF-A536-DDBAAD6F0631}"/>
                </c:ext>
              </c:extLst>
            </c:dLbl>
            <c:dLbl>
              <c:idx val="4"/>
              <c:tx>
                <c:rich>
                  <a:bodyPr/>
                  <a:lstStyle/>
                  <a:p>
                    <a:fld id="{1729A7B2-8886-4267-90F4-E2E5721BB4C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4F7-4CFF-A536-DDBAAD6F0631}"/>
                </c:ext>
              </c:extLst>
            </c:dLbl>
            <c:dLbl>
              <c:idx val="5"/>
              <c:tx>
                <c:rich>
                  <a:bodyPr/>
                  <a:lstStyle/>
                  <a:p>
                    <a:fld id="{8C81DA65-478D-451F-98FE-DF5ADF3550B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4F7-4CFF-A536-DDBAAD6F0631}"/>
                </c:ext>
              </c:extLst>
            </c:dLbl>
            <c:dLbl>
              <c:idx val="6"/>
              <c:tx>
                <c:rich>
                  <a:bodyPr/>
                  <a:lstStyle/>
                  <a:p>
                    <a:fld id="{387D838B-AE89-4901-BAE4-5747BF91B807}"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4F7-4CFF-A536-DDBAAD6F06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'timings &amp; refer to exit'!$Z$15:$Z$21</c:f>
              <c:strCache>
                <c:ptCount val="7"/>
                <c:pt idx="0">
                  <c:v>0 to 29 
days</c:v>
                </c:pt>
                <c:pt idx="1">
                  <c:v>30 to 59 
days</c:v>
                </c:pt>
                <c:pt idx="2">
                  <c:v>60 to 89 
days</c:v>
                </c:pt>
                <c:pt idx="3">
                  <c:v>90 to 119 
days</c:v>
                </c:pt>
                <c:pt idx="4">
                  <c:v>120 to 149 days</c:v>
                </c:pt>
                <c:pt idx="5">
                  <c:v>150 to 179 days</c:v>
                </c:pt>
                <c:pt idx="6">
                  <c:v>180 days or more</c:v>
                </c:pt>
              </c:strCache>
            </c:strRef>
          </c:cat>
          <c:val>
            <c:numRef>
              <c:f>'timings &amp; refer to exit'!$AB$15:$AB$21</c:f>
              <c:numCache>
                <c:formatCode>0.0%</c:formatCode>
                <c:ptCount val="7"/>
                <c:pt idx="0">
                  <c:v>0.11764705882352941</c:v>
                </c:pt>
                <c:pt idx="1">
                  <c:v>9.8039215686274508E-2</c:v>
                </c:pt>
                <c:pt idx="2">
                  <c:v>0.13725490196078433</c:v>
                </c:pt>
                <c:pt idx="3">
                  <c:v>0.39215686274509803</c:v>
                </c:pt>
                <c:pt idx="4">
                  <c:v>7.8431372549019607E-2</c:v>
                </c:pt>
                <c:pt idx="5">
                  <c:v>9.8039215686274508E-2</c:v>
                </c:pt>
                <c:pt idx="6">
                  <c:v>7.8431372549019607E-2</c:v>
                </c:pt>
              </c:numCache>
            </c:numRef>
          </c:val>
          <c:extLst>
            <c:ext xmlns:c15="http://schemas.microsoft.com/office/drawing/2012/chart" uri="{02D57815-91ED-43cb-92C2-25804820EDAC}">
              <c15:datalabelsRange>
                <c15:f>'timings &amp; refer to exit'!$AC$15:$AC$21</c15:f>
                <c15:dlblRangeCache>
                  <c:ptCount val="7"/>
                  <c:pt idx="0">
                    <c:v>11.8% (18)</c:v>
                  </c:pt>
                  <c:pt idx="1">
                    <c:v>9.8% (15)</c:v>
                  </c:pt>
                  <c:pt idx="2">
                    <c:v>13.7% (21)</c:v>
                  </c:pt>
                  <c:pt idx="3">
                    <c:v>39.2% (60)</c:v>
                  </c:pt>
                  <c:pt idx="4">
                    <c:v>7.8% (12)</c:v>
                  </c:pt>
                  <c:pt idx="5">
                    <c:v>9.8% (15)</c:v>
                  </c:pt>
                  <c:pt idx="6">
                    <c:v>7.8% (12)</c:v>
                  </c:pt>
                </c15:dlblRangeCache>
              </c15:datalabelsRange>
            </c:ext>
            <c:ext xmlns:c16="http://schemas.microsoft.com/office/drawing/2014/chart" uri="{C3380CC4-5D6E-409C-BE32-E72D297353CC}">
              <c16:uniqueId val="{0000000A-04F7-4CFF-A536-DDBAAD6F0631}"/>
            </c:ext>
          </c:extLst>
        </c:ser>
        <c:dLbls>
          <c:showLegendKey val="0"/>
          <c:showVal val="0"/>
          <c:showCatName val="0"/>
          <c:showSerName val="0"/>
          <c:showPercent val="0"/>
          <c:showBubbleSize val="0"/>
        </c:dLbls>
        <c:gapWidth val="50"/>
        <c:overlap val="-27"/>
        <c:axId val="833372728"/>
        <c:axId val="833377976"/>
      </c:barChart>
      <c:catAx>
        <c:axId val="83337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377976"/>
        <c:crosses val="autoZero"/>
        <c:auto val="1"/>
        <c:lblAlgn val="ctr"/>
        <c:lblOffset val="100"/>
        <c:noMultiLvlLbl val="0"/>
      </c:catAx>
      <c:valAx>
        <c:axId val="833377976"/>
        <c:scaling>
          <c:orientation val="minMax"/>
        </c:scaling>
        <c:delete val="1"/>
        <c:axPos val="l"/>
        <c:numFmt formatCode="0.0%" sourceLinked="1"/>
        <c:majorTickMark val="none"/>
        <c:minorTickMark val="none"/>
        <c:tickLblPos val="nextTo"/>
        <c:crossAx val="833372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EE12-4F8C-9855-997DE7108F65}"/>
              </c:ext>
            </c:extLst>
          </c:dPt>
          <c:dPt>
            <c:idx val="1"/>
            <c:invertIfNegative val="0"/>
            <c:bubble3D val="0"/>
            <c:spPr>
              <a:solidFill>
                <a:srgbClr val="00B0F0"/>
              </a:solidFill>
              <a:ln>
                <a:noFill/>
              </a:ln>
              <a:effectLst/>
            </c:spPr>
            <c:extLst>
              <c:ext xmlns:c16="http://schemas.microsoft.com/office/drawing/2014/chart" uri="{C3380CC4-5D6E-409C-BE32-E72D297353CC}">
                <c16:uniqueId val="{00000002-EE12-4F8C-9855-997DE7108F65}"/>
              </c:ext>
            </c:extLst>
          </c:dPt>
          <c:dPt>
            <c:idx val="2"/>
            <c:invertIfNegative val="0"/>
            <c:bubble3D val="0"/>
            <c:spPr>
              <a:solidFill>
                <a:srgbClr val="00B0F0"/>
              </a:solidFill>
              <a:ln>
                <a:noFill/>
              </a:ln>
              <a:effectLst/>
            </c:spPr>
            <c:extLst>
              <c:ext xmlns:c16="http://schemas.microsoft.com/office/drawing/2014/chart" uri="{C3380CC4-5D6E-409C-BE32-E72D297353CC}">
                <c16:uniqueId val="{00000003-EE12-4F8C-9855-997DE7108F65}"/>
              </c:ext>
            </c:extLst>
          </c:dPt>
          <c:dLbls>
            <c:dLbl>
              <c:idx val="0"/>
              <c:tx>
                <c:rich>
                  <a:bodyPr/>
                  <a:lstStyle/>
                  <a:p>
                    <a:fld id="{481F4175-6F0D-4F54-9E2A-CADE7F2B127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E12-4F8C-9855-997DE7108F65}"/>
                </c:ext>
              </c:extLst>
            </c:dLbl>
            <c:dLbl>
              <c:idx val="1"/>
              <c:tx>
                <c:rich>
                  <a:bodyPr/>
                  <a:lstStyle/>
                  <a:p>
                    <a:fld id="{644A1AFD-7027-4360-9FBD-566D3F9A2D3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E12-4F8C-9855-997DE7108F65}"/>
                </c:ext>
              </c:extLst>
            </c:dLbl>
            <c:dLbl>
              <c:idx val="2"/>
              <c:tx>
                <c:rich>
                  <a:bodyPr/>
                  <a:lstStyle/>
                  <a:p>
                    <a:fld id="{88A72E70-6A6F-49D7-A161-9608B0F83A5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E12-4F8C-9855-997DE7108F65}"/>
                </c:ext>
              </c:extLst>
            </c:dLbl>
            <c:dLbl>
              <c:idx val="3"/>
              <c:tx>
                <c:rich>
                  <a:bodyPr/>
                  <a:lstStyle/>
                  <a:p>
                    <a:fld id="{D97E1306-DBDB-4B6A-A146-390E2DA9C341}"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E12-4F8C-9855-997DE7108F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'timings &amp; refer to exit'!$U$27:$U$30</c:f>
              <c:strCache>
                <c:ptCount val="4"/>
                <c:pt idx="0">
                  <c:v>0 to 9 days</c:v>
                </c:pt>
                <c:pt idx="1">
                  <c:v>10 to 19 days</c:v>
                </c:pt>
                <c:pt idx="2">
                  <c:v>20 to 29 days</c:v>
                </c:pt>
                <c:pt idx="3">
                  <c:v>30 days or more</c:v>
                </c:pt>
              </c:strCache>
            </c:strRef>
          </c:cat>
          <c:val>
            <c:numRef>
              <c:f>'timings &amp; refer to exit'!$W$27:$W$30</c:f>
              <c:numCache>
                <c:formatCode>0.0%</c:formatCode>
                <c:ptCount val="4"/>
                <c:pt idx="0">
                  <c:v>0.64</c:v>
                </c:pt>
                <c:pt idx="1">
                  <c:v>0.2</c:v>
                </c:pt>
                <c:pt idx="2">
                  <c:v>0.08</c:v>
                </c:pt>
                <c:pt idx="3">
                  <c:v>0.08</c:v>
                </c:pt>
              </c:numCache>
            </c:numRef>
          </c:val>
          <c:extLst>
            <c:ext xmlns:c15="http://schemas.microsoft.com/office/drawing/2012/chart" uri="{02D57815-91ED-43cb-92C2-25804820EDAC}">
              <c15:datalabelsRange>
                <c15:f>'timings &amp; refer to exit'!$X$27:$X$30</c15:f>
                <c15:dlblRangeCache>
                  <c:ptCount val="4"/>
                  <c:pt idx="0">
                    <c:v>64.0% (96)</c:v>
                  </c:pt>
                  <c:pt idx="1">
                    <c:v>20.0% (30)</c:v>
                  </c:pt>
                  <c:pt idx="2">
                    <c:v>8.0% (12)</c:v>
                  </c:pt>
                  <c:pt idx="3">
                    <c:v>8.0% (12)</c:v>
                  </c:pt>
                </c15:dlblRangeCache>
              </c15:datalabelsRange>
            </c:ext>
            <c:ext xmlns:c16="http://schemas.microsoft.com/office/drawing/2014/chart" uri="{C3380CC4-5D6E-409C-BE32-E72D297353CC}">
              <c16:uniqueId val="{00000005-EE12-4F8C-9855-997DE7108F65}"/>
            </c:ext>
          </c:extLst>
        </c:ser>
        <c:dLbls>
          <c:showLegendKey val="0"/>
          <c:showVal val="0"/>
          <c:showCatName val="0"/>
          <c:showSerName val="0"/>
          <c:showPercent val="0"/>
          <c:showBubbleSize val="0"/>
        </c:dLbls>
        <c:gapWidth val="50"/>
        <c:overlap val="-27"/>
        <c:axId val="857981200"/>
        <c:axId val="857981528"/>
      </c:barChart>
      <c:catAx>
        <c:axId val="85798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981528"/>
        <c:crosses val="autoZero"/>
        <c:auto val="1"/>
        <c:lblAlgn val="ctr"/>
        <c:lblOffset val="100"/>
        <c:noMultiLvlLbl val="0"/>
      </c:catAx>
      <c:valAx>
        <c:axId val="857981528"/>
        <c:scaling>
          <c:orientation val="minMax"/>
        </c:scaling>
        <c:delete val="1"/>
        <c:axPos val="l"/>
        <c:numFmt formatCode="0.0%" sourceLinked="1"/>
        <c:majorTickMark val="none"/>
        <c:minorTickMark val="none"/>
        <c:tickLblPos val="nextTo"/>
        <c:crossAx val="857981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384373370266829"/>
          <c:y val="8.4467488247015804E-2"/>
          <c:w val="0.61796404113980874"/>
          <c:h val="0.89736668665802521"/>
        </c:manualLayout>
      </c:layout>
      <c:barChart>
        <c:barDir val="bar"/>
        <c:grouping val="clustered"/>
        <c:varyColors val="0"/>
        <c:ser>
          <c:idx val="0"/>
          <c:order val="0"/>
          <c:tx>
            <c:v>As at referral</c:v>
          </c:tx>
          <c:spPr>
            <a:solidFill>
              <a:schemeClr val="bg1">
                <a:lumMod val="75000"/>
              </a:schemeClr>
            </a:solidFill>
            <a:ln>
              <a:noFill/>
            </a:ln>
            <a:effectLst/>
          </c:spPr>
          <c:invertIfNegative val="0"/>
          <c:dLbls>
            <c:dLbl>
              <c:idx val="0"/>
              <c:tx>
                <c:rich>
                  <a:bodyPr/>
                  <a:lstStyle/>
                  <a:p>
                    <a:fld id="{961ED7F5-D436-44FC-B8E1-9364984BDF51}"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C00-43FD-A0BC-BFBE97CF92C9}"/>
                </c:ext>
              </c:extLst>
            </c:dLbl>
            <c:dLbl>
              <c:idx val="1"/>
              <c:tx>
                <c:rich>
                  <a:bodyPr/>
                  <a:lstStyle/>
                  <a:p>
                    <a:fld id="{29A2AFE8-1A87-47F2-B3DB-7B9B9EE0782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C00-43FD-A0BC-BFBE97CF92C9}"/>
                </c:ext>
              </c:extLst>
            </c:dLbl>
            <c:dLbl>
              <c:idx val="2"/>
              <c:tx>
                <c:rich>
                  <a:bodyPr/>
                  <a:lstStyle/>
                  <a:p>
                    <a:fld id="{57F8CCD9-405B-40E2-BEE6-38BC23D0E77F}"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C00-43FD-A0BC-BFBE97CF92C9}"/>
                </c:ext>
              </c:extLst>
            </c:dLbl>
            <c:dLbl>
              <c:idx val="3"/>
              <c:tx>
                <c:rich>
                  <a:bodyPr/>
                  <a:lstStyle/>
                  <a:p>
                    <a:fld id="{D3C38C99-0A06-450A-A4AF-6B01F563AB5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C00-43FD-A0BC-BFBE97CF92C9}"/>
                </c:ext>
              </c:extLst>
            </c:dLbl>
            <c:dLbl>
              <c:idx val="4"/>
              <c:tx>
                <c:rich>
                  <a:bodyPr/>
                  <a:lstStyle/>
                  <a:p>
                    <a:fld id="{8B7E2CE3-9996-4B94-ABC8-5570A486B39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C00-43FD-A0BC-BFBE97CF92C9}"/>
                </c:ext>
              </c:extLst>
            </c:dLbl>
            <c:dLbl>
              <c:idx val="5"/>
              <c:tx>
                <c:rich>
                  <a:bodyPr/>
                  <a:lstStyle/>
                  <a:p>
                    <a:fld id="{D22F39FE-2274-4033-85E6-3ADE7EA4DC0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C00-43FD-A0BC-BFBE97CF92C9}"/>
                </c:ext>
              </c:extLst>
            </c:dLbl>
            <c:dLbl>
              <c:idx val="6"/>
              <c:tx>
                <c:rich>
                  <a:bodyPr/>
                  <a:lstStyle/>
                  <a:p>
                    <a:fld id="{A4FF6392-29B9-4E40-8535-416ED42EFDFA}"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C00-43FD-A0BC-BFBE97CF92C9}"/>
                </c:ext>
              </c:extLst>
            </c:dLbl>
            <c:dLbl>
              <c:idx val="7"/>
              <c:tx>
                <c:rich>
                  <a:bodyPr/>
                  <a:lstStyle/>
                  <a:p>
                    <a:fld id="{3D94695E-5C80-40CA-91FD-B74D43EEB7C7}"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C00-43FD-A0BC-BFBE97CF92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hcd!$B$3:$B$14</c:f>
              <c:strCache>
                <c:ptCount val="12"/>
                <c:pt idx="0">
                  <c:v>Mental health conditions</c:v>
                </c:pt>
                <c:pt idx="1">
                  <c:v>No conditions recorded</c:v>
                </c:pt>
                <c:pt idx="2">
                  <c:v>Musculoskeletal and connective
 tissue diseases</c:v>
                </c:pt>
                <c:pt idx="3">
                  <c:v>Nervous system and sense organ diseases</c:v>
                </c:pt>
                <c:pt idx="4">
                  <c:v>Endocrine, nutritional, metabolic 
and immunity disorders</c:v>
                </c:pt>
                <c:pt idx="5">
                  <c:v>Respiratory system diseases</c:v>
                </c:pt>
                <c:pt idx="6">
                  <c:v>General symptoms</c:v>
                </c:pt>
                <c:pt idx="7">
                  <c:v>Circulatory system diseases</c:v>
                </c:pt>
                <c:pt idx="8">
                  <c:v>Symptoms, signs and ill-defined conditions</c:v>
                </c:pt>
                <c:pt idx="9">
                  <c:v>Injury and poisoning</c:v>
                </c:pt>
                <c:pt idx="10">
                  <c:v>Neoplasms</c:v>
                </c:pt>
                <c:pt idx="11">
                  <c:v>Genitourinary system diseases</c:v>
                </c:pt>
              </c:strCache>
            </c:strRef>
          </c:cat>
          <c:val>
            <c:numRef>
              <c:f>hcd!$J$3:$J$10</c:f>
              <c:numCache>
                <c:formatCode>0.0%</c:formatCode>
                <c:ptCount val="8"/>
                <c:pt idx="0">
                  <c:v>0.58823529411764708</c:v>
                </c:pt>
                <c:pt idx="1">
                  <c:v>0.15686274509803921</c:v>
                </c:pt>
                <c:pt idx="2">
                  <c:v>0.11764705882352941</c:v>
                </c:pt>
                <c:pt idx="3">
                  <c:v>7.8431372549019607E-2</c:v>
                </c:pt>
                <c:pt idx="4">
                  <c:v>7.8431372549019607E-2</c:v>
                </c:pt>
                <c:pt idx="5">
                  <c:v>5.8823529411764705E-2</c:v>
                </c:pt>
                <c:pt idx="6">
                  <c:v>5.8823529411764705E-2</c:v>
                </c:pt>
                <c:pt idx="7">
                  <c:v>3.9215686274509803E-2</c:v>
                </c:pt>
              </c:numCache>
            </c:numRef>
          </c:val>
          <c:extLst>
            <c:ext xmlns:c15="http://schemas.microsoft.com/office/drawing/2012/chart" uri="{02D57815-91ED-43cb-92C2-25804820EDAC}">
              <c15:datalabelsRange>
                <c15:f>hcd!$K$3:$K$14</c15:f>
                <c15:dlblRangeCache>
                  <c:ptCount val="12"/>
                  <c:pt idx="0">
                    <c:v>58.8% (90)</c:v>
                  </c:pt>
                  <c:pt idx="1">
                    <c:v>15.7% (24)</c:v>
                  </c:pt>
                  <c:pt idx="2">
                    <c:v>11.8% (18)</c:v>
                  </c:pt>
                  <c:pt idx="3">
                    <c:v>7.8% (12)</c:v>
                  </c:pt>
                  <c:pt idx="4">
                    <c:v>7.8% (12)</c:v>
                  </c:pt>
                  <c:pt idx="5">
                    <c:v>5.9% (9)</c:v>
                  </c:pt>
                  <c:pt idx="6">
                    <c:v>5.9% (9)</c:v>
                  </c:pt>
                  <c:pt idx="7">
                    <c:v>3.9% (6)</c:v>
                  </c:pt>
                  <c:pt idx="8">
                    <c:v>3.2% (5)</c:v>
                  </c:pt>
                  <c:pt idx="9">
                    <c:v>3.2% (5)</c:v>
                  </c:pt>
                  <c:pt idx="10">
                    <c:v>0.6% (1)</c:v>
                  </c:pt>
                  <c:pt idx="11">
                    <c:v>0.6% (1)</c:v>
                  </c:pt>
                </c15:dlblRangeCache>
              </c15:datalabelsRange>
            </c:ext>
            <c:ext xmlns:c16="http://schemas.microsoft.com/office/drawing/2014/chart" uri="{C3380CC4-5D6E-409C-BE32-E72D297353CC}">
              <c16:uniqueId val="{00000008-1C00-43FD-A0BC-BFBE97CF92C9}"/>
            </c:ext>
          </c:extLst>
        </c:ser>
        <c:ser>
          <c:idx val="1"/>
          <c:order val="1"/>
          <c:tx>
            <c:v>As at exit</c:v>
          </c:tx>
          <c:spPr>
            <a:solidFill>
              <a:srgbClr val="00B0F0"/>
            </a:solidFill>
            <a:ln>
              <a:noFill/>
            </a:ln>
            <a:effectLst/>
          </c:spPr>
          <c:invertIfNegative val="0"/>
          <c:dLbls>
            <c:dLbl>
              <c:idx val="0"/>
              <c:tx>
                <c:rich>
                  <a:bodyPr/>
                  <a:lstStyle/>
                  <a:p>
                    <a:fld id="{C6927C2D-33B6-46DF-B496-954092881CB1}"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1C00-43FD-A0BC-BFBE97CF92C9}"/>
                </c:ext>
              </c:extLst>
            </c:dLbl>
            <c:dLbl>
              <c:idx val="1"/>
              <c:tx>
                <c:rich>
                  <a:bodyPr/>
                  <a:lstStyle/>
                  <a:p>
                    <a:fld id="{36E62F45-D9AC-4B0D-94DF-26B869D6D3A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C00-43FD-A0BC-BFBE97CF92C9}"/>
                </c:ext>
              </c:extLst>
            </c:dLbl>
            <c:dLbl>
              <c:idx val="2"/>
              <c:tx>
                <c:rich>
                  <a:bodyPr/>
                  <a:lstStyle/>
                  <a:p>
                    <a:fld id="{7FA07239-0C37-41C7-9621-5436D071B22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C00-43FD-A0BC-BFBE97CF92C9}"/>
                </c:ext>
              </c:extLst>
            </c:dLbl>
            <c:dLbl>
              <c:idx val="3"/>
              <c:tx>
                <c:rich>
                  <a:bodyPr/>
                  <a:lstStyle/>
                  <a:p>
                    <a:fld id="{C18479A6-2ADD-47EC-BE46-1F124CC5A99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C00-43FD-A0BC-BFBE97CF92C9}"/>
                </c:ext>
              </c:extLst>
            </c:dLbl>
            <c:dLbl>
              <c:idx val="4"/>
              <c:tx>
                <c:rich>
                  <a:bodyPr/>
                  <a:lstStyle/>
                  <a:p>
                    <a:fld id="{4B8CEF62-8553-42EA-8925-85C2C0493D1F}"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C00-43FD-A0BC-BFBE97CF92C9}"/>
                </c:ext>
              </c:extLst>
            </c:dLbl>
            <c:dLbl>
              <c:idx val="5"/>
              <c:tx>
                <c:rich>
                  <a:bodyPr/>
                  <a:lstStyle/>
                  <a:p>
                    <a:fld id="{8F732F7A-E3A6-4DDF-AACE-1BB30DA2FFC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C00-43FD-A0BC-BFBE97CF92C9}"/>
                </c:ext>
              </c:extLst>
            </c:dLbl>
            <c:dLbl>
              <c:idx val="6"/>
              <c:tx>
                <c:rich>
                  <a:bodyPr/>
                  <a:lstStyle/>
                  <a:p>
                    <a:fld id="{A82E27B2-AFD4-4BB1-A7E7-24A4BD14324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C00-43FD-A0BC-BFBE97CF92C9}"/>
                </c:ext>
              </c:extLst>
            </c:dLbl>
            <c:dLbl>
              <c:idx val="7"/>
              <c:tx>
                <c:rich>
                  <a:bodyPr/>
                  <a:lstStyle/>
                  <a:p>
                    <a:fld id="{2446CF54-A184-4123-B18F-BDEE2C2F09F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C00-43FD-A0BC-BFBE97CF92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hcd!$M$3:$M$10</c:f>
              <c:numCache>
                <c:formatCode>0.0%</c:formatCode>
                <c:ptCount val="8"/>
                <c:pt idx="0">
                  <c:v>0.60784313725490191</c:v>
                </c:pt>
                <c:pt idx="1">
                  <c:v>0.13725490196078433</c:v>
                </c:pt>
                <c:pt idx="2">
                  <c:v>9.8039215686274508E-2</c:v>
                </c:pt>
                <c:pt idx="3">
                  <c:v>7.8431372549019607E-2</c:v>
                </c:pt>
                <c:pt idx="4">
                  <c:v>5.8823529411764705E-2</c:v>
                </c:pt>
                <c:pt idx="5">
                  <c:v>1.9607843137254902E-2</c:v>
                </c:pt>
                <c:pt idx="6">
                  <c:v>5.8823529411764705E-2</c:v>
                </c:pt>
                <c:pt idx="7">
                  <c:v>3.9215686274509803E-2</c:v>
                </c:pt>
              </c:numCache>
            </c:numRef>
          </c:val>
          <c:extLst>
            <c:ext xmlns:c15="http://schemas.microsoft.com/office/drawing/2012/chart" uri="{02D57815-91ED-43cb-92C2-25804820EDAC}">
              <c15:datalabelsRange>
                <c15:f>hcd!$N$3:$N$14</c15:f>
                <c15:dlblRangeCache>
                  <c:ptCount val="12"/>
                  <c:pt idx="0">
                    <c:v>60.8% (93)</c:v>
                  </c:pt>
                  <c:pt idx="1">
                    <c:v>13.7% (21)</c:v>
                  </c:pt>
                  <c:pt idx="2">
                    <c:v>9.8% (15)</c:v>
                  </c:pt>
                  <c:pt idx="3">
                    <c:v>7.8% (12)</c:v>
                  </c:pt>
                  <c:pt idx="4">
                    <c:v>5.9% (9)</c:v>
                  </c:pt>
                  <c:pt idx="5">
                    <c:v>2.0% (3)</c:v>
                  </c:pt>
                  <c:pt idx="6">
                    <c:v>5.9% (9)</c:v>
                  </c:pt>
                  <c:pt idx="7">
                    <c:v>3.9% (6)</c:v>
                  </c:pt>
                  <c:pt idx="8">
                    <c:v>3.2% (5)</c:v>
                  </c:pt>
                  <c:pt idx="9">
                    <c:v>3.2% (5)</c:v>
                  </c:pt>
                  <c:pt idx="10">
                    <c:v>0.6% (1)</c:v>
                  </c:pt>
                  <c:pt idx="11">
                    <c:v>0.6% (1)</c:v>
                  </c:pt>
                </c15:dlblRangeCache>
              </c15:datalabelsRange>
            </c:ext>
            <c:ext xmlns:c16="http://schemas.microsoft.com/office/drawing/2014/chart" uri="{C3380CC4-5D6E-409C-BE32-E72D297353CC}">
              <c16:uniqueId val="{00000011-1C00-43FD-A0BC-BFBE97CF92C9}"/>
            </c:ext>
          </c:extLst>
        </c:ser>
        <c:dLbls>
          <c:showLegendKey val="0"/>
          <c:showVal val="0"/>
          <c:showCatName val="0"/>
          <c:showSerName val="0"/>
          <c:showPercent val="0"/>
          <c:showBubbleSize val="0"/>
        </c:dLbls>
        <c:gapWidth val="50"/>
        <c:axId val="700599256"/>
        <c:axId val="700602208"/>
      </c:barChart>
      <c:catAx>
        <c:axId val="7005992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02208"/>
        <c:crosses val="autoZero"/>
        <c:auto val="1"/>
        <c:lblAlgn val="ctr"/>
        <c:lblOffset val="100"/>
        <c:noMultiLvlLbl val="0"/>
      </c:catAx>
      <c:valAx>
        <c:axId val="700602208"/>
        <c:scaling>
          <c:orientation val="minMax"/>
        </c:scaling>
        <c:delete val="1"/>
        <c:axPos val="t"/>
        <c:numFmt formatCode="0.0%" sourceLinked="1"/>
        <c:majorTickMark val="none"/>
        <c:minorTickMark val="none"/>
        <c:tickLblPos val="nextTo"/>
        <c:crossAx val="700599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lumMod val="40000"/>
                <a:lumOff val="60000"/>
              </a:schemeClr>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FFC9-4837-A24E-5D5EBC671A7F}"/>
              </c:ext>
            </c:extLst>
          </c:dPt>
          <c:dPt>
            <c:idx val="4"/>
            <c:invertIfNegative val="0"/>
            <c:bubble3D val="0"/>
            <c:spPr>
              <a:solidFill>
                <a:srgbClr val="00B0F0"/>
              </a:solidFill>
              <a:ln>
                <a:noFill/>
              </a:ln>
              <a:effectLst/>
            </c:spPr>
            <c:extLst>
              <c:ext xmlns:c16="http://schemas.microsoft.com/office/drawing/2014/chart" uri="{C3380CC4-5D6E-409C-BE32-E72D297353CC}">
                <c16:uniqueId val="{00000003-FFC9-4837-A24E-5D5EBC671A7F}"/>
              </c:ext>
            </c:extLst>
          </c:dPt>
          <c:dLbls>
            <c:dLbl>
              <c:idx val="0"/>
              <c:tx>
                <c:rich>
                  <a:bodyPr/>
                  <a:lstStyle/>
                  <a:p>
                    <a:fld id="{43652B9B-947D-4E6F-B202-EB81F759B49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FC9-4837-A24E-5D5EBC671A7F}"/>
                </c:ext>
              </c:extLst>
            </c:dLbl>
            <c:dLbl>
              <c:idx val="1"/>
              <c:tx>
                <c:rich>
                  <a:bodyPr/>
                  <a:lstStyle/>
                  <a:p>
                    <a:fld id="{069BBCBE-993A-48B2-A4D6-8473A8A76B5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FC9-4837-A24E-5D5EBC671A7F}"/>
                </c:ext>
              </c:extLst>
            </c:dLbl>
            <c:dLbl>
              <c:idx val="2"/>
              <c:tx>
                <c:rich>
                  <a:bodyPr/>
                  <a:lstStyle/>
                  <a:p>
                    <a:fld id="{EAAA4FF8-09B5-4722-97FF-080B184A2B8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FC9-4837-A24E-5D5EBC671A7F}"/>
                </c:ext>
              </c:extLst>
            </c:dLbl>
            <c:dLbl>
              <c:idx val="3"/>
              <c:tx>
                <c:rich>
                  <a:bodyPr/>
                  <a:lstStyle/>
                  <a:p>
                    <a:fld id="{37C59669-9442-41CF-BCDB-6C9314DDE72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FC9-4837-A24E-5D5EBC671A7F}"/>
                </c:ext>
              </c:extLst>
            </c:dLbl>
            <c:dLbl>
              <c:idx val="4"/>
              <c:tx>
                <c:rich>
                  <a:bodyPr/>
                  <a:lstStyle/>
                  <a:p>
                    <a:fld id="{E126BAD1-1E55-4EF2-9601-B1C42017A49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FC9-4837-A24E-5D5EBC671A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'comparisons from P&amp;C'!$M$6:$M$10</c:f>
              <c:strCache>
                <c:ptCount val="5"/>
                <c:pt idx="0">
                  <c:v>18 - 24</c:v>
                </c:pt>
                <c:pt idx="1">
                  <c:v>25 - 34</c:v>
                </c:pt>
                <c:pt idx="2">
                  <c:v>35 - 44</c:v>
                </c:pt>
                <c:pt idx="3">
                  <c:v>45 - 54</c:v>
                </c:pt>
                <c:pt idx="4">
                  <c:v>55 - 64</c:v>
                </c:pt>
              </c:strCache>
            </c:strRef>
          </c:cat>
          <c:val>
            <c:numRef>
              <c:f>'comparisons from P&amp;C'!$S$6:$S$10</c:f>
              <c:numCache>
                <c:formatCode>0.0%</c:formatCode>
                <c:ptCount val="5"/>
                <c:pt idx="0">
                  <c:v>0.11788881678563704</c:v>
                </c:pt>
                <c:pt idx="1">
                  <c:v>0.16850529958901148</c:v>
                </c:pt>
                <c:pt idx="2">
                  <c:v>0.15055158987670345</c:v>
                </c:pt>
                <c:pt idx="3">
                  <c:v>0.23491239454899415</c:v>
                </c:pt>
                <c:pt idx="4">
                  <c:v>0.32814189919965392</c:v>
                </c:pt>
              </c:numCache>
            </c:numRef>
          </c:val>
          <c:extLst>
            <c:ext xmlns:c15="http://schemas.microsoft.com/office/drawing/2012/chart" uri="{02D57815-91ED-43cb-92C2-25804820EDAC}">
              <c15:datalabelsRange>
                <c15:f>'comparisons from P&amp;C'!$U$6:$U$11</c15:f>
                <c15:dlblRangeCache>
                  <c:ptCount val="6"/>
                  <c:pt idx="0">
                    <c:v>11.8% (1,635)</c:v>
                  </c:pt>
                  <c:pt idx="1">
                    <c:v>16.9% (2,337)</c:v>
                  </c:pt>
                  <c:pt idx="2">
                    <c:v>15.1% (2,088)</c:v>
                  </c:pt>
                  <c:pt idx="3">
                    <c:v>23.0% (3,258)</c:v>
                  </c:pt>
                  <c:pt idx="4">
                    <c:v>32.8% (4,551)</c:v>
                  </c:pt>
                </c15:dlblRangeCache>
              </c15:datalabelsRange>
            </c:ext>
            <c:ext xmlns:c16="http://schemas.microsoft.com/office/drawing/2014/chart" uri="{C3380CC4-5D6E-409C-BE32-E72D297353CC}">
              <c16:uniqueId val="{00000007-FFC9-4837-A24E-5D5EBC671A7F}"/>
            </c:ext>
          </c:extLst>
        </c:ser>
        <c:dLbls>
          <c:showLegendKey val="0"/>
          <c:showVal val="0"/>
          <c:showCatName val="0"/>
          <c:showSerName val="0"/>
          <c:showPercent val="0"/>
          <c:showBubbleSize val="0"/>
        </c:dLbls>
        <c:gapWidth val="50"/>
        <c:overlap val="-27"/>
        <c:axId val="840311400"/>
        <c:axId val="840315336"/>
      </c:barChart>
      <c:catAx>
        <c:axId val="840311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315336"/>
        <c:crosses val="autoZero"/>
        <c:auto val="1"/>
        <c:lblAlgn val="ctr"/>
        <c:lblOffset val="100"/>
        <c:noMultiLvlLbl val="0"/>
      </c:catAx>
      <c:valAx>
        <c:axId val="840315336"/>
        <c:scaling>
          <c:orientation val="minMax"/>
        </c:scaling>
        <c:delete val="1"/>
        <c:axPos val="l"/>
        <c:numFmt formatCode="0.0%" sourceLinked="1"/>
        <c:majorTickMark val="none"/>
        <c:minorTickMark val="none"/>
        <c:tickLblPos val="nextTo"/>
        <c:crossAx val="840311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66513560804899"/>
          <c:y val="7.0779017206182585E-2"/>
          <c:w val="0.71057786526684164"/>
          <c:h val="0.87829505686789155"/>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460E-4E96-B578-ED0DE409BD0A}"/>
              </c:ext>
            </c:extLst>
          </c:dPt>
          <c:dLbls>
            <c:dLbl>
              <c:idx val="0"/>
              <c:tx>
                <c:rich>
                  <a:bodyPr/>
                  <a:lstStyle/>
                  <a:p>
                    <a:fld id="{AD81887D-4400-4C31-8FC8-2432A219CE55}"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60E-4E96-B578-ED0DE409BD0A}"/>
                </c:ext>
              </c:extLst>
            </c:dLbl>
            <c:dLbl>
              <c:idx val="1"/>
              <c:tx>
                <c:rich>
                  <a:bodyPr/>
                  <a:lstStyle/>
                  <a:p>
                    <a:fld id="{FF6B57E4-1F77-464B-A272-33FCD2EE72FA}"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60E-4E96-B578-ED0DE409B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'demographic analysis'!$F$45:$F$46</c:f>
              <c:strCache>
                <c:ptCount val="2"/>
                <c:pt idx="0">
                  <c:v>European</c:v>
                </c:pt>
                <c:pt idx="1">
                  <c:v>Māori</c:v>
                </c:pt>
              </c:strCache>
            </c:strRef>
          </c:cat>
          <c:val>
            <c:numRef>
              <c:f>'demographic analysis'!$J$45:$J$46</c:f>
              <c:numCache>
                <c:formatCode>0.0%</c:formatCode>
                <c:ptCount val="2"/>
                <c:pt idx="0">
                  <c:v>0.75471698113207553</c:v>
                </c:pt>
                <c:pt idx="1">
                  <c:v>0.32075471698113206</c:v>
                </c:pt>
              </c:numCache>
            </c:numRef>
          </c:val>
          <c:extLst>
            <c:ext xmlns:c15="http://schemas.microsoft.com/office/drawing/2012/chart" uri="{02D57815-91ED-43cb-92C2-25804820EDAC}">
              <c15:datalabelsRange>
                <c15:f>'demographic analysis'!$K$45:$K$50</c15:f>
                <c15:dlblRangeCache>
                  <c:ptCount val="6"/>
                  <c:pt idx="0">
                    <c:v>75.5% (120)</c:v>
                  </c:pt>
                  <c:pt idx="1">
                    <c:v>32.1% (51)</c:v>
                  </c:pt>
                  <c:pt idx="2">
                    <c:v>1.9% (3)</c:v>
                  </c:pt>
                  <c:pt idx="3">
                    <c:v>1.9% (3)</c:v>
                  </c:pt>
                  <c:pt idx="4">
                    <c:v>0.0% (0)</c:v>
                  </c:pt>
                  <c:pt idx="5">
                    <c:v>1.9% (3)</c:v>
                  </c:pt>
                </c15:dlblRangeCache>
              </c15:datalabelsRange>
            </c:ext>
            <c:ext xmlns:c16="http://schemas.microsoft.com/office/drawing/2014/chart" uri="{C3380CC4-5D6E-409C-BE32-E72D297353CC}">
              <c16:uniqueId val="{00000003-460E-4E96-B578-ED0DE409BD0A}"/>
            </c:ext>
          </c:extLst>
        </c:ser>
        <c:dLbls>
          <c:showLegendKey val="0"/>
          <c:showVal val="0"/>
          <c:showCatName val="0"/>
          <c:showSerName val="0"/>
          <c:showPercent val="0"/>
          <c:showBubbleSize val="0"/>
        </c:dLbls>
        <c:gapWidth val="50"/>
        <c:axId val="877075520"/>
        <c:axId val="877076176"/>
      </c:barChart>
      <c:catAx>
        <c:axId val="8770755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076176"/>
        <c:crosses val="autoZero"/>
        <c:auto val="1"/>
        <c:lblAlgn val="ctr"/>
        <c:lblOffset val="100"/>
        <c:noMultiLvlLbl val="0"/>
      </c:catAx>
      <c:valAx>
        <c:axId val="877076176"/>
        <c:scaling>
          <c:orientation val="minMax"/>
        </c:scaling>
        <c:delete val="1"/>
        <c:axPos val="t"/>
        <c:numFmt formatCode="0.0%" sourceLinked="1"/>
        <c:majorTickMark val="none"/>
        <c:minorTickMark val="none"/>
        <c:tickLblPos val="nextTo"/>
        <c:crossAx val="87707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29483814523183"/>
          <c:y val="5.0925925925925923E-2"/>
          <c:w val="0.78859405074365707"/>
          <c:h val="0.89814814814814814"/>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C8EC-4092-BE45-C3B14121CC60}"/>
              </c:ext>
            </c:extLst>
          </c:dPt>
          <c:dLbls>
            <c:dLbl>
              <c:idx val="0"/>
              <c:tx>
                <c:rich>
                  <a:bodyPr/>
                  <a:lstStyle/>
                  <a:p>
                    <a:fld id="{A7843B8C-8AE0-4FB3-85D4-8A0421CED66C}"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8EC-4092-BE45-C3B14121CC60}"/>
                </c:ext>
              </c:extLst>
            </c:dLbl>
            <c:dLbl>
              <c:idx val="1"/>
              <c:tx>
                <c:rich>
                  <a:bodyPr/>
                  <a:lstStyle/>
                  <a:p>
                    <a:fld id="{EF1535E9-786D-4227-B84E-B346CEEE9D2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8EC-4092-BE45-C3B14121CC60}"/>
                </c:ext>
              </c:extLst>
            </c:dLbl>
            <c:dLbl>
              <c:idx val="2"/>
              <c:tx>
                <c:rich>
                  <a:bodyPr/>
                  <a:lstStyle/>
                  <a:p>
                    <a:fld id="{C07A3FEA-30C9-4AE4-BA95-13E09F86B6F6}"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8EC-4092-BE45-C3B14121CC60}"/>
                </c:ext>
              </c:extLst>
            </c:dLbl>
            <c:dLbl>
              <c:idx val="3"/>
              <c:tx>
                <c:rich>
                  <a:bodyPr/>
                  <a:lstStyle/>
                  <a:p>
                    <a:fld id="{3B19E9EC-B267-450D-8F69-C9FE346ADF8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8EC-4092-BE45-C3B14121CC60}"/>
                </c:ext>
              </c:extLst>
            </c:dLbl>
            <c:dLbl>
              <c:idx val="4"/>
              <c:tx>
                <c:rich>
                  <a:bodyPr/>
                  <a:lstStyle/>
                  <a:p>
                    <a:fld id="{FDDB61E8-4517-4A69-9E59-62EBF808A61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8EC-4092-BE45-C3B14121CC60}"/>
                </c:ext>
              </c:extLst>
            </c:dLbl>
            <c:dLbl>
              <c:idx val="5"/>
              <c:tx>
                <c:rich>
                  <a:bodyPr/>
                  <a:lstStyle/>
                  <a:p>
                    <a:fld id="{812E7690-56FC-43D4-A9E8-5C2B3C003DE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8EC-4092-BE45-C3B14121CC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'comparisons from P&amp;C'!$AG$23:$AG$28</c:f>
              <c:strCache>
                <c:ptCount val="6"/>
                <c:pt idx="0">
                  <c:v>European</c:v>
                </c:pt>
                <c:pt idx="1">
                  <c:v>Māori</c:v>
                </c:pt>
                <c:pt idx="2">
                  <c:v>Asian</c:v>
                </c:pt>
                <c:pt idx="3">
                  <c:v>Pacific Peoples</c:v>
                </c:pt>
                <c:pt idx="4">
                  <c:v>MELAA</c:v>
                </c:pt>
                <c:pt idx="5">
                  <c:v>Other ethnicity</c:v>
                </c:pt>
              </c:strCache>
            </c:strRef>
          </c:cat>
          <c:val>
            <c:numRef>
              <c:f>'comparisons from P&amp;C'!$AJ$23:$AJ$28</c:f>
              <c:numCache>
                <c:formatCode>#,##0</c:formatCode>
                <c:ptCount val="6"/>
                <c:pt idx="0">
                  <c:v>8397</c:v>
                </c:pt>
                <c:pt idx="1">
                  <c:v>4770</c:v>
                </c:pt>
                <c:pt idx="2" formatCode="General">
                  <c:v>435</c:v>
                </c:pt>
                <c:pt idx="3" formatCode="General">
                  <c:v>399</c:v>
                </c:pt>
                <c:pt idx="4" formatCode="General">
                  <c:v>168</c:v>
                </c:pt>
                <c:pt idx="5" formatCode="General">
                  <c:v>531</c:v>
                </c:pt>
              </c:numCache>
            </c:numRef>
          </c:val>
          <c:extLst>
            <c:ext xmlns:c15="http://schemas.microsoft.com/office/drawing/2012/chart" uri="{02D57815-91ED-43cb-92C2-25804820EDAC}">
              <c15:datalabelsRange>
                <c15:f>'comparisons from P&amp;C'!$AL$23:$AL$28</c15:f>
                <c15:dlblRangeCache>
                  <c:ptCount val="6"/>
                  <c:pt idx="0">
                    <c:v>63.2% (8,397)</c:v>
                  </c:pt>
                  <c:pt idx="1">
                    <c:v>35.9% (4,770)</c:v>
                  </c:pt>
                  <c:pt idx="2">
                    <c:v>3.3% (435)</c:v>
                  </c:pt>
                  <c:pt idx="3">
                    <c:v>3.0% (399)</c:v>
                  </c:pt>
                  <c:pt idx="4">
                    <c:v>1.3% (168)</c:v>
                  </c:pt>
                  <c:pt idx="5">
                    <c:v>4.0% (531)</c:v>
                  </c:pt>
                </c15:dlblRangeCache>
              </c15:datalabelsRange>
            </c:ext>
            <c:ext xmlns:c16="http://schemas.microsoft.com/office/drawing/2014/chart" uri="{C3380CC4-5D6E-409C-BE32-E72D297353CC}">
              <c16:uniqueId val="{00000007-C8EC-4092-BE45-C3B14121CC60}"/>
            </c:ext>
          </c:extLst>
        </c:ser>
        <c:dLbls>
          <c:showLegendKey val="0"/>
          <c:showVal val="0"/>
          <c:showCatName val="0"/>
          <c:showSerName val="0"/>
          <c:showPercent val="0"/>
          <c:showBubbleSize val="0"/>
        </c:dLbls>
        <c:gapWidth val="50"/>
        <c:axId val="900170024"/>
        <c:axId val="900163136"/>
      </c:barChart>
      <c:catAx>
        <c:axId val="900170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163136"/>
        <c:crosses val="autoZero"/>
        <c:auto val="1"/>
        <c:lblAlgn val="ctr"/>
        <c:lblOffset val="100"/>
        <c:noMultiLvlLbl val="0"/>
      </c:catAx>
      <c:valAx>
        <c:axId val="900163136"/>
        <c:scaling>
          <c:orientation val="minMax"/>
        </c:scaling>
        <c:delete val="1"/>
        <c:axPos val="t"/>
        <c:numFmt formatCode="#,##0" sourceLinked="1"/>
        <c:majorTickMark val="none"/>
        <c:minorTickMark val="none"/>
        <c:tickLblPos val="nextTo"/>
        <c:crossAx val="900170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'demographic analysis'!$L$11</c:f>
              <c:strCache>
                <c:ptCount val="1"/>
                <c:pt idx="0">
                  <c:v>Female</c:v>
                </c:pt>
              </c:strCache>
            </c:strRef>
          </c:tx>
          <c:spPr>
            <a:solidFill>
              <a:srgbClr val="00B0F0"/>
            </a:solidFill>
            <a:ln>
              <a:noFill/>
            </a:ln>
            <a:effectLst/>
          </c:spPr>
          <c:invertIfNegative val="0"/>
          <c:dLbls>
            <c:dLbl>
              <c:idx val="0"/>
              <c:tx>
                <c:rich>
                  <a:bodyPr/>
                  <a:lstStyle/>
                  <a:p>
                    <a:fld id="{D5D01B87-4E98-4CB0-90D4-16EEF2862CA1}"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46A-4D1D-AC80-61DE4E02CC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'demographic analysis'!$N$11</c:f>
              <c:numCache>
                <c:formatCode>0.0%</c:formatCode>
                <c:ptCount val="1"/>
                <c:pt idx="0">
                  <c:v>0.45614035087719296</c:v>
                </c:pt>
              </c:numCache>
            </c:numRef>
          </c:val>
          <c:extLst>
            <c:ext xmlns:c15="http://schemas.microsoft.com/office/drawing/2012/chart" uri="{02D57815-91ED-43cb-92C2-25804820EDAC}">
              <c15:datalabelsRange>
                <c15:f>'demographic analysis'!$O$11</c15:f>
                <c15:dlblRangeCache>
                  <c:ptCount val="1"/>
                  <c:pt idx="0">
                    <c:v>45.6% (78)</c:v>
                  </c:pt>
                </c15:dlblRangeCache>
              </c15:datalabelsRange>
            </c:ext>
            <c:ext xmlns:c16="http://schemas.microsoft.com/office/drawing/2014/chart" uri="{C3380CC4-5D6E-409C-BE32-E72D297353CC}">
              <c16:uniqueId val="{00000001-946A-4D1D-AC80-61DE4E02CC5C}"/>
            </c:ext>
          </c:extLst>
        </c:ser>
        <c:ser>
          <c:idx val="1"/>
          <c:order val="1"/>
          <c:tx>
            <c:strRef>
              <c:f>'demographic analysis'!$L$12</c:f>
              <c:strCache>
                <c:ptCount val="1"/>
                <c:pt idx="0">
                  <c:v>Male</c:v>
                </c:pt>
              </c:strCache>
            </c:strRef>
          </c:tx>
          <c:spPr>
            <a:solidFill>
              <a:schemeClr val="accent2"/>
            </a:solidFill>
            <a:ln>
              <a:noFill/>
            </a:ln>
            <a:effectLst/>
          </c:spPr>
          <c:invertIfNegative val="0"/>
          <c:dLbls>
            <c:dLbl>
              <c:idx val="0"/>
              <c:tx>
                <c:rich>
                  <a:bodyPr/>
                  <a:lstStyle/>
                  <a:p>
                    <a:fld id="{D0845E5E-56E1-403B-8C5D-6F0E3B6E389D}"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946A-4D1D-AC80-61DE4E02CC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'demographic analysis'!$N$12</c:f>
              <c:numCache>
                <c:formatCode>0.0%</c:formatCode>
                <c:ptCount val="1"/>
                <c:pt idx="0">
                  <c:v>0.54385964912280704</c:v>
                </c:pt>
              </c:numCache>
            </c:numRef>
          </c:val>
          <c:extLst>
            <c:ext xmlns:c15="http://schemas.microsoft.com/office/drawing/2012/chart" uri="{02D57815-91ED-43cb-92C2-25804820EDAC}">
              <c15:datalabelsRange>
                <c15:f>'demographic analysis'!$O$12</c15:f>
                <c15:dlblRangeCache>
                  <c:ptCount val="1"/>
                  <c:pt idx="0">
                    <c:v>54.4% (93)</c:v>
                  </c:pt>
                </c15:dlblRangeCache>
              </c15:datalabelsRange>
            </c:ext>
            <c:ext xmlns:c16="http://schemas.microsoft.com/office/drawing/2014/chart" uri="{C3380CC4-5D6E-409C-BE32-E72D297353CC}">
              <c16:uniqueId val="{00000003-946A-4D1D-AC80-61DE4E02CC5C}"/>
            </c:ext>
          </c:extLst>
        </c:ser>
        <c:dLbls>
          <c:showLegendKey val="0"/>
          <c:showVal val="0"/>
          <c:showCatName val="0"/>
          <c:showSerName val="0"/>
          <c:showPercent val="0"/>
          <c:showBubbleSize val="0"/>
        </c:dLbls>
        <c:gapWidth val="50"/>
        <c:overlap val="100"/>
        <c:axId val="682094960"/>
        <c:axId val="682095944"/>
      </c:barChart>
      <c:catAx>
        <c:axId val="682094960"/>
        <c:scaling>
          <c:orientation val="minMax"/>
        </c:scaling>
        <c:delete val="1"/>
        <c:axPos val="l"/>
        <c:numFmt formatCode="General" sourceLinked="1"/>
        <c:majorTickMark val="none"/>
        <c:minorTickMark val="none"/>
        <c:tickLblPos val="nextTo"/>
        <c:crossAx val="682095944"/>
        <c:crosses val="autoZero"/>
        <c:auto val="1"/>
        <c:lblAlgn val="ctr"/>
        <c:lblOffset val="100"/>
        <c:noMultiLvlLbl val="0"/>
      </c:catAx>
      <c:valAx>
        <c:axId val="682095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2094960"/>
        <c:crosses val="autoZero"/>
        <c:crossBetween val="between"/>
        <c:majorUnit val="0.25"/>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v>Female</c:v>
          </c:tx>
          <c:spPr>
            <a:solidFill>
              <a:srgbClr val="00B0F0"/>
            </a:solidFill>
            <a:ln>
              <a:noFill/>
            </a:ln>
            <a:effectLst/>
          </c:spPr>
          <c:invertIfNegative val="0"/>
          <c:dLbls>
            <c:dLbl>
              <c:idx val="0"/>
              <c:tx>
                <c:rich>
                  <a:bodyPr/>
                  <a:lstStyle/>
                  <a:p>
                    <a:fld id="{18B9AE3B-9DC5-4C5E-83F1-B918F7027C08}" type="CELLRANGE">
                      <a:rPr lang="en-US"/>
                      <a:pPr/>
                      <a:t>[CELLRANGE]</a:t>
                    </a:fld>
                    <a:endParaRPr lang="en-N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466-4F64-B892-ECF0FDB80C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'comparisons from P&amp;C'!$AL$53</c:f>
              <c:numCache>
                <c:formatCode>0.0%</c:formatCode>
                <c:ptCount val="1"/>
                <c:pt idx="0">
                  <c:v>0.48193813540990699</c:v>
                </c:pt>
              </c:numCache>
            </c:numRef>
          </c:val>
          <c:extLst>
            <c:ext xmlns:c15="http://schemas.microsoft.com/office/drawing/2012/chart" uri="{02D57815-91ED-43cb-92C2-25804820EDAC}">
              <c15:datalabelsRange>
                <c15:f>'comparisons from P&amp;C'!$AM$53</c15:f>
                <c15:dlblRangeCache>
                  <c:ptCount val="1"/>
                  <c:pt idx="0">
                    <c:v>48.2% (6,684)</c:v>
                  </c:pt>
                </c15:dlblRangeCache>
              </c15:datalabelsRange>
            </c:ext>
            <c:ext xmlns:c16="http://schemas.microsoft.com/office/drawing/2014/chart" uri="{C3380CC4-5D6E-409C-BE32-E72D297353CC}">
              <c16:uniqueId val="{00000001-8466-4F64-B892-ECF0FDB80C18}"/>
            </c:ext>
          </c:extLst>
        </c:ser>
        <c:ser>
          <c:idx val="0"/>
          <c:order val="1"/>
          <c:tx>
            <c:v>Gender Diverse</c:v>
          </c:tx>
          <c:spPr>
            <a:solidFill>
              <a:schemeClr val="bg1">
                <a:lumMod val="75000"/>
              </a:schemeClr>
            </a:solidFill>
            <a:ln>
              <a:noFill/>
            </a:ln>
            <a:effectLst/>
          </c:spPr>
          <c:invertIfNegative val="0"/>
          <c:dLbls>
            <c:dLbl>
              <c:idx val="0"/>
              <c:layout>
                <c:manualLayout>
                  <c:x val="-1.9444444444444445E-2"/>
                  <c:y val="-0.35353535353535354"/>
                </c:manualLayout>
              </c:layout>
              <c:tx>
                <c:rich>
                  <a:bodyPr/>
                  <a:lstStyle/>
                  <a:p>
                    <a:fld id="{C057CC51-669D-4C3B-9506-0E536E72563F}" type="CELLRANGE">
                      <a:rPr lang="en-US" sz="1000"/>
                      <a:pPr/>
                      <a:t>[CELLRANGE]</a:t>
                    </a:fld>
                    <a:endParaRPr lang="en-N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8466-4F64-B892-ECF0FDB80C1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'comparisons from P&amp;C'!$AL$52</c:f>
              <c:numCache>
                <c:formatCode>0.0%</c:formatCode>
                <c:ptCount val="1"/>
                <c:pt idx="0">
                  <c:v>1.7304780445598098E-3</c:v>
                </c:pt>
              </c:numCache>
            </c:numRef>
          </c:val>
          <c:extLst>
            <c:ext xmlns:c15="http://schemas.microsoft.com/office/drawing/2012/chart" uri="{02D57815-91ED-43cb-92C2-25804820EDAC}">
              <c15:datalabelsRange>
                <c15:f>'comparisons from P&amp;C'!$AM$52</c15:f>
                <c15:dlblRangeCache>
                  <c:ptCount val="1"/>
                  <c:pt idx="0">
                    <c:v>0.2% (24)</c:v>
                  </c:pt>
                </c15:dlblRangeCache>
              </c15:datalabelsRange>
            </c:ext>
            <c:ext xmlns:c16="http://schemas.microsoft.com/office/drawing/2014/chart" uri="{C3380CC4-5D6E-409C-BE32-E72D297353CC}">
              <c16:uniqueId val="{00000003-8466-4F64-B892-ECF0FDB80C18}"/>
            </c:ext>
          </c:extLst>
        </c:ser>
        <c:ser>
          <c:idx val="2"/>
          <c:order val="2"/>
          <c:tx>
            <c:v>Male</c:v>
          </c:tx>
          <c:spPr>
            <a:solidFill>
              <a:schemeClr val="accent2"/>
            </a:solidFill>
            <a:ln>
              <a:noFill/>
            </a:ln>
            <a:effectLst/>
          </c:spPr>
          <c:invertIfNegative val="0"/>
          <c:dLbls>
            <c:dLbl>
              <c:idx val="0"/>
              <c:tx>
                <c:rich>
                  <a:bodyPr/>
                  <a:lstStyle/>
                  <a:p>
                    <a:fld id="{DA8CA6D6-E461-43C2-8497-FA868A5B6758}" type="CELLRANGE">
                      <a:rPr lang="en-US"/>
                      <a:pPr/>
                      <a:t>[CELLRANGE]</a:t>
                    </a:fld>
                    <a:endParaRPr lang="en-N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466-4F64-B892-ECF0FDB80C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'comparisons from P&amp;C'!$AL$54</c:f>
              <c:numCache>
                <c:formatCode>0.0%</c:formatCode>
                <c:ptCount val="1"/>
                <c:pt idx="0">
                  <c:v>0.51633138654553323</c:v>
                </c:pt>
              </c:numCache>
            </c:numRef>
          </c:val>
          <c:extLst>
            <c:ext xmlns:c15="http://schemas.microsoft.com/office/drawing/2012/chart" uri="{02D57815-91ED-43cb-92C2-25804820EDAC}">
              <c15:datalabelsRange>
                <c15:f>'comparisons from P&amp;C'!$AM$54</c15:f>
                <c15:dlblRangeCache>
                  <c:ptCount val="1"/>
                  <c:pt idx="0">
                    <c:v>51.6% (7,161)</c:v>
                  </c:pt>
                </c15:dlblRangeCache>
              </c15:datalabelsRange>
            </c:ext>
            <c:ext xmlns:c16="http://schemas.microsoft.com/office/drawing/2014/chart" uri="{C3380CC4-5D6E-409C-BE32-E72D297353CC}">
              <c16:uniqueId val="{00000005-8466-4F64-B892-ECF0FDB80C18}"/>
            </c:ext>
          </c:extLst>
        </c:ser>
        <c:dLbls>
          <c:dLblPos val="ctr"/>
          <c:showLegendKey val="0"/>
          <c:showVal val="1"/>
          <c:showCatName val="0"/>
          <c:showSerName val="0"/>
          <c:showPercent val="0"/>
          <c:showBubbleSize val="0"/>
        </c:dLbls>
        <c:gapWidth val="50"/>
        <c:overlap val="100"/>
        <c:axId val="797773416"/>
        <c:axId val="797773744"/>
      </c:barChart>
      <c:catAx>
        <c:axId val="797773416"/>
        <c:scaling>
          <c:orientation val="minMax"/>
        </c:scaling>
        <c:delete val="1"/>
        <c:axPos val="l"/>
        <c:majorTickMark val="none"/>
        <c:minorTickMark val="none"/>
        <c:tickLblPos val="nextTo"/>
        <c:crossAx val="797773744"/>
        <c:crosses val="autoZero"/>
        <c:auto val="1"/>
        <c:lblAlgn val="ctr"/>
        <c:lblOffset val="100"/>
        <c:noMultiLvlLbl val="0"/>
      </c:catAx>
      <c:valAx>
        <c:axId val="797773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773416"/>
        <c:crosses val="autoZero"/>
        <c:crossBetween val="between"/>
        <c:majorUnit val="0.25"/>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13757655293091"/>
          <c:y val="5.0925925925925923E-2"/>
          <c:w val="0.65552909011373584"/>
          <c:h val="0.89814814814814814"/>
        </c:manualLayout>
      </c:layout>
      <c:barChart>
        <c:barDir val="bar"/>
        <c:grouping val="clustered"/>
        <c:varyColors val="0"/>
        <c:ser>
          <c:idx val="0"/>
          <c:order val="0"/>
          <c:spPr>
            <a:solidFill>
              <a:schemeClr val="accent3">
                <a:lumMod val="40000"/>
                <a:lumOff val="60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DD6D-41D6-94F1-235795D03478}"/>
              </c:ext>
            </c:extLst>
          </c:dPt>
          <c:dLbls>
            <c:dLbl>
              <c:idx val="0"/>
              <c:tx>
                <c:rich>
                  <a:bodyPr/>
                  <a:lstStyle/>
                  <a:p>
                    <a:fld id="{831C8161-D490-4DC1-87BD-FEB033995B8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D6D-41D6-94F1-235795D03478}"/>
                </c:ext>
              </c:extLst>
            </c:dLbl>
            <c:dLbl>
              <c:idx val="1"/>
              <c:tx>
                <c:rich>
                  <a:bodyPr/>
                  <a:lstStyle/>
                  <a:p>
                    <a:fld id="{3F7C8407-98A9-4A0D-B581-0F9BA427DC7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D6D-41D6-94F1-235795D03478}"/>
                </c:ext>
              </c:extLst>
            </c:dLbl>
            <c:dLbl>
              <c:idx val="2"/>
              <c:tx>
                <c:rich>
                  <a:bodyPr/>
                  <a:lstStyle/>
                  <a:p>
                    <a:fld id="{22C6FAE5-8E6A-4D28-8C96-E7EC1BB859CA}"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D6D-41D6-94F1-235795D034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'demographic analysis'!$Q$29:$Q$31</c:f>
              <c:strCache>
                <c:ptCount val="3"/>
                <c:pt idx="0">
                  <c:v>Single</c:v>
                </c:pt>
                <c:pt idx="1">
                  <c:v>Partnered</c:v>
                </c:pt>
                <c:pt idx="2">
                  <c:v>Off-benefit/Unknown</c:v>
                </c:pt>
              </c:strCache>
            </c:strRef>
          </c:cat>
          <c:val>
            <c:numRef>
              <c:f>'demographic analysis'!$S$29:$S$31</c:f>
              <c:numCache>
                <c:formatCode>0.0%</c:formatCode>
                <c:ptCount val="3"/>
                <c:pt idx="0">
                  <c:v>0.92592592592592593</c:v>
                </c:pt>
                <c:pt idx="1">
                  <c:v>9.2592592592592587E-2</c:v>
                </c:pt>
                <c:pt idx="2">
                  <c:v>3.7037037037037035E-2</c:v>
                </c:pt>
              </c:numCache>
            </c:numRef>
          </c:val>
          <c:extLst>
            <c:ext xmlns:c15="http://schemas.microsoft.com/office/drawing/2012/chart" uri="{02D57815-91ED-43cb-92C2-25804820EDAC}">
              <c15:datalabelsRange>
                <c15:f>'demographic analysis'!$T$29:$T$31</c15:f>
                <c15:dlblRangeCache>
                  <c:ptCount val="3"/>
                  <c:pt idx="0">
                    <c:v>92.6% (150)</c:v>
                  </c:pt>
                  <c:pt idx="1">
                    <c:v>9.3% (15)</c:v>
                  </c:pt>
                  <c:pt idx="2">
                    <c:v>3.7% (6)</c:v>
                  </c:pt>
                </c15:dlblRangeCache>
              </c15:datalabelsRange>
            </c:ext>
            <c:ext xmlns:c16="http://schemas.microsoft.com/office/drawing/2014/chart" uri="{C3380CC4-5D6E-409C-BE32-E72D297353CC}">
              <c16:uniqueId val="{00000004-DD6D-41D6-94F1-235795D03478}"/>
            </c:ext>
          </c:extLst>
        </c:ser>
        <c:dLbls>
          <c:showLegendKey val="0"/>
          <c:showVal val="0"/>
          <c:showCatName val="0"/>
          <c:showSerName val="0"/>
          <c:showPercent val="0"/>
          <c:showBubbleSize val="0"/>
        </c:dLbls>
        <c:gapWidth val="50"/>
        <c:axId val="834950368"/>
        <c:axId val="834955616"/>
      </c:barChart>
      <c:catAx>
        <c:axId val="834950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955616"/>
        <c:crosses val="autoZero"/>
        <c:auto val="1"/>
        <c:lblAlgn val="ctr"/>
        <c:lblOffset val="100"/>
        <c:noMultiLvlLbl val="0"/>
      </c:catAx>
      <c:valAx>
        <c:axId val="834955616"/>
        <c:scaling>
          <c:orientation val="minMax"/>
        </c:scaling>
        <c:delete val="1"/>
        <c:axPos val="t"/>
        <c:numFmt formatCode="0.0%" sourceLinked="1"/>
        <c:majorTickMark val="none"/>
        <c:minorTickMark val="none"/>
        <c:tickLblPos val="nextTo"/>
        <c:crossAx val="834950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311482939632545"/>
          <c:y val="5.0925925925925923E-2"/>
          <c:w val="0.60521850393700782"/>
          <c:h val="0.89814814814814814"/>
        </c:manualLayout>
      </c:layout>
      <c:barChart>
        <c:barDir val="bar"/>
        <c:grouping val="clustered"/>
        <c:varyColors val="0"/>
        <c:ser>
          <c:idx val="0"/>
          <c:order val="0"/>
          <c:spPr>
            <a:solidFill>
              <a:schemeClr val="accent3">
                <a:lumMod val="40000"/>
                <a:lumOff val="60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0F40-4C81-BCD4-4355E56C0837}"/>
              </c:ext>
            </c:extLst>
          </c:dPt>
          <c:dLbls>
            <c:dLbl>
              <c:idx val="0"/>
              <c:tx>
                <c:rich>
                  <a:bodyPr/>
                  <a:lstStyle/>
                  <a:p>
                    <a:fld id="{5E11AAE7-C3E8-472F-8571-18654ED73969}"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F40-4C81-BCD4-4355E56C0837}"/>
                </c:ext>
              </c:extLst>
            </c:dLbl>
            <c:dLbl>
              <c:idx val="1"/>
              <c:tx>
                <c:rich>
                  <a:bodyPr/>
                  <a:lstStyle/>
                  <a:p>
                    <a:fld id="{AE50BB84-8A98-4148-A036-2AA78D62FA4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F40-4C81-BCD4-4355E56C0837}"/>
                </c:ext>
              </c:extLst>
            </c:dLbl>
            <c:dLbl>
              <c:idx val="2"/>
              <c:tx>
                <c:rich>
                  <a:bodyPr/>
                  <a:lstStyle/>
                  <a:p>
                    <a:fld id="{04A8A86E-6C76-42A6-A5AD-D32BBF2C33A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F40-4C81-BCD4-4355E56C0837}"/>
                </c:ext>
              </c:extLst>
            </c:dLbl>
            <c:dLbl>
              <c:idx val="3"/>
              <c:tx>
                <c:rich>
                  <a:bodyPr/>
                  <a:lstStyle/>
                  <a:p>
                    <a:fld id="{DA09904C-154C-4D01-A163-129841BD1351}"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F40-4C81-BCD4-4355E56C08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'demographic analysis'!$V$12:$V$15</c:f>
              <c:strCache>
                <c:ptCount val="4"/>
                <c:pt idx="0">
                  <c:v>Jobseeker Support - Health 
Conditions and Disabilities</c:v>
                </c:pt>
                <c:pt idx="1">
                  <c:v>Supported Living Payment - 
Health Conditions and 
Disabilities</c:v>
                </c:pt>
                <c:pt idx="2">
                  <c:v>Jobseeker Support - Work 
Ready/Emergency 
Benefit/Sole Parent Support</c:v>
                </c:pt>
                <c:pt idx="3">
                  <c:v>Not receiving a main benefit/
cannot be matched</c:v>
                </c:pt>
              </c:strCache>
            </c:strRef>
          </c:cat>
          <c:val>
            <c:numRef>
              <c:f>'demographic analysis'!$X$12:$X$15</c:f>
              <c:numCache>
                <c:formatCode>0.0%</c:formatCode>
                <c:ptCount val="4"/>
                <c:pt idx="0">
                  <c:v>0.73684210526315785</c:v>
                </c:pt>
                <c:pt idx="1">
                  <c:v>0.14035087719298245</c:v>
                </c:pt>
                <c:pt idx="2">
                  <c:v>0.10526315789473684</c:v>
                </c:pt>
                <c:pt idx="3">
                  <c:v>1.7543859649122806E-2</c:v>
                </c:pt>
              </c:numCache>
            </c:numRef>
          </c:val>
          <c:extLst>
            <c:ext xmlns:c15="http://schemas.microsoft.com/office/drawing/2012/chart" uri="{02D57815-91ED-43cb-92C2-25804820EDAC}">
              <c15:datalabelsRange>
                <c15:f>'demographic analysis'!$Y$12:$Y$15</c15:f>
                <c15:dlblRangeCache>
                  <c:ptCount val="4"/>
                  <c:pt idx="0">
                    <c:v>73.7% (126)</c:v>
                  </c:pt>
                  <c:pt idx="1">
                    <c:v>14.0% (24)</c:v>
                  </c:pt>
                  <c:pt idx="2">
                    <c:v>10.5% (18)</c:v>
                  </c:pt>
                  <c:pt idx="3">
                    <c:v>1.8% (3)</c:v>
                  </c:pt>
                </c15:dlblRangeCache>
              </c15:datalabelsRange>
            </c:ext>
            <c:ext xmlns:c16="http://schemas.microsoft.com/office/drawing/2014/chart" uri="{C3380CC4-5D6E-409C-BE32-E72D297353CC}">
              <c16:uniqueId val="{00000005-0F40-4C81-BCD4-4355E56C0837}"/>
            </c:ext>
          </c:extLst>
        </c:ser>
        <c:dLbls>
          <c:showLegendKey val="0"/>
          <c:showVal val="0"/>
          <c:showCatName val="0"/>
          <c:showSerName val="0"/>
          <c:showPercent val="0"/>
          <c:showBubbleSize val="0"/>
        </c:dLbls>
        <c:gapWidth val="50"/>
        <c:axId val="822882856"/>
        <c:axId val="822881872"/>
      </c:barChart>
      <c:catAx>
        <c:axId val="822882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881872"/>
        <c:crosses val="autoZero"/>
        <c:auto val="1"/>
        <c:lblAlgn val="ctr"/>
        <c:lblOffset val="100"/>
        <c:noMultiLvlLbl val="0"/>
      </c:catAx>
      <c:valAx>
        <c:axId val="822881872"/>
        <c:scaling>
          <c:orientation val="minMax"/>
        </c:scaling>
        <c:delete val="1"/>
        <c:axPos val="t"/>
        <c:numFmt formatCode="0.0%" sourceLinked="1"/>
        <c:majorTickMark val="none"/>
        <c:minorTickMark val="none"/>
        <c:tickLblPos val="nextTo"/>
        <c:crossAx val="822882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384373370266829"/>
          <c:y val="9.1194128989404693E-3"/>
          <c:w val="0.61796404113980874"/>
          <c:h val="0.97271476200610063"/>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564A-419E-A1EB-FA6813FB3E71}"/>
              </c:ext>
            </c:extLst>
          </c:dPt>
          <c:dLbls>
            <c:dLbl>
              <c:idx val="0"/>
              <c:tx>
                <c:rich>
                  <a:bodyPr/>
                  <a:lstStyle/>
                  <a:p>
                    <a:fld id="{BBFC93B8-C369-458F-B738-9BA10B3404B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64A-419E-A1EB-FA6813FB3E71}"/>
                </c:ext>
              </c:extLst>
            </c:dLbl>
            <c:dLbl>
              <c:idx val="1"/>
              <c:tx>
                <c:rich>
                  <a:bodyPr/>
                  <a:lstStyle/>
                  <a:p>
                    <a:fld id="{8D16F9A1-F8FA-4B75-83A8-8C7712F4E16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64A-419E-A1EB-FA6813FB3E71}"/>
                </c:ext>
              </c:extLst>
            </c:dLbl>
            <c:dLbl>
              <c:idx val="2"/>
              <c:tx>
                <c:rich>
                  <a:bodyPr/>
                  <a:lstStyle/>
                  <a:p>
                    <a:fld id="{8922804D-97F4-4A16-A679-6D565901650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64A-419E-A1EB-FA6813FB3E71}"/>
                </c:ext>
              </c:extLst>
            </c:dLbl>
            <c:dLbl>
              <c:idx val="3"/>
              <c:tx>
                <c:rich>
                  <a:bodyPr/>
                  <a:lstStyle/>
                  <a:p>
                    <a:fld id="{957B3C16-4B37-423B-9E62-5422FF2BDFB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64A-419E-A1EB-FA6813FB3E71}"/>
                </c:ext>
              </c:extLst>
            </c:dLbl>
            <c:dLbl>
              <c:idx val="4"/>
              <c:tx>
                <c:rich>
                  <a:bodyPr/>
                  <a:lstStyle/>
                  <a:p>
                    <a:fld id="{F15C61DB-E0DA-4DCC-924E-165D6F1C008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64A-419E-A1EB-FA6813FB3E71}"/>
                </c:ext>
              </c:extLst>
            </c:dLbl>
            <c:dLbl>
              <c:idx val="5"/>
              <c:tx>
                <c:rich>
                  <a:bodyPr/>
                  <a:lstStyle/>
                  <a:p>
                    <a:fld id="{01E0FA5F-5F2D-4A0D-868A-A4F2BF32D506}"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64A-419E-A1EB-FA6813FB3E71}"/>
                </c:ext>
              </c:extLst>
            </c:dLbl>
            <c:dLbl>
              <c:idx val="6"/>
              <c:tx>
                <c:rich>
                  <a:bodyPr/>
                  <a:lstStyle/>
                  <a:p>
                    <a:fld id="{4069A67E-3260-4722-A6CD-EB9178396BE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64A-419E-A1EB-FA6813FB3E71}"/>
                </c:ext>
              </c:extLst>
            </c:dLbl>
            <c:dLbl>
              <c:idx val="7"/>
              <c:tx>
                <c:rich>
                  <a:bodyPr/>
                  <a:lstStyle/>
                  <a:p>
                    <a:fld id="{FFB2FD7B-BEE1-4FE0-BD37-14701D28291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64A-419E-A1EB-FA6813FB3E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hcd!$B$3:$B$10</c:f>
              <c:strCache>
                <c:ptCount val="8"/>
                <c:pt idx="0">
                  <c:v>Mental health conditions</c:v>
                </c:pt>
                <c:pt idx="1">
                  <c:v>No conditions recorded</c:v>
                </c:pt>
                <c:pt idx="2">
                  <c:v>Musculoskeletal and connective
 tissue diseases</c:v>
                </c:pt>
                <c:pt idx="3">
                  <c:v>Nervous system and sense organ diseases</c:v>
                </c:pt>
                <c:pt idx="4">
                  <c:v>Endocrine, nutritional, metabolic 
and immunity disorders</c:v>
                </c:pt>
                <c:pt idx="5">
                  <c:v>Respiratory system diseases</c:v>
                </c:pt>
                <c:pt idx="6">
                  <c:v>General symptoms</c:v>
                </c:pt>
                <c:pt idx="7">
                  <c:v>Circulatory system diseases</c:v>
                </c:pt>
              </c:strCache>
            </c:strRef>
          </c:cat>
          <c:val>
            <c:numRef>
              <c:f>hcd!$D$3:$D$10</c:f>
              <c:numCache>
                <c:formatCode>0.0%</c:formatCode>
                <c:ptCount val="8"/>
                <c:pt idx="0">
                  <c:v>0.59649122807017541</c:v>
                </c:pt>
                <c:pt idx="1">
                  <c:v>0.15789473684210525</c:v>
                </c:pt>
                <c:pt idx="2">
                  <c:v>0.10526315789473684</c:v>
                </c:pt>
                <c:pt idx="3">
                  <c:v>8.771929824561403E-2</c:v>
                </c:pt>
                <c:pt idx="4">
                  <c:v>7.0175438596491224E-2</c:v>
                </c:pt>
                <c:pt idx="5">
                  <c:v>5.2631578947368418E-2</c:v>
                </c:pt>
                <c:pt idx="6">
                  <c:v>3.5087719298245612E-2</c:v>
                </c:pt>
                <c:pt idx="7">
                  <c:v>3.5087719298245612E-2</c:v>
                </c:pt>
              </c:numCache>
            </c:numRef>
          </c:val>
          <c:extLst>
            <c:ext xmlns:c15="http://schemas.microsoft.com/office/drawing/2012/chart" uri="{02D57815-91ED-43cb-92C2-25804820EDAC}">
              <c15:datalabelsRange>
                <c15:f>hcd!$E$3:$E$14</c15:f>
                <c15:dlblRangeCache>
                  <c:ptCount val="12"/>
                  <c:pt idx="0">
                    <c:v>59.6% (102)</c:v>
                  </c:pt>
                  <c:pt idx="1">
                    <c:v>15.8% (27)</c:v>
                  </c:pt>
                  <c:pt idx="2">
                    <c:v>10.5% (18)</c:v>
                  </c:pt>
                  <c:pt idx="3">
                    <c:v>8.8% (15)</c:v>
                  </c:pt>
                  <c:pt idx="4">
                    <c:v>7.0% (12)</c:v>
                  </c:pt>
                  <c:pt idx="5">
                    <c:v>5.3% (9)</c:v>
                  </c:pt>
                  <c:pt idx="6">
                    <c:v>3.5% (6)</c:v>
                  </c:pt>
                  <c:pt idx="7">
                    <c:v>3.5% (6)</c:v>
                  </c:pt>
                  <c:pt idx="8">
                    <c:v>3.0% (5)</c:v>
                  </c:pt>
                  <c:pt idx="9">
                    <c:v>3.0% (5)</c:v>
                  </c:pt>
                  <c:pt idx="10">
                    <c:v>1.8% (3)</c:v>
                  </c:pt>
                  <c:pt idx="11">
                    <c:v>0.6% (1)</c:v>
                  </c:pt>
                </c15:dlblRangeCache>
              </c15:datalabelsRange>
            </c:ext>
            <c:ext xmlns:c16="http://schemas.microsoft.com/office/drawing/2014/chart" uri="{C3380CC4-5D6E-409C-BE32-E72D297353CC}">
              <c16:uniqueId val="{00000009-564A-419E-A1EB-FA6813FB3E71}"/>
            </c:ext>
          </c:extLst>
        </c:ser>
        <c:dLbls>
          <c:showLegendKey val="0"/>
          <c:showVal val="0"/>
          <c:showCatName val="0"/>
          <c:showSerName val="0"/>
          <c:showPercent val="0"/>
          <c:showBubbleSize val="0"/>
        </c:dLbls>
        <c:gapWidth val="50"/>
        <c:axId val="700599256"/>
        <c:axId val="700602208"/>
      </c:barChart>
      <c:catAx>
        <c:axId val="7005992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02208"/>
        <c:crosses val="autoZero"/>
        <c:auto val="1"/>
        <c:lblAlgn val="ctr"/>
        <c:lblOffset val="100"/>
        <c:noMultiLvlLbl val="0"/>
      </c:catAx>
      <c:valAx>
        <c:axId val="700602208"/>
        <c:scaling>
          <c:orientation val="minMax"/>
        </c:scaling>
        <c:delete val="1"/>
        <c:axPos val="t"/>
        <c:numFmt formatCode="0.0%" sourceLinked="1"/>
        <c:majorTickMark val="none"/>
        <c:minorTickMark val="none"/>
        <c:tickLblPos val="nextTo"/>
        <c:crossAx val="700599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0122-16D7-4B46-A07D-171186F9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4644</Words>
  <Characters>26472</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Arnesen</dc:creator>
  <cp:keywords/>
  <dc:description/>
  <cp:lastModifiedBy>Amanda Mainey</cp:lastModifiedBy>
  <cp:revision>2</cp:revision>
  <cp:lastPrinted>2022-02-08T20:52:00Z</cp:lastPrinted>
  <dcterms:created xsi:type="dcterms:W3CDTF">2023-06-06T23:38:00Z</dcterms:created>
  <dcterms:modified xsi:type="dcterms:W3CDTF">2023-06-06T23:38:00Z</dcterms:modified>
</cp:coreProperties>
</file>