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B978" w14:textId="77777777" w:rsidR="00EC5C2A" w:rsidRPr="00662131" w:rsidRDefault="00EC5C2A" w:rsidP="00EC5C2A">
      <w:r w:rsidRPr="00662131">
        <w:rPr>
          <w:noProof/>
          <w:lang w:eastAsia="en-NZ"/>
        </w:rPr>
        <w:drawing>
          <wp:anchor distT="0" distB="0" distL="114300" distR="114300" simplePos="0" relativeHeight="251659264" behindDoc="0" locked="0" layoutInCell="1" allowOverlap="1" wp14:anchorId="178308E6" wp14:editId="18F92CBC">
            <wp:simplePos x="0" y="0"/>
            <wp:positionH relativeFrom="page">
              <wp:posOffset>730250</wp:posOffset>
            </wp:positionH>
            <wp:positionV relativeFrom="page">
              <wp:posOffset>671830</wp:posOffset>
            </wp:positionV>
            <wp:extent cx="3005455" cy="701675"/>
            <wp:effectExtent l="0" t="0" r="4445" b="3175"/>
            <wp:wrapNone/>
            <wp:docPr id="9" name="Picture 9"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14:paraId="427CE14C" w14:textId="3184C63E" w:rsidR="00EC5C2A" w:rsidRPr="004C1722" w:rsidRDefault="00EC5C2A" w:rsidP="00EC5C2A">
      <w:pPr>
        <w:spacing w:before="8040" w:after="0" w:line="760" w:lineRule="atLeast"/>
        <w:ind w:right="-1038"/>
        <w:rPr>
          <w:rFonts w:ascii="Georgia" w:hAnsi="Georgia"/>
          <w:b/>
          <w:noProof/>
          <w:color w:val="FFFFFF" w:themeColor="background1"/>
          <w:sz w:val="56"/>
          <w:lang w:eastAsia="en-NZ"/>
        </w:rPr>
      </w:pPr>
      <w:r w:rsidRPr="004C1722">
        <w:rPr>
          <w:rFonts w:ascii="Georgia" w:hAnsi="Georgia"/>
          <w:b/>
          <w:noProof/>
          <w:color w:val="FFFFFF" w:themeColor="background1"/>
          <w:sz w:val="56"/>
          <w:lang w:eastAsia="en-NZ"/>
        </w:rPr>
        <w:drawing>
          <wp:anchor distT="0" distB="0" distL="114300" distR="114300" simplePos="0" relativeHeight="251660288" behindDoc="1" locked="0" layoutInCell="1" allowOverlap="1" wp14:anchorId="2A35DF39" wp14:editId="5CB56F13">
            <wp:simplePos x="0" y="0"/>
            <wp:positionH relativeFrom="column">
              <wp:posOffset>-962025</wp:posOffset>
            </wp:positionH>
            <wp:positionV relativeFrom="paragraph">
              <wp:posOffset>3594100</wp:posOffset>
            </wp:positionV>
            <wp:extent cx="7620000" cy="4135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0" cy="4135755"/>
                    </a:xfrm>
                    <a:prstGeom prst="rect">
                      <a:avLst/>
                    </a:prstGeom>
                  </pic:spPr>
                </pic:pic>
              </a:graphicData>
            </a:graphic>
            <wp14:sizeRelH relativeFrom="page">
              <wp14:pctWidth>0</wp14:pctWidth>
            </wp14:sizeRelH>
            <wp14:sizeRelV relativeFrom="page">
              <wp14:pctHeight>0</wp14:pctHeight>
            </wp14:sizeRelV>
          </wp:anchor>
        </w:drawing>
      </w:r>
      <w:r w:rsidRPr="004C1722">
        <w:rPr>
          <w:rFonts w:ascii="Georgia" w:hAnsi="Georgia"/>
          <w:b/>
          <w:noProof/>
          <w:color w:val="FFFFFF" w:themeColor="background1"/>
          <w:sz w:val="56"/>
          <w:lang w:eastAsia="en-NZ"/>
        </w:rPr>
        <w:t xml:space="preserve">Oranga Mahi – </w:t>
      </w:r>
      <w:r w:rsidR="004C1722" w:rsidRPr="004C1722">
        <w:rPr>
          <w:rFonts w:ascii="Georgia" w:hAnsi="Georgia"/>
          <w:b/>
          <w:noProof/>
          <w:color w:val="FFFFFF" w:themeColor="background1"/>
          <w:sz w:val="56"/>
          <w:lang w:eastAsia="en-NZ"/>
        </w:rPr>
        <w:t xml:space="preserve">Here </w:t>
      </w:r>
      <w:r w:rsidR="00304BE0">
        <w:rPr>
          <w:rFonts w:ascii="Georgia" w:hAnsi="Georgia"/>
          <w:b/>
          <w:noProof/>
          <w:color w:val="FFFFFF" w:themeColor="background1"/>
          <w:sz w:val="56"/>
          <w:lang w:eastAsia="en-NZ"/>
        </w:rPr>
        <w:t>Toitū</w:t>
      </w:r>
      <w:r w:rsidRPr="004C1722">
        <w:rPr>
          <w:rFonts w:ascii="Georgia" w:hAnsi="Georgia"/>
          <w:b/>
          <w:noProof/>
          <w:color w:val="FFFFFF" w:themeColor="background1"/>
          <w:sz w:val="56"/>
          <w:lang w:eastAsia="en-NZ"/>
        </w:rPr>
        <w:t xml:space="preserve"> monitoring data analysis </w:t>
      </w:r>
    </w:p>
    <w:p w14:paraId="4BDC06A9" w14:textId="402C5264" w:rsidR="00EC5C2A" w:rsidRDefault="00EC5C2A" w:rsidP="00EC5C2A">
      <w:pPr>
        <w:pStyle w:val="Report2"/>
        <w:rPr>
          <w:color w:val="FFFFFF" w:themeColor="background1"/>
          <w:sz w:val="32"/>
          <w:szCs w:val="32"/>
        </w:rPr>
      </w:pPr>
      <w:r>
        <w:rPr>
          <w:color w:val="FFFFFF" w:themeColor="background1"/>
          <w:sz w:val="32"/>
          <w:szCs w:val="32"/>
        </w:rPr>
        <w:t xml:space="preserve">November 2019 – </w:t>
      </w:r>
      <w:r w:rsidR="00407222">
        <w:rPr>
          <w:color w:val="FFFFFF" w:themeColor="background1"/>
          <w:sz w:val="32"/>
          <w:szCs w:val="32"/>
        </w:rPr>
        <w:t>December</w:t>
      </w:r>
      <w:r>
        <w:rPr>
          <w:color w:val="FFFFFF" w:themeColor="background1"/>
          <w:sz w:val="32"/>
          <w:szCs w:val="32"/>
        </w:rPr>
        <w:t xml:space="preserve"> 202</w:t>
      </w:r>
      <w:r w:rsidR="00407222">
        <w:rPr>
          <w:color w:val="FFFFFF" w:themeColor="background1"/>
          <w:sz w:val="32"/>
          <w:szCs w:val="32"/>
        </w:rPr>
        <w:t>1</w:t>
      </w:r>
    </w:p>
    <w:p w14:paraId="07F7769C" w14:textId="3B8DFBF7" w:rsidR="004C1722" w:rsidRDefault="004C1722" w:rsidP="00EC5C2A">
      <w:pPr>
        <w:pStyle w:val="Report2"/>
        <w:rPr>
          <w:color w:val="FFFFFF" w:themeColor="background1"/>
          <w:sz w:val="32"/>
          <w:szCs w:val="32"/>
        </w:rPr>
      </w:pPr>
    </w:p>
    <w:p w14:paraId="5107FC89" w14:textId="77777777" w:rsidR="004C1722" w:rsidRPr="002F3A0B" w:rsidRDefault="004C1722" w:rsidP="00EC5C2A">
      <w:pPr>
        <w:pStyle w:val="Report2"/>
        <w:rPr>
          <w:color w:val="FFFFFF" w:themeColor="background1"/>
          <w:sz w:val="32"/>
          <w:szCs w:val="32"/>
        </w:rPr>
      </w:pPr>
    </w:p>
    <w:p w14:paraId="52F86A5E" w14:textId="6E1A2081" w:rsidR="00EC5C2A" w:rsidRDefault="000F76CD" w:rsidP="00EC5C2A">
      <w:pPr>
        <w:spacing w:before="480" w:after="0" w:line="760" w:lineRule="atLeast"/>
        <w:ind w:right="-1038"/>
        <w:rPr>
          <w:rFonts w:eastAsiaTheme="majorEastAsia"/>
          <w:b/>
          <w:bCs/>
          <w:noProof/>
          <w:color w:val="121F6B"/>
          <w:sz w:val="24"/>
          <w:lang w:eastAsia="en-AU"/>
        </w:rPr>
      </w:pPr>
      <w:r>
        <w:rPr>
          <w:rFonts w:eastAsiaTheme="majorEastAsia"/>
          <w:b/>
          <w:bCs/>
          <w:noProof/>
          <w:color w:val="121F6B"/>
          <w:sz w:val="24"/>
          <w:lang w:eastAsia="en-AU"/>
        </w:rPr>
        <w:t>October</w:t>
      </w:r>
      <w:r w:rsidR="00EC5C2A">
        <w:rPr>
          <w:rFonts w:eastAsiaTheme="majorEastAsia"/>
          <w:b/>
          <w:bCs/>
          <w:noProof/>
          <w:color w:val="121F6B"/>
          <w:sz w:val="24"/>
          <w:lang w:eastAsia="en-AU"/>
        </w:rPr>
        <w:t xml:space="preserve"> 2022</w:t>
      </w:r>
    </w:p>
    <w:p w14:paraId="1F158459" w14:textId="77777777" w:rsidR="00EC5C2A" w:rsidRPr="00662131" w:rsidRDefault="00EC5C2A" w:rsidP="00EC5C2A">
      <w:pPr>
        <w:spacing w:before="480" w:after="0" w:line="760" w:lineRule="atLeast"/>
        <w:ind w:right="-1038"/>
        <w:rPr>
          <w:rFonts w:ascii="Georgia" w:hAnsi="Georgia"/>
          <w:b/>
          <w:noProof/>
          <w:color w:val="121F6B"/>
          <w:sz w:val="56"/>
          <w:lang w:eastAsia="en-NZ"/>
        </w:rPr>
      </w:pPr>
      <w:r w:rsidRPr="00662131">
        <w:rPr>
          <w:rFonts w:ascii="Georgia" w:hAnsi="Georgia"/>
          <w:b/>
          <w:noProof/>
          <w:color w:val="121F6B"/>
          <w:sz w:val="56"/>
          <w:lang w:eastAsia="en-NZ"/>
        </w:rPr>
        <w:br w:type="page"/>
      </w:r>
    </w:p>
    <w:p w14:paraId="086A9B4D" w14:textId="77777777" w:rsidR="00EC5C2A" w:rsidRPr="000874C9" w:rsidRDefault="00EC5C2A" w:rsidP="00EC5C2A">
      <w:pPr>
        <w:spacing w:before="6840"/>
        <w:rPr>
          <w:b/>
          <w:sz w:val="24"/>
          <w:szCs w:val="24"/>
        </w:rPr>
      </w:pPr>
      <w:r w:rsidRPr="000874C9">
        <w:rPr>
          <w:b/>
          <w:sz w:val="24"/>
          <w:szCs w:val="24"/>
          <w:lang w:val="en-US"/>
        </w:rPr>
        <w:lastRenderedPageBreak/>
        <w:t>Authors</w:t>
      </w:r>
    </w:p>
    <w:p w14:paraId="7CD4815B" w14:textId="49DE16F9" w:rsidR="00EC5C2A" w:rsidRDefault="00EC5C2A" w:rsidP="00EC5C2A">
      <w:r>
        <w:rPr>
          <w:iCs/>
        </w:rPr>
        <w:t xml:space="preserve">Lars Arnesen, </w:t>
      </w:r>
      <w:r w:rsidR="004C1722">
        <w:rPr>
          <w:iCs/>
        </w:rPr>
        <w:t xml:space="preserve">Senior </w:t>
      </w:r>
      <w:r>
        <w:rPr>
          <w:iCs/>
        </w:rPr>
        <w:t>Analyst</w:t>
      </w:r>
      <w:r w:rsidR="00D104C1">
        <w:rPr>
          <w:iCs/>
        </w:rPr>
        <w:t xml:space="preserve">, </w:t>
      </w:r>
      <w:r>
        <w:rPr>
          <w:iCs/>
        </w:rPr>
        <w:t>Research and Evaluation</w:t>
      </w:r>
      <w:r w:rsidRPr="00CC5848">
        <w:t>, Ministry of Social Development</w:t>
      </w:r>
    </w:p>
    <w:p w14:paraId="3E63CBDB" w14:textId="77777777" w:rsidR="00EC5C2A" w:rsidRPr="00CC5848" w:rsidRDefault="00EC5C2A" w:rsidP="00EC5C2A"/>
    <w:p w14:paraId="7F737C96" w14:textId="0384E200" w:rsidR="00EC5C2A" w:rsidRDefault="00EC5C2A" w:rsidP="00EC5C2A">
      <w:pPr>
        <w:rPr>
          <w:b/>
          <w:sz w:val="24"/>
          <w:szCs w:val="24"/>
          <w:lang w:val="en-US"/>
        </w:rPr>
      </w:pPr>
      <w:r w:rsidRPr="00CC5848">
        <w:rPr>
          <w:b/>
          <w:sz w:val="24"/>
          <w:szCs w:val="24"/>
          <w:lang w:val="en-US"/>
        </w:rPr>
        <w:t>Acknowledgements</w:t>
      </w:r>
    </w:p>
    <w:p w14:paraId="3ADB5127" w14:textId="113802BF" w:rsidR="00304BE0" w:rsidRDefault="00304BE0" w:rsidP="00304BE0">
      <w:pPr>
        <w:rPr>
          <w:lang w:val="en-US"/>
        </w:rPr>
      </w:pPr>
      <w:r>
        <w:rPr>
          <w:lang w:val="en-US"/>
        </w:rPr>
        <w:t xml:space="preserve">Thank you to Amanda Mainey for your help in putting this report together. Thank you to </w:t>
      </w:r>
      <w:r w:rsidR="00D104C1" w:rsidRPr="00D104C1">
        <w:rPr>
          <w:lang w:val="en-US"/>
        </w:rPr>
        <w:t xml:space="preserve">Telsa Edge, Sarah </w:t>
      </w:r>
      <w:proofErr w:type="gramStart"/>
      <w:r w:rsidR="00D104C1" w:rsidRPr="00D104C1">
        <w:rPr>
          <w:lang w:val="en-US"/>
        </w:rPr>
        <w:t>Graham</w:t>
      </w:r>
      <w:proofErr w:type="gramEnd"/>
      <w:r w:rsidR="00D104C1" w:rsidRPr="00D104C1">
        <w:rPr>
          <w:lang w:val="en-US"/>
        </w:rPr>
        <w:t xml:space="preserve"> and Hop Tran </w:t>
      </w:r>
      <w:r>
        <w:rPr>
          <w:lang w:val="en-US"/>
        </w:rPr>
        <w:t>for your peer review of this report. Additionally, thank you to all the other Ministry of Social Development colleagues and Here Toitū service staff that were involved in shaping this report, through your provision of data, input on sensemaking findings, draft reports, proofreading, and final document checks.</w:t>
      </w:r>
    </w:p>
    <w:p w14:paraId="61936E1C" w14:textId="77777777" w:rsidR="00EC5C2A" w:rsidRPr="00CC5848" w:rsidRDefault="00EC5C2A" w:rsidP="00EC5C2A">
      <w:pPr>
        <w:rPr>
          <w:lang w:val="en-US"/>
        </w:rPr>
      </w:pPr>
    </w:p>
    <w:p w14:paraId="12BE33A8" w14:textId="77777777" w:rsidR="00EC5C2A" w:rsidRPr="00CC5848" w:rsidRDefault="00EC5C2A" w:rsidP="00EC5C2A">
      <w:pPr>
        <w:rPr>
          <w:b/>
          <w:sz w:val="24"/>
          <w:szCs w:val="24"/>
          <w:lang w:val="en-US"/>
        </w:rPr>
      </w:pPr>
      <w:r w:rsidRPr="00CC5848">
        <w:rPr>
          <w:b/>
          <w:sz w:val="24"/>
          <w:szCs w:val="24"/>
          <w:lang w:val="en-US"/>
        </w:rPr>
        <w:t>Disclaimer</w:t>
      </w:r>
    </w:p>
    <w:p w14:paraId="5772A578" w14:textId="4AF7B21F" w:rsidR="00EC5C2A" w:rsidRDefault="00EC5C2A" w:rsidP="00EC5C2A">
      <w:pPr>
        <w:rPr>
          <w:iCs/>
        </w:rPr>
      </w:pPr>
      <w:r w:rsidRPr="00CC5848">
        <w:t xml:space="preserve">The views and interpretations in this report are those of the Research and Evaluation team and are not the official position of the Ministry of Social Development. </w:t>
      </w:r>
      <w:bookmarkStart w:id="0" w:name="_Toc386619898"/>
      <w:bookmarkStart w:id="1" w:name="_Toc402433422"/>
      <w:r>
        <w:rPr>
          <w:iCs/>
        </w:rPr>
        <w:t>Care has been taken to ensure that this data is as accurate as possible and that the findings are correct. However, due to the way the data has been collated, stored, and matched to MSD records, small inaccuracies may exist in the data, and subsequent findings. Therefore, findings may be subject to change.</w:t>
      </w:r>
    </w:p>
    <w:p w14:paraId="03E06682" w14:textId="12155D09" w:rsidR="00EC5C2A" w:rsidRDefault="002E18DD" w:rsidP="00EC5C2A">
      <w:pPr>
        <w:rPr>
          <w:iCs/>
        </w:rPr>
      </w:pPr>
      <w:r>
        <w:rPr>
          <w:iCs/>
        </w:rPr>
        <w:t xml:space="preserve">Data in this report has been aggregated and randomly rounded to protect the privacy of participants. Further information about how we keep data private can be found at: </w:t>
      </w:r>
      <w:hyperlink r:id="rId10" w:history="1">
        <w:r>
          <w:rPr>
            <w:rStyle w:val="Hyperlink"/>
          </w:rPr>
          <w:t>How we keep data private - Ministry of Social Development (msd.govt.nz)</w:t>
        </w:r>
      </w:hyperlink>
    </w:p>
    <w:p w14:paraId="58991F76" w14:textId="77777777" w:rsidR="002E18DD" w:rsidRDefault="002E18DD" w:rsidP="00EC5C2A">
      <w:pPr>
        <w:rPr>
          <w:iCs/>
        </w:rPr>
      </w:pPr>
    </w:p>
    <w:p w14:paraId="4830CB9D" w14:textId="77777777" w:rsidR="00EC5C2A" w:rsidRPr="00CC5848" w:rsidRDefault="00EC5C2A" w:rsidP="00EC5C2A">
      <w:pPr>
        <w:rPr>
          <w:b/>
          <w:sz w:val="24"/>
          <w:szCs w:val="24"/>
          <w:lang w:val="en-US"/>
        </w:rPr>
      </w:pPr>
      <w:r w:rsidRPr="00CC5848">
        <w:rPr>
          <w:b/>
          <w:sz w:val="24"/>
          <w:szCs w:val="24"/>
          <w:lang w:val="en-US"/>
        </w:rPr>
        <w:t>Published</w:t>
      </w:r>
    </w:p>
    <w:p w14:paraId="1300178F" w14:textId="77777777" w:rsidR="00EC5C2A" w:rsidRPr="00CC5848" w:rsidRDefault="00EC5C2A" w:rsidP="00EC5C2A">
      <w:pPr>
        <w:rPr>
          <w:lang w:val="en-US"/>
        </w:rPr>
      </w:pPr>
      <w:r w:rsidRPr="00CC5848">
        <w:rPr>
          <w:lang w:val="en-US"/>
        </w:rPr>
        <w:t>Ministry of Social Development</w:t>
      </w:r>
      <w:r w:rsidRPr="00CC5848">
        <w:rPr>
          <w:lang w:val="en-US"/>
        </w:rPr>
        <w:br/>
        <w:t>PO Box 1556</w:t>
      </w:r>
      <w:r w:rsidRPr="00CC5848">
        <w:rPr>
          <w:lang w:val="en-US"/>
        </w:rPr>
        <w:br/>
        <w:t>Wellington</w:t>
      </w:r>
      <w:r w:rsidRPr="00CC5848">
        <w:rPr>
          <w:lang w:val="en-US"/>
        </w:rPr>
        <w:br/>
        <w:t>www.msd.govt.nz</w:t>
      </w:r>
      <w:r>
        <w:rPr>
          <w:lang w:val="en-US"/>
        </w:rPr>
        <w:t>/insights</w:t>
      </w:r>
    </w:p>
    <w:p w14:paraId="05949468" w14:textId="64780EDF" w:rsidR="00EC5C2A" w:rsidRDefault="00792F49" w:rsidP="00EC5C2A">
      <w:pPr>
        <w:rPr>
          <w:lang w:val="en-US"/>
        </w:rPr>
      </w:pPr>
      <w:r w:rsidRPr="00792F49">
        <w:rPr>
          <w:lang w:val="en-US"/>
        </w:rPr>
        <w:t>June 2023</w:t>
      </w:r>
    </w:p>
    <w:p w14:paraId="76BC053E" w14:textId="77777777" w:rsidR="00EC5C2A" w:rsidRPr="00CC5848" w:rsidRDefault="00EC5C2A" w:rsidP="00EC5C2A">
      <w:pPr>
        <w:rPr>
          <w:lang w:val="en-US"/>
        </w:rPr>
      </w:pPr>
    </w:p>
    <w:p w14:paraId="300E09E3" w14:textId="77777777" w:rsidR="00EC5C2A" w:rsidRPr="00CC5848" w:rsidRDefault="00EC5C2A" w:rsidP="00EC5C2A">
      <w:pPr>
        <w:rPr>
          <w:b/>
          <w:sz w:val="24"/>
          <w:szCs w:val="24"/>
          <w:lang w:val="en-US"/>
        </w:rPr>
      </w:pPr>
      <w:r w:rsidRPr="00CC5848">
        <w:rPr>
          <w:b/>
          <w:sz w:val="24"/>
          <w:szCs w:val="24"/>
          <w:lang w:val="en-US"/>
        </w:rPr>
        <w:t xml:space="preserve">ISBN </w:t>
      </w:r>
    </w:p>
    <w:p w14:paraId="5E3A04D7" w14:textId="2E2EB781" w:rsidR="00EC5C2A" w:rsidRDefault="00792F49" w:rsidP="00792F49">
      <w:pPr>
        <w:rPr>
          <w:rFonts w:ascii="Georgia" w:eastAsiaTheme="majorEastAsia" w:hAnsi="Georgia" w:cstheme="majorBidi"/>
          <w:b/>
          <w:bCs/>
          <w:sz w:val="32"/>
          <w:szCs w:val="24"/>
          <w:lang w:val="en-US" w:eastAsia="ja-JP"/>
        </w:rPr>
      </w:pPr>
      <w:r>
        <w:rPr>
          <w:color w:val="000000"/>
          <w:lang w:eastAsia="en-NZ"/>
        </w:rPr>
        <w:t>978-1-99-110527-1</w:t>
      </w:r>
      <w:bookmarkEnd w:id="0"/>
      <w:bookmarkEnd w:id="1"/>
      <w:r w:rsidR="00EC5C2A">
        <w:rPr>
          <w:sz w:val="32"/>
          <w:szCs w:val="24"/>
        </w:rPr>
        <w:br w:type="page"/>
      </w:r>
    </w:p>
    <w:sdt>
      <w:sdtPr>
        <w:rPr>
          <w:rFonts w:ascii="Verdana" w:eastAsia="Calibri" w:hAnsi="Verdana" w:cs="Arial"/>
          <w:b w:val="0"/>
          <w:bCs w:val="0"/>
          <w:color w:val="auto"/>
          <w:sz w:val="20"/>
          <w:szCs w:val="22"/>
          <w:lang w:val="en-NZ" w:eastAsia="en-US"/>
        </w:rPr>
        <w:id w:val="1616479290"/>
        <w:docPartObj>
          <w:docPartGallery w:val="Table of Contents"/>
          <w:docPartUnique/>
        </w:docPartObj>
      </w:sdtPr>
      <w:sdtEndPr>
        <w:rPr>
          <w:noProof/>
        </w:rPr>
      </w:sdtEndPr>
      <w:sdtContent>
        <w:p w14:paraId="4DA747DF" w14:textId="2010662F" w:rsidR="00AC16A6" w:rsidRDefault="00AC16A6">
          <w:pPr>
            <w:pStyle w:val="TOCHeading"/>
          </w:pPr>
          <w:r>
            <w:t>Contents</w:t>
          </w:r>
        </w:p>
        <w:p w14:paraId="36D5F18C" w14:textId="1A4DE83F" w:rsidR="00D1282B" w:rsidRDefault="00AC16A6">
          <w:pPr>
            <w:pStyle w:val="TOC1"/>
            <w:tabs>
              <w:tab w:val="right" w:leader="dot" w:pos="9016"/>
            </w:tabs>
            <w:rPr>
              <w:rFonts w:asciiTheme="minorHAnsi" w:eastAsiaTheme="minorEastAsia" w:hAnsiTheme="minorHAnsi" w:cstheme="minorBidi"/>
              <w:noProof/>
              <w:sz w:val="22"/>
              <w:lang w:eastAsia="en-NZ"/>
            </w:rPr>
          </w:pPr>
          <w:r>
            <w:fldChar w:fldCharType="begin"/>
          </w:r>
          <w:r>
            <w:instrText xml:space="preserve"> TOC \o "1-1" \h \z \u </w:instrText>
          </w:r>
          <w:r>
            <w:fldChar w:fldCharType="separate"/>
          </w:r>
          <w:hyperlink w:anchor="_Toc114566734" w:history="1">
            <w:r w:rsidR="00D1282B" w:rsidRPr="0084691F">
              <w:rPr>
                <w:rStyle w:val="Hyperlink"/>
                <w:noProof/>
              </w:rPr>
              <w:t>Background to Here Toitū</w:t>
            </w:r>
            <w:r w:rsidR="00D1282B">
              <w:rPr>
                <w:noProof/>
                <w:webHidden/>
              </w:rPr>
              <w:tab/>
            </w:r>
            <w:r w:rsidR="00D1282B">
              <w:rPr>
                <w:noProof/>
                <w:webHidden/>
              </w:rPr>
              <w:fldChar w:fldCharType="begin"/>
            </w:r>
            <w:r w:rsidR="00D1282B">
              <w:rPr>
                <w:noProof/>
                <w:webHidden/>
              </w:rPr>
              <w:instrText xml:space="preserve"> PAGEREF _Toc114566734 \h </w:instrText>
            </w:r>
            <w:r w:rsidR="00D1282B">
              <w:rPr>
                <w:noProof/>
                <w:webHidden/>
              </w:rPr>
            </w:r>
            <w:r w:rsidR="00D1282B">
              <w:rPr>
                <w:noProof/>
                <w:webHidden/>
              </w:rPr>
              <w:fldChar w:fldCharType="separate"/>
            </w:r>
            <w:r w:rsidR="00D1282B">
              <w:rPr>
                <w:noProof/>
                <w:webHidden/>
              </w:rPr>
              <w:t>4</w:t>
            </w:r>
            <w:r w:rsidR="00D1282B">
              <w:rPr>
                <w:noProof/>
                <w:webHidden/>
              </w:rPr>
              <w:fldChar w:fldCharType="end"/>
            </w:r>
          </w:hyperlink>
        </w:p>
        <w:p w14:paraId="48A05376" w14:textId="14C18F59" w:rsidR="00D1282B" w:rsidRDefault="00C10E25">
          <w:pPr>
            <w:pStyle w:val="TOC1"/>
            <w:tabs>
              <w:tab w:val="right" w:leader="dot" w:pos="9016"/>
            </w:tabs>
            <w:rPr>
              <w:rFonts w:asciiTheme="minorHAnsi" w:eastAsiaTheme="minorEastAsia" w:hAnsiTheme="minorHAnsi" w:cstheme="minorBidi"/>
              <w:noProof/>
              <w:sz w:val="22"/>
              <w:lang w:eastAsia="en-NZ"/>
            </w:rPr>
          </w:pPr>
          <w:hyperlink w:anchor="_Toc114566735" w:history="1">
            <w:r w:rsidR="00D1282B" w:rsidRPr="0084691F">
              <w:rPr>
                <w:rStyle w:val="Hyperlink"/>
                <w:noProof/>
              </w:rPr>
              <w:t>Key findings from this report</w:t>
            </w:r>
            <w:r w:rsidR="00D1282B">
              <w:rPr>
                <w:noProof/>
                <w:webHidden/>
              </w:rPr>
              <w:tab/>
            </w:r>
            <w:r w:rsidR="00D1282B">
              <w:rPr>
                <w:noProof/>
                <w:webHidden/>
              </w:rPr>
              <w:fldChar w:fldCharType="begin"/>
            </w:r>
            <w:r w:rsidR="00D1282B">
              <w:rPr>
                <w:noProof/>
                <w:webHidden/>
              </w:rPr>
              <w:instrText xml:space="preserve"> PAGEREF _Toc114566735 \h </w:instrText>
            </w:r>
            <w:r w:rsidR="00D1282B">
              <w:rPr>
                <w:noProof/>
                <w:webHidden/>
              </w:rPr>
            </w:r>
            <w:r w:rsidR="00D1282B">
              <w:rPr>
                <w:noProof/>
                <w:webHidden/>
              </w:rPr>
              <w:fldChar w:fldCharType="separate"/>
            </w:r>
            <w:r w:rsidR="00D1282B">
              <w:rPr>
                <w:noProof/>
                <w:webHidden/>
              </w:rPr>
              <w:t>5</w:t>
            </w:r>
            <w:r w:rsidR="00D1282B">
              <w:rPr>
                <w:noProof/>
                <w:webHidden/>
              </w:rPr>
              <w:fldChar w:fldCharType="end"/>
            </w:r>
          </w:hyperlink>
        </w:p>
        <w:p w14:paraId="49AEBA45" w14:textId="77F6F9EF" w:rsidR="00D1282B" w:rsidRDefault="00C10E25">
          <w:pPr>
            <w:pStyle w:val="TOC1"/>
            <w:tabs>
              <w:tab w:val="right" w:leader="dot" w:pos="9016"/>
            </w:tabs>
            <w:rPr>
              <w:rFonts w:asciiTheme="minorHAnsi" w:eastAsiaTheme="minorEastAsia" w:hAnsiTheme="minorHAnsi" w:cstheme="minorBidi"/>
              <w:noProof/>
              <w:sz w:val="22"/>
              <w:lang w:eastAsia="en-NZ"/>
            </w:rPr>
          </w:pPr>
          <w:hyperlink w:anchor="_Toc114566736" w:history="1">
            <w:r w:rsidR="00D1282B" w:rsidRPr="0084691F">
              <w:rPr>
                <w:rStyle w:val="Hyperlink"/>
                <w:noProof/>
              </w:rPr>
              <w:t>Are the intended MSD client groups being referred to, enrolled in, and retained in Here Toitū?</w:t>
            </w:r>
            <w:r w:rsidR="00D1282B">
              <w:rPr>
                <w:noProof/>
                <w:webHidden/>
              </w:rPr>
              <w:tab/>
            </w:r>
            <w:r w:rsidR="00D1282B">
              <w:rPr>
                <w:noProof/>
                <w:webHidden/>
              </w:rPr>
              <w:fldChar w:fldCharType="begin"/>
            </w:r>
            <w:r w:rsidR="00D1282B">
              <w:rPr>
                <w:noProof/>
                <w:webHidden/>
              </w:rPr>
              <w:instrText xml:space="preserve"> PAGEREF _Toc114566736 \h </w:instrText>
            </w:r>
            <w:r w:rsidR="00D1282B">
              <w:rPr>
                <w:noProof/>
                <w:webHidden/>
              </w:rPr>
            </w:r>
            <w:r w:rsidR="00D1282B">
              <w:rPr>
                <w:noProof/>
                <w:webHidden/>
              </w:rPr>
              <w:fldChar w:fldCharType="separate"/>
            </w:r>
            <w:r w:rsidR="00D1282B">
              <w:rPr>
                <w:noProof/>
                <w:webHidden/>
              </w:rPr>
              <w:t>8</w:t>
            </w:r>
            <w:r w:rsidR="00D1282B">
              <w:rPr>
                <w:noProof/>
                <w:webHidden/>
              </w:rPr>
              <w:fldChar w:fldCharType="end"/>
            </w:r>
          </w:hyperlink>
        </w:p>
        <w:p w14:paraId="4F2CD231" w14:textId="369F9C1C" w:rsidR="00D1282B" w:rsidRDefault="00C10E25">
          <w:pPr>
            <w:pStyle w:val="TOC1"/>
            <w:tabs>
              <w:tab w:val="right" w:leader="dot" w:pos="9016"/>
            </w:tabs>
            <w:rPr>
              <w:rFonts w:asciiTheme="minorHAnsi" w:eastAsiaTheme="minorEastAsia" w:hAnsiTheme="minorHAnsi" w:cstheme="minorBidi"/>
              <w:noProof/>
              <w:sz w:val="22"/>
              <w:lang w:eastAsia="en-NZ"/>
            </w:rPr>
          </w:pPr>
          <w:hyperlink w:anchor="_Toc114566737" w:history="1">
            <w:r w:rsidR="00D1282B" w:rsidRPr="0084691F">
              <w:rPr>
                <w:rStyle w:val="Hyperlink"/>
                <w:noProof/>
              </w:rPr>
              <w:t>To what extent have enrolled clients been assigned a dedicated support team or person?</w:t>
            </w:r>
            <w:r w:rsidR="00D1282B">
              <w:rPr>
                <w:noProof/>
                <w:webHidden/>
              </w:rPr>
              <w:tab/>
            </w:r>
            <w:r w:rsidR="00D1282B">
              <w:rPr>
                <w:noProof/>
                <w:webHidden/>
              </w:rPr>
              <w:fldChar w:fldCharType="begin"/>
            </w:r>
            <w:r w:rsidR="00D1282B">
              <w:rPr>
                <w:noProof/>
                <w:webHidden/>
              </w:rPr>
              <w:instrText xml:space="preserve"> PAGEREF _Toc114566737 \h </w:instrText>
            </w:r>
            <w:r w:rsidR="00D1282B">
              <w:rPr>
                <w:noProof/>
                <w:webHidden/>
              </w:rPr>
            </w:r>
            <w:r w:rsidR="00D1282B">
              <w:rPr>
                <w:noProof/>
                <w:webHidden/>
              </w:rPr>
              <w:fldChar w:fldCharType="separate"/>
            </w:r>
            <w:r w:rsidR="00D1282B">
              <w:rPr>
                <w:noProof/>
                <w:webHidden/>
              </w:rPr>
              <w:t>18</w:t>
            </w:r>
            <w:r w:rsidR="00D1282B">
              <w:rPr>
                <w:noProof/>
                <w:webHidden/>
              </w:rPr>
              <w:fldChar w:fldCharType="end"/>
            </w:r>
          </w:hyperlink>
        </w:p>
        <w:p w14:paraId="05887593" w14:textId="79D037CA" w:rsidR="00D1282B" w:rsidRDefault="00C10E25">
          <w:pPr>
            <w:pStyle w:val="TOC1"/>
            <w:tabs>
              <w:tab w:val="right" w:leader="dot" w:pos="9016"/>
            </w:tabs>
            <w:rPr>
              <w:rFonts w:asciiTheme="minorHAnsi" w:eastAsiaTheme="minorEastAsia" w:hAnsiTheme="minorHAnsi" w:cstheme="minorBidi"/>
              <w:noProof/>
              <w:sz w:val="22"/>
              <w:lang w:eastAsia="en-NZ"/>
            </w:rPr>
          </w:pPr>
          <w:hyperlink w:anchor="_Toc114566738" w:history="1">
            <w:r w:rsidR="00D1282B" w:rsidRPr="0084691F">
              <w:rPr>
                <w:rStyle w:val="Hyperlink"/>
                <w:noProof/>
              </w:rPr>
              <w:t>Are participants Wellbeing Action Plans being implemented?</w:t>
            </w:r>
            <w:r w:rsidR="00D1282B">
              <w:rPr>
                <w:noProof/>
                <w:webHidden/>
              </w:rPr>
              <w:tab/>
            </w:r>
            <w:r w:rsidR="00D1282B">
              <w:rPr>
                <w:noProof/>
                <w:webHidden/>
              </w:rPr>
              <w:fldChar w:fldCharType="begin"/>
            </w:r>
            <w:r w:rsidR="00D1282B">
              <w:rPr>
                <w:noProof/>
                <w:webHidden/>
              </w:rPr>
              <w:instrText xml:space="preserve"> PAGEREF _Toc114566738 \h </w:instrText>
            </w:r>
            <w:r w:rsidR="00D1282B">
              <w:rPr>
                <w:noProof/>
                <w:webHidden/>
              </w:rPr>
            </w:r>
            <w:r w:rsidR="00D1282B">
              <w:rPr>
                <w:noProof/>
                <w:webHidden/>
              </w:rPr>
              <w:fldChar w:fldCharType="separate"/>
            </w:r>
            <w:r w:rsidR="00D1282B">
              <w:rPr>
                <w:noProof/>
                <w:webHidden/>
              </w:rPr>
              <w:t>19</w:t>
            </w:r>
            <w:r w:rsidR="00D1282B">
              <w:rPr>
                <w:noProof/>
                <w:webHidden/>
              </w:rPr>
              <w:fldChar w:fldCharType="end"/>
            </w:r>
          </w:hyperlink>
        </w:p>
        <w:p w14:paraId="5F133EB9" w14:textId="7FD43EC3" w:rsidR="00D1282B" w:rsidRDefault="00C10E25">
          <w:pPr>
            <w:pStyle w:val="TOC1"/>
            <w:tabs>
              <w:tab w:val="right" w:leader="dot" w:pos="9016"/>
            </w:tabs>
            <w:rPr>
              <w:rFonts w:asciiTheme="minorHAnsi" w:eastAsiaTheme="minorEastAsia" w:hAnsiTheme="minorHAnsi" w:cstheme="minorBidi"/>
              <w:noProof/>
              <w:sz w:val="22"/>
              <w:lang w:eastAsia="en-NZ"/>
            </w:rPr>
          </w:pPr>
          <w:hyperlink w:anchor="_Toc114566739" w:history="1">
            <w:r w:rsidR="00D1282B" w:rsidRPr="0084691F">
              <w:rPr>
                <w:rStyle w:val="Hyperlink"/>
                <w:noProof/>
              </w:rPr>
              <w:t>Are participants experiencing improvements in their health and wellbeing while in Here Toitū?</w:t>
            </w:r>
            <w:r w:rsidR="00D1282B">
              <w:rPr>
                <w:noProof/>
                <w:webHidden/>
              </w:rPr>
              <w:tab/>
            </w:r>
            <w:r w:rsidR="00D1282B">
              <w:rPr>
                <w:noProof/>
                <w:webHidden/>
              </w:rPr>
              <w:fldChar w:fldCharType="begin"/>
            </w:r>
            <w:r w:rsidR="00D1282B">
              <w:rPr>
                <w:noProof/>
                <w:webHidden/>
              </w:rPr>
              <w:instrText xml:space="preserve"> PAGEREF _Toc114566739 \h </w:instrText>
            </w:r>
            <w:r w:rsidR="00D1282B">
              <w:rPr>
                <w:noProof/>
                <w:webHidden/>
              </w:rPr>
            </w:r>
            <w:r w:rsidR="00D1282B">
              <w:rPr>
                <w:noProof/>
                <w:webHidden/>
              </w:rPr>
              <w:fldChar w:fldCharType="separate"/>
            </w:r>
            <w:r w:rsidR="00D1282B">
              <w:rPr>
                <w:noProof/>
                <w:webHidden/>
              </w:rPr>
              <w:t>21</w:t>
            </w:r>
            <w:r w:rsidR="00D1282B">
              <w:rPr>
                <w:noProof/>
                <w:webHidden/>
              </w:rPr>
              <w:fldChar w:fldCharType="end"/>
            </w:r>
          </w:hyperlink>
        </w:p>
        <w:p w14:paraId="005A3380" w14:textId="4B0D2F84" w:rsidR="00D1282B" w:rsidRDefault="00C10E25">
          <w:pPr>
            <w:pStyle w:val="TOC1"/>
            <w:tabs>
              <w:tab w:val="right" w:leader="dot" w:pos="9016"/>
            </w:tabs>
            <w:rPr>
              <w:rFonts w:asciiTheme="minorHAnsi" w:eastAsiaTheme="minorEastAsia" w:hAnsiTheme="minorHAnsi" w:cstheme="minorBidi"/>
              <w:noProof/>
              <w:sz w:val="22"/>
              <w:lang w:eastAsia="en-NZ"/>
            </w:rPr>
          </w:pPr>
          <w:hyperlink w:anchor="_Toc114566740" w:history="1">
            <w:r w:rsidR="00D1282B" w:rsidRPr="0084691F">
              <w:rPr>
                <w:rStyle w:val="Hyperlink"/>
                <w:noProof/>
              </w:rPr>
              <w:t>Are clients experiencing improvements in work readiness?</w:t>
            </w:r>
            <w:r w:rsidR="00D1282B">
              <w:rPr>
                <w:noProof/>
                <w:webHidden/>
              </w:rPr>
              <w:tab/>
            </w:r>
            <w:r w:rsidR="00D1282B">
              <w:rPr>
                <w:noProof/>
                <w:webHidden/>
              </w:rPr>
              <w:fldChar w:fldCharType="begin"/>
            </w:r>
            <w:r w:rsidR="00D1282B">
              <w:rPr>
                <w:noProof/>
                <w:webHidden/>
              </w:rPr>
              <w:instrText xml:space="preserve"> PAGEREF _Toc114566740 \h </w:instrText>
            </w:r>
            <w:r w:rsidR="00D1282B">
              <w:rPr>
                <w:noProof/>
                <w:webHidden/>
              </w:rPr>
            </w:r>
            <w:r w:rsidR="00D1282B">
              <w:rPr>
                <w:noProof/>
                <w:webHidden/>
              </w:rPr>
              <w:fldChar w:fldCharType="separate"/>
            </w:r>
            <w:r w:rsidR="00D1282B">
              <w:rPr>
                <w:noProof/>
                <w:webHidden/>
              </w:rPr>
              <w:t>24</w:t>
            </w:r>
            <w:r w:rsidR="00D1282B">
              <w:rPr>
                <w:noProof/>
                <w:webHidden/>
              </w:rPr>
              <w:fldChar w:fldCharType="end"/>
            </w:r>
          </w:hyperlink>
        </w:p>
        <w:p w14:paraId="1F766562" w14:textId="660EC988" w:rsidR="00D1282B" w:rsidRDefault="00C10E25">
          <w:pPr>
            <w:pStyle w:val="TOC1"/>
            <w:tabs>
              <w:tab w:val="right" w:leader="dot" w:pos="9016"/>
            </w:tabs>
            <w:rPr>
              <w:rFonts w:asciiTheme="minorHAnsi" w:eastAsiaTheme="minorEastAsia" w:hAnsiTheme="minorHAnsi" w:cstheme="minorBidi"/>
              <w:noProof/>
              <w:sz w:val="22"/>
              <w:lang w:eastAsia="en-NZ"/>
            </w:rPr>
          </w:pPr>
          <w:hyperlink w:anchor="_Toc114566741" w:history="1">
            <w:r w:rsidR="00D1282B" w:rsidRPr="0084691F">
              <w:rPr>
                <w:rStyle w:val="Hyperlink"/>
                <w:noProof/>
              </w:rPr>
              <w:t>To what extent are clients entering employment (whether part-time or full-time) on exiting the programme and sustaining that employment over time?</w:t>
            </w:r>
            <w:r w:rsidR="00D1282B">
              <w:rPr>
                <w:noProof/>
                <w:webHidden/>
              </w:rPr>
              <w:tab/>
            </w:r>
            <w:r w:rsidR="00D1282B">
              <w:rPr>
                <w:noProof/>
                <w:webHidden/>
              </w:rPr>
              <w:fldChar w:fldCharType="begin"/>
            </w:r>
            <w:r w:rsidR="00D1282B">
              <w:rPr>
                <w:noProof/>
                <w:webHidden/>
              </w:rPr>
              <w:instrText xml:space="preserve"> PAGEREF _Toc114566741 \h </w:instrText>
            </w:r>
            <w:r w:rsidR="00D1282B">
              <w:rPr>
                <w:noProof/>
                <w:webHidden/>
              </w:rPr>
            </w:r>
            <w:r w:rsidR="00D1282B">
              <w:rPr>
                <w:noProof/>
                <w:webHidden/>
              </w:rPr>
              <w:fldChar w:fldCharType="separate"/>
            </w:r>
            <w:r w:rsidR="00D1282B">
              <w:rPr>
                <w:noProof/>
                <w:webHidden/>
              </w:rPr>
              <w:t>25</w:t>
            </w:r>
            <w:r w:rsidR="00D1282B">
              <w:rPr>
                <w:noProof/>
                <w:webHidden/>
              </w:rPr>
              <w:fldChar w:fldCharType="end"/>
            </w:r>
          </w:hyperlink>
        </w:p>
        <w:p w14:paraId="257D1B18" w14:textId="1C1C16B4" w:rsidR="00AC16A6" w:rsidRDefault="00AC16A6">
          <w:r>
            <w:fldChar w:fldCharType="end"/>
          </w:r>
        </w:p>
      </w:sdtContent>
    </w:sdt>
    <w:p w14:paraId="2BC4EC79" w14:textId="26154DE7" w:rsidR="003E0279" w:rsidRDefault="003E0279" w:rsidP="00F113EF"/>
    <w:p w14:paraId="67EB5EFB" w14:textId="574D4728" w:rsidR="008B24CC" w:rsidRDefault="008B24CC" w:rsidP="00F113EF"/>
    <w:p w14:paraId="4AAFAFA8" w14:textId="50F2AFF9" w:rsidR="0030283C" w:rsidRDefault="0030283C" w:rsidP="00F113EF"/>
    <w:p w14:paraId="0955CB89" w14:textId="3B6E05B6" w:rsidR="0030283C" w:rsidRDefault="0030283C" w:rsidP="00F113EF"/>
    <w:p w14:paraId="06DDE0C7" w14:textId="0904D49D" w:rsidR="0030283C" w:rsidRDefault="0030283C" w:rsidP="00F113EF"/>
    <w:p w14:paraId="195D45DB" w14:textId="2A4DAC97" w:rsidR="0030283C" w:rsidRDefault="0030283C" w:rsidP="00F113EF"/>
    <w:p w14:paraId="00E2E205" w14:textId="1B058008" w:rsidR="0030283C" w:rsidRDefault="0030283C" w:rsidP="00F113EF"/>
    <w:p w14:paraId="3D0D7ECF" w14:textId="49C6B09D" w:rsidR="0030283C" w:rsidRDefault="0030283C" w:rsidP="00F113EF"/>
    <w:p w14:paraId="66725E49" w14:textId="4C97FBE6" w:rsidR="0030283C" w:rsidRDefault="0030283C" w:rsidP="00F113EF"/>
    <w:p w14:paraId="7DA7772D" w14:textId="1C93E446" w:rsidR="0030283C" w:rsidRDefault="0030283C" w:rsidP="00F113EF"/>
    <w:p w14:paraId="70A90CB2" w14:textId="2058FC81" w:rsidR="0030283C" w:rsidRDefault="0030283C" w:rsidP="00F113EF"/>
    <w:p w14:paraId="10DBB3D0" w14:textId="578DE8F6" w:rsidR="0030283C" w:rsidRDefault="0030283C" w:rsidP="00F113EF"/>
    <w:p w14:paraId="7A2EFA42" w14:textId="7743AE75" w:rsidR="0030283C" w:rsidRDefault="0030283C" w:rsidP="00F113EF"/>
    <w:p w14:paraId="7A88C1B3" w14:textId="6B7BF253" w:rsidR="0030283C" w:rsidRDefault="0030283C" w:rsidP="00F113EF"/>
    <w:p w14:paraId="0D0C5590" w14:textId="2D3B2F15" w:rsidR="0030283C" w:rsidRDefault="0030283C" w:rsidP="00F113EF"/>
    <w:p w14:paraId="528A1431" w14:textId="1635744B" w:rsidR="0030283C" w:rsidRDefault="0030283C" w:rsidP="00F113EF"/>
    <w:p w14:paraId="1BBB2895" w14:textId="76108C9B" w:rsidR="0030283C" w:rsidRDefault="0030283C" w:rsidP="00F113EF"/>
    <w:p w14:paraId="73EF0427" w14:textId="337F3119" w:rsidR="0030283C" w:rsidRDefault="0030283C" w:rsidP="00F113EF"/>
    <w:p w14:paraId="318B5956" w14:textId="49EEF622" w:rsidR="0030283C" w:rsidRDefault="0030283C" w:rsidP="00F113EF"/>
    <w:p w14:paraId="289C7983" w14:textId="7B854055" w:rsidR="00EC5C2A" w:rsidRDefault="00EC5C2A" w:rsidP="00EC5C2A">
      <w:pPr>
        <w:pStyle w:val="Heading1"/>
      </w:pPr>
      <w:bookmarkStart w:id="2" w:name="_Toc114566734"/>
      <w:r>
        <w:lastRenderedPageBreak/>
        <w:t xml:space="preserve">Background to </w:t>
      </w:r>
      <w:r w:rsidR="004C1722">
        <w:t xml:space="preserve">Here </w:t>
      </w:r>
      <w:r w:rsidR="00304BE0">
        <w:t>Toitū</w:t>
      </w:r>
      <w:bookmarkEnd w:id="2"/>
    </w:p>
    <w:p w14:paraId="7EA1A040" w14:textId="3A39CCD9" w:rsidR="004C1722" w:rsidRPr="00C530AC" w:rsidRDefault="004C1722" w:rsidP="004C1722">
      <w:r w:rsidRPr="00C530AC">
        <w:t>The Ministry of Social Development (MSD) together with agencies from across the social, health and justice sectors jointly developed ‘Oranga Mahi’</w:t>
      </w:r>
      <w:r w:rsidR="00E12962">
        <w:t>. Oranga Mahi was designed to be</w:t>
      </w:r>
      <w:r w:rsidRPr="00C530AC">
        <w:t xml:space="preserve"> a new and innovative way of government working better together to deliver much needed change to the wellbeing of individuals, their families and communities. Here Toitū forms a part of the wider Oranga Mahi family of services.</w:t>
      </w:r>
    </w:p>
    <w:p w14:paraId="4DC0E816" w14:textId="77777777" w:rsidR="00E12962" w:rsidRDefault="004C1722" w:rsidP="004C1722">
      <w:r w:rsidRPr="00C530AC">
        <w:t xml:space="preserve">Here Toitū is a collaboration between MSD and the following Primary Health Organisations: </w:t>
      </w:r>
    </w:p>
    <w:p w14:paraId="7837D13F" w14:textId="4F4B6808" w:rsidR="00E12962" w:rsidRDefault="004C1722" w:rsidP="00E12962">
      <w:pPr>
        <w:pStyle w:val="ListParagraph"/>
        <w:numPr>
          <w:ilvl w:val="0"/>
          <w:numId w:val="46"/>
        </w:numPr>
      </w:pPr>
      <w:r w:rsidRPr="00C530AC">
        <w:t>ProCare Network Limited (Auckland)</w:t>
      </w:r>
    </w:p>
    <w:p w14:paraId="0DA07730" w14:textId="60092695" w:rsidR="00E12962" w:rsidRDefault="004C1722" w:rsidP="00E12962">
      <w:pPr>
        <w:pStyle w:val="ListParagraph"/>
        <w:numPr>
          <w:ilvl w:val="0"/>
          <w:numId w:val="46"/>
        </w:numPr>
      </w:pPr>
      <w:r w:rsidRPr="00C530AC">
        <w:t xml:space="preserve">Pegasus Health (Canterbury) </w:t>
      </w:r>
    </w:p>
    <w:p w14:paraId="12FC1FC3" w14:textId="77777777" w:rsidR="00E12962" w:rsidRDefault="004C1722" w:rsidP="00E12962">
      <w:pPr>
        <w:pStyle w:val="ListParagraph"/>
        <w:numPr>
          <w:ilvl w:val="0"/>
          <w:numId w:val="46"/>
        </w:numPr>
      </w:pPr>
      <w:r w:rsidRPr="00C530AC">
        <w:t>National Hauora Coalition (Auckland)</w:t>
      </w:r>
    </w:p>
    <w:p w14:paraId="198DA70C" w14:textId="5D7DF03E" w:rsidR="004C1722" w:rsidRPr="00C530AC" w:rsidRDefault="004C1722" w:rsidP="00E12962">
      <w:pPr>
        <w:pStyle w:val="ListParagraph"/>
        <w:numPr>
          <w:ilvl w:val="0"/>
          <w:numId w:val="46"/>
        </w:numPr>
      </w:pPr>
      <w:r w:rsidRPr="00C530AC">
        <w:t>THINK Hauora (MidCentral DHB region).</w:t>
      </w:r>
    </w:p>
    <w:p w14:paraId="6A4E2B22" w14:textId="0C38E9BA" w:rsidR="004C1722" w:rsidRDefault="004C1722" w:rsidP="004C1722">
      <w:r w:rsidRPr="00C530AC">
        <w:t>Here Toitū is a Dedicated Support Team service to support working aged wh</w:t>
      </w:r>
      <w:r w:rsidRPr="00C530AC">
        <w:rPr>
          <w:iCs/>
        </w:rPr>
        <w:t>ā</w:t>
      </w:r>
      <w:r w:rsidRPr="00C530AC">
        <w:t>nau on a benefit and living with a health condition or disability</w:t>
      </w:r>
      <w:r w:rsidR="00E12962">
        <w:t xml:space="preserve">. </w:t>
      </w:r>
      <w:r w:rsidR="00E12962" w:rsidRPr="00E12962">
        <w:t>This service seeks to improve whānau wellbeing and help whānau determine their own goals and aspirations and take steps towards engagement in a meaningful and sustainable earning, learning, or volunteering.</w:t>
      </w:r>
      <w:r w:rsidR="00E12962">
        <w:t xml:space="preserve"> Stated outcomes of </w:t>
      </w:r>
      <w:r w:rsidR="00E12962" w:rsidRPr="00E12962">
        <w:t>Here Toitū</w:t>
      </w:r>
      <w:r w:rsidR="00E12962">
        <w:t xml:space="preserve"> include improving:</w:t>
      </w:r>
    </w:p>
    <w:p w14:paraId="037ACFE3" w14:textId="77777777" w:rsidR="00E12962" w:rsidRDefault="00E12962" w:rsidP="00E12962">
      <w:pPr>
        <w:pStyle w:val="ListParagraph"/>
        <w:numPr>
          <w:ilvl w:val="0"/>
          <w:numId w:val="47"/>
        </w:numPr>
      </w:pPr>
      <w:r>
        <w:t>whānau wellbeing and ability to meaningfully participate in society</w:t>
      </w:r>
    </w:p>
    <w:p w14:paraId="1985FC2D" w14:textId="77777777" w:rsidR="00E12962" w:rsidRDefault="00E12962" w:rsidP="00E12962">
      <w:pPr>
        <w:pStyle w:val="ListParagraph"/>
        <w:numPr>
          <w:ilvl w:val="0"/>
          <w:numId w:val="47"/>
        </w:numPr>
      </w:pPr>
      <w:r>
        <w:t>equity of outcomes, particularly for Māori and Pacific peoples</w:t>
      </w:r>
    </w:p>
    <w:p w14:paraId="4428137A" w14:textId="77777777" w:rsidR="00E12962" w:rsidRDefault="00E12962" w:rsidP="00E12962">
      <w:pPr>
        <w:pStyle w:val="ListParagraph"/>
        <w:numPr>
          <w:ilvl w:val="0"/>
          <w:numId w:val="47"/>
        </w:numPr>
      </w:pPr>
      <w:r>
        <w:t>whānau readiness for work, including training and education</w:t>
      </w:r>
    </w:p>
    <w:p w14:paraId="5A2ADF3C" w14:textId="1425F360" w:rsidR="00E12962" w:rsidRPr="00C530AC" w:rsidRDefault="00E12962" w:rsidP="00E12962">
      <w:pPr>
        <w:pStyle w:val="ListParagraph"/>
        <w:numPr>
          <w:ilvl w:val="0"/>
          <w:numId w:val="47"/>
        </w:numPr>
      </w:pPr>
      <w:r>
        <w:t>whānau employment outcomes through sustainable work.</w:t>
      </w:r>
    </w:p>
    <w:p w14:paraId="53D9A4E5" w14:textId="0628FA2C" w:rsidR="004C1722" w:rsidRPr="00C530AC" w:rsidRDefault="004C1722" w:rsidP="004C1722">
      <w:r w:rsidRPr="00C530AC">
        <w:t xml:space="preserve">This analysis uses monitoring data </w:t>
      </w:r>
      <w:r w:rsidR="00E12962">
        <w:t xml:space="preserve">from </w:t>
      </w:r>
      <w:r>
        <w:t xml:space="preserve">the Here </w:t>
      </w:r>
      <w:r w:rsidR="00304BE0">
        <w:t>Toitū</w:t>
      </w:r>
      <w:r>
        <w:t xml:space="preserve"> providers</w:t>
      </w:r>
      <w:r w:rsidR="000F76CD">
        <w:t xml:space="preserve"> (</w:t>
      </w:r>
      <w:r w:rsidR="000F76CD" w:rsidRPr="000F76CD">
        <w:t>from November 2019 to the end of 2021</w:t>
      </w:r>
      <w:r w:rsidR="000F76CD">
        <w:t>)</w:t>
      </w:r>
      <w:r w:rsidRPr="00C530AC">
        <w:t xml:space="preserve">, supplemented with MSD administrative data, to help answer </w:t>
      </w:r>
      <w:r w:rsidR="00304BE0">
        <w:t>the following</w:t>
      </w:r>
      <w:r w:rsidRPr="00C530AC">
        <w:t xml:space="preserve"> evaluation questions:</w:t>
      </w:r>
    </w:p>
    <w:p w14:paraId="4526FC37" w14:textId="77777777" w:rsidR="00304BE0" w:rsidRPr="003E0279" w:rsidRDefault="00304BE0" w:rsidP="00304BE0">
      <w:pPr>
        <w:pStyle w:val="ListParagraph"/>
        <w:numPr>
          <w:ilvl w:val="0"/>
          <w:numId w:val="33"/>
        </w:numPr>
        <w:rPr>
          <w:iCs/>
        </w:rPr>
      </w:pPr>
      <w:r>
        <w:rPr>
          <w:rFonts w:eastAsia="Times New Roman"/>
          <w:iCs/>
          <w:szCs w:val="20"/>
        </w:rPr>
        <w:t>a</w:t>
      </w:r>
      <w:r w:rsidRPr="003E0279">
        <w:rPr>
          <w:rFonts w:eastAsia="Times New Roman"/>
          <w:iCs/>
          <w:szCs w:val="20"/>
        </w:rPr>
        <w:t>re the intended MSD client groups being referred to, enrolled in</w:t>
      </w:r>
      <w:r>
        <w:rPr>
          <w:rFonts w:eastAsia="Times New Roman"/>
          <w:iCs/>
          <w:szCs w:val="20"/>
        </w:rPr>
        <w:t>,</w:t>
      </w:r>
      <w:r w:rsidRPr="003E0279">
        <w:rPr>
          <w:rFonts w:eastAsia="Times New Roman"/>
          <w:iCs/>
          <w:szCs w:val="20"/>
        </w:rPr>
        <w:t xml:space="preserve"> and retained on the programme?</w:t>
      </w:r>
    </w:p>
    <w:p w14:paraId="2CBC0BE2" w14:textId="57929528" w:rsidR="00304BE0" w:rsidRPr="003E0279" w:rsidRDefault="00304BE0" w:rsidP="00A81B58">
      <w:pPr>
        <w:pStyle w:val="ListParagraph"/>
        <w:numPr>
          <w:ilvl w:val="0"/>
          <w:numId w:val="33"/>
        </w:numPr>
        <w:rPr>
          <w:iCs/>
        </w:rPr>
      </w:pPr>
      <w:r>
        <w:rPr>
          <w:rFonts w:eastAsia="Times New Roman"/>
          <w:iCs/>
          <w:szCs w:val="20"/>
        </w:rPr>
        <w:t>t</w:t>
      </w:r>
      <w:r w:rsidRPr="003E0279">
        <w:rPr>
          <w:rFonts w:eastAsia="Times New Roman"/>
          <w:iCs/>
          <w:szCs w:val="20"/>
        </w:rPr>
        <w:t xml:space="preserve">o what extent have </w:t>
      </w:r>
      <w:r>
        <w:rPr>
          <w:rFonts w:eastAsia="Times New Roman"/>
          <w:iCs/>
          <w:szCs w:val="20"/>
        </w:rPr>
        <w:t>participants</w:t>
      </w:r>
      <w:r w:rsidRPr="003E0279">
        <w:rPr>
          <w:rFonts w:eastAsia="Times New Roman"/>
          <w:iCs/>
          <w:szCs w:val="20"/>
        </w:rPr>
        <w:t xml:space="preserve"> been assigned a dedicated support team or person?</w:t>
      </w:r>
    </w:p>
    <w:p w14:paraId="4520A2EF" w14:textId="1683609D" w:rsidR="00304BE0" w:rsidRPr="003E0279" w:rsidRDefault="00A81B58" w:rsidP="00304BE0">
      <w:pPr>
        <w:pStyle w:val="ListParagraph"/>
        <w:numPr>
          <w:ilvl w:val="0"/>
          <w:numId w:val="33"/>
        </w:numPr>
        <w:rPr>
          <w:iCs/>
        </w:rPr>
      </w:pPr>
      <w:r>
        <w:rPr>
          <w:rFonts w:eastAsia="Times New Roman"/>
          <w:iCs/>
          <w:szCs w:val="20"/>
        </w:rPr>
        <w:t>a</w:t>
      </w:r>
      <w:r w:rsidRPr="00A81B58">
        <w:rPr>
          <w:rFonts w:eastAsia="Times New Roman"/>
          <w:iCs/>
          <w:szCs w:val="20"/>
        </w:rPr>
        <w:t>re participants</w:t>
      </w:r>
      <w:r w:rsidR="004C2ED1">
        <w:rPr>
          <w:rFonts w:eastAsia="Times New Roman"/>
          <w:iCs/>
          <w:szCs w:val="20"/>
        </w:rPr>
        <w:t>’</w:t>
      </w:r>
      <w:r w:rsidRPr="00A81B58">
        <w:rPr>
          <w:rFonts w:eastAsia="Times New Roman"/>
          <w:iCs/>
          <w:szCs w:val="20"/>
        </w:rPr>
        <w:t xml:space="preserve"> Wellbeing Action Plans being implemented?</w:t>
      </w:r>
    </w:p>
    <w:p w14:paraId="10178FC2" w14:textId="77777777" w:rsidR="00304BE0" w:rsidRPr="003E0279" w:rsidRDefault="00304BE0" w:rsidP="00304BE0">
      <w:pPr>
        <w:pStyle w:val="ListParagraph"/>
        <w:numPr>
          <w:ilvl w:val="0"/>
          <w:numId w:val="33"/>
        </w:numPr>
        <w:rPr>
          <w:iCs/>
        </w:rPr>
      </w:pPr>
      <w:r>
        <w:rPr>
          <w:rFonts w:eastAsia="Times New Roman"/>
          <w:iCs/>
          <w:szCs w:val="20"/>
        </w:rPr>
        <w:t>a</w:t>
      </w:r>
      <w:r w:rsidRPr="003E0279">
        <w:rPr>
          <w:rFonts w:eastAsia="Times New Roman"/>
          <w:iCs/>
          <w:szCs w:val="20"/>
        </w:rPr>
        <w:t xml:space="preserve">re </w:t>
      </w:r>
      <w:r>
        <w:rPr>
          <w:rFonts w:eastAsia="Times New Roman"/>
          <w:iCs/>
          <w:szCs w:val="20"/>
        </w:rPr>
        <w:t>participants</w:t>
      </w:r>
      <w:r w:rsidRPr="003E0279">
        <w:rPr>
          <w:rFonts w:eastAsia="Times New Roman"/>
          <w:iCs/>
          <w:szCs w:val="20"/>
        </w:rPr>
        <w:t xml:space="preserve"> experiencing improvements in their health and wellbeing while participating in the programme?</w:t>
      </w:r>
    </w:p>
    <w:p w14:paraId="72F2AC49" w14:textId="77777777" w:rsidR="00304BE0" w:rsidRPr="0030283C" w:rsidRDefault="00304BE0" w:rsidP="00304BE0">
      <w:pPr>
        <w:pStyle w:val="ListParagraph"/>
        <w:numPr>
          <w:ilvl w:val="0"/>
          <w:numId w:val="33"/>
        </w:numPr>
        <w:rPr>
          <w:iCs/>
        </w:rPr>
      </w:pPr>
      <w:r>
        <w:rPr>
          <w:rFonts w:eastAsia="Times New Roman"/>
          <w:iCs/>
          <w:szCs w:val="20"/>
        </w:rPr>
        <w:t>a</w:t>
      </w:r>
      <w:r w:rsidRPr="003E0279">
        <w:rPr>
          <w:rFonts w:eastAsia="Times New Roman"/>
          <w:iCs/>
          <w:szCs w:val="20"/>
        </w:rPr>
        <w:t xml:space="preserve">re </w:t>
      </w:r>
      <w:r>
        <w:rPr>
          <w:rFonts w:eastAsia="Times New Roman"/>
          <w:iCs/>
          <w:szCs w:val="20"/>
        </w:rPr>
        <w:t>participants</w:t>
      </w:r>
      <w:r w:rsidRPr="003E0279">
        <w:rPr>
          <w:rFonts w:eastAsia="Times New Roman"/>
          <w:iCs/>
          <w:szCs w:val="20"/>
        </w:rPr>
        <w:t xml:space="preserve"> experiencing improvements in work readiness?</w:t>
      </w:r>
    </w:p>
    <w:p w14:paraId="6D31DC33" w14:textId="77777777" w:rsidR="004C1722" w:rsidRPr="00C530AC" w:rsidRDefault="004C1722" w:rsidP="004C1722">
      <w:pPr>
        <w:pStyle w:val="ListParagraph"/>
        <w:numPr>
          <w:ilvl w:val="0"/>
          <w:numId w:val="33"/>
        </w:numPr>
        <w:rPr>
          <w:iCs/>
        </w:rPr>
      </w:pPr>
      <w:r w:rsidRPr="00C530AC">
        <w:rPr>
          <w:rFonts w:eastAsia="Times New Roman"/>
          <w:iCs/>
          <w:szCs w:val="20"/>
        </w:rPr>
        <w:t>to what extent are clients entering employment (whether part-time or full-time) on exiting the programme and sustaining that employment over time?</w:t>
      </w:r>
    </w:p>
    <w:p w14:paraId="18FF9531" w14:textId="577DBC70" w:rsidR="00304BE0" w:rsidRDefault="00304BE0" w:rsidP="00304BE0">
      <w:r>
        <w:t xml:space="preserve">Additionally, findings from the qualitative evaluation of </w:t>
      </w:r>
      <w:r w:rsidRPr="00C530AC">
        <w:t xml:space="preserve">Here Toitū </w:t>
      </w:r>
      <w:r>
        <w:t>(published alongside this report</w:t>
      </w:r>
      <w:r w:rsidR="00792F49">
        <w:rPr>
          <w:rFonts w:ascii="National-Bold" w:hAnsi="National-Bold" w:cs="National-Bold"/>
          <w:b/>
          <w:bCs/>
          <w:sz w:val="24"/>
          <w:szCs w:val="24"/>
        </w:rPr>
        <w:t xml:space="preserve"> </w:t>
      </w:r>
      <w:hyperlink r:id="rId11" w:history="1">
        <w:r w:rsidR="00792F49">
          <w:rPr>
            <w:rStyle w:val="Hyperlink"/>
            <w:rFonts w:ascii="National-Bold" w:hAnsi="National-Bold" w:cs="National-Bold"/>
            <w:b/>
            <w:bCs/>
            <w:sz w:val="24"/>
            <w:szCs w:val="24"/>
          </w:rPr>
          <w:t>here</w:t>
        </w:r>
      </w:hyperlink>
      <w:r>
        <w:t>) may help to provide context to some of the findings covered here.</w:t>
      </w:r>
    </w:p>
    <w:p w14:paraId="1EAF8020" w14:textId="16437906" w:rsidR="00EC5C2A" w:rsidRDefault="00EC5C2A" w:rsidP="00F113EF"/>
    <w:p w14:paraId="35869D7E" w14:textId="0854BB1A" w:rsidR="00EC5C2A" w:rsidRDefault="00EC5C2A" w:rsidP="00F113EF"/>
    <w:p w14:paraId="359A7D22" w14:textId="02BF4D09" w:rsidR="00EC5C2A" w:rsidRDefault="00EC5C2A" w:rsidP="00F113EF"/>
    <w:p w14:paraId="7FFAF0E9" w14:textId="58F92603" w:rsidR="00EC5C2A" w:rsidRDefault="00EC5C2A" w:rsidP="00F113EF"/>
    <w:p w14:paraId="69342C4F" w14:textId="1194D022" w:rsidR="00EC5C2A" w:rsidRDefault="00EC5C2A" w:rsidP="00F113EF"/>
    <w:p w14:paraId="467CF9F1" w14:textId="0926A52C" w:rsidR="007D663A" w:rsidRPr="00187EDD" w:rsidRDefault="007D663A" w:rsidP="00EC5C2A">
      <w:pPr>
        <w:pStyle w:val="Heading1"/>
      </w:pPr>
      <w:bookmarkStart w:id="3" w:name="_Toc114566735"/>
      <w:r w:rsidRPr="00187EDD">
        <w:lastRenderedPageBreak/>
        <w:t>Key findings</w:t>
      </w:r>
      <w:r w:rsidR="00C5644C">
        <w:t xml:space="preserve"> from this report</w:t>
      </w:r>
      <w:bookmarkEnd w:id="3"/>
    </w:p>
    <w:p w14:paraId="133F2E9C" w14:textId="77777777" w:rsidR="00C5644C" w:rsidRDefault="00C5644C" w:rsidP="00C5644C">
      <w:pPr>
        <w:pStyle w:val="Heading3"/>
      </w:pPr>
      <w:r>
        <w:t>Getting people enrolled into the Here Toitū service appears to be challenging.</w:t>
      </w:r>
    </w:p>
    <w:p w14:paraId="79EBD888" w14:textId="674FEB97" w:rsidR="00C5644C" w:rsidRDefault="00E12962" w:rsidP="00C5644C">
      <w:r>
        <w:t xml:space="preserve">Provider </w:t>
      </w:r>
      <w:r w:rsidR="00C5644C">
        <w:t>data showed that</w:t>
      </w:r>
      <w:r w:rsidR="000F76CD">
        <w:t xml:space="preserve"> of 1,167 referrals,</w:t>
      </w:r>
      <w:r w:rsidR="00C5644C">
        <w:t xml:space="preserve"> just over half of the people referred (612) did not end up participating in the Here Toitū service. The most common recorded reason for people not participating was because they were unable to be contacted (</w:t>
      </w:r>
      <w:r w:rsidR="00D24350">
        <w:t>43.1</w:t>
      </w:r>
      <w:r w:rsidR="00C5644C">
        <w:t xml:space="preserve"> percent, or 2</w:t>
      </w:r>
      <w:r w:rsidR="00D24350">
        <w:t>64</w:t>
      </w:r>
      <w:r w:rsidR="00C5644C">
        <w:t xml:space="preserve"> people). The remainder of those who did not participate either declined to do so or were declined by the Here Toitū service provider for various reasons. </w:t>
      </w:r>
    </w:p>
    <w:p w14:paraId="67DECCA5" w14:textId="77777777" w:rsidR="00C5644C" w:rsidRDefault="00C5644C" w:rsidP="00D1282B">
      <w:pPr>
        <w:spacing w:after="0"/>
      </w:pPr>
    </w:p>
    <w:p w14:paraId="695DBDDD" w14:textId="77777777" w:rsidR="00C5644C" w:rsidRDefault="00C5644C" w:rsidP="00C5644C">
      <w:pPr>
        <w:pStyle w:val="Heading3"/>
      </w:pPr>
      <w:r>
        <w:t>For those who do enrol, almost all participants have their non-MSD dedicated support teams established.</w:t>
      </w:r>
    </w:p>
    <w:p w14:paraId="4C49C504" w14:textId="3DC56096" w:rsidR="00C5644C" w:rsidRDefault="00C5644C" w:rsidP="00C5644C">
      <w:r w:rsidRPr="00133C1D">
        <w:t xml:space="preserve">An important feature of the Here </w:t>
      </w:r>
      <w:r w:rsidRPr="00941C9C">
        <w:rPr>
          <w:rStyle w:val="Heading4Char"/>
          <w:iCs/>
          <w:sz w:val="20"/>
          <w:szCs w:val="20"/>
        </w:rPr>
        <w:t>Toitū</w:t>
      </w:r>
      <w:r w:rsidRPr="00A64984">
        <w:rPr>
          <w:rStyle w:val="Heading4Char"/>
          <w:sz w:val="20"/>
          <w:szCs w:val="20"/>
        </w:rPr>
        <w:t xml:space="preserve"> </w:t>
      </w:r>
      <w:r w:rsidRPr="00133C1D">
        <w:t>service was the support team that should be placed around every participant. This included a Kaimanaaki (health navigator), a general practice team, and a Dedicated MSD Case Manager.</w:t>
      </w:r>
      <w:r w:rsidRPr="00133C1D">
        <w:rPr>
          <w:rStyle w:val="FootnoteReference"/>
        </w:rPr>
        <w:footnoteReference w:id="1"/>
      </w:r>
      <w:r>
        <w:t xml:space="preserve"> Our data showed that almost all participants had a </w:t>
      </w:r>
      <w:r w:rsidRPr="00133C1D">
        <w:t xml:space="preserve">Kaimanaaki </w:t>
      </w:r>
      <w:r>
        <w:t>and general practice team in place.</w:t>
      </w:r>
    </w:p>
    <w:p w14:paraId="45223C51" w14:textId="3475EA2C" w:rsidR="00D1282B" w:rsidRDefault="00D1282B" w:rsidP="00D1282B">
      <w:pPr>
        <w:spacing w:after="0"/>
      </w:pPr>
    </w:p>
    <w:p w14:paraId="2AA56C08" w14:textId="50F1839F" w:rsidR="00D1282B" w:rsidRDefault="00D1282B" w:rsidP="00D1282B">
      <w:pPr>
        <w:pStyle w:val="Heading3"/>
      </w:pPr>
      <w:bookmarkStart w:id="4" w:name="_Hlk114566478"/>
      <w:r>
        <w:t>Many participants also received support through referrals to external services, or Flexi-fund payments for goods and services.</w:t>
      </w:r>
    </w:p>
    <w:p w14:paraId="009B63B5" w14:textId="64C7AC9A" w:rsidR="00D1282B" w:rsidRDefault="00D1282B" w:rsidP="00D1282B">
      <w:r w:rsidRPr="00CB75BF">
        <w:t xml:space="preserve">Referrals to external services and Flexi-fund payments were two measurable indicators of whether a participant’s Wellbeing </w:t>
      </w:r>
      <w:r>
        <w:t xml:space="preserve">Action </w:t>
      </w:r>
      <w:r w:rsidRPr="00CB75BF">
        <w:t>Plan was being implemented</w:t>
      </w:r>
      <w:r>
        <w:t xml:space="preserve"> once in </w:t>
      </w:r>
      <w:r w:rsidR="00E12962">
        <w:t xml:space="preserve">the </w:t>
      </w:r>
      <w:r>
        <w:t>service</w:t>
      </w:r>
      <w:r w:rsidRPr="00CB75BF">
        <w:t>.</w:t>
      </w:r>
      <w:r w:rsidRPr="00CB75BF">
        <w:rPr>
          <w:rStyle w:val="FootnoteReference"/>
        </w:rPr>
        <w:footnoteReference w:id="2"/>
      </w:r>
      <w:r w:rsidRPr="00CB75BF">
        <w:t xml:space="preserve"> Both were tools that recipients could use to make progress towards agreed wellbeing and employment goals set out in their plans. </w:t>
      </w:r>
    </w:p>
    <w:p w14:paraId="41FB5925" w14:textId="1B8B5B6D" w:rsidR="00D1282B" w:rsidRPr="00CB75BF" w:rsidRDefault="00E12962" w:rsidP="00D1282B">
      <w:r>
        <w:t>Provider</w:t>
      </w:r>
      <w:r w:rsidR="00D1282B">
        <w:t xml:space="preserve"> data showed that just </w:t>
      </w:r>
      <w:r w:rsidR="00D1282B" w:rsidRPr="00D1282B">
        <w:t>under 67 percent of participants</w:t>
      </w:r>
      <w:r w:rsidR="000F76CD">
        <w:t xml:space="preserve"> (306)</w:t>
      </w:r>
      <w:r w:rsidR="00D1282B" w:rsidRPr="00D1282B">
        <w:t xml:space="preserve"> had accessed external services, while just under 63 percent of participants</w:t>
      </w:r>
      <w:r w:rsidR="000F76CD">
        <w:t xml:space="preserve"> (288)</w:t>
      </w:r>
      <w:r w:rsidR="00D1282B" w:rsidRPr="00D1282B">
        <w:t xml:space="preserve"> had accessed goods or services through a Flexi-fund payment.</w:t>
      </w:r>
      <w:r w:rsidR="00D1282B">
        <w:t xml:space="preserve"> </w:t>
      </w:r>
      <w:r w:rsidRPr="006A70D8">
        <w:t>U</w:t>
      </w:r>
      <w:r w:rsidRPr="00E85828">
        <w:t xml:space="preserve">se of these tools </w:t>
      </w:r>
      <w:r w:rsidRPr="006A70D8">
        <w:t xml:space="preserve">is </w:t>
      </w:r>
      <w:r>
        <w:t xml:space="preserve">likely </w:t>
      </w:r>
      <w:r w:rsidRPr="006A70D8">
        <w:t>expected to increase as providers become more confident with them.</w:t>
      </w:r>
    </w:p>
    <w:bookmarkEnd w:id="4"/>
    <w:p w14:paraId="4517FC5A" w14:textId="77777777" w:rsidR="00C5644C" w:rsidRDefault="00C5644C" w:rsidP="00D1282B">
      <w:pPr>
        <w:spacing w:after="0"/>
      </w:pPr>
    </w:p>
    <w:p w14:paraId="4438D0A0" w14:textId="77777777" w:rsidR="00C5644C" w:rsidRDefault="00C5644C" w:rsidP="00C5644C">
      <w:pPr>
        <w:pStyle w:val="Heading3"/>
      </w:pPr>
      <w:r>
        <w:t>However, l</w:t>
      </w:r>
      <w:r w:rsidRPr="00941C9C">
        <w:t>ess than half of the participants who had exited the Here Toitū service had successfully completed the service</w:t>
      </w:r>
      <w:r>
        <w:t>.</w:t>
      </w:r>
    </w:p>
    <w:p w14:paraId="52A87259" w14:textId="2C7732D6" w:rsidR="00C5644C" w:rsidRDefault="00C5644C" w:rsidP="00C5644C">
      <w:r>
        <w:t>By successfully completing the service, a participant had either achieved their desired outcomes (such as getting into sustainable employment, improving their health and wellbeing, or enrolling in study), or had completed the maximum service duration</w:t>
      </w:r>
      <w:r w:rsidR="004C2ED1">
        <w:t xml:space="preserve"> (regardless of progress made)</w:t>
      </w:r>
      <w:r>
        <w:t xml:space="preserve">. </w:t>
      </w:r>
      <w:r w:rsidRPr="0009515A">
        <w:t xml:space="preserve">This is important from an intervention perspective, as </w:t>
      </w:r>
      <w:r>
        <w:t>the desired outcomes</w:t>
      </w:r>
      <w:r w:rsidRPr="0009515A">
        <w:t xml:space="preserve"> of Here Toitū are linked to </w:t>
      </w:r>
      <w:r>
        <w:t xml:space="preserve">the </w:t>
      </w:r>
      <w:r w:rsidRPr="0009515A">
        <w:t>successful completion of the service.</w:t>
      </w:r>
      <w:r>
        <w:t xml:space="preserve"> </w:t>
      </w:r>
    </w:p>
    <w:p w14:paraId="2337B393" w14:textId="77777777" w:rsidR="00C5644C" w:rsidRDefault="00C5644C" w:rsidP="00C5644C">
      <w:pPr>
        <w:rPr>
          <w:iCs/>
        </w:rPr>
      </w:pPr>
      <w:r w:rsidRPr="00133C1D">
        <w:t xml:space="preserve">In total, 231 participants had exited the </w:t>
      </w:r>
      <w:r>
        <w:t>Here Toitū</w:t>
      </w:r>
      <w:r w:rsidRPr="00133C1D">
        <w:t xml:space="preserve"> service by the end of 2021.</w:t>
      </w:r>
      <w:r w:rsidRPr="00133C1D">
        <w:rPr>
          <w:iCs/>
        </w:rPr>
        <w:t xml:space="preserve"> Of those who exited, just over 48 percent</w:t>
      </w:r>
      <w:r>
        <w:rPr>
          <w:iCs/>
        </w:rPr>
        <w:t xml:space="preserve"> (111)</w:t>
      </w:r>
      <w:r w:rsidRPr="00133C1D">
        <w:rPr>
          <w:iCs/>
        </w:rPr>
        <w:t xml:space="preserve"> had successfully completed the service</w:t>
      </w:r>
      <w:r>
        <w:rPr>
          <w:iCs/>
        </w:rPr>
        <w:t>, while the remainder recorded a non-successful exit for various reasons</w:t>
      </w:r>
      <w:r w:rsidRPr="00133C1D">
        <w:rPr>
          <w:iCs/>
        </w:rPr>
        <w:t xml:space="preserve">. </w:t>
      </w:r>
    </w:p>
    <w:p w14:paraId="73614E5A" w14:textId="77777777" w:rsidR="00C5644C" w:rsidRDefault="00C5644C" w:rsidP="00C5644C">
      <w:pPr>
        <w:pStyle w:val="Heading3"/>
      </w:pPr>
      <w:r>
        <w:lastRenderedPageBreak/>
        <w:t>P</w:t>
      </w:r>
      <w:r w:rsidRPr="00941C9C">
        <w:t xml:space="preserve">articipants with a mental health condition </w:t>
      </w:r>
      <w:r>
        <w:t xml:space="preserve">were less likely to </w:t>
      </w:r>
      <w:r w:rsidRPr="00941C9C">
        <w:t>successfully complete the</w:t>
      </w:r>
      <w:r>
        <w:t>ir time in the</w:t>
      </w:r>
      <w:r w:rsidRPr="00941C9C">
        <w:t xml:space="preserve"> Here Toitū service.</w:t>
      </w:r>
    </w:p>
    <w:p w14:paraId="7707D332" w14:textId="2F854860" w:rsidR="00C5644C" w:rsidRDefault="00C5644C" w:rsidP="00C5644C">
      <w:bookmarkStart w:id="5" w:name="_Hlk130381823"/>
      <w:r w:rsidRPr="00133C1D">
        <w:t>Just under 37 percent of participants</w:t>
      </w:r>
      <w:r w:rsidR="00577E0E">
        <w:t xml:space="preserve"> (42)</w:t>
      </w:r>
      <w:r w:rsidRPr="00133C1D">
        <w:t xml:space="preserve"> with a recorded mental health condition on their MSD medical certificate as at enrolment completed the service, compared to </w:t>
      </w:r>
      <w:r w:rsidR="00164412">
        <w:t>just under 59</w:t>
      </w:r>
      <w:r w:rsidRPr="00133C1D">
        <w:t xml:space="preserve"> percent</w:t>
      </w:r>
      <w:r w:rsidR="00164412">
        <w:t xml:space="preserve"> of participants that did not have a </w:t>
      </w:r>
      <w:r w:rsidR="00164412" w:rsidRPr="00164412">
        <w:t>recorded mental health condition on their MSD medical certificate as at enrolment</w:t>
      </w:r>
      <w:r w:rsidRPr="00133C1D">
        <w:t xml:space="preserve"> </w:t>
      </w:r>
      <w:r w:rsidR="00577E0E">
        <w:t>(</w:t>
      </w:r>
      <w:r w:rsidR="00164412">
        <w:t>69</w:t>
      </w:r>
      <w:r w:rsidR="00577E0E">
        <w:t>)</w:t>
      </w:r>
      <w:r w:rsidRPr="00133C1D">
        <w:t xml:space="preserve">. </w:t>
      </w:r>
    </w:p>
    <w:bookmarkEnd w:id="5"/>
    <w:p w14:paraId="023E12CA" w14:textId="77777777" w:rsidR="00C5644C" w:rsidRDefault="00C5644C" w:rsidP="00D1282B">
      <w:pPr>
        <w:spacing w:after="0"/>
        <w:rPr>
          <w:highlight w:val="yellow"/>
        </w:rPr>
      </w:pPr>
    </w:p>
    <w:p w14:paraId="226378F8" w14:textId="77777777" w:rsidR="00C5644C" w:rsidRDefault="00C5644C" w:rsidP="00C5644C">
      <w:pPr>
        <w:pStyle w:val="Heading3"/>
      </w:pPr>
      <w:r>
        <w:t>These findings suggest that more research needs to be done on understanding participant exits from Here Toitū.</w:t>
      </w:r>
    </w:p>
    <w:p w14:paraId="5D2494AA" w14:textId="3A5DB16E" w:rsidR="00C5644C" w:rsidRDefault="00C5644C" w:rsidP="00C5644C">
      <w:r>
        <w:t xml:space="preserve">Having less than half the participants record a successful exit suggests that there are elements of the Here Toitū service that are not working for participants, especially for participants with mental health conditions. Given that over half of enrolled participants had a </w:t>
      </w:r>
      <w:r w:rsidR="00577E0E">
        <w:t xml:space="preserve">recorded </w:t>
      </w:r>
      <w:r>
        <w:t>mental health condition at their time of enrolment, this means that the service may not be working as intended for a significant proportion of enrolled participants.</w:t>
      </w:r>
    </w:p>
    <w:p w14:paraId="5F68350B" w14:textId="77777777" w:rsidR="00C5644C" w:rsidRDefault="00C5644C" w:rsidP="00D1282B">
      <w:pPr>
        <w:spacing w:after="0"/>
      </w:pPr>
    </w:p>
    <w:p w14:paraId="3BC7C76E" w14:textId="0AE06A19" w:rsidR="00C5644C" w:rsidRDefault="00C5644C" w:rsidP="00C5644C">
      <w:pPr>
        <w:pStyle w:val="Heading3"/>
      </w:pPr>
      <w:r w:rsidRPr="00941C9C">
        <w:t>Nonetheless</w:t>
      </w:r>
      <w:r>
        <w:t xml:space="preserve">, most participants </w:t>
      </w:r>
      <w:r w:rsidRPr="00941C9C">
        <w:t>report</w:t>
      </w:r>
      <w:r>
        <w:t>ed</w:t>
      </w:r>
      <w:r w:rsidRPr="00941C9C">
        <w:t xml:space="preserve"> improved outcomes</w:t>
      </w:r>
      <w:r w:rsidR="00A73D46">
        <w:t xml:space="preserve"> in</w:t>
      </w:r>
      <w:r w:rsidRPr="00941C9C">
        <w:t xml:space="preserve"> </w:t>
      </w:r>
      <w:r>
        <w:t>several domains of wellbeing</w:t>
      </w:r>
      <w:r w:rsidRPr="00941C9C">
        <w:t xml:space="preserve"> (using self-reported W</w:t>
      </w:r>
      <w:r>
        <w:t>ellbeing</w:t>
      </w:r>
      <w:r w:rsidRPr="00941C9C">
        <w:t xml:space="preserve"> </w:t>
      </w:r>
      <w:r>
        <w:t>S</w:t>
      </w:r>
      <w:r w:rsidRPr="00941C9C">
        <w:t>tar data)</w:t>
      </w:r>
      <w:r>
        <w:t>.</w:t>
      </w:r>
    </w:p>
    <w:p w14:paraId="7A3A9808" w14:textId="77777777" w:rsidR="00C5644C" w:rsidRDefault="00C5644C" w:rsidP="00C5644C">
      <w:r>
        <w:t>One potential outcome of the Here Toitū service was that it would contribute to improved health and wellbeing for participants.</w:t>
      </w:r>
    </w:p>
    <w:p w14:paraId="34E75947" w14:textId="2821C84E" w:rsidR="00C5644C" w:rsidRDefault="00C5644C" w:rsidP="00C5644C">
      <w:r>
        <w:t>As part of measuring participants’ health and wellbeing, the Wellbeing Star tool was used to measure people’s wellbeing across eight categories, these being: “Your lifestyle”, “Looking after yourself”, “Managing symptoms”, “Work, volunteering, and other activities”, “Money”, “Where you live”, “Family and friends”, and “Feeling positive”.</w:t>
      </w:r>
      <w:r w:rsidR="007E07CD">
        <w:t xml:space="preserve"> </w:t>
      </w:r>
      <w:r w:rsidR="007E07CD" w:rsidRPr="007E07CD">
        <w:t>However, there are limitations to this analysis as we can neither construct a comparison group nor account for other life events which may have impact on wellbeing improvements over time.</w:t>
      </w:r>
    </w:p>
    <w:p w14:paraId="2A58C1B3" w14:textId="360E18FC" w:rsidR="00C5644C" w:rsidRDefault="00C5644C" w:rsidP="00C5644C">
      <w:r>
        <w:t xml:space="preserve">In the </w:t>
      </w:r>
      <w:r w:rsidRPr="006E57DB">
        <w:t xml:space="preserve">“Your </w:t>
      </w:r>
      <w:r>
        <w:t>l</w:t>
      </w:r>
      <w:r w:rsidRPr="006E57DB">
        <w:t xml:space="preserve">ifestyle”, “Managing </w:t>
      </w:r>
      <w:r>
        <w:t>s</w:t>
      </w:r>
      <w:r w:rsidRPr="006E57DB">
        <w:t xml:space="preserve">ymptoms”, “Work, </w:t>
      </w:r>
      <w:r>
        <w:t>v</w:t>
      </w:r>
      <w:r w:rsidRPr="006E57DB">
        <w:t xml:space="preserve">olunteering, </w:t>
      </w:r>
      <w:r>
        <w:t>and other</w:t>
      </w:r>
      <w:r w:rsidRPr="006E57DB">
        <w:t xml:space="preserve"> </w:t>
      </w:r>
      <w:r>
        <w:t>a</w:t>
      </w:r>
      <w:r w:rsidRPr="006E57DB">
        <w:t xml:space="preserve">ctivities” and “Feeling </w:t>
      </w:r>
      <w:r>
        <w:t>p</w:t>
      </w:r>
      <w:r w:rsidRPr="006E57DB">
        <w:t>ositive”</w:t>
      </w:r>
      <w:r>
        <w:t xml:space="preserve"> categories, </w:t>
      </w:r>
      <w:r w:rsidRPr="006E57DB">
        <w:t>most participants reported an improvement between first, second, and third (where applicable) Wellbeing Star entries</w:t>
      </w:r>
      <w:r>
        <w:t>. Additionally, for participants with at least three entries, most participants reported an improvement in the “Money” category as well.</w:t>
      </w:r>
    </w:p>
    <w:p w14:paraId="2A0BBFC1" w14:textId="77777777" w:rsidR="00C5644C" w:rsidRDefault="00C5644C" w:rsidP="00D1282B">
      <w:pPr>
        <w:spacing w:after="0"/>
      </w:pPr>
    </w:p>
    <w:p w14:paraId="1FC80CC8" w14:textId="77777777" w:rsidR="00C5644C" w:rsidRDefault="00C5644C" w:rsidP="00C5644C">
      <w:pPr>
        <w:pStyle w:val="Heading3"/>
      </w:pPr>
      <w:r w:rsidRPr="00941C9C">
        <w:t xml:space="preserve">Additionally, </w:t>
      </w:r>
      <w:r>
        <w:t>some</w:t>
      </w:r>
      <w:r w:rsidRPr="00941C9C">
        <w:t xml:space="preserve"> participants </w:t>
      </w:r>
      <w:r>
        <w:t>have recorded</w:t>
      </w:r>
      <w:r w:rsidRPr="00941C9C">
        <w:t xml:space="preserve"> work readiness and employment outcomes</w:t>
      </w:r>
      <w:r>
        <w:t>.</w:t>
      </w:r>
    </w:p>
    <w:p w14:paraId="6AD9518F" w14:textId="4AC639BF" w:rsidR="00C5644C" w:rsidRDefault="00577E0E" w:rsidP="00C5644C">
      <w:r>
        <w:t>The</w:t>
      </w:r>
      <w:r w:rsidR="00C5644C">
        <w:t xml:space="preserve"> </w:t>
      </w:r>
      <w:r w:rsidR="00C5644C" w:rsidRPr="00941C9C">
        <w:t>Here Toitū</w:t>
      </w:r>
      <w:r w:rsidR="00C5644C">
        <w:t xml:space="preserve"> service </w:t>
      </w:r>
      <w:r>
        <w:t>also</w:t>
      </w:r>
      <w:r w:rsidR="00C5644C">
        <w:t xml:space="preserve"> aimed to improve </w:t>
      </w:r>
      <w:r w:rsidR="00C5644C" w:rsidRPr="00941C9C">
        <w:t>participants</w:t>
      </w:r>
      <w:r w:rsidR="00C5644C">
        <w:t>’</w:t>
      </w:r>
      <w:r w:rsidR="00C5644C" w:rsidRPr="00941C9C">
        <w:t xml:space="preserve"> readiness for work</w:t>
      </w:r>
      <w:r w:rsidR="00C5644C">
        <w:t xml:space="preserve"> and provide employment outcomes for participants through finding and retaining sustainable work.</w:t>
      </w:r>
      <w:r w:rsidR="007E07CD">
        <w:t xml:space="preserve"> </w:t>
      </w:r>
      <w:r>
        <w:t>We</w:t>
      </w:r>
      <w:r w:rsidR="00C5644C" w:rsidRPr="0009515A">
        <w:t xml:space="preserve"> found that just under 27 percent of participants (123) had a work readiness outcome recorded.</w:t>
      </w:r>
      <w:r w:rsidR="00C5644C">
        <w:t xml:space="preserve"> We also found that j</w:t>
      </w:r>
      <w:r w:rsidR="00C5644C" w:rsidRPr="0009515A">
        <w:t>ust over 16 percent of participants (75) have had at least one employment outcome recorded.</w:t>
      </w:r>
      <w:r w:rsidR="00C5644C">
        <w:t xml:space="preserve"> Additionally, </w:t>
      </w:r>
      <w:r w:rsidR="00C5644C" w:rsidRPr="0009515A">
        <w:t xml:space="preserve">analysis </w:t>
      </w:r>
      <w:r w:rsidR="00C5644C">
        <w:t>of</w:t>
      </w:r>
      <w:r w:rsidR="00C5644C" w:rsidRPr="0009515A">
        <w:t xml:space="preserve"> participants who </w:t>
      </w:r>
      <w:r w:rsidR="00C5644C" w:rsidRPr="0009515A">
        <w:lastRenderedPageBreak/>
        <w:t xml:space="preserve">have been exited from Here Toitū for at least 12 months showed </w:t>
      </w:r>
      <w:r w:rsidR="00C5644C">
        <w:t>that around a quarter of these participants were not receiving a main benefit six to 12 months after their exit</w:t>
      </w:r>
      <w:r w:rsidR="00C5644C" w:rsidRPr="0009515A">
        <w:t>.</w:t>
      </w:r>
    </w:p>
    <w:p w14:paraId="31A23BB7" w14:textId="06CE04AF" w:rsidR="000C2845" w:rsidRDefault="000C2845" w:rsidP="00C5644C">
      <w:r w:rsidRPr="007E07CD">
        <w:t xml:space="preserve">However, there are limitations to this analysis as we can neither construct a comparison group nor account for other life events which may have impact on </w:t>
      </w:r>
      <w:r>
        <w:t>work readiness and employment outcomes</w:t>
      </w:r>
      <w:r w:rsidRPr="007E07CD">
        <w:t xml:space="preserve"> over time.</w:t>
      </w:r>
    </w:p>
    <w:p w14:paraId="577B9728" w14:textId="77777777" w:rsidR="00C5644C" w:rsidRPr="00E0211D" w:rsidRDefault="00C5644C" w:rsidP="00C5644C">
      <w:pPr>
        <w:pStyle w:val="Heading3"/>
      </w:pPr>
      <w:r w:rsidRPr="00E0211D">
        <w:t>We were unable to look at medium to long-term outcomes such as detailed employment</w:t>
      </w:r>
      <w:r>
        <w:t>,</w:t>
      </w:r>
      <w:r w:rsidRPr="00E0211D">
        <w:t xml:space="preserve"> income</w:t>
      </w:r>
      <w:r>
        <w:t>, education</w:t>
      </w:r>
      <w:r w:rsidRPr="00E0211D">
        <w:t>, or health outcomes as part of this analysis.</w:t>
      </w:r>
    </w:p>
    <w:p w14:paraId="3B62CA13" w14:textId="2E250DEE" w:rsidR="00C5644C" w:rsidRPr="002020C4" w:rsidRDefault="000C2845" w:rsidP="00C5644C">
      <w:r>
        <w:t>F</w:t>
      </w:r>
      <w:r w:rsidR="00C5644C" w:rsidRPr="00E0211D">
        <w:t xml:space="preserve">uture work using the Integrated Data Infrastructure </w:t>
      </w:r>
      <w:r w:rsidR="00C5644C">
        <w:t>will</w:t>
      </w:r>
      <w:r w:rsidR="00C5644C" w:rsidRPr="00E0211D">
        <w:t xml:space="preserve"> explore participants’ outcomes, after a longer follow-up period (preferably two to three years).</w:t>
      </w:r>
      <w:r w:rsidR="00C5644C">
        <w:t xml:space="preserve"> This analysis will help to provide detailed insight into the impact of the Here Toitū service on detailed employment, income, education, and health outcomes, which will help to determine whether the service is delivering its stated objectives. </w:t>
      </w:r>
    </w:p>
    <w:p w14:paraId="26A71D9E" w14:textId="5BE11A90" w:rsidR="00682146" w:rsidRDefault="00682146" w:rsidP="00682146"/>
    <w:p w14:paraId="65C4ED43" w14:textId="4ECF1335" w:rsidR="00D1282B" w:rsidRDefault="00D1282B" w:rsidP="00682146"/>
    <w:p w14:paraId="7920B95C" w14:textId="2BE840D9" w:rsidR="00D1282B" w:rsidRDefault="00D1282B" w:rsidP="00682146"/>
    <w:p w14:paraId="080C893F" w14:textId="02E51AF9" w:rsidR="00D1282B" w:rsidRDefault="00D1282B" w:rsidP="00682146"/>
    <w:p w14:paraId="2A487197" w14:textId="71DF8DCD" w:rsidR="00D1282B" w:rsidRDefault="00D1282B" w:rsidP="00682146"/>
    <w:p w14:paraId="284FF0DA" w14:textId="3DDBA9C0" w:rsidR="00D1282B" w:rsidRDefault="00D1282B" w:rsidP="00682146"/>
    <w:p w14:paraId="2F0BF6F4" w14:textId="293345B9" w:rsidR="00D1282B" w:rsidRDefault="00D1282B" w:rsidP="00682146"/>
    <w:p w14:paraId="2F0691B1" w14:textId="0F530E29" w:rsidR="00D1282B" w:rsidRDefault="00D1282B" w:rsidP="00682146"/>
    <w:p w14:paraId="0052F318" w14:textId="5E1AE69B" w:rsidR="00D1282B" w:rsidRDefault="00D1282B" w:rsidP="00682146"/>
    <w:p w14:paraId="490DAEB3" w14:textId="7702C53F" w:rsidR="00D1282B" w:rsidRDefault="00D1282B" w:rsidP="00682146"/>
    <w:p w14:paraId="40560C21" w14:textId="3EAAA31C" w:rsidR="00D1282B" w:rsidRDefault="00D1282B" w:rsidP="00682146"/>
    <w:p w14:paraId="33405020" w14:textId="2B6CB625" w:rsidR="00D1282B" w:rsidRDefault="00D1282B" w:rsidP="00682146"/>
    <w:p w14:paraId="049472CD" w14:textId="32671F66" w:rsidR="00D1282B" w:rsidRDefault="00D1282B" w:rsidP="00682146"/>
    <w:p w14:paraId="392C5F4D" w14:textId="39298F4E" w:rsidR="00D1282B" w:rsidRDefault="00D1282B" w:rsidP="00682146"/>
    <w:p w14:paraId="0A6B790F" w14:textId="16C39A54" w:rsidR="00D1282B" w:rsidRDefault="00D1282B" w:rsidP="00682146"/>
    <w:p w14:paraId="69045637" w14:textId="0ED07E88" w:rsidR="00D1282B" w:rsidRDefault="00D1282B" w:rsidP="00682146"/>
    <w:p w14:paraId="6F92EE36" w14:textId="123AE668" w:rsidR="00D1282B" w:rsidRDefault="00D1282B" w:rsidP="00682146"/>
    <w:p w14:paraId="78A5DC46" w14:textId="21F7DD59" w:rsidR="00D1282B" w:rsidRDefault="00D1282B" w:rsidP="00682146"/>
    <w:p w14:paraId="3CF36132" w14:textId="0D78B894" w:rsidR="00D1282B" w:rsidRDefault="00D1282B" w:rsidP="00682146"/>
    <w:p w14:paraId="6B4DB98A" w14:textId="4ABB4A5D" w:rsidR="00D1282B" w:rsidRDefault="00D1282B" w:rsidP="00682146"/>
    <w:p w14:paraId="0E20AD93" w14:textId="6D85BAFF" w:rsidR="00D1282B" w:rsidRDefault="00D1282B" w:rsidP="00682146"/>
    <w:p w14:paraId="3E63AC11" w14:textId="1C0B3BD5" w:rsidR="00D1282B" w:rsidRDefault="00D1282B" w:rsidP="00682146"/>
    <w:p w14:paraId="760309BB" w14:textId="77777777" w:rsidR="00D1282B" w:rsidRPr="00F113EF" w:rsidRDefault="00D1282B" w:rsidP="00682146"/>
    <w:p w14:paraId="0FBFB02E" w14:textId="2FAE134B" w:rsidR="008C47A8" w:rsidRDefault="008C47A8" w:rsidP="00EC5C2A">
      <w:pPr>
        <w:pStyle w:val="Heading1"/>
      </w:pPr>
      <w:bookmarkStart w:id="6" w:name="_Toc114566736"/>
      <w:r w:rsidRPr="00C42E0A">
        <w:lastRenderedPageBreak/>
        <w:t>Ar</w:t>
      </w:r>
      <w:r w:rsidR="003E0279">
        <w:t>e</w:t>
      </w:r>
      <w:r w:rsidRPr="00C42E0A">
        <w:t xml:space="preserve"> the intended MSD client groups being referred to, enrolled </w:t>
      </w:r>
      <w:r w:rsidR="003E0279" w:rsidRPr="00C42E0A">
        <w:t>in,</w:t>
      </w:r>
      <w:r w:rsidRPr="00C42E0A">
        <w:t xml:space="preserve"> and retained </w:t>
      </w:r>
      <w:r w:rsidR="00AC16A6">
        <w:t xml:space="preserve">in </w:t>
      </w:r>
      <w:r w:rsidR="001A60EB">
        <w:t xml:space="preserve">Here </w:t>
      </w:r>
      <w:r w:rsidR="00304BE0">
        <w:t>Toitū</w:t>
      </w:r>
      <w:r w:rsidR="00AC16A6">
        <w:t>?</w:t>
      </w:r>
      <w:bookmarkEnd w:id="6"/>
    </w:p>
    <w:p w14:paraId="63189174" w14:textId="6E982F79" w:rsidR="00BC6FBB" w:rsidRDefault="00BC6FBB" w:rsidP="00405D49">
      <w:r>
        <w:t>M</w:t>
      </w:r>
      <w:r w:rsidR="00926CB2">
        <w:t xml:space="preserve">ain </w:t>
      </w:r>
      <w:r w:rsidR="00405D49">
        <w:t xml:space="preserve">benefit recipients in </w:t>
      </w:r>
      <w:r w:rsidR="00572119">
        <w:t>Canterbury</w:t>
      </w:r>
      <w:r w:rsidR="001A60EB">
        <w:t xml:space="preserve"> (Pegasus Health), Auckland (ProCare Health and National Hauora Coalition), and the Central (THINK Hauora) </w:t>
      </w:r>
      <w:r w:rsidR="00572119">
        <w:t>MSD regions</w:t>
      </w:r>
      <w:r w:rsidR="00405D49">
        <w:t xml:space="preserve"> </w:t>
      </w:r>
      <w:r>
        <w:t>are</w:t>
      </w:r>
      <w:r w:rsidR="00405D49">
        <w:t xml:space="preserve"> eligible for the </w:t>
      </w:r>
      <w:r w:rsidR="001A60EB" w:rsidRPr="001A60EB">
        <w:t>Here Toitū</w:t>
      </w:r>
      <w:r w:rsidR="001A60EB">
        <w:t xml:space="preserve"> service </w:t>
      </w:r>
      <w:r w:rsidR="001A60EB" w:rsidRPr="001A60EB">
        <w:t xml:space="preserve">if they </w:t>
      </w:r>
      <w:r>
        <w:t>are</w:t>
      </w:r>
      <w:r w:rsidR="001A60EB" w:rsidRPr="001A60EB">
        <w:t xml:space="preserve"> receiving a medical work deferral (or about to be), </w:t>
      </w:r>
      <w:r>
        <w:t>are</w:t>
      </w:r>
      <w:r w:rsidR="001A60EB" w:rsidRPr="001A60EB">
        <w:t xml:space="preserve"> of working age (18 to 64 years old</w:t>
      </w:r>
      <w:r w:rsidRPr="001A60EB">
        <w:t>) and</w:t>
      </w:r>
      <w:r w:rsidR="001A60EB" w:rsidRPr="001A60EB">
        <w:t xml:space="preserve"> want to improve their wellbeing.</w:t>
      </w:r>
      <w:r w:rsidR="001A60EB">
        <w:t xml:space="preserve"> </w:t>
      </w:r>
    </w:p>
    <w:p w14:paraId="12A46706" w14:textId="1B97BEAE" w:rsidR="001A60EB" w:rsidRDefault="00BC6FBB" w:rsidP="00405D49">
      <w:r>
        <w:t>Here Toit</w:t>
      </w:r>
      <w:r w:rsidRPr="001A60EB">
        <w:t>ū</w:t>
      </w:r>
      <w:r>
        <w:t xml:space="preserve"> services</w:t>
      </w:r>
      <w:r w:rsidR="001A60EB">
        <w:t xml:space="preserve"> </w:t>
      </w:r>
      <w:r w:rsidR="00004829">
        <w:t>started</w:t>
      </w:r>
      <w:r w:rsidR="001A60EB">
        <w:t xml:space="preserve"> at different times in different regions. </w:t>
      </w:r>
      <w:r w:rsidR="001A60EB" w:rsidRPr="00BC6FBB">
        <w:t xml:space="preserve">Referrals to Pegasus Health began in </w:t>
      </w:r>
      <w:r w:rsidR="00304BE0" w:rsidRPr="00BC6FBB">
        <w:t>November</w:t>
      </w:r>
      <w:r w:rsidR="001A60EB" w:rsidRPr="00BC6FBB">
        <w:t xml:space="preserve"> 2019. This was followed by </w:t>
      </w:r>
      <w:r w:rsidR="00304BE0" w:rsidRPr="00BC6FBB">
        <w:t>ProCare Health in May</w:t>
      </w:r>
      <w:r w:rsidR="001A60EB" w:rsidRPr="00BC6FBB">
        <w:t xml:space="preserve"> 2020</w:t>
      </w:r>
      <w:r w:rsidR="00304BE0" w:rsidRPr="00BC6FBB">
        <w:t>,</w:t>
      </w:r>
      <w:r w:rsidR="00304BE0">
        <w:t xml:space="preserve"> National Hauora Coalition in August 2020, and THINK Hauora in June 2021.</w:t>
      </w:r>
    </w:p>
    <w:p w14:paraId="31A26E1A" w14:textId="549AE44D" w:rsidR="00405D49" w:rsidRDefault="004828EF" w:rsidP="00405D49">
      <w:r>
        <w:t xml:space="preserve">This analysis focuses on the period </w:t>
      </w:r>
      <w:r w:rsidR="00304BE0">
        <w:t>November</w:t>
      </w:r>
      <w:r>
        <w:t xml:space="preserve"> 2019 to the end of </w:t>
      </w:r>
      <w:r w:rsidR="001A60EB">
        <w:t>2021.</w:t>
      </w:r>
    </w:p>
    <w:p w14:paraId="78A6A25D" w14:textId="77777777" w:rsidR="006A2571" w:rsidRDefault="006A2571" w:rsidP="00405D49"/>
    <w:p w14:paraId="36D06779" w14:textId="1C64B168" w:rsidR="0030283C" w:rsidRPr="0030283C" w:rsidRDefault="00AE7C71" w:rsidP="00AC16A6">
      <w:pPr>
        <w:pStyle w:val="Heading3"/>
      </w:pPr>
      <w:r w:rsidRPr="0030283C">
        <w:t>B</w:t>
      </w:r>
      <w:r w:rsidR="00DF4FD0" w:rsidRPr="0030283C">
        <w:t xml:space="preserve">etween </w:t>
      </w:r>
      <w:r w:rsidR="000F76CD">
        <w:t>November</w:t>
      </w:r>
      <w:r w:rsidR="001A60EB">
        <w:t xml:space="preserve"> 2019</w:t>
      </w:r>
      <w:r w:rsidR="00DF4FD0" w:rsidRPr="0030283C">
        <w:t xml:space="preserve"> and </w:t>
      </w:r>
      <w:r w:rsidR="008C47A8" w:rsidRPr="0030283C">
        <w:t xml:space="preserve">the end of 2021, </w:t>
      </w:r>
      <w:r w:rsidR="00A26037" w:rsidRPr="000C14D4">
        <w:t xml:space="preserve">there were </w:t>
      </w:r>
      <w:r w:rsidR="001A60EB">
        <w:t>1,167</w:t>
      </w:r>
      <w:r w:rsidR="008C47A8" w:rsidRPr="000C14D4">
        <w:t xml:space="preserve"> referr</w:t>
      </w:r>
      <w:r w:rsidR="00A26037" w:rsidRPr="000C14D4">
        <w:t>als</w:t>
      </w:r>
      <w:r w:rsidR="008C47A8" w:rsidRPr="000C14D4">
        <w:t xml:space="preserve"> to the </w:t>
      </w:r>
      <w:r w:rsidR="001A60EB" w:rsidRPr="001A60EB">
        <w:t xml:space="preserve">Here </w:t>
      </w:r>
      <w:r w:rsidR="00304BE0">
        <w:t>Toitū</w:t>
      </w:r>
      <w:r w:rsidR="001A60EB">
        <w:t xml:space="preserve"> </w:t>
      </w:r>
      <w:r w:rsidR="007E0391" w:rsidRPr="000C14D4">
        <w:t>service</w:t>
      </w:r>
      <w:r w:rsidR="008C47A8" w:rsidRPr="000C14D4">
        <w:t>.</w:t>
      </w:r>
      <w:r w:rsidR="008C47A8" w:rsidRPr="0030283C">
        <w:t xml:space="preserve"> </w:t>
      </w:r>
    </w:p>
    <w:p w14:paraId="2AB7AEF5" w14:textId="3BE737F0" w:rsidR="001A60EB" w:rsidRDefault="001A60EB" w:rsidP="008209CD">
      <w:pPr>
        <w:rPr>
          <w:rFonts w:eastAsia="Times New Roman"/>
          <w:iCs/>
          <w:szCs w:val="20"/>
        </w:rPr>
      </w:pPr>
      <w:r>
        <w:rPr>
          <w:rFonts w:eastAsia="Times New Roman"/>
          <w:iCs/>
          <w:szCs w:val="20"/>
        </w:rPr>
        <w:t xml:space="preserve">Most of these referrals (62.7 percent, or 732) were to Pegasus Health, with ProCare Health also making up a substantial proportion of the remaining referrals (Figure </w:t>
      </w:r>
      <w:r w:rsidR="00BC6FBB">
        <w:rPr>
          <w:rFonts w:eastAsia="Times New Roman"/>
          <w:iCs/>
          <w:szCs w:val="20"/>
        </w:rPr>
        <w:t>1</w:t>
      </w:r>
      <w:r>
        <w:rPr>
          <w:rFonts w:eastAsia="Times New Roman"/>
          <w:iCs/>
          <w:szCs w:val="20"/>
        </w:rPr>
        <w:t>).</w:t>
      </w:r>
    </w:p>
    <w:p w14:paraId="478DF167" w14:textId="0EDA23FE" w:rsidR="00F271F8" w:rsidRPr="00D70FB0" w:rsidRDefault="00F271F8" w:rsidP="00F271F8">
      <w:pPr>
        <w:pStyle w:val="Caption"/>
      </w:pPr>
      <w:r w:rsidRPr="00D70FB0">
        <w:t xml:space="preserve">Figure </w:t>
      </w:r>
      <w:fldSimple w:instr=" SEQ Figure \* ARABIC ">
        <w:r w:rsidR="0034369B">
          <w:rPr>
            <w:noProof/>
          </w:rPr>
          <w:t>1</w:t>
        </w:r>
      </w:fldSimple>
      <w:r w:rsidRPr="00D70FB0">
        <w:t xml:space="preserve">: </w:t>
      </w:r>
      <w:r>
        <w:t xml:space="preserve">Referrals to Here </w:t>
      </w:r>
      <w:r w:rsidR="00304BE0">
        <w:t>Toitū</w:t>
      </w:r>
      <w:r>
        <w:t>, by service provider.</w:t>
      </w:r>
    </w:p>
    <w:p w14:paraId="43BA23E3" w14:textId="2BAFCFAF" w:rsidR="001A60EB" w:rsidRDefault="001A60EB" w:rsidP="008209CD">
      <w:pPr>
        <w:rPr>
          <w:rFonts w:eastAsia="Times New Roman"/>
          <w:iCs/>
          <w:szCs w:val="20"/>
        </w:rPr>
      </w:pPr>
      <w:r>
        <w:rPr>
          <w:noProof/>
        </w:rPr>
        <w:drawing>
          <wp:inline distT="0" distB="0" distL="0" distR="0" wp14:anchorId="2D262E3A" wp14:editId="31171061">
            <wp:extent cx="4572000" cy="1200150"/>
            <wp:effectExtent l="0" t="0" r="0" b="0"/>
            <wp:docPr id="2" name="Chart 2">
              <a:extLst xmlns:a="http://schemas.openxmlformats.org/drawingml/2006/main">
                <a:ext uri="{FF2B5EF4-FFF2-40B4-BE49-F238E27FC236}">
                  <a16:creationId xmlns:a16="http://schemas.microsoft.com/office/drawing/2014/main" id="{CDE654EA-E93A-4401-B642-EB299297C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BF36D5" w14:textId="77777777" w:rsidR="006A2571" w:rsidRDefault="006A2571" w:rsidP="008209CD">
      <w:pPr>
        <w:rPr>
          <w:rFonts w:eastAsia="Times New Roman"/>
          <w:iCs/>
          <w:szCs w:val="20"/>
        </w:rPr>
      </w:pPr>
    </w:p>
    <w:p w14:paraId="0D755CA1" w14:textId="5763EC86" w:rsidR="008C47A8" w:rsidRDefault="008C47A8" w:rsidP="00572119">
      <w:pPr>
        <w:pStyle w:val="Heading3"/>
      </w:pPr>
      <w:r w:rsidRPr="000C14D4">
        <w:t xml:space="preserve">Of </w:t>
      </w:r>
      <w:r w:rsidR="00572119">
        <w:t>the 1,167 referrals</w:t>
      </w:r>
      <w:r w:rsidRPr="000C14D4">
        <w:t xml:space="preserve">, </w:t>
      </w:r>
      <w:r w:rsidR="00572119">
        <w:t>just under 40 percent (459)</w:t>
      </w:r>
      <w:r w:rsidRPr="000C14D4">
        <w:t xml:space="preserve"> were</w:t>
      </w:r>
      <w:r>
        <w:t xml:space="preserve"> </w:t>
      </w:r>
      <w:r w:rsidR="00A26037">
        <w:t xml:space="preserve">successfully </w:t>
      </w:r>
      <w:r>
        <w:t xml:space="preserve">enrolled into </w:t>
      </w:r>
      <w:r w:rsidR="00572119">
        <w:t xml:space="preserve">Here </w:t>
      </w:r>
      <w:r w:rsidR="00304BE0">
        <w:t>Toitū</w:t>
      </w:r>
      <w:r w:rsidR="0030283C">
        <w:t>.</w:t>
      </w:r>
    </w:p>
    <w:p w14:paraId="5E34E1F9" w14:textId="3688DF31" w:rsidR="008B27A5" w:rsidRDefault="00572119" w:rsidP="008209CD">
      <w:pPr>
        <w:rPr>
          <w:rFonts w:eastAsia="Times New Roman"/>
          <w:iCs/>
          <w:szCs w:val="20"/>
        </w:rPr>
      </w:pPr>
      <w:r>
        <w:rPr>
          <w:rFonts w:eastAsia="Times New Roman"/>
          <w:iCs/>
          <w:szCs w:val="20"/>
        </w:rPr>
        <w:t xml:space="preserve">Much like referrals, most </w:t>
      </w:r>
      <w:r w:rsidR="00BC6FBB">
        <w:rPr>
          <w:rFonts w:eastAsia="Times New Roman"/>
          <w:iCs/>
          <w:szCs w:val="20"/>
        </w:rPr>
        <w:t xml:space="preserve">enrolments </w:t>
      </w:r>
      <w:r>
        <w:rPr>
          <w:rFonts w:eastAsia="Times New Roman"/>
          <w:iCs/>
          <w:szCs w:val="20"/>
        </w:rPr>
        <w:t xml:space="preserve">were to Pegasus Health (58.2 percent, 267), followed by ProCare Health (23.5 percent, 108) (Figure </w:t>
      </w:r>
      <w:r w:rsidR="00BC6FBB">
        <w:rPr>
          <w:rFonts w:eastAsia="Times New Roman"/>
          <w:iCs/>
          <w:szCs w:val="20"/>
        </w:rPr>
        <w:t>2</w:t>
      </w:r>
      <w:r>
        <w:rPr>
          <w:rFonts w:eastAsia="Times New Roman"/>
          <w:iCs/>
          <w:szCs w:val="20"/>
        </w:rPr>
        <w:t>).</w:t>
      </w:r>
    </w:p>
    <w:p w14:paraId="6F410DEE" w14:textId="535D1C7C" w:rsidR="00F271F8" w:rsidRPr="00D70FB0" w:rsidRDefault="00F271F8" w:rsidP="00F271F8">
      <w:pPr>
        <w:pStyle w:val="Caption"/>
      </w:pPr>
      <w:r w:rsidRPr="00D70FB0">
        <w:t xml:space="preserve">Figure </w:t>
      </w:r>
      <w:fldSimple w:instr=" SEQ Figure \* ARABIC ">
        <w:r w:rsidR="0034369B">
          <w:rPr>
            <w:noProof/>
          </w:rPr>
          <w:t>2</w:t>
        </w:r>
      </w:fldSimple>
      <w:r w:rsidRPr="00D70FB0">
        <w:t xml:space="preserve">: </w:t>
      </w:r>
      <w:r>
        <w:t xml:space="preserve">Enrolments to Here </w:t>
      </w:r>
      <w:r w:rsidR="00304BE0">
        <w:t>Toitū</w:t>
      </w:r>
      <w:r>
        <w:t>, by service provider.</w:t>
      </w:r>
    </w:p>
    <w:p w14:paraId="77159CE4" w14:textId="7AD68CD8" w:rsidR="00572119" w:rsidRDefault="00D104C1" w:rsidP="008209CD">
      <w:pPr>
        <w:rPr>
          <w:rFonts w:eastAsia="Times New Roman"/>
          <w:iCs/>
          <w:szCs w:val="20"/>
        </w:rPr>
      </w:pPr>
      <w:r>
        <w:rPr>
          <w:noProof/>
        </w:rPr>
        <w:drawing>
          <wp:inline distT="0" distB="0" distL="0" distR="0" wp14:anchorId="13E645C3" wp14:editId="558B39EF">
            <wp:extent cx="4772025" cy="1285875"/>
            <wp:effectExtent l="0" t="0" r="0" b="0"/>
            <wp:docPr id="6" name="Chart 6">
              <a:extLst xmlns:a="http://schemas.openxmlformats.org/drawingml/2006/main">
                <a:ext uri="{FF2B5EF4-FFF2-40B4-BE49-F238E27FC236}">
                  <a16:creationId xmlns:a16="http://schemas.microsoft.com/office/drawing/2014/main" id="{65CEF14E-DFCA-4E51-97A1-287BC4DB0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01C66C" w14:textId="5F1E2882" w:rsidR="00FB3FD4" w:rsidRDefault="00FB3FD4" w:rsidP="008209CD">
      <w:pPr>
        <w:rPr>
          <w:rFonts w:eastAsia="Times New Roman"/>
          <w:iCs/>
          <w:szCs w:val="20"/>
        </w:rPr>
      </w:pPr>
      <w:r>
        <w:rPr>
          <w:rFonts w:eastAsia="Times New Roman"/>
          <w:iCs/>
          <w:szCs w:val="20"/>
        </w:rPr>
        <w:t xml:space="preserve">The analysis </w:t>
      </w:r>
      <w:r w:rsidR="00BD47B3">
        <w:rPr>
          <w:rFonts w:eastAsia="Times New Roman"/>
          <w:iCs/>
          <w:szCs w:val="20"/>
        </w:rPr>
        <w:t xml:space="preserve">in the rest of this report </w:t>
      </w:r>
      <w:r>
        <w:rPr>
          <w:rFonts w:eastAsia="Times New Roman"/>
          <w:iCs/>
          <w:szCs w:val="20"/>
        </w:rPr>
        <w:t xml:space="preserve">combines the data from these service providers together. </w:t>
      </w:r>
      <w:r w:rsidR="00BD47B3">
        <w:rPr>
          <w:rFonts w:eastAsia="Times New Roman"/>
          <w:iCs/>
          <w:szCs w:val="20"/>
        </w:rPr>
        <w:t>This is to allow us to track the outputs and outcomes of the service as a whole.</w:t>
      </w:r>
    </w:p>
    <w:p w14:paraId="36EAC61C" w14:textId="4F44A83B" w:rsidR="008C47A8" w:rsidRDefault="00572119" w:rsidP="005A1B10">
      <w:pPr>
        <w:pStyle w:val="Heading3"/>
      </w:pPr>
      <w:r>
        <w:lastRenderedPageBreak/>
        <w:t>The age distribution of participants was evenly distributed between younger and older age groups.</w:t>
      </w:r>
    </w:p>
    <w:p w14:paraId="17F6B634" w14:textId="696F7E8A" w:rsidR="00572119" w:rsidRPr="00572119" w:rsidRDefault="00572119" w:rsidP="00572119">
      <w:r>
        <w:t xml:space="preserve">Figure </w:t>
      </w:r>
      <w:r w:rsidR="0034369B">
        <w:t>3</w:t>
      </w:r>
      <w:r>
        <w:t xml:space="preserve"> shows that there was a similar proportion of participants under 34, to the proportion of participants aged 45 and over.</w:t>
      </w:r>
      <w:r w:rsidR="006A2571">
        <w:t xml:space="preserve"> </w:t>
      </w:r>
      <w:r w:rsidR="000F623E">
        <w:t>In contrast, recipients of both</w:t>
      </w:r>
      <w:r w:rsidR="006A2571">
        <w:t xml:space="preserve"> Jobseeker Support – Health Condition and Disability</w:t>
      </w:r>
      <w:r w:rsidR="000F623E">
        <w:t xml:space="preserve"> and</w:t>
      </w:r>
      <w:r w:rsidR="006A2571">
        <w:t xml:space="preserve"> Supported Living Payment – Health Condition and Disability </w:t>
      </w:r>
      <w:r w:rsidR="000F623E">
        <w:t>are typically more concentrated in the older age groups</w:t>
      </w:r>
      <w:r w:rsidR="006A2571">
        <w:t>.</w:t>
      </w:r>
      <w:r w:rsidR="006A2571">
        <w:rPr>
          <w:rStyle w:val="FootnoteReference"/>
        </w:rPr>
        <w:footnoteReference w:id="3"/>
      </w:r>
    </w:p>
    <w:p w14:paraId="1FD5A1FB" w14:textId="0E8B9D42" w:rsidR="001A7ABD" w:rsidRPr="008B24CC" w:rsidRDefault="008209CD" w:rsidP="008B24CC">
      <w:pPr>
        <w:pStyle w:val="Caption"/>
      </w:pPr>
      <w:bookmarkStart w:id="7" w:name="_Ref71640011"/>
      <w:r w:rsidRPr="0030597C">
        <w:t xml:space="preserve">Figure </w:t>
      </w:r>
      <w:fldSimple w:instr=" SEQ Figure \* ARABIC ">
        <w:r w:rsidR="0034369B">
          <w:rPr>
            <w:noProof/>
          </w:rPr>
          <w:t>3</w:t>
        </w:r>
      </w:fldSimple>
      <w:bookmarkEnd w:id="7"/>
      <w:r w:rsidRPr="0030597C">
        <w:t>: Participants by age group</w:t>
      </w:r>
      <w:r w:rsidR="00EA3FCF" w:rsidRPr="0030597C">
        <w:t>.</w:t>
      </w:r>
    </w:p>
    <w:p w14:paraId="7DA620CE" w14:textId="0B92E09A" w:rsidR="003E0279" w:rsidRDefault="00572119" w:rsidP="00F113EF">
      <w:pPr>
        <w:rPr>
          <w:iCs/>
        </w:rPr>
      </w:pPr>
      <w:r>
        <w:rPr>
          <w:noProof/>
        </w:rPr>
        <w:drawing>
          <wp:inline distT="0" distB="0" distL="0" distR="0" wp14:anchorId="1CBF37C2" wp14:editId="2F18D292">
            <wp:extent cx="4572000" cy="1866900"/>
            <wp:effectExtent l="0" t="0" r="0" b="0"/>
            <wp:docPr id="1" name="Chart 1">
              <a:extLst xmlns:a="http://schemas.openxmlformats.org/drawingml/2006/main">
                <a:ext uri="{FF2B5EF4-FFF2-40B4-BE49-F238E27FC236}">
                  <a16:creationId xmlns:a16="http://schemas.microsoft.com/office/drawing/2014/main" id="{B4A0BB77-17C3-4396-8F75-3F32E08A7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101781" w14:textId="77777777" w:rsidR="005A1B10" w:rsidRDefault="005A1B10" w:rsidP="00F113EF">
      <w:pPr>
        <w:rPr>
          <w:iCs/>
        </w:rPr>
      </w:pPr>
    </w:p>
    <w:p w14:paraId="4A718407" w14:textId="5662A25A" w:rsidR="001A7ABD" w:rsidRDefault="005A1B10" w:rsidP="005A1B10">
      <w:pPr>
        <w:pStyle w:val="Heading3"/>
        <w:rPr>
          <w:rStyle w:val="Heading4Char"/>
        </w:rPr>
      </w:pPr>
      <w:r>
        <w:rPr>
          <w:rStyle w:val="Heading4Char"/>
        </w:rPr>
        <w:t xml:space="preserve">Just under 68 percent of </w:t>
      </w:r>
      <w:r w:rsidR="00516CF1" w:rsidRPr="00902AA3">
        <w:rPr>
          <w:rStyle w:val="Heading4Char"/>
        </w:rPr>
        <w:t>participants</w:t>
      </w:r>
      <w:r>
        <w:rPr>
          <w:rStyle w:val="Heading4Char"/>
        </w:rPr>
        <w:t xml:space="preserve"> (300)</w:t>
      </w:r>
      <w:r w:rsidR="00516CF1" w:rsidRPr="00902AA3">
        <w:rPr>
          <w:rStyle w:val="Heading4Char"/>
        </w:rPr>
        <w:t xml:space="preserve"> identified as </w:t>
      </w:r>
      <w:r w:rsidR="00902AA3" w:rsidRPr="00902AA3">
        <w:rPr>
          <w:rStyle w:val="Heading4Char"/>
        </w:rPr>
        <w:t>European</w:t>
      </w:r>
      <w:r>
        <w:rPr>
          <w:rStyle w:val="Heading4Char"/>
        </w:rPr>
        <w:t>.</w:t>
      </w:r>
    </w:p>
    <w:p w14:paraId="20FB4584" w14:textId="31544E6A" w:rsidR="005A1B10" w:rsidRPr="00902AA3" w:rsidRDefault="005A1B10" w:rsidP="005A1B10">
      <w:r>
        <w:t xml:space="preserve">Additionally, just under 24 percent (105) of Here </w:t>
      </w:r>
      <w:r w:rsidR="00304BE0">
        <w:t>Toitū</w:t>
      </w:r>
      <w:r>
        <w:t xml:space="preserve"> participants identified as </w:t>
      </w:r>
      <w:r w:rsidR="00A73D46">
        <w:t>Māori</w:t>
      </w:r>
      <w:r>
        <w:t xml:space="preserve"> (Figure </w:t>
      </w:r>
      <w:r w:rsidR="0034369B">
        <w:t>4</w:t>
      </w:r>
      <w:r>
        <w:t>).</w:t>
      </w:r>
      <w:r w:rsidR="000F623E">
        <w:t xml:space="preserve"> These findings broadly reflect the ethnic grouping of </w:t>
      </w:r>
      <w:r w:rsidR="000F623E" w:rsidRPr="000F623E">
        <w:t>Jobseeker Support – Health Condition and Disability, as well as Supported Living Payment – Health Condition and Disability recipients</w:t>
      </w:r>
      <w:r w:rsidR="000F623E">
        <w:t>.</w:t>
      </w:r>
      <w:r w:rsidR="000F623E">
        <w:rPr>
          <w:rStyle w:val="FootnoteReference"/>
        </w:rPr>
        <w:footnoteReference w:id="4"/>
      </w:r>
    </w:p>
    <w:p w14:paraId="7DD01169" w14:textId="29795ECA" w:rsidR="008209CD" w:rsidRPr="00902AA3" w:rsidRDefault="008209CD" w:rsidP="008B24CC">
      <w:pPr>
        <w:pStyle w:val="Caption"/>
      </w:pPr>
      <w:bookmarkStart w:id="8" w:name="_Ref71640047"/>
      <w:r w:rsidRPr="00902AA3">
        <w:t xml:space="preserve">Figure </w:t>
      </w:r>
      <w:fldSimple w:instr=" SEQ Figure \* ARABIC ">
        <w:r w:rsidR="0034369B">
          <w:rPr>
            <w:noProof/>
          </w:rPr>
          <w:t>4</w:t>
        </w:r>
      </w:fldSimple>
      <w:bookmarkEnd w:id="8"/>
      <w:r w:rsidRPr="00902AA3">
        <w:t xml:space="preserve">: Participants by </w:t>
      </w:r>
      <w:r w:rsidR="00902AA3" w:rsidRPr="00902AA3">
        <w:t>total response</w:t>
      </w:r>
      <w:r w:rsidR="00465C3E" w:rsidRPr="00902AA3">
        <w:t xml:space="preserve"> </w:t>
      </w:r>
      <w:r w:rsidRPr="00902AA3">
        <w:t>ethnicity grouping</w:t>
      </w:r>
      <w:r w:rsidR="00EA3FCF" w:rsidRPr="00902AA3">
        <w:t>.</w:t>
      </w:r>
      <w:r w:rsidR="00902AA3" w:rsidRPr="00902AA3">
        <w:rPr>
          <w:rStyle w:val="FootnoteReference"/>
        </w:rPr>
        <w:t xml:space="preserve"> </w:t>
      </w:r>
      <w:r w:rsidR="00902AA3" w:rsidRPr="00902AA3">
        <w:rPr>
          <w:rStyle w:val="FootnoteReference"/>
        </w:rPr>
        <w:footnoteReference w:id="5"/>
      </w:r>
      <w:r w:rsidR="000F76CD">
        <w:rPr>
          <w:rStyle w:val="FootnoteReference"/>
        </w:rPr>
        <w:t>,</w:t>
      </w:r>
      <w:r w:rsidR="00902AA3">
        <w:rPr>
          <w:rStyle w:val="FootnoteReference"/>
        </w:rPr>
        <w:footnoteReference w:id="6"/>
      </w:r>
    </w:p>
    <w:p w14:paraId="22A7C893" w14:textId="277A083A" w:rsidR="00B1464A" w:rsidRDefault="00A973C4" w:rsidP="00F113EF">
      <w:pPr>
        <w:rPr>
          <w:iCs/>
          <w:highlight w:val="yellow"/>
        </w:rPr>
      </w:pPr>
      <w:r>
        <w:rPr>
          <w:noProof/>
        </w:rPr>
        <w:drawing>
          <wp:inline distT="0" distB="0" distL="0" distR="0" wp14:anchorId="0F9A540B" wp14:editId="16A1E36F">
            <wp:extent cx="5731510" cy="1714500"/>
            <wp:effectExtent l="0" t="0" r="2540" b="0"/>
            <wp:docPr id="3" name="Chart 3">
              <a:extLst xmlns:a="http://schemas.openxmlformats.org/drawingml/2006/main">
                <a:ext uri="{FF2B5EF4-FFF2-40B4-BE49-F238E27FC236}">
                  <a16:creationId xmlns:a16="http://schemas.microsoft.com/office/drawing/2014/main" id="{1C53FC82-554B-4D9B-85A9-F850F4A601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1F0064" w14:textId="794E160B" w:rsidR="00B73F04" w:rsidRDefault="00902AA3" w:rsidP="006A2571">
      <w:pPr>
        <w:rPr>
          <w:iCs/>
          <w:sz w:val="16"/>
          <w:szCs w:val="18"/>
        </w:rPr>
      </w:pPr>
      <w:r w:rsidRPr="00902AA3">
        <w:rPr>
          <w:iCs/>
          <w:sz w:val="16"/>
          <w:szCs w:val="18"/>
        </w:rPr>
        <w:t xml:space="preserve">Note: There were </w:t>
      </w:r>
      <w:r w:rsidR="002C13F5">
        <w:rPr>
          <w:iCs/>
          <w:sz w:val="16"/>
          <w:szCs w:val="18"/>
        </w:rPr>
        <w:t>444</w:t>
      </w:r>
      <w:r w:rsidRPr="00902AA3">
        <w:rPr>
          <w:iCs/>
          <w:sz w:val="16"/>
          <w:szCs w:val="18"/>
        </w:rPr>
        <w:t xml:space="preserve"> participants with a recorded ethnicity (</w:t>
      </w:r>
      <w:r w:rsidR="002D551C">
        <w:rPr>
          <w:iCs/>
          <w:sz w:val="16"/>
          <w:szCs w:val="18"/>
        </w:rPr>
        <w:t xml:space="preserve">on </w:t>
      </w:r>
      <w:r w:rsidRPr="00902AA3">
        <w:rPr>
          <w:iCs/>
          <w:sz w:val="16"/>
          <w:szCs w:val="18"/>
        </w:rPr>
        <w:t xml:space="preserve">which the calculations above are based), and </w:t>
      </w:r>
      <w:r w:rsidR="002C13F5">
        <w:rPr>
          <w:iCs/>
          <w:sz w:val="16"/>
          <w:szCs w:val="18"/>
        </w:rPr>
        <w:t>15</w:t>
      </w:r>
      <w:r w:rsidRPr="00902AA3">
        <w:rPr>
          <w:iCs/>
          <w:sz w:val="16"/>
          <w:szCs w:val="18"/>
        </w:rPr>
        <w:t xml:space="preserve"> </w:t>
      </w:r>
      <w:r w:rsidR="002C13F5">
        <w:rPr>
          <w:iCs/>
          <w:sz w:val="16"/>
          <w:szCs w:val="18"/>
        </w:rPr>
        <w:t>participants</w:t>
      </w:r>
      <w:r w:rsidRPr="00902AA3">
        <w:rPr>
          <w:iCs/>
          <w:sz w:val="16"/>
          <w:szCs w:val="18"/>
        </w:rPr>
        <w:t xml:space="preserve"> who did not have an ethnicity recorded in MSD source systems.</w:t>
      </w:r>
    </w:p>
    <w:p w14:paraId="153A24E8" w14:textId="2173175C" w:rsidR="00CC0890" w:rsidRDefault="002C13F5" w:rsidP="005A1B10">
      <w:pPr>
        <w:pStyle w:val="Heading3"/>
      </w:pPr>
      <w:r>
        <w:lastRenderedPageBreak/>
        <w:t>There was a similar proportion of female and male participants</w:t>
      </w:r>
      <w:r w:rsidR="005A1B10">
        <w:t>.</w:t>
      </w:r>
    </w:p>
    <w:p w14:paraId="5753E3E3" w14:textId="65C24900" w:rsidR="000F623E" w:rsidRPr="000F623E" w:rsidRDefault="000F623E" w:rsidP="000F623E">
      <w:r>
        <w:t xml:space="preserve">Figure </w:t>
      </w:r>
      <w:r w:rsidR="0034369B">
        <w:t>5</w:t>
      </w:r>
      <w:r>
        <w:t xml:space="preserve"> below shows that there was a similar proportion of female and male participants in Here </w:t>
      </w:r>
      <w:r w:rsidR="00304BE0">
        <w:t>Toitū</w:t>
      </w:r>
      <w:r>
        <w:t xml:space="preserve">. In contrast, there are more males than females receiving either </w:t>
      </w:r>
      <w:r w:rsidRPr="000F623E">
        <w:t>Jobseeker Support – Health Condition and Disability</w:t>
      </w:r>
      <w:r>
        <w:t xml:space="preserve"> or </w:t>
      </w:r>
      <w:r w:rsidRPr="000F623E">
        <w:t>Supported Living Payment – Health Condition and Disability</w:t>
      </w:r>
      <w:r>
        <w:t>.</w:t>
      </w:r>
      <w:r>
        <w:rPr>
          <w:rStyle w:val="FootnoteReference"/>
        </w:rPr>
        <w:footnoteReference w:id="7"/>
      </w:r>
    </w:p>
    <w:p w14:paraId="3238DFE8" w14:textId="3F86D549" w:rsidR="008209CD" w:rsidRPr="00AA2D36" w:rsidRDefault="008209CD" w:rsidP="008B24CC">
      <w:pPr>
        <w:pStyle w:val="Caption"/>
      </w:pPr>
      <w:bookmarkStart w:id="9" w:name="_Ref71640101"/>
      <w:r w:rsidRPr="00AA2D36">
        <w:t xml:space="preserve">Figure </w:t>
      </w:r>
      <w:fldSimple w:instr=" SEQ Figure \* ARABIC ">
        <w:r w:rsidR="0034369B">
          <w:rPr>
            <w:noProof/>
          </w:rPr>
          <w:t>5</w:t>
        </w:r>
      </w:fldSimple>
      <w:bookmarkEnd w:id="9"/>
      <w:r w:rsidRPr="00AA2D36">
        <w:t>: Participants by gender</w:t>
      </w:r>
      <w:r w:rsidR="00EA3FCF" w:rsidRPr="00AA2D36">
        <w:t>.</w:t>
      </w:r>
    </w:p>
    <w:p w14:paraId="28FC81D5" w14:textId="62CF18E2" w:rsidR="003E0279" w:rsidRDefault="002C13F5" w:rsidP="00F113EF">
      <w:pPr>
        <w:rPr>
          <w:iCs/>
        </w:rPr>
      </w:pPr>
      <w:r>
        <w:rPr>
          <w:noProof/>
        </w:rPr>
        <w:drawing>
          <wp:inline distT="0" distB="0" distL="0" distR="0" wp14:anchorId="3DFA8153" wp14:editId="5C49DEE3">
            <wp:extent cx="4572000" cy="1219200"/>
            <wp:effectExtent l="0" t="0" r="0" b="0"/>
            <wp:docPr id="18" name="Chart 18">
              <a:extLst xmlns:a="http://schemas.openxmlformats.org/drawingml/2006/main">
                <a:ext uri="{FF2B5EF4-FFF2-40B4-BE49-F238E27FC236}">
                  <a16:creationId xmlns:a16="http://schemas.microsoft.com/office/drawing/2014/main" id="{C08FC43E-47DA-474B-9F6E-F5A87C31DB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E07270" w14:textId="77777777" w:rsidR="005A1B10" w:rsidRDefault="005A1B10" w:rsidP="00F113EF">
      <w:pPr>
        <w:rPr>
          <w:iCs/>
        </w:rPr>
      </w:pPr>
    </w:p>
    <w:p w14:paraId="763675BE" w14:textId="225CC4E5" w:rsidR="002834EA" w:rsidRDefault="005A1B10" w:rsidP="005A1B10">
      <w:pPr>
        <w:pStyle w:val="Heading3"/>
      </w:pPr>
      <w:r>
        <w:t>Around 77 percent of participants (354)</w:t>
      </w:r>
      <w:r w:rsidR="00F813FE" w:rsidRPr="00D12381">
        <w:t xml:space="preserve"> </w:t>
      </w:r>
      <w:r w:rsidR="00A73D46">
        <w:t>did not have a partner or dependent children</w:t>
      </w:r>
      <w:r w:rsidR="00F813FE" w:rsidRPr="00D12381">
        <w:t xml:space="preserve"> at their time of enrolment.</w:t>
      </w:r>
      <w:r w:rsidR="002834EA" w:rsidRPr="00D12381">
        <w:rPr>
          <w:rStyle w:val="FootnoteReference"/>
        </w:rPr>
        <w:footnoteReference w:id="8"/>
      </w:r>
      <w:r w:rsidR="00F813FE" w:rsidRPr="00D12381">
        <w:t xml:space="preserve"> </w:t>
      </w:r>
    </w:p>
    <w:p w14:paraId="02213371" w14:textId="31431382" w:rsidR="005A1B10" w:rsidRPr="005A1B10" w:rsidRDefault="005A1B10" w:rsidP="005A1B10">
      <w:r>
        <w:t>In contrast, just under 10 percent of participants (45) were sole parents</w:t>
      </w:r>
      <w:r w:rsidR="0034369B">
        <w:t xml:space="preserve"> (Figure 6)</w:t>
      </w:r>
      <w:r>
        <w:t>. This trend is reflective of the family types of benefit recipients as a population.</w:t>
      </w:r>
      <w:r w:rsidRPr="005A1B10">
        <w:rPr>
          <w:rStyle w:val="FootnoteReference"/>
        </w:rPr>
        <w:t xml:space="preserve"> </w:t>
      </w:r>
      <w:r>
        <w:rPr>
          <w:rStyle w:val="FootnoteReference"/>
        </w:rPr>
        <w:footnoteReference w:id="9"/>
      </w:r>
    </w:p>
    <w:p w14:paraId="4AF29D60" w14:textId="0A15651F" w:rsidR="008209CD" w:rsidRPr="00D70FB0" w:rsidRDefault="008209CD" w:rsidP="00D70FB0">
      <w:pPr>
        <w:pStyle w:val="Caption"/>
      </w:pPr>
      <w:bookmarkStart w:id="10" w:name="_Ref71640122"/>
      <w:r w:rsidRPr="00D12381">
        <w:t xml:space="preserve">Figure </w:t>
      </w:r>
      <w:fldSimple w:instr=" SEQ Figure \* ARABIC ">
        <w:r w:rsidR="0034369B">
          <w:rPr>
            <w:noProof/>
          </w:rPr>
          <w:t>6</w:t>
        </w:r>
      </w:fldSimple>
      <w:bookmarkEnd w:id="10"/>
      <w:r w:rsidRPr="00D12381">
        <w:t xml:space="preserve">: Participants by </w:t>
      </w:r>
      <w:r w:rsidR="002C13F5">
        <w:t>family type</w:t>
      </w:r>
      <w:r w:rsidR="00EA3FCF" w:rsidRPr="00D12381">
        <w:t>.</w:t>
      </w:r>
      <w:r w:rsidR="001A1E7E">
        <w:rPr>
          <w:rStyle w:val="FootnoteReference"/>
        </w:rPr>
        <w:footnoteReference w:id="10"/>
      </w:r>
    </w:p>
    <w:p w14:paraId="77937D49" w14:textId="79CE2DF0" w:rsidR="003E0279" w:rsidRDefault="004E2BED" w:rsidP="00F113EF">
      <w:pPr>
        <w:rPr>
          <w:iCs/>
        </w:rPr>
      </w:pPr>
      <w:r>
        <w:rPr>
          <w:noProof/>
        </w:rPr>
        <w:drawing>
          <wp:inline distT="0" distB="0" distL="0" distR="0" wp14:anchorId="75C54646" wp14:editId="629238F8">
            <wp:extent cx="4838700" cy="2200275"/>
            <wp:effectExtent l="0" t="0" r="0" b="0"/>
            <wp:docPr id="19" name="Chart 19">
              <a:extLst xmlns:a="http://schemas.openxmlformats.org/drawingml/2006/main">
                <a:ext uri="{FF2B5EF4-FFF2-40B4-BE49-F238E27FC236}">
                  <a16:creationId xmlns:a16="http://schemas.microsoft.com/office/drawing/2014/main" id="{88E019BB-41B6-4248-B842-4E2F870E0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5AC9BC" w14:textId="5AA781E5" w:rsidR="00791448" w:rsidRDefault="00791448" w:rsidP="00F113EF">
      <w:pPr>
        <w:rPr>
          <w:iCs/>
        </w:rPr>
      </w:pPr>
    </w:p>
    <w:p w14:paraId="672F0BA0" w14:textId="12DDE660" w:rsidR="005A1B10" w:rsidRDefault="005A1B10" w:rsidP="00F113EF">
      <w:pPr>
        <w:rPr>
          <w:iCs/>
        </w:rPr>
      </w:pPr>
    </w:p>
    <w:p w14:paraId="65DB9DE8" w14:textId="3545AD7D" w:rsidR="005A1B10" w:rsidRDefault="005A1B10" w:rsidP="00F113EF">
      <w:pPr>
        <w:rPr>
          <w:iCs/>
        </w:rPr>
      </w:pPr>
    </w:p>
    <w:p w14:paraId="4D1D76F1" w14:textId="7E68CFEB" w:rsidR="005A1B10" w:rsidRDefault="005A1B10" w:rsidP="00F113EF">
      <w:pPr>
        <w:rPr>
          <w:iCs/>
        </w:rPr>
      </w:pPr>
    </w:p>
    <w:p w14:paraId="713707BA" w14:textId="326CCEFC" w:rsidR="00CC0890" w:rsidRPr="00641611" w:rsidRDefault="00471075" w:rsidP="005A1B10">
      <w:pPr>
        <w:pStyle w:val="Heading3"/>
      </w:pPr>
      <w:r>
        <w:lastRenderedPageBreak/>
        <w:t>Just over 62 percent of participants (285)</w:t>
      </w:r>
      <w:r w:rsidR="005A1B10">
        <w:t xml:space="preserve"> </w:t>
      </w:r>
      <w:r w:rsidR="00D32019" w:rsidRPr="00641611">
        <w:t>were receiving Jobseeker Support – Health Conditions and Disabilities on the date they were</w:t>
      </w:r>
      <w:r w:rsidR="004E2BED">
        <w:t xml:space="preserve"> enrolled </w:t>
      </w:r>
      <w:r w:rsidR="00D32019" w:rsidRPr="00641611">
        <w:t xml:space="preserve">for </w:t>
      </w:r>
      <w:r w:rsidR="004E2BED">
        <w:t xml:space="preserve">Here </w:t>
      </w:r>
      <w:r w:rsidR="00304BE0">
        <w:t>Toitū</w:t>
      </w:r>
      <w:r w:rsidR="005A1B10">
        <w:t>.</w:t>
      </w:r>
    </w:p>
    <w:p w14:paraId="55D2988F" w14:textId="2B46317D" w:rsidR="00CC0890" w:rsidRPr="00641611" w:rsidRDefault="00DD20B7" w:rsidP="00DD20B7">
      <w:pPr>
        <w:rPr>
          <w:iCs/>
        </w:rPr>
      </w:pPr>
      <w:r w:rsidRPr="00641611">
        <w:rPr>
          <w:iCs/>
        </w:rPr>
        <w:t xml:space="preserve">This </w:t>
      </w:r>
      <w:r w:rsidR="00B44782" w:rsidRPr="00641611">
        <w:rPr>
          <w:iCs/>
        </w:rPr>
        <w:t xml:space="preserve">finding </w:t>
      </w:r>
      <w:r w:rsidRPr="00641611">
        <w:rPr>
          <w:iCs/>
        </w:rPr>
        <w:t xml:space="preserve">is to be expected because </w:t>
      </w:r>
      <w:r w:rsidR="00CC0890" w:rsidRPr="00641611">
        <w:rPr>
          <w:iCs/>
        </w:rPr>
        <w:t xml:space="preserve">the </w:t>
      </w:r>
      <w:r w:rsidR="009818C6" w:rsidRPr="00641611">
        <w:rPr>
          <w:iCs/>
        </w:rPr>
        <w:t>eligibility</w:t>
      </w:r>
      <w:r w:rsidR="00CC0890" w:rsidRPr="00641611">
        <w:rPr>
          <w:iCs/>
        </w:rPr>
        <w:t xml:space="preserve"> criteria for </w:t>
      </w:r>
      <w:r w:rsidR="004E2BED">
        <w:rPr>
          <w:iCs/>
        </w:rPr>
        <w:t xml:space="preserve">Here </w:t>
      </w:r>
      <w:r w:rsidR="00304BE0">
        <w:rPr>
          <w:iCs/>
        </w:rPr>
        <w:t>Toitū</w:t>
      </w:r>
      <w:r w:rsidRPr="00641611">
        <w:rPr>
          <w:iCs/>
        </w:rPr>
        <w:t xml:space="preserve"> </w:t>
      </w:r>
      <w:r w:rsidR="002C0589" w:rsidRPr="00641611">
        <w:rPr>
          <w:iCs/>
        </w:rPr>
        <w:t xml:space="preserve">required those referred to be in receipt of </w:t>
      </w:r>
      <w:r w:rsidR="00CC0890" w:rsidRPr="00641611">
        <w:rPr>
          <w:iCs/>
        </w:rPr>
        <w:t xml:space="preserve">a benefit </w:t>
      </w:r>
      <w:r w:rsidR="009818C6" w:rsidRPr="00641611">
        <w:rPr>
          <w:iCs/>
        </w:rPr>
        <w:t>with a medical work deferral</w:t>
      </w:r>
      <w:r w:rsidR="004E2BED">
        <w:rPr>
          <w:iCs/>
        </w:rPr>
        <w:t xml:space="preserve"> (or about to be)</w:t>
      </w:r>
      <w:r w:rsidR="00CC0890" w:rsidRPr="00641611">
        <w:rPr>
          <w:iCs/>
        </w:rPr>
        <w:t xml:space="preserve">. </w:t>
      </w:r>
    </w:p>
    <w:p w14:paraId="44F1E25A" w14:textId="1D7B1B75" w:rsidR="00347805" w:rsidRPr="00641611" w:rsidRDefault="00347805" w:rsidP="00F113EF">
      <w:pPr>
        <w:rPr>
          <w:iCs/>
        </w:rPr>
      </w:pPr>
      <w:r w:rsidRPr="00641611">
        <w:rPr>
          <w:iCs/>
        </w:rPr>
        <w:t>People receiving Jobseeker Support – Health Conditions and Disabilities, or Supported Living Payment</w:t>
      </w:r>
      <w:r w:rsidR="00617EE0" w:rsidRPr="00641611">
        <w:rPr>
          <w:iCs/>
        </w:rPr>
        <w:t xml:space="preserve"> – Health Conditions and Disabilities</w:t>
      </w:r>
      <w:r w:rsidRPr="00641611">
        <w:rPr>
          <w:iCs/>
        </w:rPr>
        <w:t>, almost always have a medical work deferral</w:t>
      </w:r>
      <w:r w:rsidR="00617EE0" w:rsidRPr="00641611">
        <w:rPr>
          <w:iCs/>
        </w:rPr>
        <w:t xml:space="preserve"> (rare exceptions usually relate to </w:t>
      </w:r>
      <w:r w:rsidR="00661411" w:rsidRPr="00641611">
        <w:rPr>
          <w:iCs/>
        </w:rPr>
        <w:t xml:space="preserve">the </w:t>
      </w:r>
      <w:r w:rsidR="00617EE0" w:rsidRPr="00641611">
        <w:rPr>
          <w:iCs/>
        </w:rPr>
        <w:t>partners of people receiving these benefits)</w:t>
      </w:r>
      <w:r w:rsidRPr="00641611">
        <w:rPr>
          <w:iCs/>
        </w:rPr>
        <w:t xml:space="preserve">. People receiving </w:t>
      </w:r>
      <w:r w:rsidR="00617EE0" w:rsidRPr="00641611">
        <w:rPr>
          <w:iCs/>
        </w:rPr>
        <w:t xml:space="preserve">other </w:t>
      </w:r>
      <w:r w:rsidR="004E2BED">
        <w:rPr>
          <w:iCs/>
        </w:rPr>
        <w:t xml:space="preserve">main </w:t>
      </w:r>
      <w:r w:rsidR="00617EE0" w:rsidRPr="00641611">
        <w:rPr>
          <w:iCs/>
        </w:rPr>
        <w:t>benefits</w:t>
      </w:r>
      <w:r w:rsidRPr="00641611">
        <w:rPr>
          <w:iCs/>
        </w:rPr>
        <w:t xml:space="preserve"> can also apply for a medical work deferral depending on their circumstances</w:t>
      </w:r>
      <w:r w:rsidR="00205501" w:rsidRPr="00641611">
        <w:rPr>
          <w:iCs/>
        </w:rPr>
        <w:t>, though these are usually handled through a different process</w:t>
      </w:r>
      <w:r w:rsidRPr="00641611">
        <w:rPr>
          <w:iCs/>
        </w:rPr>
        <w:t xml:space="preserve">. </w:t>
      </w:r>
    </w:p>
    <w:p w14:paraId="646C6407" w14:textId="6B08A16E" w:rsidR="00CC0890" w:rsidRPr="00641611" w:rsidRDefault="003A3445" w:rsidP="00F113EF">
      <w:pPr>
        <w:rPr>
          <w:iCs/>
        </w:rPr>
      </w:pPr>
      <w:r w:rsidRPr="00641611">
        <w:rPr>
          <w:iCs/>
        </w:rPr>
        <w:fldChar w:fldCharType="begin"/>
      </w:r>
      <w:r w:rsidRPr="00641611">
        <w:rPr>
          <w:iCs/>
        </w:rPr>
        <w:instrText xml:space="preserve"> REF _Ref71640138 \h  \* MERGEFORMAT </w:instrText>
      </w:r>
      <w:r w:rsidRPr="00641611">
        <w:rPr>
          <w:iCs/>
        </w:rPr>
      </w:r>
      <w:r w:rsidRPr="00641611">
        <w:rPr>
          <w:iCs/>
        </w:rPr>
        <w:fldChar w:fldCharType="separate"/>
      </w:r>
      <w:r w:rsidR="0034369B" w:rsidRPr="0034369B">
        <w:rPr>
          <w:iCs/>
        </w:rPr>
        <w:t xml:space="preserve">Figure </w:t>
      </w:r>
      <w:r w:rsidR="0034369B" w:rsidRPr="0034369B">
        <w:rPr>
          <w:iCs/>
          <w:noProof/>
        </w:rPr>
        <w:t>7</w:t>
      </w:r>
      <w:r w:rsidRPr="00641611">
        <w:rPr>
          <w:iCs/>
        </w:rPr>
        <w:fldChar w:fldCharType="end"/>
      </w:r>
      <w:r w:rsidRPr="00641611">
        <w:rPr>
          <w:iCs/>
        </w:rPr>
        <w:t xml:space="preserve"> shows that </w:t>
      </w:r>
      <w:r w:rsidR="00DA34B8">
        <w:rPr>
          <w:iCs/>
        </w:rPr>
        <w:t xml:space="preserve">in addition to the participants receiving Jobseeker Support – Health Conditions and Disabilities, </w:t>
      </w:r>
      <w:r w:rsidR="00152BC7" w:rsidRPr="00641611">
        <w:rPr>
          <w:iCs/>
        </w:rPr>
        <w:t xml:space="preserve">a further </w:t>
      </w:r>
      <w:r w:rsidR="00DE3816" w:rsidRPr="00641611">
        <w:rPr>
          <w:iCs/>
        </w:rPr>
        <w:t>1</w:t>
      </w:r>
      <w:r w:rsidR="004E2BED">
        <w:rPr>
          <w:iCs/>
        </w:rPr>
        <w:t>8</w:t>
      </w:r>
      <w:r w:rsidR="00DE3816" w:rsidRPr="00641611">
        <w:rPr>
          <w:iCs/>
        </w:rPr>
        <w:t>.</w:t>
      </w:r>
      <w:r w:rsidR="004E2BED">
        <w:rPr>
          <w:iCs/>
        </w:rPr>
        <w:t>3</w:t>
      </w:r>
      <w:r w:rsidR="00152BC7" w:rsidRPr="00641611">
        <w:rPr>
          <w:iCs/>
        </w:rPr>
        <w:t xml:space="preserve"> percent</w:t>
      </w:r>
      <w:r w:rsidR="00D36017" w:rsidRPr="00641611">
        <w:rPr>
          <w:iCs/>
        </w:rPr>
        <w:t xml:space="preserve"> of participants (</w:t>
      </w:r>
      <w:r w:rsidR="004E2BED">
        <w:rPr>
          <w:iCs/>
        </w:rPr>
        <w:t>84</w:t>
      </w:r>
      <w:r w:rsidR="00D36017" w:rsidRPr="00641611">
        <w:rPr>
          <w:iCs/>
        </w:rPr>
        <w:t>)</w:t>
      </w:r>
      <w:r w:rsidR="00152BC7" w:rsidRPr="00641611">
        <w:rPr>
          <w:iCs/>
        </w:rPr>
        <w:t xml:space="preserve"> were receiving Supported Living Payment</w:t>
      </w:r>
      <w:r w:rsidR="00661411" w:rsidRPr="00641611">
        <w:rPr>
          <w:iCs/>
        </w:rPr>
        <w:t xml:space="preserve"> – Health Conditions and Disabilities.</w:t>
      </w:r>
    </w:p>
    <w:p w14:paraId="22B1D7D6" w14:textId="31A9898E" w:rsidR="00CC0890" w:rsidRPr="00D70FB0" w:rsidRDefault="008209CD" w:rsidP="00D70FB0">
      <w:pPr>
        <w:pStyle w:val="Caption"/>
      </w:pPr>
      <w:bookmarkStart w:id="11" w:name="_Ref71640138"/>
      <w:r w:rsidRPr="00641611">
        <w:t xml:space="preserve">Figure </w:t>
      </w:r>
      <w:fldSimple w:instr=" SEQ Figure \* ARABIC ">
        <w:r w:rsidR="0034369B">
          <w:rPr>
            <w:noProof/>
          </w:rPr>
          <w:t>7</w:t>
        </w:r>
      </w:fldSimple>
      <w:bookmarkEnd w:id="11"/>
      <w:r w:rsidRPr="00641611">
        <w:t xml:space="preserve">: Participants by </w:t>
      </w:r>
      <w:r w:rsidR="00EA3FCF" w:rsidRPr="00641611">
        <w:t>benefit type.</w:t>
      </w:r>
    </w:p>
    <w:p w14:paraId="796C53DB" w14:textId="7F28A63D" w:rsidR="00F813FE" w:rsidRDefault="004E2BED" w:rsidP="00F113EF">
      <w:pPr>
        <w:rPr>
          <w:iCs/>
        </w:rPr>
      </w:pPr>
      <w:r>
        <w:rPr>
          <w:noProof/>
        </w:rPr>
        <w:drawing>
          <wp:inline distT="0" distB="0" distL="0" distR="0" wp14:anchorId="557E622D" wp14:editId="2A1B17DE">
            <wp:extent cx="5124450" cy="2943225"/>
            <wp:effectExtent l="0" t="0" r="0" b="0"/>
            <wp:docPr id="20" name="Chart 20">
              <a:extLst xmlns:a="http://schemas.openxmlformats.org/drawingml/2006/main">
                <a:ext uri="{FF2B5EF4-FFF2-40B4-BE49-F238E27FC236}">
                  <a16:creationId xmlns:a16="http://schemas.microsoft.com/office/drawing/2014/main" id="{FF43D5B3-68A4-42DD-8C79-4A393CFEE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75301B" w14:textId="72C37424" w:rsidR="00CA27DF" w:rsidRDefault="00CA27DF" w:rsidP="00F113EF">
      <w:pPr>
        <w:rPr>
          <w:iCs/>
        </w:rPr>
      </w:pPr>
    </w:p>
    <w:p w14:paraId="4F4B7E57" w14:textId="1E3AB3C9" w:rsidR="00CA27DF" w:rsidRDefault="00CA27DF" w:rsidP="00F113EF">
      <w:pPr>
        <w:rPr>
          <w:iCs/>
        </w:rPr>
      </w:pPr>
    </w:p>
    <w:p w14:paraId="4D0FFA3D" w14:textId="78FFD64A" w:rsidR="00CA27DF" w:rsidRDefault="00CA27DF" w:rsidP="00F113EF">
      <w:pPr>
        <w:rPr>
          <w:iCs/>
        </w:rPr>
      </w:pPr>
    </w:p>
    <w:p w14:paraId="09CCD6D0" w14:textId="12599BD8" w:rsidR="00CA27DF" w:rsidRDefault="00CA27DF" w:rsidP="00F113EF">
      <w:pPr>
        <w:rPr>
          <w:iCs/>
        </w:rPr>
      </w:pPr>
    </w:p>
    <w:p w14:paraId="12BC5C61" w14:textId="5F309D79" w:rsidR="00CA27DF" w:rsidRDefault="00CA27DF" w:rsidP="00F113EF">
      <w:pPr>
        <w:rPr>
          <w:iCs/>
        </w:rPr>
      </w:pPr>
    </w:p>
    <w:p w14:paraId="6716198D" w14:textId="55DF13F5" w:rsidR="00CA27DF" w:rsidRDefault="00CA27DF" w:rsidP="00F113EF">
      <w:pPr>
        <w:rPr>
          <w:iCs/>
        </w:rPr>
      </w:pPr>
    </w:p>
    <w:p w14:paraId="6A0D80C2" w14:textId="23117BC1" w:rsidR="00CA27DF" w:rsidRDefault="00CA27DF" w:rsidP="00F113EF">
      <w:pPr>
        <w:rPr>
          <w:iCs/>
        </w:rPr>
      </w:pPr>
    </w:p>
    <w:p w14:paraId="70C55674" w14:textId="5D929AF2" w:rsidR="00CA27DF" w:rsidRDefault="00CA27DF" w:rsidP="00F113EF">
      <w:pPr>
        <w:rPr>
          <w:iCs/>
        </w:rPr>
      </w:pPr>
    </w:p>
    <w:p w14:paraId="5C4F2B07" w14:textId="643281B5" w:rsidR="00CA27DF" w:rsidRDefault="00CA27DF" w:rsidP="00F113EF">
      <w:pPr>
        <w:rPr>
          <w:iCs/>
        </w:rPr>
      </w:pPr>
    </w:p>
    <w:p w14:paraId="00A6F89D" w14:textId="77777777" w:rsidR="00CA27DF" w:rsidRDefault="00CA27DF" w:rsidP="00F113EF">
      <w:pPr>
        <w:rPr>
          <w:iCs/>
        </w:rPr>
      </w:pPr>
    </w:p>
    <w:p w14:paraId="4FEF940C" w14:textId="4CDAB85D" w:rsidR="00DE3816" w:rsidRPr="009845CF" w:rsidRDefault="00184456" w:rsidP="00DA34B8">
      <w:pPr>
        <w:pStyle w:val="Heading3"/>
        <w:rPr>
          <w:iCs/>
        </w:rPr>
      </w:pPr>
      <w:r w:rsidRPr="009845CF">
        <w:rPr>
          <w:rStyle w:val="Heading4Char"/>
        </w:rPr>
        <w:lastRenderedPageBreak/>
        <w:t xml:space="preserve">Just </w:t>
      </w:r>
      <w:r w:rsidR="00471075">
        <w:rPr>
          <w:rStyle w:val="Heading4Char"/>
        </w:rPr>
        <w:t>over</w:t>
      </w:r>
      <w:r w:rsidRPr="009845CF">
        <w:rPr>
          <w:rStyle w:val="Heading4Char"/>
        </w:rPr>
        <w:t xml:space="preserve"> </w:t>
      </w:r>
      <w:r w:rsidR="00471075">
        <w:rPr>
          <w:rStyle w:val="Heading4Char"/>
        </w:rPr>
        <w:t>56</w:t>
      </w:r>
      <w:r w:rsidR="00A96E4C" w:rsidRPr="009845CF">
        <w:rPr>
          <w:rStyle w:val="Heading4Char"/>
        </w:rPr>
        <w:t xml:space="preserve"> percent</w:t>
      </w:r>
      <w:r w:rsidR="00482393" w:rsidRPr="009845CF">
        <w:rPr>
          <w:rStyle w:val="Heading4Char"/>
        </w:rPr>
        <w:t xml:space="preserve"> of </w:t>
      </w:r>
      <w:r w:rsidR="009211DA">
        <w:rPr>
          <w:rStyle w:val="Heading4Char"/>
        </w:rPr>
        <w:t xml:space="preserve">Here </w:t>
      </w:r>
      <w:r w:rsidR="00304BE0">
        <w:rPr>
          <w:rStyle w:val="Heading4Char"/>
        </w:rPr>
        <w:t>Toitū</w:t>
      </w:r>
      <w:r w:rsidR="00482393" w:rsidRPr="009845CF">
        <w:rPr>
          <w:rStyle w:val="Heading4Char"/>
        </w:rPr>
        <w:t xml:space="preserve"> participants</w:t>
      </w:r>
      <w:r w:rsidR="00DE3816" w:rsidRPr="009845CF">
        <w:rPr>
          <w:rStyle w:val="Heading4Char"/>
        </w:rPr>
        <w:t xml:space="preserve"> (</w:t>
      </w:r>
      <w:r w:rsidR="009211DA">
        <w:rPr>
          <w:rStyle w:val="Heading4Char"/>
        </w:rPr>
        <w:t>258</w:t>
      </w:r>
      <w:r w:rsidR="00DE3816" w:rsidRPr="009845CF">
        <w:rPr>
          <w:rStyle w:val="Heading4Char"/>
        </w:rPr>
        <w:t>)</w:t>
      </w:r>
      <w:r w:rsidR="00482393" w:rsidRPr="009845CF">
        <w:rPr>
          <w:rStyle w:val="Heading4Char"/>
        </w:rPr>
        <w:t xml:space="preserve"> had a mental health related condition listed on their current medical </w:t>
      </w:r>
      <w:r w:rsidR="00EA3FCF" w:rsidRPr="009845CF">
        <w:rPr>
          <w:rStyle w:val="Heading4Char"/>
        </w:rPr>
        <w:t>certificate</w:t>
      </w:r>
      <w:r w:rsidR="00482393" w:rsidRPr="009845CF">
        <w:rPr>
          <w:rStyle w:val="Heading4Char"/>
        </w:rPr>
        <w:t xml:space="preserve"> at their </w:t>
      </w:r>
      <w:r w:rsidR="009211DA">
        <w:rPr>
          <w:rStyle w:val="Heading4Char"/>
        </w:rPr>
        <w:t>enrolment</w:t>
      </w:r>
      <w:r w:rsidR="00482393" w:rsidRPr="009845CF">
        <w:rPr>
          <w:rStyle w:val="Heading4Char"/>
        </w:rPr>
        <w:t xml:space="preserve"> date for </w:t>
      </w:r>
      <w:r w:rsidR="009211DA">
        <w:rPr>
          <w:rStyle w:val="Heading4Char"/>
        </w:rPr>
        <w:t xml:space="preserve">Here </w:t>
      </w:r>
      <w:r w:rsidR="00304BE0">
        <w:rPr>
          <w:rStyle w:val="Heading4Char"/>
        </w:rPr>
        <w:t>Toitū</w:t>
      </w:r>
      <w:r w:rsidR="00DE3816" w:rsidRPr="009845CF">
        <w:rPr>
          <w:rStyle w:val="Heading4Char"/>
        </w:rPr>
        <w:t>.</w:t>
      </w:r>
      <w:r w:rsidR="00922BDC" w:rsidRPr="00DA34B8">
        <w:rPr>
          <w:rStyle w:val="FootnoteReference"/>
          <w:iCs/>
        </w:rPr>
        <w:footnoteReference w:id="11"/>
      </w:r>
      <w:r w:rsidR="00482393" w:rsidRPr="00DA34B8">
        <w:rPr>
          <w:iCs/>
        </w:rPr>
        <w:t xml:space="preserve"> </w:t>
      </w:r>
    </w:p>
    <w:p w14:paraId="6BB64980" w14:textId="3F70C145" w:rsidR="00184456" w:rsidRPr="009845CF" w:rsidRDefault="00DA34B8" w:rsidP="00F113EF">
      <w:pPr>
        <w:rPr>
          <w:iCs/>
        </w:rPr>
      </w:pPr>
      <w:r>
        <w:rPr>
          <w:iCs/>
        </w:rPr>
        <w:t xml:space="preserve">Just over </w:t>
      </w:r>
      <w:r w:rsidR="009211DA">
        <w:rPr>
          <w:iCs/>
        </w:rPr>
        <w:t>13</w:t>
      </w:r>
      <w:r w:rsidR="00184456" w:rsidRPr="009845CF">
        <w:rPr>
          <w:iCs/>
        </w:rPr>
        <w:t xml:space="preserve"> percent of participants (</w:t>
      </w:r>
      <w:r w:rsidR="009211DA">
        <w:rPr>
          <w:iCs/>
        </w:rPr>
        <w:t>60</w:t>
      </w:r>
      <w:r w:rsidR="00184456" w:rsidRPr="009845CF">
        <w:rPr>
          <w:iCs/>
        </w:rPr>
        <w:t>) did not have any health conditions recorded in MSD’s systems</w:t>
      </w:r>
      <w:r w:rsidR="009211DA">
        <w:rPr>
          <w:iCs/>
        </w:rPr>
        <w:t>, but were on main benefit</w:t>
      </w:r>
      <w:r w:rsidR="00184456" w:rsidRPr="009845CF">
        <w:rPr>
          <w:iCs/>
        </w:rPr>
        <w:t xml:space="preserve">, while </w:t>
      </w:r>
      <w:r>
        <w:rPr>
          <w:iCs/>
        </w:rPr>
        <w:t>just over 11</w:t>
      </w:r>
      <w:r w:rsidR="00184456" w:rsidRPr="009845CF">
        <w:rPr>
          <w:iCs/>
        </w:rPr>
        <w:t xml:space="preserve"> percent of participants (</w:t>
      </w:r>
      <w:r w:rsidR="009211DA">
        <w:rPr>
          <w:iCs/>
        </w:rPr>
        <w:t>51</w:t>
      </w:r>
      <w:r w:rsidR="00184456" w:rsidRPr="009845CF">
        <w:rPr>
          <w:iCs/>
        </w:rPr>
        <w:t>) had a musculoskeletal or connective tissue disease recorded on their current medical certificate</w:t>
      </w:r>
      <w:r w:rsidR="0034369B">
        <w:rPr>
          <w:iCs/>
        </w:rPr>
        <w:t xml:space="preserve"> (Figure 8)</w:t>
      </w:r>
      <w:r w:rsidR="00184456" w:rsidRPr="009845CF">
        <w:rPr>
          <w:iCs/>
        </w:rPr>
        <w:t>.</w:t>
      </w:r>
    </w:p>
    <w:p w14:paraId="3F33418F" w14:textId="0A38FAB9" w:rsidR="008209CD" w:rsidRPr="00D70FB0" w:rsidRDefault="008209CD" w:rsidP="00D70FB0">
      <w:pPr>
        <w:pStyle w:val="Caption"/>
      </w:pPr>
      <w:bookmarkStart w:id="12" w:name="_Ref71640155"/>
      <w:r w:rsidRPr="009845CF">
        <w:t xml:space="preserve">Figure </w:t>
      </w:r>
      <w:fldSimple w:instr=" SEQ Figure \* ARABIC ">
        <w:r w:rsidR="0034369B">
          <w:rPr>
            <w:noProof/>
          </w:rPr>
          <w:t>8</w:t>
        </w:r>
      </w:fldSimple>
      <w:bookmarkEnd w:id="12"/>
      <w:r w:rsidRPr="009845CF">
        <w:t xml:space="preserve">: </w:t>
      </w:r>
      <w:r w:rsidR="00443840" w:rsidRPr="009845CF">
        <w:t>Selected h</w:t>
      </w:r>
      <w:r w:rsidR="00F26729" w:rsidRPr="009845CF">
        <w:t>ealth conditions</w:t>
      </w:r>
      <w:r w:rsidR="00184456" w:rsidRPr="009845CF">
        <w:t xml:space="preserve"> listed</w:t>
      </w:r>
      <w:r w:rsidR="00F26729" w:rsidRPr="009845CF">
        <w:t xml:space="preserve"> on</w:t>
      </w:r>
      <w:r w:rsidR="00184456" w:rsidRPr="009845CF">
        <w:t xml:space="preserve"> participants</w:t>
      </w:r>
      <w:r w:rsidR="00F26729" w:rsidRPr="009845CF">
        <w:t xml:space="preserve"> current medical certificate</w:t>
      </w:r>
      <w:r w:rsidR="00184456" w:rsidRPr="009845CF">
        <w:t>s</w:t>
      </w:r>
      <w:r w:rsidR="00FD3B74" w:rsidRPr="009845CF">
        <w:t xml:space="preserve"> as at their referral date.</w:t>
      </w:r>
    </w:p>
    <w:p w14:paraId="6E71AFE9" w14:textId="73603CED" w:rsidR="003E0279" w:rsidRDefault="009211DA" w:rsidP="00F113EF">
      <w:pPr>
        <w:rPr>
          <w:iCs/>
        </w:rPr>
      </w:pPr>
      <w:r>
        <w:rPr>
          <w:noProof/>
        </w:rPr>
        <w:drawing>
          <wp:inline distT="0" distB="0" distL="0" distR="0" wp14:anchorId="4E0E523F" wp14:editId="06A244AB">
            <wp:extent cx="5448300" cy="5324475"/>
            <wp:effectExtent l="0" t="0" r="0" b="0"/>
            <wp:docPr id="21" name="Chart 21">
              <a:extLst xmlns:a="http://schemas.openxmlformats.org/drawingml/2006/main">
                <a:ext uri="{FF2B5EF4-FFF2-40B4-BE49-F238E27FC236}">
                  <a16:creationId xmlns:a16="http://schemas.microsoft.com/office/drawing/2014/main" id="{6DD50169-7996-4C8E-8811-8FC1A4FE7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40077A" w14:textId="222311F7" w:rsidR="00184456" w:rsidRDefault="00184456" w:rsidP="00F113EF">
      <w:pPr>
        <w:rPr>
          <w:iCs/>
        </w:rPr>
      </w:pPr>
    </w:p>
    <w:p w14:paraId="367502B4" w14:textId="6C096F32" w:rsidR="00184456" w:rsidRDefault="00184456" w:rsidP="00F113EF">
      <w:pPr>
        <w:rPr>
          <w:iCs/>
        </w:rPr>
      </w:pPr>
    </w:p>
    <w:p w14:paraId="4D1D3ABD" w14:textId="36974938" w:rsidR="00516CF1" w:rsidRPr="00516CF1" w:rsidRDefault="005A1B10" w:rsidP="00DA34B8">
      <w:pPr>
        <w:pStyle w:val="Heading3"/>
      </w:pPr>
      <w:r>
        <w:lastRenderedPageBreak/>
        <w:t>Half of the</w:t>
      </w:r>
      <w:r w:rsidR="00516CF1" w:rsidRPr="000F1787">
        <w:t xml:space="preserve"> participants were successfully enrolled into the </w:t>
      </w:r>
      <w:r>
        <w:t xml:space="preserve">Here </w:t>
      </w:r>
      <w:r w:rsidR="00304BE0">
        <w:t>Toitū</w:t>
      </w:r>
      <w:r w:rsidR="00516CF1" w:rsidRPr="000F1787">
        <w:t xml:space="preserve"> service within </w:t>
      </w:r>
      <w:r>
        <w:t>30</w:t>
      </w:r>
      <w:r w:rsidR="00516CF1" w:rsidRPr="000F1787">
        <w:t xml:space="preserve"> days of referral</w:t>
      </w:r>
      <w:r w:rsidR="00516CF1">
        <w:t>.</w:t>
      </w:r>
    </w:p>
    <w:p w14:paraId="651A4138" w14:textId="09C8F699" w:rsidR="00E816C4" w:rsidRDefault="005C6713" w:rsidP="00E816C4">
      <w:pPr>
        <w:rPr>
          <w:iCs/>
        </w:rPr>
      </w:pPr>
      <w:r w:rsidRPr="00DD63F8">
        <w:rPr>
          <w:iCs/>
        </w:rPr>
        <w:t xml:space="preserve">Just </w:t>
      </w:r>
      <w:r w:rsidR="00DD63F8" w:rsidRPr="00DD63F8">
        <w:rPr>
          <w:iCs/>
        </w:rPr>
        <w:t>over</w:t>
      </w:r>
      <w:r w:rsidRPr="00DD63F8">
        <w:rPr>
          <w:iCs/>
        </w:rPr>
        <w:t xml:space="preserve"> </w:t>
      </w:r>
      <w:r w:rsidR="00CB31D8" w:rsidRPr="00DD63F8">
        <w:rPr>
          <w:iCs/>
        </w:rPr>
        <w:t>h</w:t>
      </w:r>
      <w:r w:rsidR="00516CF1" w:rsidRPr="00DD63F8">
        <w:rPr>
          <w:iCs/>
        </w:rPr>
        <w:t>alf of the participants</w:t>
      </w:r>
      <w:r w:rsidR="00563FAB" w:rsidRPr="00DD63F8">
        <w:rPr>
          <w:iCs/>
        </w:rPr>
        <w:t xml:space="preserve"> </w:t>
      </w:r>
      <w:r w:rsidR="00DD63F8" w:rsidRPr="00DD63F8">
        <w:rPr>
          <w:iCs/>
        </w:rPr>
        <w:t>(231)</w:t>
      </w:r>
      <w:r w:rsidR="00516CF1" w:rsidRPr="00DD63F8">
        <w:rPr>
          <w:iCs/>
        </w:rPr>
        <w:t xml:space="preserve"> </w:t>
      </w:r>
      <w:r w:rsidR="00AC2988" w:rsidRPr="00DD63F8">
        <w:rPr>
          <w:iCs/>
        </w:rPr>
        <w:t xml:space="preserve">were enrolled </w:t>
      </w:r>
      <w:r w:rsidR="00DD63F8" w:rsidRPr="00DD63F8">
        <w:rPr>
          <w:iCs/>
        </w:rPr>
        <w:t>within 30</w:t>
      </w:r>
      <w:r w:rsidR="00516CF1" w:rsidRPr="00DD63F8">
        <w:rPr>
          <w:iCs/>
        </w:rPr>
        <w:t xml:space="preserve"> days </w:t>
      </w:r>
      <w:r w:rsidR="00AC2988" w:rsidRPr="00DD63F8">
        <w:rPr>
          <w:iCs/>
        </w:rPr>
        <w:t>after referral</w:t>
      </w:r>
      <w:r w:rsidR="00CA27DF" w:rsidRPr="00DD63F8">
        <w:rPr>
          <w:iCs/>
        </w:rPr>
        <w:t xml:space="preserve"> </w:t>
      </w:r>
      <w:r w:rsidR="00AC2988" w:rsidRPr="00DD63F8">
        <w:rPr>
          <w:iCs/>
        </w:rPr>
        <w:t>to</w:t>
      </w:r>
      <w:r w:rsidR="00516CF1" w:rsidRPr="00DD63F8">
        <w:rPr>
          <w:iCs/>
        </w:rPr>
        <w:t xml:space="preserve"> </w:t>
      </w:r>
      <w:r w:rsidR="00DD63F8" w:rsidRPr="00DD63F8">
        <w:rPr>
          <w:iCs/>
        </w:rPr>
        <w:t xml:space="preserve">Here </w:t>
      </w:r>
      <w:r w:rsidR="00304BE0">
        <w:rPr>
          <w:iCs/>
        </w:rPr>
        <w:t>Toitū</w:t>
      </w:r>
      <w:r w:rsidR="00DD63F8" w:rsidRPr="00DD63F8">
        <w:rPr>
          <w:iCs/>
        </w:rPr>
        <w:t xml:space="preserve"> (Figure </w:t>
      </w:r>
      <w:r w:rsidR="0034369B">
        <w:rPr>
          <w:iCs/>
        </w:rPr>
        <w:t>9</w:t>
      </w:r>
      <w:r w:rsidR="00DD63F8" w:rsidRPr="00DD63F8">
        <w:rPr>
          <w:iCs/>
        </w:rPr>
        <w:t>)</w:t>
      </w:r>
      <w:r w:rsidR="00516CF1" w:rsidRPr="00DD63F8">
        <w:rPr>
          <w:iCs/>
        </w:rPr>
        <w:t xml:space="preserve">. </w:t>
      </w:r>
      <w:r w:rsidR="00E816C4" w:rsidRPr="00DD63F8">
        <w:rPr>
          <w:iCs/>
        </w:rPr>
        <w:t xml:space="preserve">The median time between referral to enrolment was </w:t>
      </w:r>
      <w:r w:rsidR="00DD63F8" w:rsidRPr="00DD63F8">
        <w:rPr>
          <w:iCs/>
        </w:rPr>
        <w:t>29.5</w:t>
      </w:r>
      <w:r w:rsidR="00E816C4" w:rsidRPr="00DD63F8">
        <w:rPr>
          <w:iCs/>
        </w:rPr>
        <w:t xml:space="preserve"> days. </w:t>
      </w:r>
      <w:r w:rsidR="00DD63F8" w:rsidRPr="00DD63F8">
        <w:rPr>
          <w:iCs/>
        </w:rPr>
        <w:t xml:space="preserve">Just under eight percent of participants (36) waited 120 days or more between referral and enrolment. </w:t>
      </w:r>
      <w:r w:rsidR="002C3EB2" w:rsidRPr="00DD63F8">
        <w:rPr>
          <w:iCs/>
        </w:rPr>
        <w:t xml:space="preserve">Reasons for </w:t>
      </w:r>
      <w:r w:rsidR="00AC2988" w:rsidRPr="00DD63F8">
        <w:rPr>
          <w:iCs/>
        </w:rPr>
        <w:t xml:space="preserve">the delay between referral and enrolment for </w:t>
      </w:r>
      <w:r w:rsidR="002C3EB2" w:rsidRPr="00DD63F8">
        <w:rPr>
          <w:iCs/>
        </w:rPr>
        <w:t xml:space="preserve">this group </w:t>
      </w:r>
      <w:r w:rsidR="00AC2988" w:rsidRPr="00DD63F8">
        <w:rPr>
          <w:iCs/>
        </w:rPr>
        <w:t>are not provided</w:t>
      </w:r>
      <w:r w:rsidR="00205501" w:rsidRPr="00DD63F8">
        <w:rPr>
          <w:iCs/>
        </w:rPr>
        <w:t xml:space="preserve"> directly in the data.</w:t>
      </w:r>
      <w:r w:rsidR="009B0817" w:rsidRPr="00DD63F8">
        <w:rPr>
          <w:iCs/>
        </w:rPr>
        <w:t xml:space="preserve"> However, some possible reasons</w:t>
      </w:r>
      <w:r w:rsidR="00CA27DF" w:rsidRPr="00DD63F8">
        <w:rPr>
          <w:iCs/>
        </w:rPr>
        <w:t xml:space="preserve"> </w:t>
      </w:r>
      <w:r w:rsidR="00004829">
        <w:rPr>
          <w:iCs/>
        </w:rPr>
        <w:t>are</w:t>
      </w:r>
      <w:r w:rsidR="002C3EB2" w:rsidRPr="00DD63F8">
        <w:rPr>
          <w:iCs/>
        </w:rPr>
        <w:t xml:space="preserve">: COVID-19 impacts, </w:t>
      </w:r>
      <w:r w:rsidR="00AC2988" w:rsidRPr="00DD63F8">
        <w:rPr>
          <w:iCs/>
        </w:rPr>
        <w:t xml:space="preserve">the </w:t>
      </w:r>
      <w:r w:rsidR="002C3EB2" w:rsidRPr="00DD63F8">
        <w:rPr>
          <w:iCs/>
        </w:rPr>
        <w:t>triage</w:t>
      </w:r>
      <w:r w:rsidR="00AC2988" w:rsidRPr="00DD63F8">
        <w:rPr>
          <w:iCs/>
        </w:rPr>
        <w:t xml:space="preserve"> process</w:t>
      </w:r>
      <w:r w:rsidR="002C3EB2" w:rsidRPr="00DD63F8">
        <w:rPr>
          <w:iCs/>
        </w:rPr>
        <w:t xml:space="preserve">, and </w:t>
      </w:r>
      <w:r w:rsidR="00BE1A5A" w:rsidRPr="00DD63F8">
        <w:rPr>
          <w:iCs/>
        </w:rPr>
        <w:t xml:space="preserve">service </w:t>
      </w:r>
      <w:r w:rsidR="002C3EB2" w:rsidRPr="00DD63F8">
        <w:rPr>
          <w:iCs/>
        </w:rPr>
        <w:t>capacity.</w:t>
      </w:r>
    </w:p>
    <w:p w14:paraId="3B44DDA8" w14:textId="1D5B6345" w:rsidR="00E816C4" w:rsidRPr="00D70FB0" w:rsidRDefault="00E816C4" w:rsidP="00D70FB0">
      <w:pPr>
        <w:pStyle w:val="Caption"/>
      </w:pPr>
      <w:bookmarkStart w:id="13" w:name="_Ref71640630"/>
      <w:r w:rsidRPr="00D70FB0">
        <w:t xml:space="preserve">Figure </w:t>
      </w:r>
      <w:fldSimple w:instr=" SEQ Figure \* ARABIC ">
        <w:r w:rsidR="0034369B">
          <w:rPr>
            <w:noProof/>
          </w:rPr>
          <w:t>9</w:t>
        </w:r>
      </w:fldSimple>
      <w:bookmarkEnd w:id="13"/>
      <w:r w:rsidRPr="00D70FB0">
        <w:t>: Distribution of time from referral to enrolment.</w:t>
      </w:r>
    </w:p>
    <w:p w14:paraId="5F699A89" w14:textId="303CAFA9" w:rsidR="00FB3EA6" w:rsidRDefault="005A1B10" w:rsidP="00E816C4">
      <w:pPr>
        <w:rPr>
          <w:iCs/>
        </w:rPr>
      </w:pPr>
      <w:r>
        <w:rPr>
          <w:noProof/>
        </w:rPr>
        <w:drawing>
          <wp:inline distT="0" distB="0" distL="0" distR="0" wp14:anchorId="232BB1B3" wp14:editId="67BDB614">
            <wp:extent cx="4572000" cy="2743200"/>
            <wp:effectExtent l="0" t="0" r="0" b="0"/>
            <wp:docPr id="22" name="Chart 22">
              <a:extLst xmlns:a="http://schemas.openxmlformats.org/drawingml/2006/main">
                <a:ext uri="{FF2B5EF4-FFF2-40B4-BE49-F238E27FC236}">
                  <a16:creationId xmlns:a16="http://schemas.microsoft.com/office/drawing/2014/main" id="{1078F9A7-C18D-4DD1-8547-BD49C77730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1D4B3A" w14:textId="04DBC81D" w:rsidR="00490001" w:rsidRDefault="00490001" w:rsidP="00E816C4">
      <w:pPr>
        <w:rPr>
          <w:iCs/>
        </w:rPr>
      </w:pPr>
    </w:p>
    <w:p w14:paraId="7E98C46B" w14:textId="45B42C70" w:rsidR="00490001" w:rsidRDefault="00490001" w:rsidP="00E816C4">
      <w:pPr>
        <w:rPr>
          <w:iCs/>
        </w:rPr>
      </w:pPr>
    </w:p>
    <w:p w14:paraId="2C19B05C" w14:textId="708F93EF" w:rsidR="00490001" w:rsidRDefault="00490001" w:rsidP="00E816C4">
      <w:pPr>
        <w:rPr>
          <w:iCs/>
        </w:rPr>
      </w:pPr>
    </w:p>
    <w:p w14:paraId="4F2B21D9" w14:textId="44BE5C92" w:rsidR="00490001" w:rsidRDefault="00490001" w:rsidP="00E816C4">
      <w:pPr>
        <w:rPr>
          <w:iCs/>
        </w:rPr>
      </w:pPr>
    </w:p>
    <w:p w14:paraId="55F2259A" w14:textId="4599799C" w:rsidR="00490001" w:rsidRDefault="00490001" w:rsidP="00E816C4">
      <w:pPr>
        <w:rPr>
          <w:iCs/>
        </w:rPr>
      </w:pPr>
    </w:p>
    <w:p w14:paraId="2BDB2865" w14:textId="11A9728D" w:rsidR="00490001" w:rsidRDefault="00490001" w:rsidP="00E816C4">
      <w:pPr>
        <w:rPr>
          <w:iCs/>
        </w:rPr>
      </w:pPr>
    </w:p>
    <w:p w14:paraId="2C9C461E" w14:textId="023ABDE6" w:rsidR="00490001" w:rsidRDefault="00490001" w:rsidP="00E816C4">
      <w:pPr>
        <w:rPr>
          <w:iCs/>
        </w:rPr>
      </w:pPr>
    </w:p>
    <w:p w14:paraId="2293E198" w14:textId="1E42512D" w:rsidR="00490001" w:rsidRDefault="00490001" w:rsidP="00E816C4">
      <w:pPr>
        <w:rPr>
          <w:iCs/>
        </w:rPr>
      </w:pPr>
    </w:p>
    <w:p w14:paraId="7130E45E" w14:textId="7BB5CCC0" w:rsidR="00490001" w:rsidRDefault="00490001" w:rsidP="00E816C4">
      <w:pPr>
        <w:rPr>
          <w:iCs/>
        </w:rPr>
      </w:pPr>
    </w:p>
    <w:p w14:paraId="087CE374" w14:textId="3A2E9CCD" w:rsidR="00490001" w:rsidRDefault="00490001" w:rsidP="00E816C4">
      <w:pPr>
        <w:rPr>
          <w:iCs/>
        </w:rPr>
      </w:pPr>
    </w:p>
    <w:p w14:paraId="29423F23" w14:textId="6D7CF34F" w:rsidR="00490001" w:rsidRDefault="00490001" w:rsidP="00E816C4">
      <w:pPr>
        <w:rPr>
          <w:iCs/>
        </w:rPr>
      </w:pPr>
    </w:p>
    <w:p w14:paraId="6D8F167B" w14:textId="255E6565" w:rsidR="00490001" w:rsidRDefault="00490001" w:rsidP="00E816C4">
      <w:pPr>
        <w:rPr>
          <w:iCs/>
        </w:rPr>
      </w:pPr>
    </w:p>
    <w:p w14:paraId="31649F25" w14:textId="01B84892" w:rsidR="00490001" w:rsidRDefault="00490001" w:rsidP="00E816C4">
      <w:pPr>
        <w:rPr>
          <w:iCs/>
        </w:rPr>
      </w:pPr>
    </w:p>
    <w:p w14:paraId="15C4C8E2" w14:textId="77777777" w:rsidR="00443840" w:rsidRDefault="00443840" w:rsidP="00E816C4">
      <w:pPr>
        <w:rPr>
          <w:iCs/>
        </w:rPr>
      </w:pPr>
    </w:p>
    <w:p w14:paraId="5DA6C9A5" w14:textId="6292B866" w:rsidR="00490001" w:rsidRDefault="00490001" w:rsidP="00E816C4">
      <w:pPr>
        <w:rPr>
          <w:iCs/>
        </w:rPr>
      </w:pPr>
    </w:p>
    <w:p w14:paraId="36457F4D" w14:textId="47EF9896" w:rsidR="002A302A" w:rsidRPr="00D06541" w:rsidRDefault="00BA7637" w:rsidP="002A302A">
      <w:pPr>
        <w:pStyle w:val="Heading3"/>
      </w:pPr>
      <w:r w:rsidRPr="00D06541">
        <w:lastRenderedPageBreak/>
        <w:t xml:space="preserve">Following a referral, </w:t>
      </w:r>
      <w:r w:rsidR="00F3195E">
        <w:t>over</w:t>
      </w:r>
      <w:r w:rsidR="00DA34B8">
        <w:t xml:space="preserve"> half of the people referred (</w:t>
      </w:r>
      <w:r w:rsidR="00F3195E">
        <w:t>612</w:t>
      </w:r>
      <w:r w:rsidR="00DA34B8">
        <w:t>)</w:t>
      </w:r>
      <w:r w:rsidRPr="00D06541">
        <w:t xml:space="preserve"> did not participate in </w:t>
      </w:r>
      <w:bookmarkStart w:id="14" w:name="_Hlk114146501"/>
      <w:r w:rsidR="005A1B10">
        <w:t xml:space="preserve">Here </w:t>
      </w:r>
      <w:r w:rsidR="00304BE0">
        <w:t>Toitū</w:t>
      </w:r>
      <w:r w:rsidR="00CA27DF" w:rsidRPr="00D06541">
        <w:t>.</w:t>
      </w:r>
      <w:bookmarkEnd w:id="14"/>
    </w:p>
    <w:p w14:paraId="6A97BC69" w14:textId="51E55F61" w:rsidR="00BA7637" w:rsidRPr="00DA34B8" w:rsidRDefault="00BA7637" w:rsidP="00DA34B8">
      <w:r w:rsidRPr="00DA34B8">
        <w:t xml:space="preserve">Of these, </w:t>
      </w:r>
      <w:r w:rsidR="005A1B10" w:rsidRPr="00DA34B8">
        <w:t>4</w:t>
      </w:r>
      <w:r w:rsidR="00B02844">
        <w:t>3</w:t>
      </w:r>
      <w:r w:rsidRPr="00DA34B8">
        <w:t xml:space="preserve"> percent (</w:t>
      </w:r>
      <w:r w:rsidR="00B02844">
        <w:t>264</w:t>
      </w:r>
      <w:r w:rsidRPr="00DA34B8">
        <w:t>) were unable to be contacted</w:t>
      </w:r>
      <w:r w:rsidR="00DA34B8">
        <w:t>. The remaining 5</w:t>
      </w:r>
      <w:r w:rsidR="00B02844">
        <w:t>7</w:t>
      </w:r>
      <w:r w:rsidR="00DA34B8">
        <w:t xml:space="preserve"> percent </w:t>
      </w:r>
      <w:r w:rsidR="00DA34B8" w:rsidRPr="00DA34B8">
        <w:t>(</w:t>
      </w:r>
      <w:r w:rsidR="00B02844">
        <w:t>348</w:t>
      </w:r>
      <w:r w:rsidR="00DA34B8">
        <w:t>)</w:t>
      </w:r>
      <w:r w:rsidRPr="00DA34B8">
        <w:t xml:space="preserve"> </w:t>
      </w:r>
      <w:r w:rsidR="00AA2391" w:rsidRPr="00DA34B8">
        <w:t>did not</w:t>
      </w:r>
      <w:r w:rsidRPr="00DA34B8">
        <w:t xml:space="preserve"> participate </w:t>
      </w:r>
      <w:r w:rsidR="00AA2391" w:rsidRPr="00DA34B8">
        <w:t>because they either declined to participate or were declined by the service</w:t>
      </w:r>
      <w:r w:rsidR="00F656F8" w:rsidRPr="00DA34B8">
        <w:t xml:space="preserve"> after initial conversations</w:t>
      </w:r>
      <w:r w:rsidRPr="00DA34B8">
        <w:t>.</w:t>
      </w:r>
    </w:p>
    <w:p w14:paraId="667123BE" w14:textId="54EC4F8A" w:rsidR="000C14D4" w:rsidRPr="000C14D4" w:rsidRDefault="00BA7637" w:rsidP="00C93F90">
      <w:r w:rsidRPr="00D06541">
        <w:t xml:space="preserve">Just </w:t>
      </w:r>
      <w:r w:rsidR="005A1B10">
        <w:t>over 4</w:t>
      </w:r>
      <w:r w:rsidR="00B02844">
        <w:t>2</w:t>
      </w:r>
      <w:r w:rsidR="005A1B10">
        <w:t xml:space="preserve"> </w:t>
      </w:r>
      <w:r w:rsidRPr="00D06541">
        <w:t xml:space="preserve">percent </w:t>
      </w:r>
      <w:r w:rsidR="00DA34B8">
        <w:t>(14</w:t>
      </w:r>
      <w:r w:rsidR="00B02844">
        <w:t>7</w:t>
      </w:r>
      <w:r w:rsidR="00DA34B8">
        <w:t xml:space="preserve">) </w:t>
      </w:r>
      <w:r w:rsidRPr="00D06541">
        <w:t xml:space="preserve">of </w:t>
      </w:r>
      <w:r w:rsidR="00F656F8" w:rsidRPr="00D06541">
        <w:t>th</w:t>
      </w:r>
      <w:r w:rsidR="00004829">
        <w:t>e</w:t>
      </w:r>
      <w:r w:rsidR="0090378E" w:rsidRPr="00D06541">
        <w:t xml:space="preserve"> latter </w:t>
      </w:r>
      <w:r w:rsidR="00DC425C" w:rsidRPr="00D06541">
        <w:t>group chose</w:t>
      </w:r>
      <w:r w:rsidRPr="00D06541">
        <w:t xml:space="preserve"> not to participate</w:t>
      </w:r>
      <w:r w:rsidR="00DA34B8">
        <w:t xml:space="preserve">. </w:t>
      </w:r>
      <w:r w:rsidRPr="000C14D4">
        <w:t>This was followed by “</w:t>
      </w:r>
      <w:r w:rsidR="005A1B10">
        <w:t>not suitable for the service</w:t>
      </w:r>
      <w:r w:rsidRPr="000C14D4">
        <w:t>” (</w:t>
      </w:r>
      <w:r w:rsidR="00B02844">
        <w:t>19.0</w:t>
      </w:r>
      <w:r w:rsidRPr="000C14D4">
        <w:t xml:space="preserve"> percent, or </w:t>
      </w:r>
      <w:r w:rsidR="00DA34B8">
        <w:t>6</w:t>
      </w:r>
      <w:r w:rsidR="00B02844">
        <w:t>6</w:t>
      </w:r>
      <w:r w:rsidRPr="000C14D4">
        <w:t xml:space="preserve"> people) and “other reason</w:t>
      </w:r>
      <w:r w:rsidR="00A1309F" w:rsidRPr="000C14D4">
        <w:t>s</w:t>
      </w:r>
      <w:r w:rsidR="00B02844">
        <w:t xml:space="preserve"> for not participating</w:t>
      </w:r>
      <w:r w:rsidRPr="000C14D4">
        <w:t>” (</w:t>
      </w:r>
      <w:r w:rsidR="00B02844">
        <w:t>12.9</w:t>
      </w:r>
      <w:r w:rsidRPr="000C14D4">
        <w:t xml:space="preserve"> percent, or </w:t>
      </w:r>
      <w:r w:rsidR="00B02844">
        <w:t>45</w:t>
      </w:r>
      <w:r w:rsidRPr="000C14D4">
        <w:t xml:space="preserve"> people) (Table 1).</w:t>
      </w:r>
      <w:r w:rsidR="00F656F8" w:rsidRPr="000C14D4">
        <w:t xml:space="preserve"> </w:t>
      </w:r>
    </w:p>
    <w:p w14:paraId="04C00110" w14:textId="0BD0D3A7" w:rsidR="00BA7637" w:rsidRPr="00295EF7" w:rsidRDefault="00BA7637" w:rsidP="00BA7637">
      <w:pPr>
        <w:rPr>
          <w:b/>
          <w:bCs/>
          <w:iCs/>
          <w:sz w:val="18"/>
          <w:szCs w:val="20"/>
        </w:rPr>
      </w:pPr>
      <w:r w:rsidRPr="00295EF7">
        <w:rPr>
          <w:b/>
          <w:bCs/>
          <w:sz w:val="18"/>
          <w:szCs w:val="20"/>
        </w:rPr>
        <w:t xml:space="preserve">Table </w:t>
      </w:r>
      <w:r w:rsidRPr="00295EF7">
        <w:rPr>
          <w:b/>
          <w:bCs/>
          <w:sz w:val="18"/>
          <w:szCs w:val="20"/>
        </w:rPr>
        <w:fldChar w:fldCharType="begin"/>
      </w:r>
      <w:r w:rsidRPr="00295EF7">
        <w:rPr>
          <w:b/>
          <w:bCs/>
          <w:sz w:val="18"/>
          <w:szCs w:val="20"/>
        </w:rPr>
        <w:instrText xml:space="preserve"> SEQ Table \* ARABIC </w:instrText>
      </w:r>
      <w:r w:rsidRPr="00295EF7">
        <w:rPr>
          <w:b/>
          <w:bCs/>
          <w:sz w:val="18"/>
          <w:szCs w:val="20"/>
        </w:rPr>
        <w:fldChar w:fldCharType="separate"/>
      </w:r>
      <w:r w:rsidR="0034369B">
        <w:rPr>
          <w:b/>
          <w:bCs/>
          <w:noProof/>
          <w:sz w:val="18"/>
          <w:szCs w:val="20"/>
        </w:rPr>
        <w:t>1</w:t>
      </w:r>
      <w:r w:rsidRPr="00295EF7">
        <w:rPr>
          <w:b/>
          <w:bCs/>
          <w:sz w:val="18"/>
          <w:szCs w:val="20"/>
        </w:rPr>
        <w:fldChar w:fldCharType="end"/>
      </w:r>
      <w:r w:rsidRPr="00295EF7">
        <w:rPr>
          <w:b/>
          <w:bCs/>
          <w:sz w:val="18"/>
          <w:szCs w:val="20"/>
        </w:rPr>
        <w:t xml:space="preserve">: Reasons for not participating in </w:t>
      </w:r>
      <w:r w:rsidR="00811157" w:rsidRPr="00811157">
        <w:rPr>
          <w:b/>
          <w:bCs/>
          <w:sz w:val="18"/>
          <w:szCs w:val="20"/>
        </w:rPr>
        <w:t xml:space="preserve">Here Toitū </w:t>
      </w:r>
      <w:r w:rsidR="00490001">
        <w:rPr>
          <w:b/>
          <w:bCs/>
          <w:sz w:val="18"/>
          <w:szCs w:val="20"/>
        </w:rPr>
        <w:t>following a referral</w:t>
      </w:r>
      <w:r w:rsidR="00295EF7">
        <w:rPr>
          <w:b/>
          <w:bCs/>
          <w:sz w:val="18"/>
          <w:szCs w:val="20"/>
        </w:rPr>
        <w:t>.</w:t>
      </w:r>
    </w:p>
    <w:tbl>
      <w:tblPr>
        <w:tblStyle w:val="TableGrid"/>
        <w:tblW w:w="0" w:type="auto"/>
        <w:tblLook w:val="04A0" w:firstRow="1" w:lastRow="0" w:firstColumn="1" w:lastColumn="0" w:noHBand="0" w:noVBand="1"/>
      </w:tblPr>
      <w:tblGrid>
        <w:gridCol w:w="4673"/>
        <w:gridCol w:w="1217"/>
        <w:gridCol w:w="1417"/>
        <w:gridCol w:w="1417"/>
      </w:tblGrid>
      <w:tr w:rsidR="00295EF7" w:rsidRPr="00295EF7" w14:paraId="4F6AAC14" w14:textId="678E7258" w:rsidTr="00DA34B8">
        <w:tc>
          <w:tcPr>
            <w:tcW w:w="4673" w:type="dxa"/>
          </w:tcPr>
          <w:p w14:paraId="54F57C95" w14:textId="2FD76135" w:rsidR="00295EF7" w:rsidRPr="00295EF7" w:rsidRDefault="00295EF7" w:rsidP="00A1309F">
            <w:pPr>
              <w:rPr>
                <w:b/>
                <w:bCs/>
                <w:iCs/>
                <w:sz w:val="16"/>
                <w:szCs w:val="16"/>
              </w:rPr>
            </w:pPr>
            <w:r w:rsidRPr="00295EF7">
              <w:rPr>
                <w:b/>
                <w:bCs/>
                <w:iCs/>
                <w:sz w:val="16"/>
                <w:szCs w:val="16"/>
              </w:rPr>
              <w:t xml:space="preserve">Reason for not participating in </w:t>
            </w:r>
            <w:r w:rsidR="00811157" w:rsidRPr="00811157">
              <w:rPr>
                <w:b/>
                <w:bCs/>
                <w:iCs/>
                <w:sz w:val="16"/>
                <w:szCs w:val="16"/>
              </w:rPr>
              <w:t>Here Toitū</w:t>
            </w:r>
          </w:p>
        </w:tc>
        <w:tc>
          <w:tcPr>
            <w:tcW w:w="1217" w:type="dxa"/>
          </w:tcPr>
          <w:p w14:paraId="68B93BB0" w14:textId="77777777" w:rsidR="00295EF7" w:rsidRPr="00295EF7" w:rsidRDefault="00295EF7" w:rsidP="00A1309F">
            <w:pPr>
              <w:rPr>
                <w:b/>
                <w:bCs/>
                <w:iCs/>
                <w:sz w:val="16"/>
                <w:szCs w:val="16"/>
              </w:rPr>
            </w:pPr>
            <w:r w:rsidRPr="00295EF7">
              <w:rPr>
                <w:b/>
                <w:bCs/>
                <w:iCs/>
                <w:sz w:val="16"/>
                <w:szCs w:val="16"/>
              </w:rPr>
              <w:t>Number</w:t>
            </w:r>
          </w:p>
        </w:tc>
        <w:tc>
          <w:tcPr>
            <w:tcW w:w="1417" w:type="dxa"/>
          </w:tcPr>
          <w:p w14:paraId="2533CDCB" w14:textId="77777777" w:rsidR="00295EF7" w:rsidRPr="00295EF7" w:rsidRDefault="00295EF7" w:rsidP="00A1309F">
            <w:pPr>
              <w:rPr>
                <w:b/>
                <w:bCs/>
                <w:iCs/>
                <w:sz w:val="16"/>
                <w:szCs w:val="16"/>
              </w:rPr>
            </w:pPr>
            <w:r w:rsidRPr="00295EF7">
              <w:rPr>
                <w:b/>
                <w:bCs/>
                <w:iCs/>
                <w:sz w:val="16"/>
                <w:szCs w:val="16"/>
              </w:rPr>
              <w:t>Percentage</w:t>
            </w:r>
          </w:p>
        </w:tc>
        <w:tc>
          <w:tcPr>
            <w:tcW w:w="1417" w:type="dxa"/>
          </w:tcPr>
          <w:p w14:paraId="5EC59AC5" w14:textId="02935930" w:rsidR="00295EF7" w:rsidRPr="00295EF7" w:rsidRDefault="00295EF7" w:rsidP="00A1309F">
            <w:pPr>
              <w:rPr>
                <w:b/>
                <w:bCs/>
                <w:iCs/>
                <w:sz w:val="16"/>
                <w:szCs w:val="16"/>
              </w:rPr>
            </w:pPr>
            <w:r w:rsidRPr="00295EF7">
              <w:rPr>
                <w:b/>
                <w:bCs/>
                <w:iCs/>
                <w:sz w:val="16"/>
                <w:szCs w:val="16"/>
              </w:rPr>
              <w:t>Percentage of “declines”</w:t>
            </w:r>
          </w:p>
        </w:tc>
      </w:tr>
      <w:tr w:rsidR="00295EF7" w:rsidRPr="00295EF7" w14:paraId="45120B41" w14:textId="5DCF5A9F" w:rsidTr="00DA34B8">
        <w:tc>
          <w:tcPr>
            <w:tcW w:w="4673" w:type="dxa"/>
          </w:tcPr>
          <w:p w14:paraId="41FE494C" w14:textId="5F159EDF" w:rsidR="00295EF7" w:rsidRPr="00295EF7" w:rsidRDefault="00295EF7" w:rsidP="00A1309F">
            <w:pPr>
              <w:rPr>
                <w:b/>
                <w:bCs/>
                <w:iCs/>
                <w:sz w:val="16"/>
                <w:szCs w:val="16"/>
              </w:rPr>
            </w:pPr>
            <w:r w:rsidRPr="00295EF7">
              <w:rPr>
                <w:iCs/>
                <w:sz w:val="16"/>
                <w:szCs w:val="16"/>
              </w:rPr>
              <w:t>Unable to be contacted</w:t>
            </w:r>
          </w:p>
        </w:tc>
        <w:tc>
          <w:tcPr>
            <w:tcW w:w="1217" w:type="dxa"/>
          </w:tcPr>
          <w:p w14:paraId="534EB81C" w14:textId="59E66036" w:rsidR="00295EF7" w:rsidRPr="00B02844" w:rsidRDefault="00DA34B8" w:rsidP="00295EF7">
            <w:pPr>
              <w:rPr>
                <w:iCs/>
                <w:sz w:val="16"/>
                <w:szCs w:val="16"/>
              </w:rPr>
            </w:pPr>
            <w:r w:rsidRPr="00B02844">
              <w:rPr>
                <w:iCs/>
                <w:sz w:val="16"/>
                <w:szCs w:val="16"/>
              </w:rPr>
              <w:t>2</w:t>
            </w:r>
            <w:r w:rsidR="00B02844" w:rsidRPr="00B02844">
              <w:rPr>
                <w:iCs/>
                <w:sz w:val="16"/>
                <w:szCs w:val="16"/>
              </w:rPr>
              <w:t>64</w:t>
            </w:r>
          </w:p>
        </w:tc>
        <w:tc>
          <w:tcPr>
            <w:tcW w:w="1417" w:type="dxa"/>
          </w:tcPr>
          <w:p w14:paraId="0DF9D94D" w14:textId="4FA9DEFC" w:rsidR="00295EF7" w:rsidRPr="00B02844" w:rsidRDefault="00DA34B8" w:rsidP="00295EF7">
            <w:pPr>
              <w:rPr>
                <w:iCs/>
                <w:sz w:val="16"/>
                <w:szCs w:val="16"/>
              </w:rPr>
            </w:pPr>
            <w:r w:rsidRPr="00B02844">
              <w:rPr>
                <w:iCs/>
                <w:sz w:val="16"/>
                <w:szCs w:val="16"/>
              </w:rPr>
              <w:t>4</w:t>
            </w:r>
            <w:r w:rsidR="00B02844" w:rsidRPr="00B02844">
              <w:rPr>
                <w:iCs/>
                <w:sz w:val="16"/>
                <w:szCs w:val="16"/>
              </w:rPr>
              <w:t>3.1</w:t>
            </w:r>
            <w:r w:rsidRPr="00B02844">
              <w:rPr>
                <w:iCs/>
                <w:sz w:val="16"/>
                <w:szCs w:val="16"/>
              </w:rPr>
              <w:t>%</w:t>
            </w:r>
          </w:p>
        </w:tc>
        <w:tc>
          <w:tcPr>
            <w:tcW w:w="1417" w:type="dxa"/>
          </w:tcPr>
          <w:p w14:paraId="76D4648B" w14:textId="014B0632" w:rsidR="00295EF7" w:rsidRPr="00B02844" w:rsidRDefault="00295EF7" w:rsidP="00295EF7">
            <w:pPr>
              <w:rPr>
                <w:iCs/>
                <w:sz w:val="16"/>
                <w:szCs w:val="16"/>
              </w:rPr>
            </w:pPr>
            <w:r w:rsidRPr="00B02844">
              <w:rPr>
                <w:iCs/>
                <w:sz w:val="16"/>
                <w:szCs w:val="16"/>
              </w:rPr>
              <w:t>n/a</w:t>
            </w:r>
          </w:p>
        </w:tc>
      </w:tr>
      <w:tr w:rsidR="003440CE" w:rsidRPr="00295EF7" w14:paraId="0800F701" w14:textId="77777777" w:rsidTr="00DA34B8">
        <w:tc>
          <w:tcPr>
            <w:tcW w:w="4673" w:type="dxa"/>
          </w:tcPr>
          <w:p w14:paraId="1F53A14C" w14:textId="3CDA5596" w:rsidR="003440CE" w:rsidRPr="003440CE" w:rsidRDefault="003440CE" w:rsidP="00A1309F">
            <w:pPr>
              <w:rPr>
                <w:i/>
                <w:sz w:val="16"/>
                <w:szCs w:val="16"/>
              </w:rPr>
            </w:pPr>
            <w:r w:rsidRPr="003440CE">
              <w:rPr>
                <w:i/>
                <w:sz w:val="16"/>
                <w:szCs w:val="16"/>
              </w:rPr>
              <w:t>Decline</w:t>
            </w:r>
            <w:r w:rsidR="00AA2391">
              <w:rPr>
                <w:i/>
                <w:sz w:val="16"/>
                <w:szCs w:val="16"/>
              </w:rPr>
              <w:t>d to participate or were declined</w:t>
            </w:r>
          </w:p>
        </w:tc>
        <w:tc>
          <w:tcPr>
            <w:tcW w:w="1217" w:type="dxa"/>
          </w:tcPr>
          <w:p w14:paraId="665F96A1" w14:textId="3993D89B" w:rsidR="003440CE" w:rsidRPr="00B02844" w:rsidRDefault="00DA34B8" w:rsidP="00295EF7">
            <w:pPr>
              <w:rPr>
                <w:i/>
                <w:sz w:val="16"/>
                <w:szCs w:val="16"/>
              </w:rPr>
            </w:pPr>
            <w:r w:rsidRPr="00B02844">
              <w:rPr>
                <w:i/>
                <w:sz w:val="16"/>
                <w:szCs w:val="16"/>
              </w:rPr>
              <w:t>3</w:t>
            </w:r>
            <w:r w:rsidR="00B02844" w:rsidRPr="00B02844">
              <w:rPr>
                <w:i/>
                <w:sz w:val="16"/>
                <w:szCs w:val="16"/>
              </w:rPr>
              <w:t>48</w:t>
            </w:r>
          </w:p>
        </w:tc>
        <w:tc>
          <w:tcPr>
            <w:tcW w:w="1417" w:type="dxa"/>
          </w:tcPr>
          <w:p w14:paraId="7C229D43" w14:textId="2B76C5E7" w:rsidR="003440CE" w:rsidRPr="00B02844" w:rsidRDefault="00431899" w:rsidP="00295EF7">
            <w:pPr>
              <w:rPr>
                <w:i/>
                <w:sz w:val="16"/>
                <w:szCs w:val="16"/>
              </w:rPr>
            </w:pPr>
            <w:r w:rsidRPr="00B02844">
              <w:rPr>
                <w:i/>
                <w:sz w:val="16"/>
                <w:szCs w:val="16"/>
              </w:rPr>
              <w:t>5</w:t>
            </w:r>
            <w:r w:rsidR="00B02844" w:rsidRPr="00B02844">
              <w:rPr>
                <w:i/>
                <w:sz w:val="16"/>
                <w:szCs w:val="16"/>
              </w:rPr>
              <w:t>6.9</w:t>
            </w:r>
            <w:r w:rsidR="003440CE" w:rsidRPr="00B02844">
              <w:rPr>
                <w:i/>
                <w:sz w:val="16"/>
                <w:szCs w:val="16"/>
              </w:rPr>
              <w:t>%</w:t>
            </w:r>
          </w:p>
        </w:tc>
        <w:tc>
          <w:tcPr>
            <w:tcW w:w="1417" w:type="dxa"/>
          </w:tcPr>
          <w:p w14:paraId="56F8206E" w14:textId="52E3AA68" w:rsidR="003440CE" w:rsidRPr="00B02844" w:rsidRDefault="003440CE" w:rsidP="00295EF7">
            <w:pPr>
              <w:rPr>
                <w:i/>
                <w:sz w:val="16"/>
                <w:szCs w:val="16"/>
              </w:rPr>
            </w:pPr>
            <w:r w:rsidRPr="00B02844">
              <w:rPr>
                <w:i/>
                <w:sz w:val="16"/>
                <w:szCs w:val="16"/>
              </w:rPr>
              <w:t>100.0%</w:t>
            </w:r>
          </w:p>
        </w:tc>
      </w:tr>
      <w:tr w:rsidR="00295EF7" w:rsidRPr="00295EF7" w14:paraId="31B87505" w14:textId="4D222015" w:rsidTr="00DA34B8">
        <w:tc>
          <w:tcPr>
            <w:tcW w:w="4673" w:type="dxa"/>
            <w:vAlign w:val="center"/>
          </w:tcPr>
          <w:p w14:paraId="4A58521B" w14:textId="7DEBCBAF" w:rsidR="00295EF7" w:rsidRPr="00295EF7" w:rsidRDefault="003440CE" w:rsidP="00295EF7">
            <w:pPr>
              <w:rPr>
                <w:iCs/>
                <w:sz w:val="16"/>
                <w:szCs w:val="16"/>
              </w:rPr>
            </w:pPr>
            <w:r>
              <w:rPr>
                <w:color w:val="000000"/>
                <w:sz w:val="16"/>
                <w:szCs w:val="16"/>
              </w:rPr>
              <w:t xml:space="preserve">      </w:t>
            </w:r>
            <w:r w:rsidR="00295EF7" w:rsidRPr="00295EF7">
              <w:rPr>
                <w:color w:val="000000"/>
                <w:sz w:val="16"/>
                <w:szCs w:val="16"/>
              </w:rPr>
              <w:t>Chose not to participate</w:t>
            </w:r>
          </w:p>
        </w:tc>
        <w:tc>
          <w:tcPr>
            <w:tcW w:w="1217" w:type="dxa"/>
          </w:tcPr>
          <w:p w14:paraId="3952C3A7" w14:textId="437EBC8C" w:rsidR="00295EF7" w:rsidRPr="00B02844" w:rsidRDefault="00B02844" w:rsidP="00295EF7">
            <w:pPr>
              <w:rPr>
                <w:iCs/>
                <w:sz w:val="16"/>
                <w:szCs w:val="20"/>
              </w:rPr>
            </w:pPr>
            <w:r w:rsidRPr="00B02844">
              <w:rPr>
                <w:iCs/>
                <w:sz w:val="16"/>
                <w:szCs w:val="20"/>
              </w:rPr>
              <w:t>147</w:t>
            </w:r>
          </w:p>
        </w:tc>
        <w:tc>
          <w:tcPr>
            <w:tcW w:w="1417" w:type="dxa"/>
          </w:tcPr>
          <w:p w14:paraId="3728C273" w14:textId="637A2A1C" w:rsidR="00295EF7" w:rsidRPr="00B02844" w:rsidRDefault="00431899" w:rsidP="00295EF7">
            <w:pPr>
              <w:rPr>
                <w:iCs/>
                <w:sz w:val="16"/>
                <w:szCs w:val="20"/>
              </w:rPr>
            </w:pPr>
            <w:r w:rsidRPr="00B02844">
              <w:rPr>
                <w:iCs/>
                <w:sz w:val="16"/>
                <w:szCs w:val="20"/>
              </w:rPr>
              <w:t>2</w:t>
            </w:r>
            <w:r w:rsidR="00B02844" w:rsidRPr="00B02844">
              <w:rPr>
                <w:iCs/>
                <w:sz w:val="16"/>
                <w:szCs w:val="20"/>
              </w:rPr>
              <w:t>4.0</w:t>
            </w:r>
            <w:r w:rsidR="00295EF7" w:rsidRPr="00B02844">
              <w:rPr>
                <w:iCs/>
                <w:sz w:val="16"/>
                <w:szCs w:val="20"/>
              </w:rPr>
              <w:t>%</w:t>
            </w:r>
          </w:p>
        </w:tc>
        <w:tc>
          <w:tcPr>
            <w:tcW w:w="1417" w:type="dxa"/>
          </w:tcPr>
          <w:p w14:paraId="31359B93" w14:textId="6F5C7851" w:rsidR="00295EF7" w:rsidRPr="00B02844" w:rsidRDefault="00431899" w:rsidP="00295EF7">
            <w:pPr>
              <w:rPr>
                <w:sz w:val="16"/>
                <w:szCs w:val="20"/>
              </w:rPr>
            </w:pPr>
            <w:r w:rsidRPr="00B02844">
              <w:rPr>
                <w:sz w:val="16"/>
                <w:szCs w:val="20"/>
              </w:rPr>
              <w:t>4</w:t>
            </w:r>
            <w:r w:rsidR="00B02844" w:rsidRPr="00B02844">
              <w:rPr>
                <w:sz w:val="16"/>
                <w:szCs w:val="20"/>
              </w:rPr>
              <w:t>2.2</w:t>
            </w:r>
            <w:r w:rsidR="00295EF7" w:rsidRPr="00B02844">
              <w:rPr>
                <w:sz w:val="16"/>
                <w:szCs w:val="20"/>
              </w:rPr>
              <w:t>%</w:t>
            </w:r>
          </w:p>
        </w:tc>
      </w:tr>
      <w:tr w:rsidR="00DA34B8" w:rsidRPr="00295EF7" w14:paraId="03D0F8DB" w14:textId="77777777" w:rsidTr="00DA34B8">
        <w:tc>
          <w:tcPr>
            <w:tcW w:w="4673" w:type="dxa"/>
            <w:vAlign w:val="center"/>
          </w:tcPr>
          <w:p w14:paraId="7957845E" w14:textId="6C05F41E" w:rsidR="00DA34B8" w:rsidRDefault="00DA34B8" w:rsidP="00295EF7">
            <w:pPr>
              <w:rPr>
                <w:color w:val="000000"/>
                <w:sz w:val="16"/>
                <w:szCs w:val="16"/>
              </w:rPr>
            </w:pPr>
            <w:r>
              <w:rPr>
                <w:color w:val="000000"/>
                <w:sz w:val="16"/>
                <w:szCs w:val="16"/>
              </w:rPr>
              <w:t xml:space="preserve">      Not suitable for the service</w:t>
            </w:r>
          </w:p>
        </w:tc>
        <w:tc>
          <w:tcPr>
            <w:tcW w:w="1217" w:type="dxa"/>
          </w:tcPr>
          <w:p w14:paraId="2D7E0209" w14:textId="54414C2F" w:rsidR="00DA34B8" w:rsidRPr="00B02844" w:rsidRDefault="00B02844" w:rsidP="00295EF7">
            <w:pPr>
              <w:rPr>
                <w:sz w:val="16"/>
                <w:szCs w:val="20"/>
              </w:rPr>
            </w:pPr>
            <w:r w:rsidRPr="00B02844">
              <w:rPr>
                <w:sz w:val="16"/>
                <w:szCs w:val="20"/>
              </w:rPr>
              <w:t>66</w:t>
            </w:r>
          </w:p>
        </w:tc>
        <w:tc>
          <w:tcPr>
            <w:tcW w:w="1417" w:type="dxa"/>
          </w:tcPr>
          <w:p w14:paraId="5620DEB9" w14:textId="44454D57" w:rsidR="00DA34B8" w:rsidRPr="00B02844" w:rsidRDefault="00B02844" w:rsidP="00295EF7">
            <w:pPr>
              <w:rPr>
                <w:iCs/>
                <w:sz w:val="16"/>
                <w:szCs w:val="20"/>
              </w:rPr>
            </w:pPr>
            <w:r w:rsidRPr="00B02844">
              <w:rPr>
                <w:iCs/>
                <w:sz w:val="16"/>
                <w:szCs w:val="20"/>
              </w:rPr>
              <w:t>10.8</w:t>
            </w:r>
            <w:r w:rsidR="00DA34B8" w:rsidRPr="00B02844">
              <w:rPr>
                <w:iCs/>
                <w:sz w:val="16"/>
                <w:szCs w:val="20"/>
              </w:rPr>
              <w:t>%</w:t>
            </w:r>
          </w:p>
        </w:tc>
        <w:tc>
          <w:tcPr>
            <w:tcW w:w="1417" w:type="dxa"/>
          </w:tcPr>
          <w:p w14:paraId="460D35AD" w14:textId="17142893" w:rsidR="00DA34B8" w:rsidRPr="00B02844" w:rsidRDefault="00B02844" w:rsidP="00295EF7">
            <w:pPr>
              <w:rPr>
                <w:sz w:val="16"/>
                <w:szCs w:val="20"/>
              </w:rPr>
            </w:pPr>
            <w:r w:rsidRPr="00B02844">
              <w:rPr>
                <w:sz w:val="16"/>
                <w:szCs w:val="20"/>
              </w:rPr>
              <w:t>19.0</w:t>
            </w:r>
            <w:r w:rsidR="00DA34B8" w:rsidRPr="00B02844">
              <w:rPr>
                <w:sz w:val="16"/>
                <w:szCs w:val="20"/>
              </w:rPr>
              <w:t>%</w:t>
            </w:r>
          </w:p>
        </w:tc>
      </w:tr>
      <w:tr w:rsidR="00295EF7" w:rsidRPr="00295EF7" w14:paraId="5B7F78C5" w14:textId="709E16FD" w:rsidTr="00DA34B8">
        <w:tc>
          <w:tcPr>
            <w:tcW w:w="4673" w:type="dxa"/>
            <w:vAlign w:val="center"/>
          </w:tcPr>
          <w:p w14:paraId="0C6DFFFC" w14:textId="25090BDB" w:rsidR="00295EF7" w:rsidRPr="00295EF7" w:rsidRDefault="003440CE" w:rsidP="00295EF7">
            <w:pPr>
              <w:rPr>
                <w:iCs/>
                <w:sz w:val="16"/>
                <w:szCs w:val="16"/>
              </w:rPr>
            </w:pPr>
            <w:r>
              <w:rPr>
                <w:color w:val="000000"/>
                <w:sz w:val="16"/>
                <w:szCs w:val="16"/>
              </w:rPr>
              <w:t xml:space="preserve">      </w:t>
            </w:r>
            <w:r w:rsidR="00DA34B8">
              <w:rPr>
                <w:color w:val="000000"/>
                <w:sz w:val="16"/>
                <w:szCs w:val="16"/>
              </w:rPr>
              <w:t>Other reasons for not participating</w:t>
            </w:r>
          </w:p>
        </w:tc>
        <w:tc>
          <w:tcPr>
            <w:tcW w:w="1217" w:type="dxa"/>
          </w:tcPr>
          <w:p w14:paraId="73021EBE" w14:textId="07C4CBED" w:rsidR="00295EF7" w:rsidRPr="00B02844" w:rsidRDefault="00B02844" w:rsidP="00295EF7">
            <w:pPr>
              <w:rPr>
                <w:iCs/>
                <w:sz w:val="16"/>
                <w:szCs w:val="20"/>
              </w:rPr>
            </w:pPr>
            <w:r w:rsidRPr="00B02844">
              <w:rPr>
                <w:iCs/>
                <w:sz w:val="16"/>
                <w:szCs w:val="20"/>
              </w:rPr>
              <w:t>45</w:t>
            </w:r>
          </w:p>
        </w:tc>
        <w:tc>
          <w:tcPr>
            <w:tcW w:w="1417" w:type="dxa"/>
          </w:tcPr>
          <w:p w14:paraId="336241B5" w14:textId="108077EF" w:rsidR="00295EF7" w:rsidRPr="00B02844" w:rsidRDefault="00B02844" w:rsidP="00295EF7">
            <w:pPr>
              <w:rPr>
                <w:iCs/>
                <w:sz w:val="16"/>
                <w:szCs w:val="20"/>
              </w:rPr>
            </w:pPr>
            <w:r w:rsidRPr="00B02844">
              <w:rPr>
                <w:iCs/>
                <w:sz w:val="16"/>
                <w:szCs w:val="20"/>
              </w:rPr>
              <w:t>7.4</w:t>
            </w:r>
            <w:r w:rsidR="00295EF7" w:rsidRPr="00B02844">
              <w:rPr>
                <w:iCs/>
                <w:sz w:val="16"/>
                <w:szCs w:val="20"/>
              </w:rPr>
              <w:t>%</w:t>
            </w:r>
          </w:p>
        </w:tc>
        <w:tc>
          <w:tcPr>
            <w:tcW w:w="1417" w:type="dxa"/>
          </w:tcPr>
          <w:p w14:paraId="7BE4D7C6" w14:textId="4126E997" w:rsidR="00295EF7" w:rsidRPr="00B02844" w:rsidRDefault="00431899" w:rsidP="00295EF7">
            <w:pPr>
              <w:rPr>
                <w:sz w:val="16"/>
                <w:szCs w:val="20"/>
              </w:rPr>
            </w:pPr>
            <w:r w:rsidRPr="00B02844">
              <w:rPr>
                <w:sz w:val="16"/>
                <w:szCs w:val="20"/>
              </w:rPr>
              <w:t>1</w:t>
            </w:r>
            <w:r w:rsidR="00B02844" w:rsidRPr="00B02844">
              <w:rPr>
                <w:sz w:val="16"/>
                <w:szCs w:val="20"/>
              </w:rPr>
              <w:t>2.9</w:t>
            </w:r>
            <w:r w:rsidR="00295EF7" w:rsidRPr="00B02844">
              <w:rPr>
                <w:sz w:val="16"/>
                <w:szCs w:val="20"/>
              </w:rPr>
              <w:t>%</w:t>
            </w:r>
          </w:p>
        </w:tc>
      </w:tr>
      <w:tr w:rsidR="00295EF7" w:rsidRPr="00295EF7" w14:paraId="3A0693EF" w14:textId="1536CE7A" w:rsidTr="00DA34B8">
        <w:tc>
          <w:tcPr>
            <w:tcW w:w="4673" w:type="dxa"/>
            <w:vAlign w:val="center"/>
          </w:tcPr>
          <w:p w14:paraId="44490A5D" w14:textId="4985B8C1" w:rsidR="00295EF7" w:rsidRPr="00295EF7" w:rsidRDefault="003440CE" w:rsidP="00295EF7">
            <w:pPr>
              <w:rPr>
                <w:iCs/>
                <w:sz w:val="16"/>
                <w:szCs w:val="16"/>
              </w:rPr>
            </w:pPr>
            <w:r>
              <w:rPr>
                <w:color w:val="000000"/>
                <w:sz w:val="16"/>
                <w:szCs w:val="16"/>
              </w:rPr>
              <w:t xml:space="preserve">      </w:t>
            </w:r>
            <w:r w:rsidR="00DA34B8" w:rsidRPr="00DA34B8">
              <w:rPr>
                <w:color w:val="000000"/>
                <w:sz w:val="16"/>
                <w:szCs w:val="16"/>
              </w:rPr>
              <w:t>Wrong time to participate in the service</w:t>
            </w:r>
          </w:p>
        </w:tc>
        <w:tc>
          <w:tcPr>
            <w:tcW w:w="1217" w:type="dxa"/>
          </w:tcPr>
          <w:p w14:paraId="411F61BC" w14:textId="6F660987" w:rsidR="00295EF7" w:rsidRPr="00B02844" w:rsidRDefault="00DA34B8" w:rsidP="00295EF7">
            <w:pPr>
              <w:rPr>
                <w:iCs/>
                <w:sz w:val="16"/>
                <w:szCs w:val="20"/>
              </w:rPr>
            </w:pPr>
            <w:r w:rsidRPr="00B02844">
              <w:rPr>
                <w:iCs/>
                <w:sz w:val="16"/>
                <w:szCs w:val="20"/>
              </w:rPr>
              <w:t>33</w:t>
            </w:r>
          </w:p>
        </w:tc>
        <w:tc>
          <w:tcPr>
            <w:tcW w:w="1417" w:type="dxa"/>
          </w:tcPr>
          <w:p w14:paraId="6BF53BDE" w14:textId="35EABD7D" w:rsidR="00295EF7" w:rsidRPr="00B02844" w:rsidRDefault="00431899" w:rsidP="00295EF7">
            <w:pPr>
              <w:rPr>
                <w:iCs/>
                <w:sz w:val="16"/>
                <w:szCs w:val="20"/>
              </w:rPr>
            </w:pPr>
            <w:r w:rsidRPr="00B02844">
              <w:rPr>
                <w:iCs/>
                <w:sz w:val="16"/>
                <w:szCs w:val="20"/>
              </w:rPr>
              <w:t>5</w:t>
            </w:r>
            <w:r w:rsidR="00B02844" w:rsidRPr="00B02844">
              <w:rPr>
                <w:iCs/>
                <w:sz w:val="16"/>
                <w:szCs w:val="20"/>
              </w:rPr>
              <w:t>.4</w:t>
            </w:r>
            <w:r w:rsidR="00295EF7" w:rsidRPr="00B02844">
              <w:rPr>
                <w:iCs/>
                <w:sz w:val="16"/>
                <w:szCs w:val="20"/>
              </w:rPr>
              <w:t>%</w:t>
            </w:r>
          </w:p>
        </w:tc>
        <w:tc>
          <w:tcPr>
            <w:tcW w:w="1417" w:type="dxa"/>
          </w:tcPr>
          <w:p w14:paraId="729BE86C" w14:textId="49152AFC" w:rsidR="00295EF7" w:rsidRPr="00B02844" w:rsidRDefault="00431899" w:rsidP="00295EF7">
            <w:pPr>
              <w:rPr>
                <w:sz w:val="16"/>
                <w:szCs w:val="20"/>
              </w:rPr>
            </w:pPr>
            <w:r w:rsidRPr="00B02844">
              <w:rPr>
                <w:sz w:val="16"/>
                <w:szCs w:val="20"/>
              </w:rPr>
              <w:t>9.</w:t>
            </w:r>
            <w:r w:rsidR="00B02844" w:rsidRPr="00B02844">
              <w:rPr>
                <w:sz w:val="16"/>
                <w:szCs w:val="20"/>
              </w:rPr>
              <w:t>5</w:t>
            </w:r>
            <w:r w:rsidR="00295EF7" w:rsidRPr="00B02844">
              <w:rPr>
                <w:sz w:val="16"/>
                <w:szCs w:val="20"/>
              </w:rPr>
              <w:t>%</w:t>
            </w:r>
          </w:p>
        </w:tc>
      </w:tr>
      <w:tr w:rsidR="00295EF7" w:rsidRPr="00295EF7" w14:paraId="060FC6B0" w14:textId="623069B9" w:rsidTr="00DA34B8">
        <w:tc>
          <w:tcPr>
            <w:tcW w:w="4673" w:type="dxa"/>
            <w:vAlign w:val="center"/>
          </w:tcPr>
          <w:p w14:paraId="2965FB09" w14:textId="1B285DCA" w:rsidR="00295EF7" w:rsidRPr="00295EF7" w:rsidRDefault="003440CE" w:rsidP="00295EF7">
            <w:pPr>
              <w:rPr>
                <w:iCs/>
                <w:sz w:val="16"/>
                <w:szCs w:val="16"/>
              </w:rPr>
            </w:pPr>
            <w:r>
              <w:rPr>
                <w:color w:val="000000"/>
                <w:sz w:val="16"/>
                <w:szCs w:val="16"/>
              </w:rPr>
              <w:t xml:space="preserve">      </w:t>
            </w:r>
            <w:r w:rsidR="00DA34B8" w:rsidRPr="00DA34B8">
              <w:rPr>
                <w:color w:val="000000"/>
                <w:sz w:val="16"/>
                <w:szCs w:val="16"/>
              </w:rPr>
              <w:t xml:space="preserve">Employment goal(s) achieved prior to </w:t>
            </w:r>
            <w:r w:rsidR="00DA34B8">
              <w:rPr>
                <w:color w:val="000000"/>
                <w:sz w:val="16"/>
                <w:szCs w:val="16"/>
              </w:rPr>
              <w:t>e</w:t>
            </w:r>
            <w:r w:rsidR="00DA34B8" w:rsidRPr="00DA34B8">
              <w:rPr>
                <w:color w:val="000000"/>
                <w:sz w:val="16"/>
                <w:szCs w:val="16"/>
              </w:rPr>
              <w:t>nrolment</w:t>
            </w:r>
          </w:p>
        </w:tc>
        <w:tc>
          <w:tcPr>
            <w:tcW w:w="1217" w:type="dxa"/>
          </w:tcPr>
          <w:p w14:paraId="485C5F7C" w14:textId="4208C98F" w:rsidR="00295EF7" w:rsidRPr="00B02844" w:rsidRDefault="00DA34B8" w:rsidP="00295EF7">
            <w:pPr>
              <w:rPr>
                <w:iCs/>
                <w:sz w:val="16"/>
                <w:szCs w:val="20"/>
              </w:rPr>
            </w:pPr>
            <w:r w:rsidRPr="00B02844">
              <w:rPr>
                <w:iCs/>
                <w:sz w:val="16"/>
                <w:szCs w:val="20"/>
              </w:rPr>
              <w:t>24</w:t>
            </w:r>
          </w:p>
        </w:tc>
        <w:tc>
          <w:tcPr>
            <w:tcW w:w="1417" w:type="dxa"/>
          </w:tcPr>
          <w:p w14:paraId="1AC8025F" w14:textId="21D11F34" w:rsidR="00295EF7" w:rsidRPr="00B02844" w:rsidRDefault="00B02844" w:rsidP="00295EF7">
            <w:pPr>
              <w:rPr>
                <w:iCs/>
                <w:sz w:val="16"/>
                <w:szCs w:val="20"/>
              </w:rPr>
            </w:pPr>
            <w:r w:rsidRPr="00B02844">
              <w:rPr>
                <w:iCs/>
                <w:sz w:val="16"/>
                <w:szCs w:val="20"/>
              </w:rPr>
              <w:t>3.9</w:t>
            </w:r>
            <w:r w:rsidR="00295EF7" w:rsidRPr="00B02844">
              <w:rPr>
                <w:iCs/>
                <w:sz w:val="16"/>
                <w:szCs w:val="20"/>
              </w:rPr>
              <w:t>%</w:t>
            </w:r>
          </w:p>
        </w:tc>
        <w:tc>
          <w:tcPr>
            <w:tcW w:w="1417" w:type="dxa"/>
          </w:tcPr>
          <w:p w14:paraId="7654CD06" w14:textId="395CE197" w:rsidR="00295EF7" w:rsidRPr="00B02844" w:rsidRDefault="00B02844" w:rsidP="00295EF7">
            <w:pPr>
              <w:rPr>
                <w:sz w:val="16"/>
                <w:szCs w:val="20"/>
              </w:rPr>
            </w:pPr>
            <w:r w:rsidRPr="00B02844">
              <w:rPr>
                <w:sz w:val="16"/>
                <w:szCs w:val="20"/>
              </w:rPr>
              <w:t>6.9</w:t>
            </w:r>
            <w:r w:rsidR="00295EF7" w:rsidRPr="00B02844">
              <w:rPr>
                <w:sz w:val="16"/>
                <w:szCs w:val="20"/>
              </w:rPr>
              <w:t>%</w:t>
            </w:r>
          </w:p>
        </w:tc>
      </w:tr>
      <w:tr w:rsidR="00295EF7" w:rsidRPr="00295EF7" w14:paraId="41451793" w14:textId="2E4A51D2" w:rsidTr="00DA34B8">
        <w:tc>
          <w:tcPr>
            <w:tcW w:w="4673" w:type="dxa"/>
            <w:vAlign w:val="center"/>
          </w:tcPr>
          <w:p w14:paraId="26460F0D" w14:textId="07FA7CBB" w:rsidR="00295EF7" w:rsidRPr="00295EF7" w:rsidRDefault="003440CE" w:rsidP="00295EF7">
            <w:pPr>
              <w:rPr>
                <w:iCs/>
                <w:sz w:val="16"/>
                <w:szCs w:val="16"/>
              </w:rPr>
            </w:pPr>
            <w:r>
              <w:rPr>
                <w:color w:val="000000"/>
                <w:sz w:val="16"/>
                <w:szCs w:val="16"/>
              </w:rPr>
              <w:t xml:space="preserve">      </w:t>
            </w:r>
            <w:r w:rsidR="00DA34B8" w:rsidRPr="00DA34B8">
              <w:rPr>
                <w:color w:val="000000"/>
                <w:sz w:val="16"/>
                <w:szCs w:val="16"/>
              </w:rPr>
              <w:t>Not suitable for the service due to medical reasons</w:t>
            </w:r>
          </w:p>
        </w:tc>
        <w:tc>
          <w:tcPr>
            <w:tcW w:w="1217" w:type="dxa"/>
          </w:tcPr>
          <w:p w14:paraId="68BC39A4" w14:textId="592476D9" w:rsidR="00295EF7" w:rsidRPr="00B02844" w:rsidRDefault="00295EF7" w:rsidP="00295EF7">
            <w:pPr>
              <w:rPr>
                <w:iCs/>
                <w:sz w:val="16"/>
                <w:szCs w:val="20"/>
              </w:rPr>
            </w:pPr>
            <w:r w:rsidRPr="00B02844">
              <w:rPr>
                <w:sz w:val="16"/>
                <w:szCs w:val="20"/>
              </w:rPr>
              <w:t>1</w:t>
            </w:r>
            <w:r w:rsidR="00B02844" w:rsidRPr="00B02844">
              <w:rPr>
                <w:sz w:val="16"/>
                <w:szCs w:val="20"/>
              </w:rPr>
              <w:t>5</w:t>
            </w:r>
          </w:p>
        </w:tc>
        <w:tc>
          <w:tcPr>
            <w:tcW w:w="1417" w:type="dxa"/>
          </w:tcPr>
          <w:p w14:paraId="17FC3334" w14:textId="6994B650" w:rsidR="00295EF7" w:rsidRPr="00B02844" w:rsidRDefault="00B02844" w:rsidP="00295EF7">
            <w:pPr>
              <w:rPr>
                <w:iCs/>
                <w:sz w:val="16"/>
                <w:szCs w:val="20"/>
              </w:rPr>
            </w:pPr>
            <w:r w:rsidRPr="00B02844">
              <w:rPr>
                <w:iCs/>
                <w:sz w:val="16"/>
                <w:szCs w:val="20"/>
              </w:rPr>
              <w:t>2.5</w:t>
            </w:r>
            <w:r w:rsidR="00295EF7" w:rsidRPr="00B02844">
              <w:rPr>
                <w:iCs/>
                <w:sz w:val="16"/>
                <w:szCs w:val="20"/>
              </w:rPr>
              <w:t>%</w:t>
            </w:r>
          </w:p>
        </w:tc>
        <w:tc>
          <w:tcPr>
            <w:tcW w:w="1417" w:type="dxa"/>
          </w:tcPr>
          <w:p w14:paraId="7431BBD4" w14:textId="4B09CE5D" w:rsidR="00295EF7" w:rsidRPr="00B02844" w:rsidRDefault="00B02844" w:rsidP="00295EF7">
            <w:pPr>
              <w:rPr>
                <w:sz w:val="16"/>
                <w:szCs w:val="20"/>
              </w:rPr>
            </w:pPr>
            <w:r w:rsidRPr="00B02844">
              <w:rPr>
                <w:sz w:val="16"/>
                <w:szCs w:val="20"/>
              </w:rPr>
              <w:t>4.3</w:t>
            </w:r>
            <w:r w:rsidR="00295EF7" w:rsidRPr="00B02844">
              <w:rPr>
                <w:sz w:val="16"/>
                <w:szCs w:val="20"/>
              </w:rPr>
              <w:t>%</w:t>
            </w:r>
          </w:p>
        </w:tc>
      </w:tr>
      <w:tr w:rsidR="00295EF7" w:rsidRPr="00295EF7" w14:paraId="2442F11C" w14:textId="32FFAC5A" w:rsidTr="00DA34B8">
        <w:tc>
          <w:tcPr>
            <w:tcW w:w="4673" w:type="dxa"/>
            <w:vAlign w:val="center"/>
          </w:tcPr>
          <w:p w14:paraId="12A63966" w14:textId="4386B6FC" w:rsidR="00295EF7" w:rsidRPr="00295EF7" w:rsidRDefault="003440CE" w:rsidP="00295EF7">
            <w:pPr>
              <w:rPr>
                <w:iCs/>
                <w:sz w:val="16"/>
                <w:szCs w:val="16"/>
              </w:rPr>
            </w:pPr>
            <w:r>
              <w:rPr>
                <w:color w:val="000000"/>
                <w:sz w:val="16"/>
                <w:szCs w:val="16"/>
              </w:rPr>
              <w:t xml:space="preserve">      </w:t>
            </w:r>
            <w:r w:rsidR="00DA34B8" w:rsidRPr="00DA34B8">
              <w:rPr>
                <w:color w:val="000000"/>
                <w:sz w:val="16"/>
                <w:szCs w:val="16"/>
              </w:rPr>
              <w:t>Settled in education/training</w:t>
            </w:r>
          </w:p>
        </w:tc>
        <w:tc>
          <w:tcPr>
            <w:tcW w:w="1217" w:type="dxa"/>
          </w:tcPr>
          <w:p w14:paraId="0DF4AD1D" w14:textId="2C81DF8F" w:rsidR="00295EF7" w:rsidRPr="00B02844" w:rsidRDefault="00B02844" w:rsidP="00295EF7">
            <w:pPr>
              <w:rPr>
                <w:iCs/>
                <w:sz w:val="16"/>
                <w:szCs w:val="20"/>
              </w:rPr>
            </w:pPr>
            <w:r w:rsidRPr="00B02844">
              <w:rPr>
                <w:iCs/>
                <w:sz w:val="16"/>
                <w:szCs w:val="20"/>
              </w:rPr>
              <w:t>9</w:t>
            </w:r>
          </w:p>
        </w:tc>
        <w:tc>
          <w:tcPr>
            <w:tcW w:w="1417" w:type="dxa"/>
          </w:tcPr>
          <w:p w14:paraId="7EA1E7B4" w14:textId="20A66ABA" w:rsidR="00295EF7" w:rsidRPr="00B02844" w:rsidRDefault="00431899" w:rsidP="00295EF7">
            <w:pPr>
              <w:rPr>
                <w:iCs/>
                <w:sz w:val="16"/>
                <w:szCs w:val="20"/>
              </w:rPr>
            </w:pPr>
            <w:r w:rsidRPr="00B02844">
              <w:rPr>
                <w:iCs/>
                <w:sz w:val="16"/>
                <w:szCs w:val="20"/>
              </w:rPr>
              <w:t>1.</w:t>
            </w:r>
            <w:r w:rsidR="00B02844" w:rsidRPr="00B02844">
              <w:rPr>
                <w:iCs/>
                <w:sz w:val="16"/>
                <w:szCs w:val="20"/>
              </w:rPr>
              <w:t>5</w:t>
            </w:r>
            <w:r w:rsidR="00295EF7" w:rsidRPr="00B02844">
              <w:rPr>
                <w:iCs/>
                <w:sz w:val="16"/>
                <w:szCs w:val="20"/>
              </w:rPr>
              <w:t>%</w:t>
            </w:r>
          </w:p>
        </w:tc>
        <w:tc>
          <w:tcPr>
            <w:tcW w:w="1417" w:type="dxa"/>
          </w:tcPr>
          <w:p w14:paraId="1583C7BF" w14:textId="1AC2D892" w:rsidR="00295EF7" w:rsidRPr="00B02844" w:rsidRDefault="00B02844" w:rsidP="00295EF7">
            <w:pPr>
              <w:rPr>
                <w:sz w:val="16"/>
                <w:szCs w:val="20"/>
              </w:rPr>
            </w:pPr>
            <w:r w:rsidRPr="00B02844">
              <w:rPr>
                <w:sz w:val="16"/>
                <w:szCs w:val="20"/>
              </w:rPr>
              <w:t>2.6</w:t>
            </w:r>
            <w:r w:rsidR="00295EF7" w:rsidRPr="00B02844">
              <w:rPr>
                <w:sz w:val="16"/>
                <w:szCs w:val="20"/>
              </w:rPr>
              <w:t>%</w:t>
            </w:r>
          </w:p>
        </w:tc>
      </w:tr>
      <w:tr w:rsidR="00295EF7" w:rsidRPr="00295EF7" w14:paraId="1D6F35D2" w14:textId="7B92B610" w:rsidTr="00DA34B8">
        <w:tc>
          <w:tcPr>
            <w:tcW w:w="4673" w:type="dxa"/>
            <w:vAlign w:val="center"/>
          </w:tcPr>
          <w:p w14:paraId="37287772" w14:textId="6F34DCAB" w:rsidR="00295EF7" w:rsidRPr="00295EF7" w:rsidRDefault="003440CE" w:rsidP="00295EF7">
            <w:pPr>
              <w:rPr>
                <w:iCs/>
                <w:sz w:val="16"/>
                <w:szCs w:val="16"/>
              </w:rPr>
            </w:pPr>
            <w:r>
              <w:rPr>
                <w:color w:val="000000"/>
                <w:sz w:val="16"/>
                <w:szCs w:val="16"/>
              </w:rPr>
              <w:t xml:space="preserve">      </w:t>
            </w:r>
            <w:r w:rsidR="00DA34B8" w:rsidRPr="00DA34B8">
              <w:rPr>
                <w:color w:val="000000"/>
                <w:sz w:val="16"/>
                <w:szCs w:val="16"/>
              </w:rPr>
              <w:t>Other services more appropriate</w:t>
            </w:r>
          </w:p>
        </w:tc>
        <w:tc>
          <w:tcPr>
            <w:tcW w:w="1217" w:type="dxa"/>
          </w:tcPr>
          <w:p w14:paraId="267B13B4" w14:textId="3F657458" w:rsidR="00295EF7" w:rsidRPr="00B02844" w:rsidRDefault="00B02844" w:rsidP="00295EF7">
            <w:pPr>
              <w:rPr>
                <w:iCs/>
                <w:sz w:val="16"/>
                <w:szCs w:val="20"/>
              </w:rPr>
            </w:pPr>
            <w:r w:rsidRPr="00B02844">
              <w:rPr>
                <w:iCs/>
                <w:sz w:val="16"/>
                <w:szCs w:val="20"/>
              </w:rPr>
              <w:t>9</w:t>
            </w:r>
          </w:p>
        </w:tc>
        <w:tc>
          <w:tcPr>
            <w:tcW w:w="1417" w:type="dxa"/>
          </w:tcPr>
          <w:p w14:paraId="5AAF9836" w14:textId="13C87C30" w:rsidR="00295EF7" w:rsidRPr="00B02844" w:rsidRDefault="00431899" w:rsidP="00295EF7">
            <w:pPr>
              <w:rPr>
                <w:iCs/>
                <w:sz w:val="16"/>
                <w:szCs w:val="20"/>
              </w:rPr>
            </w:pPr>
            <w:r w:rsidRPr="00B02844">
              <w:rPr>
                <w:iCs/>
                <w:sz w:val="16"/>
                <w:szCs w:val="20"/>
              </w:rPr>
              <w:t>1.</w:t>
            </w:r>
            <w:r w:rsidR="00B02844" w:rsidRPr="00B02844">
              <w:rPr>
                <w:iCs/>
                <w:sz w:val="16"/>
                <w:szCs w:val="20"/>
              </w:rPr>
              <w:t>5</w:t>
            </w:r>
            <w:r w:rsidR="00295EF7" w:rsidRPr="00B02844">
              <w:rPr>
                <w:iCs/>
                <w:sz w:val="16"/>
                <w:szCs w:val="20"/>
              </w:rPr>
              <w:t>%</w:t>
            </w:r>
          </w:p>
        </w:tc>
        <w:tc>
          <w:tcPr>
            <w:tcW w:w="1417" w:type="dxa"/>
          </w:tcPr>
          <w:p w14:paraId="465F6F2F" w14:textId="3BE3EE6F" w:rsidR="00295EF7" w:rsidRPr="00B02844" w:rsidRDefault="00B02844" w:rsidP="00295EF7">
            <w:pPr>
              <w:rPr>
                <w:sz w:val="16"/>
                <w:szCs w:val="20"/>
              </w:rPr>
            </w:pPr>
            <w:r w:rsidRPr="00B02844">
              <w:rPr>
                <w:sz w:val="16"/>
                <w:szCs w:val="20"/>
              </w:rPr>
              <w:t>2.6</w:t>
            </w:r>
            <w:r w:rsidR="00295EF7" w:rsidRPr="00B02844">
              <w:rPr>
                <w:sz w:val="16"/>
                <w:szCs w:val="20"/>
              </w:rPr>
              <w:t>%</w:t>
            </w:r>
          </w:p>
        </w:tc>
      </w:tr>
      <w:tr w:rsidR="00295EF7" w14:paraId="2E362E3D" w14:textId="3ADE8578" w:rsidTr="00DA34B8">
        <w:tc>
          <w:tcPr>
            <w:tcW w:w="4673" w:type="dxa"/>
          </w:tcPr>
          <w:p w14:paraId="68F1FC9F" w14:textId="0A38D1CF" w:rsidR="00295EF7" w:rsidRPr="00295EF7" w:rsidRDefault="00295EF7" w:rsidP="00295EF7">
            <w:pPr>
              <w:rPr>
                <w:b/>
                <w:bCs/>
                <w:iCs/>
                <w:sz w:val="16"/>
                <w:szCs w:val="16"/>
              </w:rPr>
            </w:pPr>
            <w:r w:rsidRPr="00295EF7">
              <w:rPr>
                <w:b/>
                <w:bCs/>
                <w:iCs/>
                <w:sz w:val="16"/>
                <w:szCs w:val="16"/>
              </w:rPr>
              <w:t>Total</w:t>
            </w:r>
          </w:p>
        </w:tc>
        <w:tc>
          <w:tcPr>
            <w:tcW w:w="1217" w:type="dxa"/>
          </w:tcPr>
          <w:p w14:paraId="26755148" w14:textId="7253652A" w:rsidR="00295EF7" w:rsidRPr="00B02844" w:rsidRDefault="00B02844" w:rsidP="00295EF7">
            <w:pPr>
              <w:rPr>
                <w:b/>
                <w:bCs/>
                <w:iCs/>
                <w:sz w:val="16"/>
                <w:szCs w:val="16"/>
              </w:rPr>
            </w:pPr>
            <w:r w:rsidRPr="00B02844">
              <w:rPr>
                <w:b/>
                <w:bCs/>
                <w:iCs/>
                <w:sz w:val="16"/>
                <w:szCs w:val="16"/>
              </w:rPr>
              <w:t>612</w:t>
            </w:r>
          </w:p>
        </w:tc>
        <w:tc>
          <w:tcPr>
            <w:tcW w:w="1417" w:type="dxa"/>
          </w:tcPr>
          <w:p w14:paraId="7DBBF1BF" w14:textId="5914AE2E" w:rsidR="00295EF7" w:rsidRPr="00B02844" w:rsidRDefault="00295EF7" w:rsidP="00295EF7">
            <w:pPr>
              <w:rPr>
                <w:b/>
                <w:bCs/>
                <w:iCs/>
                <w:sz w:val="16"/>
                <w:szCs w:val="16"/>
              </w:rPr>
            </w:pPr>
            <w:r w:rsidRPr="00B02844">
              <w:rPr>
                <w:b/>
                <w:bCs/>
                <w:iCs/>
                <w:sz w:val="16"/>
                <w:szCs w:val="16"/>
              </w:rPr>
              <w:t>100%</w:t>
            </w:r>
          </w:p>
        </w:tc>
        <w:tc>
          <w:tcPr>
            <w:tcW w:w="1417" w:type="dxa"/>
          </w:tcPr>
          <w:p w14:paraId="05B32371" w14:textId="68A1A678" w:rsidR="00295EF7" w:rsidRPr="00B02844" w:rsidRDefault="00295EF7" w:rsidP="00295EF7">
            <w:pPr>
              <w:rPr>
                <w:b/>
                <w:bCs/>
                <w:iCs/>
                <w:sz w:val="16"/>
                <w:szCs w:val="16"/>
              </w:rPr>
            </w:pPr>
            <w:r w:rsidRPr="00B02844">
              <w:rPr>
                <w:b/>
                <w:bCs/>
                <w:iCs/>
                <w:sz w:val="16"/>
                <w:szCs w:val="16"/>
              </w:rPr>
              <w:t>100%</w:t>
            </w:r>
          </w:p>
        </w:tc>
      </w:tr>
    </w:tbl>
    <w:p w14:paraId="45A2EA06" w14:textId="448B2B2A" w:rsidR="003537D5" w:rsidRPr="00AA2391" w:rsidRDefault="00AA2391" w:rsidP="00C93F90">
      <w:pPr>
        <w:rPr>
          <w:sz w:val="16"/>
          <w:szCs w:val="18"/>
        </w:rPr>
      </w:pPr>
      <w:r w:rsidRPr="00AA2391">
        <w:rPr>
          <w:sz w:val="16"/>
          <w:szCs w:val="18"/>
        </w:rPr>
        <w:t>Note: Percentages may not add to 100 percent due to rounding.</w:t>
      </w:r>
    </w:p>
    <w:p w14:paraId="1BCD2833" w14:textId="08B431FC" w:rsidR="000C14D4" w:rsidRDefault="000C14D4" w:rsidP="00C93F90">
      <w:r w:rsidRPr="000C14D4">
        <w:t>Reasons may not be mutually exclusive; we recommend that clearer classifications are used in future to correctly capture the range of reasons those referred to the service may not ultimately take part.</w:t>
      </w:r>
    </w:p>
    <w:p w14:paraId="0D10A382" w14:textId="534AC2DE" w:rsidR="00B02844" w:rsidRDefault="000C14D4" w:rsidP="00B02844">
      <w:r>
        <w:t>Additionally</w:t>
      </w:r>
      <w:r w:rsidR="00295EF7">
        <w:t xml:space="preserve">, </w:t>
      </w:r>
      <w:r w:rsidR="00B02844">
        <w:t xml:space="preserve">we are limited by the data collected by providers and are unable to </w:t>
      </w:r>
      <w:r w:rsidR="00004829">
        <w:t>further investigate</w:t>
      </w:r>
      <w:r w:rsidR="00B02844">
        <w:t xml:space="preserve"> the specific circumstances which led to people being unable to be contacted, declining to participate, or being declined from the Here Toitū service. </w:t>
      </w:r>
    </w:p>
    <w:p w14:paraId="017D5F69" w14:textId="525D59F0" w:rsidR="003537D5" w:rsidRDefault="003537D5" w:rsidP="00C93F90"/>
    <w:p w14:paraId="45D3AE79" w14:textId="64D9346B" w:rsidR="003537D5" w:rsidRDefault="003537D5" w:rsidP="00C93F90"/>
    <w:p w14:paraId="7BBCCC40" w14:textId="14F4BC39" w:rsidR="003537D5" w:rsidRDefault="003537D5" w:rsidP="00C93F90"/>
    <w:p w14:paraId="0BE58BAF" w14:textId="002C7C2A" w:rsidR="003537D5" w:rsidRDefault="003537D5" w:rsidP="00C93F90"/>
    <w:p w14:paraId="45A40497" w14:textId="4805EF5A" w:rsidR="003537D5" w:rsidRDefault="003537D5" w:rsidP="00C93F90"/>
    <w:p w14:paraId="26BC1B99" w14:textId="77777777" w:rsidR="000C14D4" w:rsidRDefault="000C14D4" w:rsidP="00C93F90"/>
    <w:p w14:paraId="7B43E9D5" w14:textId="776E87D0" w:rsidR="003537D5" w:rsidRDefault="003537D5" w:rsidP="00C93F90"/>
    <w:p w14:paraId="665D2514" w14:textId="112EFC6A" w:rsidR="003537D5" w:rsidRDefault="003537D5" w:rsidP="00C93F90"/>
    <w:p w14:paraId="43318A1B" w14:textId="77777777" w:rsidR="00295EF7" w:rsidRDefault="00295EF7" w:rsidP="00C93F90"/>
    <w:p w14:paraId="302234CE" w14:textId="1DD51ECC" w:rsidR="003537D5" w:rsidRDefault="003537D5" w:rsidP="003537D5">
      <w:pPr>
        <w:pStyle w:val="Heading3"/>
      </w:pPr>
      <w:r>
        <w:lastRenderedPageBreak/>
        <w:t xml:space="preserve">As at the end of 2021, </w:t>
      </w:r>
      <w:r w:rsidR="00431899">
        <w:t>half of the</w:t>
      </w:r>
      <w:r>
        <w:t xml:space="preserve"> participants</w:t>
      </w:r>
      <w:r w:rsidR="00431899">
        <w:t xml:space="preserve"> (231)</w:t>
      </w:r>
      <w:r>
        <w:t xml:space="preserve"> had exited the </w:t>
      </w:r>
      <w:r w:rsidR="00431899">
        <w:t xml:space="preserve">Here </w:t>
      </w:r>
      <w:r w:rsidR="00304BE0">
        <w:t>Toitū</w:t>
      </w:r>
      <w:r>
        <w:t xml:space="preserve"> service.</w:t>
      </w:r>
    </w:p>
    <w:p w14:paraId="6C0EAC92" w14:textId="5E4D29AB" w:rsidR="003537D5" w:rsidRDefault="00EA3FCF" w:rsidP="00431899">
      <w:pPr>
        <w:rPr>
          <w:iCs/>
        </w:rPr>
      </w:pPr>
      <w:r w:rsidRPr="00431899">
        <w:rPr>
          <w:iCs/>
        </w:rPr>
        <w:t>Most</w:t>
      </w:r>
      <w:r w:rsidR="00A51B94" w:rsidRPr="00431899">
        <w:rPr>
          <w:iCs/>
        </w:rPr>
        <w:t xml:space="preserve"> </w:t>
      </w:r>
      <w:r w:rsidR="002D551C">
        <w:rPr>
          <w:iCs/>
        </w:rPr>
        <w:t xml:space="preserve">commonly, </w:t>
      </w:r>
      <w:r w:rsidR="00A51B94" w:rsidRPr="00431899">
        <w:rPr>
          <w:iCs/>
        </w:rPr>
        <w:t xml:space="preserve">exits were </w:t>
      </w:r>
      <w:r w:rsidR="003263A5" w:rsidRPr="00431899">
        <w:rPr>
          <w:iCs/>
        </w:rPr>
        <w:t>because the participant had achieved desired outcomes</w:t>
      </w:r>
      <w:r w:rsidR="00004829">
        <w:rPr>
          <w:iCs/>
        </w:rPr>
        <w:t xml:space="preserve"> (29.</w:t>
      </w:r>
      <w:r w:rsidR="007453E9">
        <w:rPr>
          <w:iCs/>
        </w:rPr>
        <w:t>9</w:t>
      </w:r>
      <w:r w:rsidR="00004829">
        <w:rPr>
          <w:iCs/>
        </w:rPr>
        <w:t xml:space="preserve"> percent, or 6</w:t>
      </w:r>
      <w:r w:rsidR="007453E9">
        <w:rPr>
          <w:iCs/>
        </w:rPr>
        <w:t>9</w:t>
      </w:r>
      <w:r w:rsidR="00004829">
        <w:rPr>
          <w:iCs/>
        </w:rPr>
        <w:t xml:space="preserve"> participants)</w:t>
      </w:r>
      <w:r w:rsidR="00A51B94" w:rsidRPr="00431899">
        <w:rPr>
          <w:iCs/>
        </w:rPr>
        <w:t xml:space="preserve"> </w:t>
      </w:r>
      <w:r w:rsidR="00431899" w:rsidRPr="00431899">
        <w:rPr>
          <w:iCs/>
        </w:rPr>
        <w:t xml:space="preserve">or completed service duration </w:t>
      </w:r>
      <w:r w:rsidR="003537D5" w:rsidRPr="00431899">
        <w:rPr>
          <w:iCs/>
        </w:rPr>
        <w:t>(</w:t>
      </w:r>
      <w:r w:rsidR="00004829">
        <w:rPr>
          <w:iCs/>
        </w:rPr>
        <w:t>18.</w:t>
      </w:r>
      <w:r w:rsidR="007453E9">
        <w:rPr>
          <w:iCs/>
        </w:rPr>
        <w:t>2</w:t>
      </w:r>
      <w:r w:rsidR="00A51B94" w:rsidRPr="00431899">
        <w:rPr>
          <w:iCs/>
        </w:rPr>
        <w:t xml:space="preserve"> percent</w:t>
      </w:r>
      <w:r w:rsidR="003537D5" w:rsidRPr="00431899">
        <w:rPr>
          <w:iCs/>
        </w:rPr>
        <w:t>, or</w:t>
      </w:r>
      <w:r w:rsidR="00004829">
        <w:rPr>
          <w:iCs/>
        </w:rPr>
        <w:t xml:space="preserve"> 4</w:t>
      </w:r>
      <w:r w:rsidR="007453E9">
        <w:rPr>
          <w:iCs/>
        </w:rPr>
        <w:t>2</w:t>
      </w:r>
      <w:r w:rsidR="003537D5" w:rsidRPr="00431899">
        <w:rPr>
          <w:iCs/>
        </w:rPr>
        <w:t xml:space="preserve"> participants</w:t>
      </w:r>
      <w:r w:rsidR="00A51B94" w:rsidRPr="00431899">
        <w:rPr>
          <w:iCs/>
        </w:rPr>
        <w:t>)</w:t>
      </w:r>
      <w:r w:rsidR="0034369B">
        <w:rPr>
          <w:iCs/>
        </w:rPr>
        <w:t xml:space="preserve"> (Table 2)</w:t>
      </w:r>
      <w:r w:rsidR="00A51B94" w:rsidRPr="00431899">
        <w:rPr>
          <w:iCs/>
        </w:rPr>
        <w:t xml:space="preserve">. </w:t>
      </w:r>
      <w:r w:rsidR="00004829">
        <w:rPr>
          <w:iCs/>
        </w:rPr>
        <w:t xml:space="preserve">Together, these successful reasons for exit made up just </w:t>
      </w:r>
      <w:r w:rsidR="00004829" w:rsidRPr="00133C1D">
        <w:rPr>
          <w:iCs/>
        </w:rPr>
        <w:t>over 48 percent</w:t>
      </w:r>
      <w:r w:rsidR="00004829">
        <w:rPr>
          <w:iCs/>
        </w:rPr>
        <w:t xml:space="preserve"> (111)</w:t>
      </w:r>
      <w:r w:rsidR="00004829" w:rsidRPr="00133C1D">
        <w:rPr>
          <w:iCs/>
        </w:rPr>
        <w:t xml:space="preserve"> </w:t>
      </w:r>
      <w:r w:rsidR="00004829">
        <w:rPr>
          <w:iCs/>
        </w:rPr>
        <w:t xml:space="preserve">of exits from </w:t>
      </w:r>
      <w:r w:rsidR="00004829" w:rsidRPr="00004829">
        <w:rPr>
          <w:iCs/>
        </w:rPr>
        <w:t>the Here Toitū service</w:t>
      </w:r>
      <w:r w:rsidR="00004829">
        <w:rPr>
          <w:iCs/>
        </w:rPr>
        <w:t>.</w:t>
      </w:r>
    </w:p>
    <w:p w14:paraId="4493D526" w14:textId="77777777" w:rsidR="008C71C4" w:rsidRDefault="008C71C4" w:rsidP="008C71C4">
      <w:r>
        <w:t xml:space="preserve">By successfully completing the service, a participant had either achieved their desired outcomes (such as getting into sustainable employment, improving their health and wellbeing, or enrolling in study), or had completed the maximum service duration (regardless of progress made). </w:t>
      </w:r>
      <w:r w:rsidRPr="0009515A">
        <w:t xml:space="preserve">This is important from an intervention perspective, as </w:t>
      </w:r>
      <w:r>
        <w:t>the desired outcomes</w:t>
      </w:r>
      <w:r w:rsidRPr="0009515A">
        <w:t xml:space="preserve"> of Here Toitū are linked to </w:t>
      </w:r>
      <w:r>
        <w:t xml:space="preserve">the </w:t>
      </w:r>
      <w:r w:rsidRPr="0009515A">
        <w:t>successful completion of the service.</w:t>
      </w:r>
      <w:r>
        <w:t xml:space="preserve"> </w:t>
      </w:r>
    </w:p>
    <w:p w14:paraId="441E61DA" w14:textId="597AB977" w:rsidR="00A33D42" w:rsidRPr="003537D5" w:rsidRDefault="00A51B94" w:rsidP="00F113EF">
      <w:pPr>
        <w:rPr>
          <w:i/>
          <w:sz w:val="24"/>
          <w:szCs w:val="24"/>
        </w:rPr>
      </w:pPr>
      <w:bookmarkStart w:id="15" w:name="_Hlk114146660"/>
      <w:r>
        <w:rPr>
          <w:iCs/>
        </w:rPr>
        <w:t>Th</w:t>
      </w:r>
      <w:r w:rsidR="0090378E">
        <w:rPr>
          <w:iCs/>
        </w:rPr>
        <w:t xml:space="preserve">e </w:t>
      </w:r>
      <w:r w:rsidR="00DF3EA7">
        <w:rPr>
          <w:iCs/>
        </w:rPr>
        <w:t>next</w:t>
      </w:r>
      <w:r w:rsidR="0090378E">
        <w:rPr>
          <w:iCs/>
        </w:rPr>
        <w:t xml:space="preserve"> most common reason</w:t>
      </w:r>
      <w:r w:rsidR="002D551C">
        <w:rPr>
          <w:iCs/>
        </w:rPr>
        <w:t>s</w:t>
      </w:r>
      <w:r w:rsidR="0090378E">
        <w:rPr>
          <w:iCs/>
        </w:rPr>
        <w:t xml:space="preserve"> for </w:t>
      </w:r>
      <w:r w:rsidR="00DC425C">
        <w:rPr>
          <w:iCs/>
        </w:rPr>
        <w:t xml:space="preserve">exit were </w:t>
      </w:r>
      <w:r w:rsidR="00431899">
        <w:rPr>
          <w:iCs/>
        </w:rPr>
        <w:t xml:space="preserve">because the participant had disengaged from the service or had an unknown reason for withdrawal </w:t>
      </w:r>
      <w:r>
        <w:rPr>
          <w:iCs/>
        </w:rPr>
        <w:t>(</w:t>
      </w:r>
      <w:r w:rsidR="00004829">
        <w:rPr>
          <w:iCs/>
        </w:rPr>
        <w:t>18.</w:t>
      </w:r>
      <w:r w:rsidR="007453E9">
        <w:rPr>
          <w:iCs/>
        </w:rPr>
        <w:t>2</w:t>
      </w:r>
      <w:r w:rsidR="00004829" w:rsidRPr="00431899">
        <w:rPr>
          <w:iCs/>
        </w:rPr>
        <w:t xml:space="preserve"> percent, or</w:t>
      </w:r>
      <w:r w:rsidR="00004829">
        <w:rPr>
          <w:iCs/>
        </w:rPr>
        <w:t xml:space="preserve"> 4</w:t>
      </w:r>
      <w:r w:rsidR="007453E9">
        <w:rPr>
          <w:iCs/>
        </w:rPr>
        <w:t>2</w:t>
      </w:r>
      <w:r w:rsidR="00004829" w:rsidRPr="00431899">
        <w:rPr>
          <w:iCs/>
        </w:rPr>
        <w:t xml:space="preserve"> participants</w:t>
      </w:r>
      <w:r>
        <w:rPr>
          <w:iCs/>
        </w:rPr>
        <w:t>)</w:t>
      </w:r>
      <w:r w:rsidR="00431899">
        <w:rPr>
          <w:iCs/>
        </w:rPr>
        <w:t xml:space="preserve">. </w:t>
      </w:r>
    </w:p>
    <w:p w14:paraId="621CD29D" w14:textId="26F97D5A" w:rsidR="00EA3FCF" w:rsidRPr="00EA3FCF" w:rsidRDefault="00EA3FCF" w:rsidP="00EA3FCF">
      <w:pPr>
        <w:rPr>
          <w:b/>
          <w:bCs/>
          <w:iCs/>
          <w:sz w:val="18"/>
          <w:szCs w:val="20"/>
        </w:rPr>
      </w:pPr>
      <w:bookmarkStart w:id="16" w:name="_Ref71640198"/>
      <w:bookmarkEnd w:id="15"/>
      <w:r w:rsidRPr="00C9626C">
        <w:rPr>
          <w:b/>
          <w:bCs/>
          <w:sz w:val="18"/>
          <w:szCs w:val="20"/>
        </w:rPr>
        <w:t xml:space="preserve">Table </w:t>
      </w:r>
      <w:r w:rsidRPr="00C9626C">
        <w:rPr>
          <w:b/>
          <w:bCs/>
          <w:sz w:val="18"/>
          <w:szCs w:val="20"/>
        </w:rPr>
        <w:fldChar w:fldCharType="begin"/>
      </w:r>
      <w:r w:rsidRPr="00C9626C">
        <w:rPr>
          <w:b/>
          <w:bCs/>
          <w:sz w:val="18"/>
          <w:szCs w:val="20"/>
        </w:rPr>
        <w:instrText xml:space="preserve"> SEQ Table \* ARABIC </w:instrText>
      </w:r>
      <w:r w:rsidRPr="00C9626C">
        <w:rPr>
          <w:b/>
          <w:bCs/>
          <w:sz w:val="18"/>
          <w:szCs w:val="20"/>
        </w:rPr>
        <w:fldChar w:fldCharType="separate"/>
      </w:r>
      <w:r w:rsidR="00F75DF1" w:rsidRPr="00C9626C">
        <w:rPr>
          <w:b/>
          <w:bCs/>
          <w:noProof/>
          <w:sz w:val="18"/>
          <w:szCs w:val="20"/>
        </w:rPr>
        <w:t>2</w:t>
      </w:r>
      <w:r w:rsidRPr="00C9626C">
        <w:rPr>
          <w:b/>
          <w:bCs/>
          <w:sz w:val="18"/>
          <w:szCs w:val="20"/>
        </w:rPr>
        <w:fldChar w:fldCharType="end"/>
      </w:r>
      <w:bookmarkEnd w:id="16"/>
      <w:r w:rsidRPr="00C9626C">
        <w:rPr>
          <w:b/>
          <w:bCs/>
          <w:sz w:val="18"/>
          <w:szCs w:val="20"/>
        </w:rPr>
        <w:t>: Exits, by reason.</w:t>
      </w:r>
    </w:p>
    <w:tbl>
      <w:tblPr>
        <w:tblStyle w:val="TableGrid"/>
        <w:tblW w:w="0" w:type="auto"/>
        <w:tblLook w:val="04A0" w:firstRow="1" w:lastRow="0" w:firstColumn="1" w:lastColumn="0" w:noHBand="0" w:noVBand="1"/>
      </w:tblPr>
      <w:tblGrid>
        <w:gridCol w:w="4390"/>
        <w:gridCol w:w="1134"/>
        <w:gridCol w:w="1417"/>
      </w:tblGrid>
      <w:tr w:rsidR="00A51B94" w:rsidRPr="00A33D42" w14:paraId="5926C16F" w14:textId="77777777" w:rsidTr="008209CD">
        <w:tc>
          <w:tcPr>
            <w:tcW w:w="4390" w:type="dxa"/>
          </w:tcPr>
          <w:p w14:paraId="6C3066BE" w14:textId="0F470744" w:rsidR="00A51B94" w:rsidRPr="00A33D42" w:rsidRDefault="00A51B94" w:rsidP="008209CD">
            <w:pPr>
              <w:rPr>
                <w:b/>
                <w:bCs/>
                <w:iCs/>
                <w:sz w:val="16"/>
                <w:szCs w:val="16"/>
              </w:rPr>
            </w:pPr>
            <w:r>
              <w:rPr>
                <w:b/>
                <w:bCs/>
                <w:iCs/>
                <w:sz w:val="16"/>
                <w:szCs w:val="16"/>
              </w:rPr>
              <w:t>Exit</w:t>
            </w:r>
            <w:r w:rsidRPr="00A33D42">
              <w:rPr>
                <w:b/>
                <w:bCs/>
                <w:iCs/>
                <w:sz w:val="16"/>
                <w:szCs w:val="16"/>
              </w:rPr>
              <w:t xml:space="preserve"> reason</w:t>
            </w:r>
          </w:p>
        </w:tc>
        <w:tc>
          <w:tcPr>
            <w:tcW w:w="1134" w:type="dxa"/>
          </w:tcPr>
          <w:p w14:paraId="17E27ACA" w14:textId="77777777" w:rsidR="00A51B94" w:rsidRPr="00A33D42" w:rsidRDefault="00A51B94" w:rsidP="008209CD">
            <w:pPr>
              <w:rPr>
                <w:b/>
                <w:bCs/>
                <w:iCs/>
                <w:sz w:val="16"/>
                <w:szCs w:val="16"/>
              </w:rPr>
            </w:pPr>
            <w:r w:rsidRPr="00A33D42">
              <w:rPr>
                <w:b/>
                <w:bCs/>
                <w:iCs/>
                <w:sz w:val="16"/>
                <w:szCs w:val="16"/>
              </w:rPr>
              <w:t>Number</w:t>
            </w:r>
          </w:p>
        </w:tc>
        <w:tc>
          <w:tcPr>
            <w:tcW w:w="1417" w:type="dxa"/>
          </w:tcPr>
          <w:p w14:paraId="668D6348" w14:textId="77777777" w:rsidR="00A51B94" w:rsidRPr="00A33D42" w:rsidRDefault="00A51B94" w:rsidP="008209CD">
            <w:pPr>
              <w:rPr>
                <w:b/>
                <w:bCs/>
                <w:iCs/>
                <w:sz w:val="16"/>
                <w:szCs w:val="16"/>
              </w:rPr>
            </w:pPr>
            <w:r w:rsidRPr="00A33D42">
              <w:rPr>
                <w:b/>
                <w:bCs/>
                <w:iCs/>
                <w:sz w:val="16"/>
                <w:szCs w:val="16"/>
              </w:rPr>
              <w:t>Percentage</w:t>
            </w:r>
          </w:p>
        </w:tc>
      </w:tr>
      <w:tr w:rsidR="00431899" w:rsidRPr="00A33D42" w14:paraId="00E50641" w14:textId="77777777" w:rsidTr="00524183">
        <w:tc>
          <w:tcPr>
            <w:tcW w:w="4390" w:type="dxa"/>
            <w:vAlign w:val="bottom"/>
          </w:tcPr>
          <w:p w14:paraId="3ED797F7" w14:textId="70441884" w:rsidR="00431899" w:rsidRPr="00431899" w:rsidRDefault="00431899" w:rsidP="00431899">
            <w:pPr>
              <w:rPr>
                <w:iCs/>
                <w:sz w:val="16"/>
                <w:szCs w:val="16"/>
              </w:rPr>
            </w:pPr>
            <w:r w:rsidRPr="00431899">
              <w:rPr>
                <w:rFonts w:cs="Calibri"/>
                <w:color w:val="000000"/>
                <w:sz w:val="16"/>
                <w:szCs w:val="16"/>
              </w:rPr>
              <w:t>Achieved desired outcomes</w:t>
            </w:r>
          </w:p>
        </w:tc>
        <w:tc>
          <w:tcPr>
            <w:tcW w:w="1134" w:type="dxa"/>
          </w:tcPr>
          <w:p w14:paraId="6FEDB3FF" w14:textId="73E4C30C" w:rsidR="00431899" w:rsidRPr="00431899" w:rsidRDefault="00431899" w:rsidP="00431899">
            <w:pPr>
              <w:rPr>
                <w:iCs/>
                <w:sz w:val="16"/>
                <w:szCs w:val="20"/>
              </w:rPr>
            </w:pPr>
            <w:r w:rsidRPr="00431899">
              <w:rPr>
                <w:sz w:val="16"/>
                <w:szCs w:val="20"/>
              </w:rPr>
              <w:t>6</w:t>
            </w:r>
            <w:r w:rsidR="007453E9">
              <w:rPr>
                <w:sz w:val="16"/>
                <w:szCs w:val="20"/>
              </w:rPr>
              <w:t>9</w:t>
            </w:r>
          </w:p>
        </w:tc>
        <w:tc>
          <w:tcPr>
            <w:tcW w:w="1417" w:type="dxa"/>
          </w:tcPr>
          <w:p w14:paraId="0D1F329A" w14:textId="06703CBE" w:rsidR="00431899" w:rsidRPr="00431899" w:rsidRDefault="00431899" w:rsidP="00431899">
            <w:pPr>
              <w:rPr>
                <w:iCs/>
                <w:sz w:val="16"/>
                <w:szCs w:val="20"/>
              </w:rPr>
            </w:pPr>
            <w:r w:rsidRPr="00431899">
              <w:rPr>
                <w:sz w:val="16"/>
                <w:szCs w:val="20"/>
              </w:rPr>
              <w:t>29.</w:t>
            </w:r>
            <w:r w:rsidR="007453E9">
              <w:rPr>
                <w:sz w:val="16"/>
                <w:szCs w:val="20"/>
              </w:rPr>
              <w:t>9</w:t>
            </w:r>
            <w:r w:rsidRPr="00431899">
              <w:rPr>
                <w:sz w:val="16"/>
                <w:szCs w:val="20"/>
              </w:rPr>
              <w:t>%</w:t>
            </w:r>
          </w:p>
        </w:tc>
      </w:tr>
      <w:tr w:rsidR="00431899" w:rsidRPr="00A33D42" w14:paraId="30474868" w14:textId="77777777" w:rsidTr="00524183">
        <w:tc>
          <w:tcPr>
            <w:tcW w:w="4390" w:type="dxa"/>
            <w:vAlign w:val="bottom"/>
          </w:tcPr>
          <w:p w14:paraId="6D2DA9F4" w14:textId="274D4B1B" w:rsidR="00431899" w:rsidRPr="00431899" w:rsidRDefault="00431899" w:rsidP="00431899">
            <w:pPr>
              <w:rPr>
                <w:iCs/>
                <w:sz w:val="16"/>
                <w:szCs w:val="16"/>
              </w:rPr>
            </w:pPr>
            <w:r w:rsidRPr="00431899">
              <w:rPr>
                <w:rFonts w:cs="Calibri"/>
                <w:color w:val="000000"/>
                <w:sz w:val="16"/>
                <w:szCs w:val="16"/>
              </w:rPr>
              <w:t>Completed service duration</w:t>
            </w:r>
          </w:p>
        </w:tc>
        <w:tc>
          <w:tcPr>
            <w:tcW w:w="1134" w:type="dxa"/>
          </w:tcPr>
          <w:p w14:paraId="0BDDD448" w14:textId="00EE991C" w:rsidR="00431899" w:rsidRPr="00431899" w:rsidRDefault="00431899" w:rsidP="00431899">
            <w:pPr>
              <w:rPr>
                <w:iCs/>
                <w:sz w:val="16"/>
                <w:szCs w:val="20"/>
              </w:rPr>
            </w:pPr>
            <w:r w:rsidRPr="00431899">
              <w:rPr>
                <w:sz w:val="16"/>
                <w:szCs w:val="20"/>
              </w:rPr>
              <w:t>4</w:t>
            </w:r>
            <w:r w:rsidR="007453E9">
              <w:rPr>
                <w:sz w:val="16"/>
                <w:szCs w:val="20"/>
              </w:rPr>
              <w:t>2</w:t>
            </w:r>
          </w:p>
        </w:tc>
        <w:tc>
          <w:tcPr>
            <w:tcW w:w="1417" w:type="dxa"/>
          </w:tcPr>
          <w:p w14:paraId="582576B1" w14:textId="4241EC9B" w:rsidR="00431899" w:rsidRPr="00431899" w:rsidRDefault="00431899" w:rsidP="00431899">
            <w:pPr>
              <w:rPr>
                <w:iCs/>
                <w:sz w:val="16"/>
                <w:szCs w:val="20"/>
              </w:rPr>
            </w:pPr>
            <w:r w:rsidRPr="00431899">
              <w:rPr>
                <w:sz w:val="16"/>
                <w:szCs w:val="20"/>
              </w:rPr>
              <w:t>18.</w:t>
            </w:r>
            <w:r w:rsidR="007453E9">
              <w:rPr>
                <w:sz w:val="16"/>
                <w:szCs w:val="20"/>
              </w:rPr>
              <w:t>2</w:t>
            </w:r>
            <w:r w:rsidRPr="00431899">
              <w:rPr>
                <w:sz w:val="16"/>
                <w:szCs w:val="20"/>
              </w:rPr>
              <w:t>%</w:t>
            </w:r>
          </w:p>
        </w:tc>
      </w:tr>
      <w:tr w:rsidR="00431899" w:rsidRPr="00A33D42" w14:paraId="7711C7B6" w14:textId="77777777" w:rsidTr="00524183">
        <w:tc>
          <w:tcPr>
            <w:tcW w:w="4390" w:type="dxa"/>
            <w:vAlign w:val="bottom"/>
          </w:tcPr>
          <w:p w14:paraId="39B18B08" w14:textId="7B15B7D9" w:rsidR="00431899" w:rsidRPr="00431899" w:rsidRDefault="00431899" w:rsidP="00431899">
            <w:pPr>
              <w:rPr>
                <w:iCs/>
                <w:sz w:val="16"/>
                <w:szCs w:val="16"/>
              </w:rPr>
            </w:pPr>
            <w:r w:rsidRPr="00431899">
              <w:rPr>
                <w:rFonts w:cs="Calibri"/>
                <w:color w:val="000000"/>
                <w:sz w:val="16"/>
                <w:szCs w:val="16"/>
              </w:rPr>
              <w:t>Disengaged from the service/Unknown reason for withdrawal</w:t>
            </w:r>
            <w:r w:rsidR="00F3195E">
              <w:rPr>
                <w:rStyle w:val="FootnoteReference"/>
                <w:iCs/>
              </w:rPr>
              <w:footnoteReference w:id="12"/>
            </w:r>
          </w:p>
        </w:tc>
        <w:tc>
          <w:tcPr>
            <w:tcW w:w="1134" w:type="dxa"/>
          </w:tcPr>
          <w:p w14:paraId="6B2F9628" w14:textId="7C471BD4" w:rsidR="00431899" w:rsidRPr="00431899" w:rsidRDefault="00431899" w:rsidP="00431899">
            <w:pPr>
              <w:rPr>
                <w:iCs/>
                <w:sz w:val="16"/>
                <w:szCs w:val="20"/>
              </w:rPr>
            </w:pPr>
            <w:r w:rsidRPr="00431899">
              <w:rPr>
                <w:sz w:val="16"/>
                <w:szCs w:val="20"/>
              </w:rPr>
              <w:t>4</w:t>
            </w:r>
            <w:r w:rsidR="007453E9">
              <w:rPr>
                <w:sz w:val="16"/>
                <w:szCs w:val="20"/>
              </w:rPr>
              <w:t>2</w:t>
            </w:r>
          </w:p>
        </w:tc>
        <w:tc>
          <w:tcPr>
            <w:tcW w:w="1417" w:type="dxa"/>
          </w:tcPr>
          <w:p w14:paraId="1BA07E16" w14:textId="4CC67807" w:rsidR="00431899" w:rsidRPr="00431899" w:rsidRDefault="00431899" w:rsidP="00431899">
            <w:pPr>
              <w:rPr>
                <w:iCs/>
                <w:sz w:val="16"/>
                <w:szCs w:val="20"/>
              </w:rPr>
            </w:pPr>
            <w:r w:rsidRPr="00431899">
              <w:rPr>
                <w:sz w:val="16"/>
                <w:szCs w:val="20"/>
              </w:rPr>
              <w:t>18.</w:t>
            </w:r>
            <w:r w:rsidR="007453E9">
              <w:rPr>
                <w:sz w:val="16"/>
                <w:szCs w:val="20"/>
              </w:rPr>
              <w:t>2</w:t>
            </w:r>
            <w:r w:rsidRPr="00431899">
              <w:rPr>
                <w:sz w:val="16"/>
                <w:szCs w:val="20"/>
              </w:rPr>
              <w:t>%</w:t>
            </w:r>
          </w:p>
        </w:tc>
      </w:tr>
      <w:tr w:rsidR="00431899" w:rsidRPr="00A33D42" w14:paraId="6E23191C" w14:textId="77777777" w:rsidTr="00524183">
        <w:tc>
          <w:tcPr>
            <w:tcW w:w="4390" w:type="dxa"/>
            <w:vAlign w:val="bottom"/>
          </w:tcPr>
          <w:p w14:paraId="00279A64" w14:textId="5CF095DD" w:rsidR="00431899" w:rsidRPr="00431899" w:rsidRDefault="00431899" w:rsidP="00431899">
            <w:pPr>
              <w:rPr>
                <w:iCs/>
                <w:sz w:val="16"/>
                <w:szCs w:val="16"/>
              </w:rPr>
            </w:pPr>
            <w:r w:rsidRPr="00431899">
              <w:rPr>
                <w:rFonts w:cs="Calibri"/>
                <w:color w:val="000000"/>
                <w:sz w:val="16"/>
                <w:szCs w:val="16"/>
              </w:rPr>
              <w:t>Other reasons for exiting the service</w:t>
            </w:r>
          </w:p>
        </w:tc>
        <w:tc>
          <w:tcPr>
            <w:tcW w:w="1134" w:type="dxa"/>
          </w:tcPr>
          <w:p w14:paraId="0A5A98D1" w14:textId="3A2438B4" w:rsidR="00431899" w:rsidRPr="00431899" w:rsidRDefault="007453E9" w:rsidP="00431899">
            <w:pPr>
              <w:rPr>
                <w:iCs/>
                <w:sz w:val="16"/>
                <w:szCs w:val="20"/>
              </w:rPr>
            </w:pPr>
            <w:r>
              <w:rPr>
                <w:iCs/>
                <w:sz w:val="16"/>
                <w:szCs w:val="20"/>
              </w:rPr>
              <w:t>30</w:t>
            </w:r>
          </w:p>
        </w:tc>
        <w:tc>
          <w:tcPr>
            <w:tcW w:w="1417" w:type="dxa"/>
          </w:tcPr>
          <w:p w14:paraId="50A53D07" w14:textId="53339986" w:rsidR="00431899" w:rsidRPr="00431899" w:rsidRDefault="00431899" w:rsidP="00431899">
            <w:pPr>
              <w:rPr>
                <w:iCs/>
                <w:sz w:val="16"/>
                <w:szCs w:val="20"/>
              </w:rPr>
            </w:pPr>
            <w:r w:rsidRPr="00431899">
              <w:rPr>
                <w:sz w:val="16"/>
                <w:szCs w:val="20"/>
              </w:rPr>
              <w:t>1</w:t>
            </w:r>
            <w:r w:rsidR="007453E9">
              <w:rPr>
                <w:sz w:val="16"/>
                <w:szCs w:val="20"/>
              </w:rPr>
              <w:t>3.0</w:t>
            </w:r>
            <w:r w:rsidRPr="00431899">
              <w:rPr>
                <w:sz w:val="16"/>
                <w:szCs w:val="20"/>
              </w:rPr>
              <w:t>%</w:t>
            </w:r>
          </w:p>
        </w:tc>
      </w:tr>
      <w:tr w:rsidR="00431899" w:rsidRPr="00A33D42" w14:paraId="7F00F0AD" w14:textId="77777777" w:rsidTr="00524183">
        <w:tc>
          <w:tcPr>
            <w:tcW w:w="4390" w:type="dxa"/>
            <w:vAlign w:val="bottom"/>
          </w:tcPr>
          <w:p w14:paraId="53874773" w14:textId="126610AD" w:rsidR="00431899" w:rsidRPr="00431899" w:rsidRDefault="00431899" w:rsidP="00431899">
            <w:pPr>
              <w:rPr>
                <w:iCs/>
                <w:sz w:val="16"/>
                <w:szCs w:val="16"/>
              </w:rPr>
            </w:pPr>
            <w:r w:rsidRPr="00431899">
              <w:rPr>
                <w:rFonts w:cs="Calibri"/>
                <w:color w:val="000000"/>
                <w:sz w:val="16"/>
                <w:szCs w:val="16"/>
              </w:rPr>
              <w:t>Withdrew from the service</w:t>
            </w:r>
          </w:p>
        </w:tc>
        <w:tc>
          <w:tcPr>
            <w:tcW w:w="1134" w:type="dxa"/>
          </w:tcPr>
          <w:p w14:paraId="07CCDF6C" w14:textId="0EF1D93C" w:rsidR="00431899" w:rsidRPr="00431899" w:rsidRDefault="00431899" w:rsidP="00431899">
            <w:pPr>
              <w:rPr>
                <w:iCs/>
                <w:sz w:val="16"/>
                <w:szCs w:val="20"/>
              </w:rPr>
            </w:pPr>
            <w:r w:rsidRPr="00431899">
              <w:rPr>
                <w:sz w:val="16"/>
                <w:szCs w:val="20"/>
              </w:rPr>
              <w:t>2</w:t>
            </w:r>
            <w:r w:rsidR="007453E9">
              <w:rPr>
                <w:sz w:val="16"/>
                <w:szCs w:val="20"/>
              </w:rPr>
              <w:t>7</w:t>
            </w:r>
          </w:p>
        </w:tc>
        <w:tc>
          <w:tcPr>
            <w:tcW w:w="1417" w:type="dxa"/>
          </w:tcPr>
          <w:p w14:paraId="59A3E123" w14:textId="44CBFD20" w:rsidR="00431899" w:rsidRPr="00431899" w:rsidRDefault="007453E9" w:rsidP="00431899">
            <w:pPr>
              <w:rPr>
                <w:iCs/>
                <w:sz w:val="16"/>
                <w:szCs w:val="20"/>
              </w:rPr>
            </w:pPr>
            <w:r>
              <w:rPr>
                <w:sz w:val="16"/>
                <w:szCs w:val="20"/>
              </w:rPr>
              <w:t>11.7</w:t>
            </w:r>
            <w:r w:rsidR="00431899" w:rsidRPr="00431899">
              <w:rPr>
                <w:sz w:val="16"/>
                <w:szCs w:val="20"/>
              </w:rPr>
              <w:t>%</w:t>
            </w:r>
          </w:p>
        </w:tc>
      </w:tr>
      <w:tr w:rsidR="00431899" w:rsidRPr="00A33D42" w14:paraId="657BD58A" w14:textId="77777777" w:rsidTr="00524183">
        <w:tc>
          <w:tcPr>
            <w:tcW w:w="4390" w:type="dxa"/>
            <w:vAlign w:val="bottom"/>
          </w:tcPr>
          <w:p w14:paraId="23148D99" w14:textId="702A2DF1" w:rsidR="00431899" w:rsidRPr="00431899" w:rsidRDefault="00431899" w:rsidP="00431899">
            <w:pPr>
              <w:rPr>
                <w:iCs/>
                <w:sz w:val="16"/>
                <w:szCs w:val="16"/>
              </w:rPr>
            </w:pPr>
            <w:r w:rsidRPr="00431899">
              <w:rPr>
                <w:rFonts w:cs="Calibri"/>
                <w:color w:val="000000"/>
                <w:sz w:val="16"/>
                <w:szCs w:val="16"/>
              </w:rPr>
              <w:t>Medical reasons</w:t>
            </w:r>
          </w:p>
        </w:tc>
        <w:tc>
          <w:tcPr>
            <w:tcW w:w="1134" w:type="dxa"/>
          </w:tcPr>
          <w:p w14:paraId="6688FB06" w14:textId="5DFD3312" w:rsidR="00431899" w:rsidRPr="00431899" w:rsidRDefault="00431899" w:rsidP="00431899">
            <w:pPr>
              <w:rPr>
                <w:iCs/>
                <w:sz w:val="16"/>
                <w:szCs w:val="20"/>
              </w:rPr>
            </w:pPr>
            <w:r w:rsidRPr="00431899">
              <w:rPr>
                <w:sz w:val="16"/>
                <w:szCs w:val="20"/>
              </w:rPr>
              <w:t>2</w:t>
            </w:r>
            <w:r w:rsidR="007453E9">
              <w:rPr>
                <w:sz w:val="16"/>
                <w:szCs w:val="20"/>
              </w:rPr>
              <w:t>1</w:t>
            </w:r>
          </w:p>
        </w:tc>
        <w:tc>
          <w:tcPr>
            <w:tcW w:w="1417" w:type="dxa"/>
          </w:tcPr>
          <w:p w14:paraId="30130A38" w14:textId="4B8BDFC1" w:rsidR="00431899" w:rsidRPr="00431899" w:rsidRDefault="007453E9" w:rsidP="00431899">
            <w:pPr>
              <w:rPr>
                <w:iCs/>
                <w:sz w:val="16"/>
                <w:szCs w:val="20"/>
              </w:rPr>
            </w:pPr>
            <w:r>
              <w:rPr>
                <w:sz w:val="16"/>
                <w:szCs w:val="20"/>
              </w:rPr>
              <w:t>9.1</w:t>
            </w:r>
            <w:r w:rsidR="00431899" w:rsidRPr="00431899">
              <w:rPr>
                <w:sz w:val="16"/>
                <w:szCs w:val="20"/>
              </w:rPr>
              <w:t>%</w:t>
            </w:r>
          </w:p>
        </w:tc>
      </w:tr>
      <w:tr w:rsidR="00A51B94" w:rsidRPr="00A33D42" w14:paraId="7BA56DFF" w14:textId="77777777" w:rsidTr="008209CD">
        <w:tc>
          <w:tcPr>
            <w:tcW w:w="4390" w:type="dxa"/>
          </w:tcPr>
          <w:p w14:paraId="1396CD90" w14:textId="77777777" w:rsidR="00A51B94" w:rsidRPr="00A33D42" w:rsidRDefault="00A51B94" w:rsidP="008209CD">
            <w:pPr>
              <w:rPr>
                <w:b/>
                <w:bCs/>
                <w:iCs/>
                <w:sz w:val="16"/>
                <w:szCs w:val="16"/>
              </w:rPr>
            </w:pPr>
            <w:r w:rsidRPr="00A33D42">
              <w:rPr>
                <w:b/>
                <w:bCs/>
                <w:iCs/>
                <w:sz w:val="16"/>
                <w:szCs w:val="16"/>
              </w:rPr>
              <w:t>Total</w:t>
            </w:r>
          </w:p>
        </w:tc>
        <w:tc>
          <w:tcPr>
            <w:tcW w:w="1134" w:type="dxa"/>
          </w:tcPr>
          <w:p w14:paraId="1B58D240" w14:textId="56853509" w:rsidR="00A51B94" w:rsidRPr="00A33D42" w:rsidRDefault="00431899" w:rsidP="008209CD">
            <w:pPr>
              <w:rPr>
                <w:b/>
                <w:bCs/>
                <w:iCs/>
                <w:sz w:val="16"/>
                <w:szCs w:val="16"/>
              </w:rPr>
            </w:pPr>
            <w:r>
              <w:rPr>
                <w:b/>
                <w:bCs/>
                <w:iCs/>
                <w:sz w:val="16"/>
                <w:szCs w:val="16"/>
              </w:rPr>
              <w:t>231</w:t>
            </w:r>
          </w:p>
        </w:tc>
        <w:tc>
          <w:tcPr>
            <w:tcW w:w="1417" w:type="dxa"/>
          </w:tcPr>
          <w:p w14:paraId="398698EC" w14:textId="6364F41B" w:rsidR="00A51B94" w:rsidRPr="00A33D42" w:rsidRDefault="00A51B94" w:rsidP="008209CD">
            <w:pPr>
              <w:rPr>
                <w:b/>
                <w:bCs/>
                <w:iCs/>
                <w:sz w:val="16"/>
                <w:szCs w:val="16"/>
              </w:rPr>
            </w:pPr>
            <w:r w:rsidRPr="00A33D42">
              <w:rPr>
                <w:b/>
                <w:bCs/>
                <w:iCs/>
                <w:sz w:val="16"/>
                <w:szCs w:val="16"/>
              </w:rPr>
              <w:t>100%</w:t>
            </w:r>
          </w:p>
        </w:tc>
      </w:tr>
    </w:tbl>
    <w:p w14:paraId="47136843" w14:textId="4D60C848" w:rsidR="00A51B94" w:rsidRPr="00AA2391" w:rsidRDefault="00AA2391" w:rsidP="00F113EF">
      <w:pPr>
        <w:rPr>
          <w:sz w:val="16"/>
          <w:szCs w:val="18"/>
        </w:rPr>
      </w:pPr>
      <w:r w:rsidRPr="00AA2391">
        <w:rPr>
          <w:sz w:val="16"/>
          <w:szCs w:val="18"/>
        </w:rPr>
        <w:t>Note: Percentages may not add to 100 percent due to rounding</w:t>
      </w:r>
      <w:r w:rsidR="00C9626C">
        <w:rPr>
          <w:sz w:val="16"/>
          <w:szCs w:val="18"/>
        </w:rPr>
        <w:t>. Numbers may not add to totals due to random rounding.</w:t>
      </w:r>
    </w:p>
    <w:p w14:paraId="334AD58A" w14:textId="77777777" w:rsidR="00446A41" w:rsidRDefault="00446A41" w:rsidP="00446A41">
      <w:r>
        <w:t xml:space="preserve">Due to data limitations, we are unable to dive further investigate the specific circumstances which led to people exiting the Here Toitū service. </w:t>
      </w:r>
    </w:p>
    <w:p w14:paraId="0DBCC1DB" w14:textId="799D2116" w:rsidR="00295EF7" w:rsidRDefault="00295EF7" w:rsidP="00295EF7"/>
    <w:p w14:paraId="1BEA1EEE" w14:textId="7FB15CCF" w:rsidR="00555C6C" w:rsidRDefault="00555C6C" w:rsidP="00F113EF">
      <w:pPr>
        <w:rPr>
          <w:iCs/>
        </w:rPr>
      </w:pPr>
    </w:p>
    <w:p w14:paraId="524274EC" w14:textId="1D8677ED" w:rsidR="00555C6C" w:rsidRDefault="00555C6C" w:rsidP="00F113EF">
      <w:pPr>
        <w:rPr>
          <w:iCs/>
        </w:rPr>
      </w:pPr>
    </w:p>
    <w:p w14:paraId="4AB37F89" w14:textId="0AEC838E" w:rsidR="00555C6C" w:rsidRDefault="00555C6C" w:rsidP="00F113EF">
      <w:pPr>
        <w:rPr>
          <w:iCs/>
        </w:rPr>
      </w:pPr>
    </w:p>
    <w:p w14:paraId="2E7F888C" w14:textId="0F8AD5B3" w:rsidR="00555C6C" w:rsidRDefault="00555C6C" w:rsidP="00F113EF">
      <w:pPr>
        <w:rPr>
          <w:iCs/>
        </w:rPr>
      </w:pPr>
    </w:p>
    <w:p w14:paraId="5C34DECF" w14:textId="7354A089" w:rsidR="00922BDC" w:rsidRDefault="00922BDC" w:rsidP="00F113EF">
      <w:pPr>
        <w:rPr>
          <w:iCs/>
        </w:rPr>
      </w:pPr>
    </w:p>
    <w:p w14:paraId="109F92D8" w14:textId="54D131AC" w:rsidR="00922BDC" w:rsidRDefault="00922BDC" w:rsidP="00F113EF">
      <w:pPr>
        <w:rPr>
          <w:iCs/>
        </w:rPr>
      </w:pPr>
    </w:p>
    <w:p w14:paraId="786B7F14" w14:textId="4EF71C2C" w:rsidR="00922BDC" w:rsidRDefault="00922BDC" w:rsidP="00F113EF">
      <w:pPr>
        <w:rPr>
          <w:iCs/>
        </w:rPr>
      </w:pPr>
    </w:p>
    <w:p w14:paraId="5549C1A9" w14:textId="11C70026" w:rsidR="00CC5042" w:rsidRPr="00BD0CB9" w:rsidRDefault="00BD0CB9" w:rsidP="00BD0CB9">
      <w:pPr>
        <w:pStyle w:val="Heading3"/>
      </w:pPr>
      <w:bookmarkStart w:id="17" w:name="_Hlk114146690"/>
      <w:r w:rsidRPr="00BD0CB9">
        <w:lastRenderedPageBreak/>
        <w:t xml:space="preserve">Fewer participants with a mental health condition </w:t>
      </w:r>
      <w:bookmarkEnd w:id="17"/>
      <w:r w:rsidRPr="00BD0CB9">
        <w:t xml:space="preserve">than expected </w:t>
      </w:r>
      <w:r w:rsidR="00CC5042" w:rsidRPr="00BD0CB9">
        <w:t xml:space="preserve">completed the </w:t>
      </w:r>
      <w:r w:rsidR="007E0391" w:rsidRPr="00BD0CB9">
        <w:t>service</w:t>
      </w:r>
      <w:r w:rsidRPr="00BD0CB9">
        <w:t xml:space="preserve">, compared to exited participants </w:t>
      </w:r>
      <w:r w:rsidR="00164412">
        <w:t>that did not have a mental health condition</w:t>
      </w:r>
      <w:r w:rsidR="00CC5042" w:rsidRPr="00BD0CB9">
        <w:t>.</w:t>
      </w:r>
      <w:r w:rsidR="00CC5042" w:rsidRPr="00BD0CB9">
        <w:rPr>
          <w:rStyle w:val="FootnoteReference"/>
        </w:rPr>
        <w:footnoteReference w:id="13"/>
      </w:r>
      <w:r w:rsidR="00CC5042" w:rsidRPr="00BD0CB9">
        <w:t xml:space="preserve"> </w:t>
      </w:r>
    </w:p>
    <w:p w14:paraId="7DDD1DC8" w14:textId="6A7C7830" w:rsidR="006210BE" w:rsidRDefault="0094223B" w:rsidP="00F113EF">
      <w:r w:rsidRPr="0034369B">
        <w:t xml:space="preserve">Table 3 </w:t>
      </w:r>
      <w:r w:rsidR="00BD0CB9" w:rsidRPr="0034369B">
        <w:t>shows</w:t>
      </w:r>
      <w:r w:rsidR="00BD0CB9">
        <w:t xml:space="preserve"> exit rates for those who completed the service, and those that did not complete the service, across age, total response ethnic groups, gender, and selected health conditions. Most of the categories did not show results that were much different from the overall rates. </w:t>
      </w:r>
      <w:r w:rsidR="006210BE" w:rsidRPr="00BD0CB9">
        <w:t xml:space="preserve">However, we did find that </w:t>
      </w:r>
      <w:r w:rsidR="00B74886" w:rsidRPr="00BD0CB9">
        <w:t xml:space="preserve">exited </w:t>
      </w:r>
      <w:r w:rsidR="006210BE" w:rsidRPr="00BD0CB9">
        <w:t xml:space="preserve">participants </w:t>
      </w:r>
      <w:r w:rsidR="00BD0CB9" w:rsidRPr="00BD0CB9">
        <w:t xml:space="preserve">with a mental health condition upon enrolment </w:t>
      </w:r>
      <w:r w:rsidR="006210BE" w:rsidRPr="00BD0CB9">
        <w:t xml:space="preserve">were statistically much less likely to </w:t>
      </w:r>
      <w:r w:rsidR="002D551C">
        <w:t xml:space="preserve">have </w:t>
      </w:r>
      <w:r w:rsidR="00DD63F8">
        <w:t xml:space="preserve">successfully </w:t>
      </w:r>
      <w:r w:rsidR="006210BE" w:rsidRPr="00BD0CB9">
        <w:t>complete</w:t>
      </w:r>
      <w:r w:rsidR="002D551C">
        <w:t>d</w:t>
      </w:r>
      <w:r w:rsidR="006210BE" w:rsidRPr="00BD0CB9">
        <w:t xml:space="preserve"> the service when compared to </w:t>
      </w:r>
      <w:r w:rsidR="00B74886" w:rsidRPr="00BD0CB9">
        <w:t xml:space="preserve">exited participants </w:t>
      </w:r>
      <w:r w:rsidR="00164412">
        <w:t xml:space="preserve">that did not have a </w:t>
      </w:r>
      <w:r w:rsidR="00164412" w:rsidRPr="00164412">
        <w:t>mental health condition upon enrolment</w:t>
      </w:r>
      <w:r w:rsidR="006210BE" w:rsidRPr="00BD0CB9">
        <w:t>.</w:t>
      </w:r>
      <w:r w:rsidR="00BD0CB9">
        <w:t xml:space="preserve"> </w:t>
      </w:r>
    </w:p>
    <w:p w14:paraId="4463115A" w14:textId="3DFD2D04" w:rsidR="00206AE3" w:rsidRPr="00DD63F8" w:rsidRDefault="00206AE3" w:rsidP="00206AE3">
      <w:pPr>
        <w:rPr>
          <w:b/>
          <w:bCs/>
          <w:iCs/>
          <w:sz w:val="18"/>
          <w:szCs w:val="20"/>
        </w:rPr>
      </w:pPr>
      <w:bookmarkStart w:id="18" w:name="_Ref71899461"/>
      <w:r w:rsidRPr="00DD63F8">
        <w:rPr>
          <w:b/>
          <w:bCs/>
          <w:sz w:val="18"/>
          <w:szCs w:val="20"/>
        </w:rPr>
        <w:t xml:space="preserve">Table </w:t>
      </w:r>
      <w:r w:rsidRPr="00DD63F8">
        <w:rPr>
          <w:b/>
          <w:bCs/>
          <w:sz w:val="18"/>
          <w:szCs w:val="20"/>
        </w:rPr>
        <w:fldChar w:fldCharType="begin"/>
      </w:r>
      <w:r w:rsidRPr="00DD63F8">
        <w:rPr>
          <w:b/>
          <w:bCs/>
          <w:sz w:val="18"/>
          <w:szCs w:val="20"/>
        </w:rPr>
        <w:instrText xml:space="preserve"> SEQ Table \* ARABIC </w:instrText>
      </w:r>
      <w:r w:rsidRPr="00DD63F8">
        <w:rPr>
          <w:b/>
          <w:bCs/>
          <w:sz w:val="18"/>
          <w:szCs w:val="20"/>
        </w:rPr>
        <w:fldChar w:fldCharType="separate"/>
      </w:r>
      <w:r w:rsidR="00F75DF1" w:rsidRPr="00DD63F8">
        <w:rPr>
          <w:b/>
          <w:bCs/>
          <w:noProof/>
          <w:sz w:val="18"/>
          <w:szCs w:val="20"/>
        </w:rPr>
        <w:t>3</w:t>
      </w:r>
      <w:r w:rsidRPr="00DD63F8">
        <w:rPr>
          <w:b/>
          <w:bCs/>
          <w:sz w:val="18"/>
          <w:szCs w:val="20"/>
        </w:rPr>
        <w:fldChar w:fldCharType="end"/>
      </w:r>
      <w:bookmarkEnd w:id="18"/>
      <w:r w:rsidRPr="00DD63F8">
        <w:rPr>
          <w:b/>
          <w:bCs/>
          <w:sz w:val="18"/>
          <w:szCs w:val="20"/>
        </w:rPr>
        <w:t>: Exits, by exit reason grouping and demographic variables.</w:t>
      </w:r>
    </w:p>
    <w:tbl>
      <w:tblPr>
        <w:tblStyle w:val="TableGrid"/>
        <w:tblW w:w="0" w:type="auto"/>
        <w:tblLook w:val="04A0" w:firstRow="1" w:lastRow="0" w:firstColumn="1" w:lastColumn="0" w:noHBand="0" w:noVBand="1"/>
      </w:tblPr>
      <w:tblGrid>
        <w:gridCol w:w="4248"/>
        <w:gridCol w:w="1559"/>
        <w:gridCol w:w="1559"/>
        <w:gridCol w:w="1650"/>
      </w:tblGrid>
      <w:tr w:rsidR="00454AF4" w:rsidRPr="00BD0CB9" w14:paraId="1A9E615E" w14:textId="5211D882" w:rsidTr="00B74886">
        <w:tc>
          <w:tcPr>
            <w:tcW w:w="4248" w:type="dxa"/>
          </w:tcPr>
          <w:p w14:paraId="78610D19" w14:textId="7EDFF668" w:rsidR="00454AF4" w:rsidRPr="0037277C" w:rsidRDefault="00454AF4" w:rsidP="00F113EF">
            <w:pPr>
              <w:rPr>
                <w:b/>
                <w:bCs/>
                <w:iCs/>
                <w:sz w:val="16"/>
                <w:szCs w:val="20"/>
              </w:rPr>
            </w:pPr>
            <w:r w:rsidRPr="0037277C">
              <w:rPr>
                <w:b/>
                <w:bCs/>
                <w:iCs/>
                <w:sz w:val="16"/>
                <w:szCs w:val="20"/>
              </w:rPr>
              <w:t>Category</w:t>
            </w:r>
          </w:p>
        </w:tc>
        <w:tc>
          <w:tcPr>
            <w:tcW w:w="1559" w:type="dxa"/>
          </w:tcPr>
          <w:p w14:paraId="3E406900" w14:textId="04153D9A" w:rsidR="00454AF4" w:rsidRPr="0037277C" w:rsidRDefault="009C3BA1" w:rsidP="00F113EF">
            <w:pPr>
              <w:rPr>
                <w:b/>
                <w:bCs/>
                <w:iCs/>
                <w:sz w:val="16"/>
                <w:szCs w:val="20"/>
              </w:rPr>
            </w:pPr>
            <w:r w:rsidRPr="0037277C">
              <w:rPr>
                <w:b/>
                <w:bCs/>
                <w:iCs/>
                <w:sz w:val="16"/>
                <w:szCs w:val="20"/>
              </w:rPr>
              <w:t>Completed</w:t>
            </w:r>
          </w:p>
        </w:tc>
        <w:tc>
          <w:tcPr>
            <w:tcW w:w="1559" w:type="dxa"/>
          </w:tcPr>
          <w:p w14:paraId="4808F4A6" w14:textId="7D28EDE8" w:rsidR="00454AF4" w:rsidRPr="0037277C" w:rsidRDefault="009C3BA1" w:rsidP="00F113EF">
            <w:pPr>
              <w:rPr>
                <w:b/>
                <w:bCs/>
                <w:iCs/>
                <w:sz w:val="16"/>
                <w:szCs w:val="20"/>
              </w:rPr>
            </w:pPr>
            <w:r w:rsidRPr="0037277C">
              <w:rPr>
                <w:b/>
                <w:bCs/>
                <w:iCs/>
                <w:sz w:val="16"/>
                <w:szCs w:val="20"/>
              </w:rPr>
              <w:t>Not completed</w:t>
            </w:r>
          </w:p>
        </w:tc>
        <w:tc>
          <w:tcPr>
            <w:tcW w:w="1650" w:type="dxa"/>
          </w:tcPr>
          <w:p w14:paraId="11ABCB58" w14:textId="0F48F9D8" w:rsidR="00454AF4" w:rsidRPr="0037277C" w:rsidRDefault="00454AF4" w:rsidP="00F113EF">
            <w:pPr>
              <w:rPr>
                <w:b/>
                <w:bCs/>
                <w:iCs/>
                <w:sz w:val="16"/>
                <w:szCs w:val="20"/>
              </w:rPr>
            </w:pPr>
            <w:r w:rsidRPr="0037277C">
              <w:rPr>
                <w:b/>
                <w:bCs/>
                <w:iCs/>
                <w:sz w:val="16"/>
                <w:szCs w:val="20"/>
              </w:rPr>
              <w:t>Total</w:t>
            </w:r>
          </w:p>
        </w:tc>
      </w:tr>
      <w:tr w:rsidR="008975A5" w:rsidRPr="00BD0CB9" w14:paraId="7FA43AC5" w14:textId="06A4B9D3" w:rsidTr="00CF2640">
        <w:tc>
          <w:tcPr>
            <w:tcW w:w="9016" w:type="dxa"/>
            <w:gridSpan w:val="4"/>
          </w:tcPr>
          <w:p w14:paraId="787998BC" w14:textId="161D6FE8" w:rsidR="008975A5" w:rsidRPr="0037277C" w:rsidRDefault="008975A5" w:rsidP="00F113EF">
            <w:pPr>
              <w:rPr>
                <w:b/>
                <w:bCs/>
                <w:iCs/>
                <w:sz w:val="16"/>
                <w:szCs w:val="20"/>
              </w:rPr>
            </w:pPr>
            <w:r w:rsidRPr="0037277C">
              <w:rPr>
                <w:b/>
                <w:bCs/>
                <w:iCs/>
                <w:sz w:val="16"/>
                <w:szCs w:val="20"/>
              </w:rPr>
              <w:t>Age</w:t>
            </w:r>
            <w:r w:rsidR="0045698D" w:rsidRPr="0037277C">
              <w:rPr>
                <w:b/>
                <w:bCs/>
                <w:iCs/>
                <w:sz w:val="16"/>
                <w:szCs w:val="20"/>
              </w:rPr>
              <w:t xml:space="preserve"> as at enrolment</w:t>
            </w:r>
          </w:p>
        </w:tc>
      </w:tr>
      <w:tr w:rsidR="00454AF4" w:rsidRPr="00BD0CB9" w14:paraId="0D69D54D" w14:textId="6BE55044" w:rsidTr="00B74886">
        <w:tc>
          <w:tcPr>
            <w:tcW w:w="4248" w:type="dxa"/>
          </w:tcPr>
          <w:p w14:paraId="5A6F8662" w14:textId="492CDD90" w:rsidR="00454AF4" w:rsidRPr="0037277C" w:rsidRDefault="00431899" w:rsidP="00F113EF">
            <w:pPr>
              <w:rPr>
                <w:iCs/>
                <w:sz w:val="16"/>
                <w:szCs w:val="20"/>
              </w:rPr>
            </w:pPr>
            <w:r w:rsidRPr="0037277C">
              <w:rPr>
                <w:iCs/>
                <w:sz w:val="16"/>
                <w:szCs w:val="20"/>
              </w:rPr>
              <w:t>34 and under</w:t>
            </w:r>
          </w:p>
        </w:tc>
        <w:tc>
          <w:tcPr>
            <w:tcW w:w="1559" w:type="dxa"/>
          </w:tcPr>
          <w:p w14:paraId="03835052" w14:textId="5F8375BC" w:rsidR="00454AF4" w:rsidRPr="0037277C" w:rsidRDefault="00431899" w:rsidP="00F113EF">
            <w:pPr>
              <w:rPr>
                <w:iCs/>
                <w:sz w:val="16"/>
                <w:szCs w:val="20"/>
              </w:rPr>
            </w:pPr>
            <w:r w:rsidRPr="0037277C">
              <w:rPr>
                <w:iCs/>
                <w:sz w:val="16"/>
                <w:szCs w:val="20"/>
              </w:rPr>
              <w:t>5</w:t>
            </w:r>
            <w:r w:rsidR="0037277C" w:rsidRPr="0037277C">
              <w:rPr>
                <w:iCs/>
                <w:sz w:val="16"/>
                <w:szCs w:val="20"/>
              </w:rPr>
              <w:t>1</w:t>
            </w:r>
            <w:r w:rsidR="003537D5" w:rsidRPr="0037277C">
              <w:rPr>
                <w:iCs/>
                <w:sz w:val="16"/>
                <w:szCs w:val="20"/>
              </w:rPr>
              <w:t xml:space="preserve"> (</w:t>
            </w:r>
            <w:r w:rsidR="0037277C" w:rsidRPr="0037277C">
              <w:rPr>
                <w:iCs/>
                <w:sz w:val="16"/>
                <w:szCs w:val="20"/>
              </w:rPr>
              <w:t>50.0</w:t>
            </w:r>
            <w:r w:rsidR="001F58E5" w:rsidRPr="0037277C">
              <w:rPr>
                <w:iCs/>
                <w:sz w:val="16"/>
                <w:szCs w:val="20"/>
              </w:rPr>
              <w:t>%)</w:t>
            </w:r>
          </w:p>
        </w:tc>
        <w:tc>
          <w:tcPr>
            <w:tcW w:w="1559" w:type="dxa"/>
          </w:tcPr>
          <w:p w14:paraId="5FAD10C9" w14:textId="6763B0A7" w:rsidR="00454AF4" w:rsidRPr="0037277C" w:rsidRDefault="00431899" w:rsidP="00F113EF">
            <w:pPr>
              <w:rPr>
                <w:iCs/>
                <w:sz w:val="16"/>
                <w:szCs w:val="20"/>
              </w:rPr>
            </w:pPr>
            <w:r w:rsidRPr="0037277C">
              <w:rPr>
                <w:iCs/>
                <w:sz w:val="16"/>
                <w:szCs w:val="20"/>
              </w:rPr>
              <w:t>51</w:t>
            </w:r>
            <w:r w:rsidR="001F58E5" w:rsidRPr="0037277C">
              <w:rPr>
                <w:iCs/>
                <w:sz w:val="16"/>
                <w:szCs w:val="20"/>
              </w:rPr>
              <w:t xml:space="preserve"> (</w:t>
            </w:r>
            <w:r w:rsidRPr="0037277C">
              <w:rPr>
                <w:iCs/>
                <w:sz w:val="16"/>
                <w:szCs w:val="20"/>
              </w:rPr>
              <w:t>50.</w:t>
            </w:r>
            <w:r w:rsidR="0037277C" w:rsidRPr="0037277C">
              <w:rPr>
                <w:iCs/>
                <w:sz w:val="16"/>
                <w:szCs w:val="20"/>
              </w:rPr>
              <w:t>0</w:t>
            </w:r>
            <w:r w:rsidR="001F58E5" w:rsidRPr="0037277C">
              <w:rPr>
                <w:iCs/>
                <w:sz w:val="16"/>
                <w:szCs w:val="20"/>
              </w:rPr>
              <w:t>%)</w:t>
            </w:r>
          </w:p>
        </w:tc>
        <w:tc>
          <w:tcPr>
            <w:tcW w:w="1650" w:type="dxa"/>
          </w:tcPr>
          <w:p w14:paraId="5745372A" w14:textId="108918A9" w:rsidR="00454AF4" w:rsidRPr="0037277C" w:rsidRDefault="00431899" w:rsidP="00F113EF">
            <w:pPr>
              <w:rPr>
                <w:b/>
                <w:bCs/>
                <w:iCs/>
                <w:sz w:val="16"/>
                <w:szCs w:val="20"/>
              </w:rPr>
            </w:pPr>
            <w:r w:rsidRPr="0037277C">
              <w:rPr>
                <w:b/>
                <w:bCs/>
                <w:iCs/>
                <w:sz w:val="16"/>
                <w:szCs w:val="20"/>
              </w:rPr>
              <w:t>10</w:t>
            </w:r>
            <w:r w:rsidR="0037277C" w:rsidRPr="0037277C">
              <w:rPr>
                <w:b/>
                <w:bCs/>
                <w:iCs/>
                <w:sz w:val="16"/>
                <w:szCs w:val="20"/>
              </w:rPr>
              <w:t>2</w:t>
            </w:r>
            <w:r w:rsidR="001F58E5" w:rsidRPr="0037277C">
              <w:rPr>
                <w:b/>
                <w:bCs/>
                <w:iCs/>
                <w:sz w:val="16"/>
                <w:szCs w:val="20"/>
              </w:rPr>
              <w:t xml:space="preserve"> (</w:t>
            </w:r>
            <w:r w:rsidR="00191DE6" w:rsidRPr="0037277C">
              <w:rPr>
                <w:b/>
                <w:bCs/>
                <w:iCs/>
                <w:sz w:val="16"/>
                <w:szCs w:val="20"/>
              </w:rPr>
              <w:t>100%)</w:t>
            </w:r>
          </w:p>
        </w:tc>
      </w:tr>
      <w:tr w:rsidR="00454AF4" w:rsidRPr="00BD0CB9" w14:paraId="194D7590" w14:textId="156226D8" w:rsidTr="00B74886">
        <w:tc>
          <w:tcPr>
            <w:tcW w:w="4248" w:type="dxa"/>
          </w:tcPr>
          <w:p w14:paraId="30289C20" w14:textId="6206097D" w:rsidR="00454AF4" w:rsidRPr="0037277C" w:rsidRDefault="00431899" w:rsidP="00F113EF">
            <w:pPr>
              <w:rPr>
                <w:iCs/>
                <w:sz w:val="16"/>
                <w:szCs w:val="20"/>
              </w:rPr>
            </w:pPr>
            <w:r w:rsidRPr="0037277C">
              <w:rPr>
                <w:iCs/>
                <w:sz w:val="16"/>
                <w:szCs w:val="20"/>
              </w:rPr>
              <w:t>35 and over</w:t>
            </w:r>
          </w:p>
        </w:tc>
        <w:tc>
          <w:tcPr>
            <w:tcW w:w="1559" w:type="dxa"/>
          </w:tcPr>
          <w:p w14:paraId="20FA5776" w14:textId="560DF88E" w:rsidR="00454AF4" w:rsidRPr="0037277C" w:rsidRDefault="00431899" w:rsidP="00F113EF">
            <w:pPr>
              <w:rPr>
                <w:iCs/>
                <w:sz w:val="16"/>
                <w:szCs w:val="20"/>
              </w:rPr>
            </w:pPr>
            <w:r w:rsidRPr="0037277C">
              <w:rPr>
                <w:iCs/>
                <w:sz w:val="16"/>
                <w:szCs w:val="20"/>
              </w:rPr>
              <w:t>6</w:t>
            </w:r>
            <w:r w:rsidR="0037277C" w:rsidRPr="0037277C">
              <w:rPr>
                <w:iCs/>
                <w:sz w:val="16"/>
                <w:szCs w:val="20"/>
              </w:rPr>
              <w:t>0</w:t>
            </w:r>
            <w:r w:rsidR="001F58E5" w:rsidRPr="0037277C">
              <w:rPr>
                <w:iCs/>
                <w:sz w:val="16"/>
                <w:szCs w:val="20"/>
              </w:rPr>
              <w:t xml:space="preserve"> (</w:t>
            </w:r>
            <w:r w:rsidRPr="0037277C">
              <w:rPr>
                <w:iCs/>
                <w:sz w:val="16"/>
                <w:szCs w:val="20"/>
              </w:rPr>
              <w:t>46.</w:t>
            </w:r>
            <w:r w:rsidR="0037277C" w:rsidRPr="0037277C">
              <w:rPr>
                <w:iCs/>
                <w:sz w:val="16"/>
                <w:szCs w:val="20"/>
              </w:rPr>
              <w:t>5</w:t>
            </w:r>
            <w:r w:rsidR="001F58E5" w:rsidRPr="0037277C">
              <w:rPr>
                <w:iCs/>
                <w:sz w:val="16"/>
                <w:szCs w:val="20"/>
              </w:rPr>
              <w:t>%)</w:t>
            </w:r>
          </w:p>
        </w:tc>
        <w:tc>
          <w:tcPr>
            <w:tcW w:w="1559" w:type="dxa"/>
          </w:tcPr>
          <w:p w14:paraId="3EFA098E" w14:textId="72E00097" w:rsidR="00454AF4" w:rsidRPr="0037277C" w:rsidRDefault="00431899" w:rsidP="00F113EF">
            <w:pPr>
              <w:rPr>
                <w:iCs/>
                <w:sz w:val="16"/>
                <w:szCs w:val="20"/>
              </w:rPr>
            </w:pPr>
            <w:r w:rsidRPr="0037277C">
              <w:rPr>
                <w:iCs/>
                <w:sz w:val="16"/>
                <w:szCs w:val="20"/>
              </w:rPr>
              <w:t>69</w:t>
            </w:r>
            <w:r w:rsidR="001F58E5" w:rsidRPr="0037277C">
              <w:rPr>
                <w:iCs/>
                <w:sz w:val="16"/>
                <w:szCs w:val="20"/>
              </w:rPr>
              <w:t xml:space="preserve"> (</w:t>
            </w:r>
            <w:r w:rsidRPr="0037277C">
              <w:rPr>
                <w:iCs/>
                <w:sz w:val="16"/>
                <w:szCs w:val="20"/>
              </w:rPr>
              <w:t>53.</w:t>
            </w:r>
            <w:r w:rsidR="0037277C" w:rsidRPr="0037277C">
              <w:rPr>
                <w:iCs/>
                <w:sz w:val="16"/>
                <w:szCs w:val="20"/>
              </w:rPr>
              <w:t>5</w:t>
            </w:r>
            <w:r w:rsidR="001F58E5" w:rsidRPr="0037277C">
              <w:rPr>
                <w:iCs/>
                <w:sz w:val="16"/>
                <w:szCs w:val="20"/>
              </w:rPr>
              <w:t>%)</w:t>
            </w:r>
          </w:p>
        </w:tc>
        <w:tc>
          <w:tcPr>
            <w:tcW w:w="1650" w:type="dxa"/>
          </w:tcPr>
          <w:p w14:paraId="7178E51D" w14:textId="39748935" w:rsidR="00454AF4" w:rsidRPr="0037277C" w:rsidRDefault="00431899" w:rsidP="00F113EF">
            <w:pPr>
              <w:rPr>
                <w:b/>
                <w:bCs/>
                <w:iCs/>
                <w:sz w:val="16"/>
                <w:szCs w:val="20"/>
              </w:rPr>
            </w:pPr>
            <w:r w:rsidRPr="0037277C">
              <w:rPr>
                <w:b/>
                <w:bCs/>
                <w:iCs/>
                <w:sz w:val="16"/>
                <w:szCs w:val="20"/>
              </w:rPr>
              <w:t>1</w:t>
            </w:r>
            <w:r w:rsidR="0037277C" w:rsidRPr="0037277C">
              <w:rPr>
                <w:b/>
                <w:bCs/>
                <w:iCs/>
                <w:sz w:val="16"/>
                <w:szCs w:val="20"/>
              </w:rPr>
              <w:t>29</w:t>
            </w:r>
            <w:r w:rsidR="001F58E5" w:rsidRPr="0037277C">
              <w:rPr>
                <w:b/>
                <w:bCs/>
                <w:iCs/>
                <w:sz w:val="16"/>
                <w:szCs w:val="20"/>
              </w:rPr>
              <w:t xml:space="preserve"> </w:t>
            </w:r>
            <w:r w:rsidR="00191DE6" w:rsidRPr="0037277C">
              <w:rPr>
                <w:b/>
                <w:bCs/>
                <w:iCs/>
                <w:sz w:val="16"/>
                <w:szCs w:val="20"/>
              </w:rPr>
              <w:t>(100%)</w:t>
            </w:r>
          </w:p>
        </w:tc>
      </w:tr>
      <w:tr w:rsidR="008975A5" w:rsidRPr="00BD0CB9" w14:paraId="63C4B939" w14:textId="45FA6FAA" w:rsidTr="00CF2640">
        <w:tc>
          <w:tcPr>
            <w:tcW w:w="9016" w:type="dxa"/>
            <w:gridSpan w:val="4"/>
          </w:tcPr>
          <w:p w14:paraId="339A966A" w14:textId="3E879333" w:rsidR="008975A5" w:rsidRPr="0037277C" w:rsidRDefault="003263A5" w:rsidP="00F113EF">
            <w:pPr>
              <w:rPr>
                <w:b/>
                <w:bCs/>
                <w:iCs/>
                <w:sz w:val="16"/>
                <w:szCs w:val="20"/>
              </w:rPr>
            </w:pPr>
            <w:r w:rsidRPr="0037277C">
              <w:rPr>
                <w:b/>
                <w:bCs/>
                <w:iCs/>
                <w:sz w:val="16"/>
                <w:szCs w:val="20"/>
              </w:rPr>
              <w:t>Selected</w:t>
            </w:r>
            <w:r w:rsidR="0045698D" w:rsidRPr="0037277C">
              <w:rPr>
                <w:b/>
                <w:bCs/>
                <w:iCs/>
                <w:sz w:val="16"/>
                <w:szCs w:val="20"/>
              </w:rPr>
              <w:t xml:space="preserve"> </w:t>
            </w:r>
            <w:r w:rsidR="001F312B" w:rsidRPr="0037277C">
              <w:rPr>
                <w:b/>
                <w:bCs/>
                <w:iCs/>
                <w:sz w:val="16"/>
                <w:szCs w:val="20"/>
              </w:rPr>
              <w:t xml:space="preserve">total response </w:t>
            </w:r>
            <w:r w:rsidRPr="0037277C">
              <w:rPr>
                <w:b/>
                <w:bCs/>
                <w:iCs/>
                <w:sz w:val="16"/>
                <w:szCs w:val="20"/>
              </w:rPr>
              <w:t>ethnic</w:t>
            </w:r>
            <w:r w:rsidR="001F312B" w:rsidRPr="0037277C">
              <w:rPr>
                <w:b/>
                <w:bCs/>
                <w:iCs/>
                <w:sz w:val="16"/>
                <w:szCs w:val="20"/>
              </w:rPr>
              <w:t xml:space="preserve"> groups</w:t>
            </w:r>
            <w:r w:rsidR="0045698D" w:rsidRPr="0037277C">
              <w:rPr>
                <w:b/>
                <w:bCs/>
                <w:iCs/>
                <w:sz w:val="16"/>
                <w:szCs w:val="20"/>
              </w:rPr>
              <w:t xml:space="preserve"> as at enrolment</w:t>
            </w:r>
            <w:r w:rsidR="0037277C" w:rsidRPr="0037277C">
              <w:rPr>
                <w:rStyle w:val="FootnoteReference"/>
                <w:b/>
                <w:bCs/>
                <w:iCs/>
                <w:sz w:val="16"/>
                <w:szCs w:val="20"/>
              </w:rPr>
              <w:footnoteReference w:id="14"/>
            </w:r>
          </w:p>
        </w:tc>
      </w:tr>
      <w:tr w:rsidR="001F312B" w:rsidRPr="00BD0CB9" w14:paraId="16D8375A" w14:textId="77777777" w:rsidTr="00B74886">
        <w:tc>
          <w:tcPr>
            <w:tcW w:w="4248" w:type="dxa"/>
          </w:tcPr>
          <w:p w14:paraId="31404EDA" w14:textId="79F57473" w:rsidR="001F312B" w:rsidRPr="0037277C" w:rsidRDefault="001F312B" w:rsidP="00F113EF">
            <w:pPr>
              <w:rPr>
                <w:iCs/>
                <w:sz w:val="16"/>
                <w:szCs w:val="20"/>
              </w:rPr>
            </w:pPr>
            <w:r w:rsidRPr="0037277C">
              <w:rPr>
                <w:iCs/>
                <w:sz w:val="16"/>
                <w:szCs w:val="20"/>
              </w:rPr>
              <w:t>European</w:t>
            </w:r>
          </w:p>
        </w:tc>
        <w:tc>
          <w:tcPr>
            <w:tcW w:w="1559" w:type="dxa"/>
          </w:tcPr>
          <w:p w14:paraId="0B1DC9E1" w14:textId="25C06E23" w:rsidR="001F312B" w:rsidRPr="0037277C" w:rsidRDefault="00431899" w:rsidP="00F113EF">
            <w:pPr>
              <w:rPr>
                <w:iCs/>
                <w:sz w:val="16"/>
                <w:szCs w:val="20"/>
              </w:rPr>
            </w:pPr>
            <w:r w:rsidRPr="0037277C">
              <w:rPr>
                <w:iCs/>
                <w:sz w:val="16"/>
                <w:szCs w:val="20"/>
              </w:rPr>
              <w:t>69</w:t>
            </w:r>
            <w:r w:rsidR="001F312B" w:rsidRPr="0037277C">
              <w:rPr>
                <w:iCs/>
                <w:sz w:val="16"/>
                <w:szCs w:val="20"/>
              </w:rPr>
              <w:t xml:space="preserve"> (</w:t>
            </w:r>
            <w:r w:rsidR="00BD0CB9" w:rsidRPr="0037277C">
              <w:rPr>
                <w:iCs/>
                <w:sz w:val="16"/>
                <w:szCs w:val="20"/>
              </w:rPr>
              <w:t>45.1</w:t>
            </w:r>
            <w:r w:rsidR="001F312B" w:rsidRPr="0037277C">
              <w:rPr>
                <w:iCs/>
                <w:sz w:val="16"/>
                <w:szCs w:val="20"/>
              </w:rPr>
              <w:t>%)</w:t>
            </w:r>
          </w:p>
        </w:tc>
        <w:tc>
          <w:tcPr>
            <w:tcW w:w="1559" w:type="dxa"/>
          </w:tcPr>
          <w:p w14:paraId="10D685F2" w14:textId="6BFE15CF" w:rsidR="001F312B" w:rsidRPr="0037277C" w:rsidRDefault="00BD0CB9" w:rsidP="00F113EF">
            <w:pPr>
              <w:rPr>
                <w:iCs/>
                <w:sz w:val="16"/>
                <w:szCs w:val="20"/>
              </w:rPr>
            </w:pPr>
            <w:r w:rsidRPr="0037277C">
              <w:rPr>
                <w:iCs/>
                <w:sz w:val="16"/>
                <w:szCs w:val="20"/>
              </w:rPr>
              <w:t>84</w:t>
            </w:r>
            <w:r w:rsidR="001F312B" w:rsidRPr="0037277C">
              <w:rPr>
                <w:iCs/>
                <w:sz w:val="16"/>
                <w:szCs w:val="20"/>
              </w:rPr>
              <w:t xml:space="preserve"> (</w:t>
            </w:r>
            <w:r w:rsidRPr="0037277C">
              <w:rPr>
                <w:iCs/>
                <w:sz w:val="16"/>
                <w:szCs w:val="20"/>
              </w:rPr>
              <w:t>54.9</w:t>
            </w:r>
            <w:r w:rsidR="001F312B" w:rsidRPr="0037277C">
              <w:rPr>
                <w:iCs/>
                <w:sz w:val="16"/>
                <w:szCs w:val="20"/>
              </w:rPr>
              <w:t>%)</w:t>
            </w:r>
          </w:p>
        </w:tc>
        <w:tc>
          <w:tcPr>
            <w:tcW w:w="1650" w:type="dxa"/>
          </w:tcPr>
          <w:p w14:paraId="10DD5A27" w14:textId="6367C5C5" w:rsidR="001F312B" w:rsidRPr="0037277C" w:rsidRDefault="001F312B" w:rsidP="00F113EF">
            <w:pPr>
              <w:rPr>
                <w:b/>
                <w:bCs/>
                <w:iCs/>
                <w:sz w:val="16"/>
                <w:szCs w:val="20"/>
              </w:rPr>
            </w:pPr>
            <w:r w:rsidRPr="0037277C">
              <w:rPr>
                <w:b/>
                <w:bCs/>
                <w:iCs/>
                <w:sz w:val="16"/>
                <w:szCs w:val="20"/>
              </w:rPr>
              <w:t>1</w:t>
            </w:r>
            <w:r w:rsidR="00BD0CB9" w:rsidRPr="0037277C">
              <w:rPr>
                <w:b/>
                <w:bCs/>
                <w:iCs/>
                <w:sz w:val="16"/>
                <w:szCs w:val="20"/>
              </w:rPr>
              <w:t>53</w:t>
            </w:r>
            <w:r w:rsidRPr="0037277C">
              <w:rPr>
                <w:b/>
                <w:bCs/>
                <w:iCs/>
                <w:sz w:val="16"/>
                <w:szCs w:val="20"/>
              </w:rPr>
              <w:t xml:space="preserve"> (100%)</w:t>
            </w:r>
          </w:p>
        </w:tc>
      </w:tr>
      <w:tr w:rsidR="00454AF4" w:rsidRPr="00BD0CB9" w14:paraId="31A2CA57" w14:textId="4C892930" w:rsidTr="00B74886">
        <w:tc>
          <w:tcPr>
            <w:tcW w:w="4248" w:type="dxa"/>
          </w:tcPr>
          <w:p w14:paraId="0D029F18" w14:textId="0D5B3F6C" w:rsidR="00454AF4" w:rsidRPr="0037277C" w:rsidRDefault="00454AF4" w:rsidP="00F113EF">
            <w:pPr>
              <w:rPr>
                <w:iCs/>
                <w:sz w:val="16"/>
                <w:szCs w:val="20"/>
              </w:rPr>
            </w:pPr>
            <w:r w:rsidRPr="0037277C">
              <w:rPr>
                <w:iCs/>
                <w:sz w:val="16"/>
                <w:szCs w:val="20"/>
              </w:rPr>
              <w:t>Māori</w:t>
            </w:r>
          </w:p>
        </w:tc>
        <w:tc>
          <w:tcPr>
            <w:tcW w:w="1559" w:type="dxa"/>
          </w:tcPr>
          <w:p w14:paraId="389E17F6" w14:textId="482E5E56" w:rsidR="00454AF4" w:rsidRPr="0037277C" w:rsidRDefault="00BD0CB9" w:rsidP="00F113EF">
            <w:pPr>
              <w:rPr>
                <w:iCs/>
                <w:sz w:val="16"/>
                <w:szCs w:val="20"/>
              </w:rPr>
            </w:pPr>
            <w:r w:rsidRPr="0037277C">
              <w:rPr>
                <w:iCs/>
                <w:sz w:val="16"/>
                <w:szCs w:val="20"/>
              </w:rPr>
              <w:t>27</w:t>
            </w:r>
            <w:r w:rsidR="00454AF4" w:rsidRPr="0037277C">
              <w:rPr>
                <w:iCs/>
                <w:sz w:val="16"/>
                <w:szCs w:val="20"/>
              </w:rPr>
              <w:t xml:space="preserve"> (</w:t>
            </w:r>
            <w:r w:rsidRPr="0037277C">
              <w:rPr>
                <w:iCs/>
                <w:sz w:val="16"/>
                <w:szCs w:val="20"/>
              </w:rPr>
              <w:t>56.3</w:t>
            </w:r>
            <w:r w:rsidR="00D36017" w:rsidRPr="0037277C">
              <w:rPr>
                <w:iCs/>
                <w:sz w:val="16"/>
                <w:szCs w:val="20"/>
              </w:rPr>
              <w:t>%)</w:t>
            </w:r>
          </w:p>
        </w:tc>
        <w:tc>
          <w:tcPr>
            <w:tcW w:w="1559" w:type="dxa"/>
          </w:tcPr>
          <w:p w14:paraId="240A13B5" w14:textId="7AEDB3D4" w:rsidR="00454AF4" w:rsidRPr="0037277C" w:rsidRDefault="00454AF4" w:rsidP="00F113EF">
            <w:pPr>
              <w:rPr>
                <w:iCs/>
                <w:sz w:val="16"/>
                <w:szCs w:val="20"/>
              </w:rPr>
            </w:pPr>
            <w:r w:rsidRPr="0037277C">
              <w:rPr>
                <w:iCs/>
                <w:sz w:val="16"/>
                <w:szCs w:val="20"/>
              </w:rPr>
              <w:t>2</w:t>
            </w:r>
            <w:r w:rsidR="00BD0CB9" w:rsidRPr="0037277C">
              <w:rPr>
                <w:iCs/>
                <w:sz w:val="16"/>
                <w:szCs w:val="20"/>
              </w:rPr>
              <w:t>1</w:t>
            </w:r>
            <w:r w:rsidRPr="0037277C">
              <w:rPr>
                <w:iCs/>
                <w:sz w:val="16"/>
                <w:szCs w:val="20"/>
              </w:rPr>
              <w:t xml:space="preserve"> (</w:t>
            </w:r>
            <w:r w:rsidR="00BD0CB9" w:rsidRPr="0037277C">
              <w:rPr>
                <w:iCs/>
                <w:sz w:val="16"/>
                <w:szCs w:val="20"/>
              </w:rPr>
              <w:t>43.7</w:t>
            </w:r>
            <w:r w:rsidR="00D36017" w:rsidRPr="0037277C">
              <w:rPr>
                <w:iCs/>
                <w:sz w:val="16"/>
                <w:szCs w:val="20"/>
              </w:rPr>
              <w:t>%)</w:t>
            </w:r>
          </w:p>
        </w:tc>
        <w:tc>
          <w:tcPr>
            <w:tcW w:w="1650" w:type="dxa"/>
          </w:tcPr>
          <w:p w14:paraId="44FDF79F" w14:textId="6A0F3A39" w:rsidR="00454AF4" w:rsidRPr="0037277C" w:rsidRDefault="00BD0CB9" w:rsidP="00F113EF">
            <w:pPr>
              <w:rPr>
                <w:b/>
                <w:bCs/>
                <w:iCs/>
                <w:sz w:val="16"/>
                <w:szCs w:val="20"/>
              </w:rPr>
            </w:pPr>
            <w:r w:rsidRPr="0037277C">
              <w:rPr>
                <w:b/>
                <w:bCs/>
                <w:iCs/>
                <w:sz w:val="16"/>
                <w:szCs w:val="20"/>
              </w:rPr>
              <w:t>48</w:t>
            </w:r>
            <w:r w:rsidR="009C3BA1" w:rsidRPr="0037277C">
              <w:rPr>
                <w:b/>
                <w:bCs/>
                <w:iCs/>
                <w:sz w:val="16"/>
                <w:szCs w:val="20"/>
              </w:rPr>
              <w:t xml:space="preserve"> </w:t>
            </w:r>
            <w:r w:rsidR="00191DE6" w:rsidRPr="0037277C">
              <w:rPr>
                <w:b/>
                <w:bCs/>
                <w:iCs/>
                <w:sz w:val="16"/>
                <w:szCs w:val="20"/>
              </w:rPr>
              <w:t>(100%)</w:t>
            </w:r>
          </w:p>
        </w:tc>
      </w:tr>
      <w:tr w:rsidR="00BD0CB9" w:rsidRPr="00BD0CB9" w14:paraId="492CD8C0" w14:textId="77777777" w:rsidTr="00B74886">
        <w:tc>
          <w:tcPr>
            <w:tcW w:w="4248" w:type="dxa"/>
          </w:tcPr>
          <w:p w14:paraId="3FB0B132" w14:textId="071FFBE1" w:rsidR="00BD0CB9" w:rsidRPr="0037277C" w:rsidRDefault="00BD0CB9" w:rsidP="00F113EF">
            <w:pPr>
              <w:rPr>
                <w:iCs/>
                <w:sz w:val="16"/>
                <w:szCs w:val="20"/>
              </w:rPr>
            </w:pPr>
            <w:r w:rsidRPr="0037277C">
              <w:rPr>
                <w:iCs/>
                <w:sz w:val="16"/>
                <w:szCs w:val="20"/>
              </w:rPr>
              <w:t>Pacific Peoples</w:t>
            </w:r>
          </w:p>
        </w:tc>
        <w:tc>
          <w:tcPr>
            <w:tcW w:w="1559" w:type="dxa"/>
          </w:tcPr>
          <w:p w14:paraId="788A97D0" w14:textId="43F5AECB" w:rsidR="00BD0CB9" w:rsidRPr="0037277C" w:rsidRDefault="00BD0CB9" w:rsidP="00F113EF">
            <w:pPr>
              <w:rPr>
                <w:iCs/>
                <w:sz w:val="16"/>
                <w:szCs w:val="20"/>
              </w:rPr>
            </w:pPr>
            <w:r w:rsidRPr="0037277C">
              <w:rPr>
                <w:iCs/>
                <w:sz w:val="16"/>
                <w:szCs w:val="20"/>
              </w:rPr>
              <w:t>18 (46.2%)</w:t>
            </w:r>
          </w:p>
        </w:tc>
        <w:tc>
          <w:tcPr>
            <w:tcW w:w="1559" w:type="dxa"/>
          </w:tcPr>
          <w:p w14:paraId="77EEFFCB" w14:textId="1AE0BC55" w:rsidR="00BD0CB9" w:rsidRPr="0037277C" w:rsidRDefault="00BD0CB9" w:rsidP="00F113EF">
            <w:pPr>
              <w:rPr>
                <w:iCs/>
                <w:sz w:val="16"/>
                <w:szCs w:val="20"/>
              </w:rPr>
            </w:pPr>
            <w:r w:rsidRPr="0037277C">
              <w:rPr>
                <w:iCs/>
                <w:sz w:val="16"/>
                <w:szCs w:val="20"/>
              </w:rPr>
              <w:t>21 (53.8%)</w:t>
            </w:r>
          </w:p>
        </w:tc>
        <w:tc>
          <w:tcPr>
            <w:tcW w:w="1650" w:type="dxa"/>
          </w:tcPr>
          <w:p w14:paraId="26D80B0E" w14:textId="6C9BFB74" w:rsidR="00BD0CB9" w:rsidRPr="0037277C" w:rsidRDefault="00BD0CB9" w:rsidP="00F113EF">
            <w:pPr>
              <w:rPr>
                <w:b/>
                <w:bCs/>
                <w:iCs/>
                <w:sz w:val="16"/>
                <w:szCs w:val="20"/>
              </w:rPr>
            </w:pPr>
            <w:r w:rsidRPr="0037277C">
              <w:rPr>
                <w:b/>
                <w:bCs/>
                <w:iCs/>
                <w:sz w:val="16"/>
                <w:szCs w:val="20"/>
              </w:rPr>
              <w:t>39 (100%)</w:t>
            </w:r>
          </w:p>
        </w:tc>
      </w:tr>
      <w:tr w:rsidR="008975A5" w:rsidRPr="00BD0CB9" w14:paraId="52A44A78" w14:textId="349618DC" w:rsidTr="00CF2640">
        <w:tc>
          <w:tcPr>
            <w:tcW w:w="9016" w:type="dxa"/>
            <w:gridSpan w:val="4"/>
          </w:tcPr>
          <w:p w14:paraId="7D447BD2" w14:textId="551D22E4" w:rsidR="008975A5" w:rsidRPr="00BD0CB9" w:rsidRDefault="008975A5" w:rsidP="00F113EF">
            <w:pPr>
              <w:rPr>
                <w:b/>
                <w:bCs/>
                <w:iCs/>
                <w:sz w:val="16"/>
                <w:szCs w:val="20"/>
                <w:highlight w:val="cyan"/>
              </w:rPr>
            </w:pPr>
            <w:r w:rsidRPr="006431B9">
              <w:rPr>
                <w:b/>
                <w:bCs/>
                <w:iCs/>
                <w:sz w:val="16"/>
                <w:szCs w:val="20"/>
              </w:rPr>
              <w:t>Gender</w:t>
            </w:r>
            <w:r w:rsidR="0045698D" w:rsidRPr="006431B9">
              <w:rPr>
                <w:b/>
                <w:bCs/>
                <w:iCs/>
                <w:sz w:val="16"/>
                <w:szCs w:val="20"/>
              </w:rPr>
              <w:t xml:space="preserve"> as at enrolment</w:t>
            </w:r>
          </w:p>
        </w:tc>
      </w:tr>
      <w:tr w:rsidR="00454AF4" w:rsidRPr="00BD0CB9" w14:paraId="0AE8C4E8" w14:textId="474F2791" w:rsidTr="00B74886">
        <w:tc>
          <w:tcPr>
            <w:tcW w:w="4248" w:type="dxa"/>
          </w:tcPr>
          <w:p w14:paraId="7696D041" w14:textId="5E1903A8" w:rsidR="00454AF4" w:rsidRPr="006431B9" w:rsidRDefault="00454AF4" w:rsidP="00F113EF">
            <w:pPr>
              <w:rPr>
                <w:iCs/>
                <w:sz w:val="16"/>
                <w:szCs w:val="20"/>
              </w:rPr>
            </w:pPr>
            <w:r w:rsidRPr="006431B9">
              <w:rPr>
                <w:iCs/>
                <w:sz w:val="16"/>
                <w:szCs w:val="20"/>
              </w:rPr>
              <w:t>Female</w:t>
            </w:r>
          </w:p>
        </w:tc>
        <w:tc>
          <w:tcPr>
            <w:tcW w:w="1559" w:type="dxa"/>
          </w:tcPr>
          <w:p w14:paraId="12C046ED" w14:textId="1F5A9268" w:rsidR="00454AF4" w:rsidRPr="006431B9" w:rsidRDefault="006431B9" w:rsidP="00F113EF">
            <w:pPr>
              <w:rPr>
                <w:iCs/>
                <w:sz w:val="16"/>
                <w:szCs w:val="20"/>
              </w:rPr>
            </w:pPr>
            <w:r w:rsidRPr="006431B9">
              <w:rPr>
                <w:iCs/>
                <w:sz w:val="16"/>
                <w:szCs w:val="20"/>
              </w:rPr>
              <w:t>60</w:t>
            </w:r>
            <w:r w:rsidR="00454AF4" w:rsidRPr="006431B9">
              <w:rPr>
                <w:iCs/>
                <w:sz w:val="16"/>
                <w:szCs w:val="20"/>
              </w:rPr>
              <w:t xml:space="preserve"> (</w:t>
            </w:r>
            <w:r w:rsidR="00191DE6" w:rsidRPr="006431B9">
              <w:rPr>
                <w:iCs/>
                <w:sz w:val="16"/>
                <w:szCs w:val="20"/>
              </w:rPr>
              <w:t>5</w:t>
            </w:r>
            <w:r w:rsidR="00BD0CB9" w:rsidRPr="006431B9">
              <w:rPr>
                <w:iCs/>
                <w:sz w:val="16"/>
                <w:szCs w:val="20"/>
              </w:rPr>
              <w:t>2.</w:t>
            </w:r>
            <w:r w:rsidRPr="006431B9">
              <w:rPr>
                <w:iCs/>
                <w:sz w:val="16"/>
                <w:szCs w:val="20"/>
              </w:rPr>
              <w:t>6</w:t>
            </w:r>
            <w:r w:rsidR="00D36017" w:rsidRPr="006431B9">
              <w:rPr>
                <w:iCs/>
                <w:sz w:val="16"/>
                <w:szCs w:val="20"/>
              </w:rPr>
              <w:t>%)</w:t>
            </w:r>
          </w:p>
        </w:tc>
        <w:tc>
          <w:tcPr>
            <w:tcW w:w="1559" w:type="dxa"/>
          </w:tcPr>
          <w:p w14:paraId="756DA891" w14:textId="10A9C1B2" w:rsidR="00454AF4" w:rsidRPr="006431B9" w:rsidRDefault="00BD0CB9" w:rsidP="00F113EF">
            <w:pPr>
              <w:rPr>
                <w:iCs/>
                <w:sz w:val="16"/>
                <w:szCs w:val="20"/>
              </w:rPr>
            </w:pPr>
            <w:r w:rsidRPr="006431B9">
              <w:rPr>
                <w:iCs/>
                <w:sz w:val="16"/>
                <w:szCs w:val="20"/>
              </w:rPr>
              <w:t>54</w:t>
            </w:r>
            <w:r w:rsidR="00454AF4" w:rsidRPr="006431B9">
              <w:rPr>
                <w:iCs/>
                <w:sz w:val="16"/>
                <w:szCs w:val="20"/>
              </w:rPr>
              <w:t xml:space="preserve"> (</w:t>
            </w:r>
            <w:r w:rsidRPr="006431B9">
              <w:rPr>
                <w:iCs/>
                <w:sz w:val="16"/>
                <w:szCs w:val="20"/>
              </w:rPr>
              <w:t>48.</w:t>
            </w:r>
            <w:r w:rsidR="006431B9" w:rsidRPr="006431B9">
              <w:rPr>
                <w:iCs/>
                <w:sz w:val="16"/>
                <w:szCs w:val="20"/>
              </w:rPr>
              <w:t>4</w:t>
            </w:r>
            <w:r w:rsidR="00D36017" w:rsidRPr="006431B9">
              <w:rPr>
                <w:iCs/>
                <w:sz w:val="16"/>
                <w:szCs w:val="20"/>
              </w:rPr>
              <w:t>%)</w:t>
            </w:r>
          </w:p>
        </w:tc>
        <w:tc>
          <w:tcPr>
            <w:tcW w:w="1650" w:type="dxa"/>
          </w:tcPr>
          <w:p w14:paraId="42ADBE51" w14:textId="2ACFF638" w:rsidR="00454AF4" w:rsidRPr="006431B9" w:rsidRDefault="00BD0CB9" w:rsidP="00F113EF">
            <w:pPr>
              <w:rPr>
                <w:b/>
                <w:bCs/>
                <w:iCs/>
                <w:sz w:val="16"/>
                <w:szCs w:val="20"/>
              </w:rPr>
            </w:pPr>
            <w:r w:rsidRPr="006431B9">
              <w:rPr>
                <w:b/>
                <w:bCs/>
                <w:iCs/>
                <w:sz w:val="16"/>
                <w:szCs w:val="20"/>
              </w:rPr>
              <w:t>11</w:t>
            </w:r>
            <w:r w:rsidR="006431B9" w:rsidRPr="006431B9">
              <w:rPr>
                <w:b/>
                <w:bCs/>
                <w:iCs/>
                <w:sz w:val="16"/>
                <w:szCs w:val="20"/>
              </w:rPr>
              <w:t>4</w:t>
            </w:r>
            <w:r w:rsidR="009C3BA1" w:rsidRPr="006431B9">
              <w:rPr>
                <w:b/>
                <w:bCs/>
                <w:iCs/>
                <w:sz w:val="16"/>
                <w:szCs w:val="20"/>
              </w:rPr>
              <w:t xml:space="preserve"> </w:t>
            </w:r>
            <w:r w:rsidR="00191DE6" w:rsidRPr="006431B9">
              <w:rPr>
                <w:b/>
                <w:bCs/>
                <w:iCs/>
                <w:sz w:val="16"/>
                <w:szCs w:val="20"/>
              </w:rPr>
              <w:t>(100%)</w:t>
            </w:r>
          </w:p>
        </w:tc>
      </w:tr>
      <w:tr w:rsidR="00454AF4" w:rsidRPr="00BD0CB9" w14:paraId="6D7C5618" w14:textId="1E6AFEB2" w:rsidTr="00B74886">
        <w:tc>
          <w:tcPr>
            <w:tcW w:w="4248" w:type="dxa"/>
          </w:tcPr>
          <w:p w14:paraId="4CF346C2" w14:textId="57111925" w:rsidR="00454AF4" w:rsidRPr="006431B9" w:rsidRDefault="00454AF4" w:rsidP="00F113EF">
            <w:pPr>
              <w:rPr>
                <w:iCs/>
                <w:sz w:val="16"/>
                <w:szCs w:val="20"/>
              </w:rPr>
            </w:pPr>
            <w:r w:rsidRPr="006431B9">
              <w:rPr>
                <w:iCs/>
                <w:sz w:val="16"/>
                <w:szCs w:val="20"/>
              </w:rPr>
              <w:t>Male</w:t>
            </w:r>
          </w:p>
        </w:tc>
        <w:tc>
          <w:tcPr>
            <w:tcW w:w="1559" w:type="dxa"/>
          </w:tcPr>
          <w:p w14:paraId="2BEE5885" w14:textId="2DE5DBD0" w:rsidR="00454AF4" w:rsidRPr="006431B9" w:rsidRDefault="00BD0CB9" w:rsidP="00F113EF">
            <w:pPr>
              <w:rPr>
                <w:iCs/>
                <w:sz w:val="16"/>
                <w:szCs w:val="20"/>
              </w:rPr>
            </w:pPr>
            <w:r w:rsidRPr="006431B9">
              <w:rPr>
                <w:iCs/>
                <w:sz w:val="16"/>
                <w:szCs w:val="20"/>
              </w:rPr>
              <w:t>51</w:t>
            </w:r>
            <w:r w:rsidR="00454AF4" w:rsidRPr="006431B9">
              <w:rPr>
                <w:iCs/>
                <w:sz w:val="16"/>
                <w:szCs w:val="20"/>
              </w:rPr>
              <w:t xml:space="preserve"> (</w:t>
            </w:r>
            <w:r w:rsidRPr="006431B9">
              <w:rPr>
                <w:iCs/>
                <w:sz w:val="16"/>
                <w:szCs w:val="20"/>
              </w:rPr>
              <w:t>43.6</w:t>
            </w:r>
            <w:r w:rsidR="00D36017" w:rsidRPr="006431B9">
              <w:rPr>
                <w:iCs/>
                <w:sz w:val="16"/>
                <w:szCs w:val="20"/>
              </w:rPr>
              <w:t>%)</w:t>
            </w:r>
          </w:p>
        </w:tc>
        <w:tc>
          <w:tcPr>
            <w:tcW w:w="1559" w:type="dxa"/>
          </w:tcPr>
          <w:p w14:paraId="71C6AA33" w14:textId="2939A1A1" w:rsidR="00454AF4" w:rsidRPr="006431B9" w:rsidRDefault="00BD0CB9" w:rsidP="00F113EF">
            <w:pPr>
              <w:rPr>
                <w:iCs/>
                <w:sz w:val="16"/>
                <w:szCs w:val="20"/>
              </w:rPr>
            </w:pPr>
            <w:r w:rsidRPr="006431B9">
              <w:rPr>
                <w:iCs/>
                <w:sz w:val="16"/>
                <w:szCs w:val="20"/>
              </w:rPr>
              <w:t>66</w:t>
            </w:r>
            <w:r w:rsidR="00454AF4" w:rsidRPr="006431B9">
              <w:rPr>
                <w:iCs/>
                <w:sz w:val="16"/>
                <w:szCs w:val="20"/>
              </w:rPr>
              <w:t xml:space="preserve"> (</w:t>
            </w:r>
            <w:r w:rsidRPr="006431B9">
              <w:rPr>
                <w:iCs/>
                <w:sz w:val="16"/>
                <w:szCs w:val="20"/>
              </w:rPr>
              <w:t>56.4</w:t>
            </w:r>
            <w:r w:rsidR="00D36017" w:rsidRPr="006431B9">
              <w:rPr>
                <w:iCs/>
                <w:sz w:val="16"/>
                <w:szCs w:val="20"/>
              </w:rPr>
              <w:t>%)</w:t>
            </w:r>
          </w:p>
        </w:tc>
        <w:tc>
          <w:tcPr>
            <w:tcW w:w="1650" w:type="dxa"/>
          </w:tcPr>
          <w:p w14:paraId="09B9C144" w14:textId="45731073" w:rsidR="00454AF4" w:rsidRPr="006431B9" w:rsidRDefault="00BD0CB9" w:rsidP="00F113EF">
            <w:pPr>
              <w:rPr>
                <w:b/>
                <w:bCs/>
                <w:iCs/>
                <w:sz w:val="16"/>
                <w:szCs w:val="20"/>
              </w:rPr>
            </w:pPr>
            <w:r w:rsidRPr="006431B9">
              <w:rPr>
                <w:b/>
                <w:bCs/>
                <w:iCs/>
                <w:sz w:val="16"/>
                <w:szCs w:val="20"/>
              </w:rPr>
              <w:t>117</w:t>
            </w:r>
            <w:r w:rsidR="009C3BA1" w:rsidRPr="006431B9">
              <w:rPr>
                <w:b/>
                <w:bCs/>
                <w:iCs/>
                <w:sz w:val="16"/>
                <w:szCs w:val="20"/>
              </w:rPr>
              <w:t xml:space="preserve"> </w:t>
            </w:r>
            <w:r w:rsidR="00191DE6" w:rsidRPr="006431B9">
              <w:rPr>
                <w:b/>
                <w:bCs/>
                <w:iCs/>
                <w:sz w:val="16"/>
                <w:szCs w:val="20"/>
              </w:rPr>
              <w:t>(100%)</w:t>
            </w:r>
          </w:p>
        </w:tc>
      </w:tr>
      <w:tr w:rsidR="008975A5" w:rsidRPr="00BD0CB9" w14:paraId="01209670" w14:textId="363815EF" w:rsidTr="00CF2640">
        <w:tc>
          <w:tcPr>
            <w:tcW w:w="9016" w:type="dxa"/>
            <w:gridSpan w:val="4"/>
          </w:tcPr>
          <w:p w14:paraId="20AE4F90" w14:textId="560C27E4" w:rsidR="008975A5" w:rsidRPr="006431B9" w:rsidRDefault="003263A5" w:rsidP="00F113EF">
            <w:pPr>
              <w:rPr>
                <w:b/>
                <w:bCs/>
                <w:iCs/>
                <w:sz w:val="16"/>
                <w:szCs w:val="20"/>
              </w:rPr>
            </w:pPr>
            <w:r w:rsidRPr="006431B9">
              <w:rPr>
                <w:b/>
                <w:bCs/>
                <w:iCs/>
                <w:sz w:val="16"/>
                <w:szCs w:val="20"/>
              </w:rPr>
              <w:t>Selected h</w:t>
            </w:r>
            <w:r w:rsidR="0045698D" w:rsidRPr="006431B9">
              <w:rPr>
                <w:b/>
                <w:bCs/>
                <w:iCs/>
                <w:sz w:val="16"/>
                <w:szCs w:val="20"/>
              </w:rPr>
              <w:t xml:space="preserve">ealth conditions on medical certificate at </w:t>
            </w:r>
            <w:r w:rsidR="00BD0CB9" w:rsidRPr="006431B9">
              <w:rPr>
                <w:b/>
                <w:bCs/>
                <w:iCs/>
                <w:sz w:val="16"/>
                <w:szCs w:val="20"/>
              </w:rPr>
              <w:t>enrolment</w:t>
            </w:r>
            <w:r w:rsidR="0045698D" w:rsidRPr="006431B9">
              <w:rPr>
                <w:b/>
                <w:bCs/>
                <w:iCs/>
                <w:sz w:val="16"/>
                <w:szCs w:val="20"/>
              </w:rPr>
              <w:t xml:space="preserve"> date</w:t>
            </w:r>
          </w:p>
        </w:tc>
      </w:tr>
      <w:tr w:rsidR="0045698D" w:rsidRPr="00BD0CB9" w14:paraId="688826FA" w14:textId="5A2F03B4" w:rsidTr="00B74886">
        <w:tc>
          <w:tcPr>
            <w:tcW w:w="4248" w:type="dxa"/>
          </w:tcPr>
          <w:p w14:paraId="08E602D8" w14:textId="25DFF93E" w:rsidR="0045698D" w:rsidRPr="006431B9" w:rsidRDefault="0045698D" w:rsidP="0045698D">
            <w:pPr>
              <w:rPr>
                <w:iCs/>
                <w:sz w:val="16"/>
                <w:szCs w:val="20"/>
              </w:rPr>
            </w:pPr>
            <w:r w:rsidRPr="006431B9">
              <w:rPr>
                <w:iCs/>
                <w:sz w:val="16"/>
                <w:szCs w:val="20"/>
              </w:rPr>
              <w:t xml:space="preserve">Mental health </w:t>
            </w:r>
            <w:r w:rsidR="00B74886" w:rsidRPr="006431B9">
              <w:rPr>
                <w:iCs/>
                <w:sz w:val="16"/>
                <w:szCs w:val="20"/>
              </w:rPr>
              <w:t>conditions</w:t>
            </w:r>
            <w:r w:rsidR="00BD0CB9" w:rsidRPr="006431B9">
              <w:rPr>
                <w:rStyle w:val="FootnoteReference"/>
                <w:iCs/>
                <w:sz w:val="16"/>
                <w:szCs w:val="20"/>
              </w:rPr>
              <w:footnoteReference w:id="15"/>
            </w:r>
          </w:p>
        </w:tc>
        <w:tc>
          <w:tcPr>
            <w:tcW w:w="1559" w:type="dxa"/>
          </w:tcPr>
          <w:p w14:paraId="7B07D4C8" w14:textId="2A3932C9" w:rsidR="0045698D" w:rsidRPr="006431B9" w:rsidRDefault="00BD0CB9" w:rsidP="0045698D">
            <w:pPr>
              <w:rPr>
                <w:iCs/>
                <w:sz w:val="16"/>
                <w:szCs w:val="20"/>
              </w:rPr>
            </w:pPr>
            <w:r w:rsidRPr="006431B9">
              <w:rPr>
                <w:iCs/>
                <w:sz w:val="16"/>
                <w:szCs w:val="20"/>
              </w:rPr>
              <w:t>4</w:t>
            </w:r>
            <w:r w:rsidR="006431B9" w:rsidRPr="006431B9">
              <w:rPr>
                <w:iCs/>
                <w:sz w:val="16"/>
                <w:szCs w:val="20"/>
              </w:rPr>
              <w:t>2</w:t>
            </w:r>
            <w:r w:rsidR="0045698D" w:rsidRPr="006431B9">
              <w:rPr>
                <w:iCs/>
                <w:sz w:val="16"/>
                <w:szCs w:val="20"/>
              </w:rPr>
              <w:t xml:space="preserve"> (</w:t>
            </w:r>
            <w:r w:rsidRPr="006431B9">
              <w:rPr>
                <w:iCs/>
                <w:sz w:val="16"/>
                <w:szCs w:val="20"/>
              </w:rPr>
              <w:t>3</w:t>
            </w:r>
            <w:r w:rsidR="006431B9" w:rsidRPr="006431B9">
              <w:rPr>
                <w:iCs/>
                <w:sz w:val="16"/>
                <w:szCs w:val="20"/>
              </w:rPr>
              <w:t>6.8</w:t>
            </w:r>
            <w:r w:rsidR="0045698D" w:rsidRPr="006431B9">
              <w:rPr>
                <w:iCs/>
                <w:sz w:val="16"/>
                <w:szCs w:val="20"/>
              </w:rPr>
              <w:t>%)</w:t>
            </w:r>
          </w:p>
        </w:tc>
        <w:tc>
          <w:tcPr>
            <w:tcW w:w="1559" w:type="dxa"/>
          </w:tcPr>
          <w:p w14:paraId="767B0553" w14:textId="77867F75" w:rsidR="0045698D" w:rsidRPr="006431B9" w:rsidRDefault="00BD0CB9" w:rsidP="0045698D">
            <w:pPr>
              <w:rPr>
                <w:iCs/>
                <w:sz w:val="16"/>
                <w:szCs w:val="20"/>
              </w:rPr>
            </w:pPr>
            <w:r w:rsidRPr="006431B9">
              <w:rPr>
                <w:iCs/>
                <w:sz w:val="16"/>
                <w:szCs w:val="20"/>
              </w:rPr>
              <w:t>72</w:t>
            </w:r>
            <w:r w:rsidR="0045698D" w:rsidRPr="006431B9">
              <w:rPr>
                <w:iCs/>
                <w:sz w:val="16"/>
                <w:szCs w:val="20"/>
              </w:rPr>
              <w:t xml:space="preserve"> (</w:t>
            </w:r>
            <w:r w:rsidRPr="006431B9">
              <w:rPr>
                <w:iCs/>
                <w:sz w:val="16"/>
                <w:szCs w:val="20"/>
              </w:rPr>
              <w:t>6</w:t>
            </w:r>
            <w:r w:rsidR="006431B9" w:rsidRPr="006431B9">
              <w:rPr>
                <w:iCs/>
                <w:sz w:val="16"/>
                <w:szCs w:val="20"/>
              </w:rPr>
              <w:t>3.2</w:t>
            </w:r>
            <w:r w:rsidR="0045698D" w:rsidRPr="006431B9">
              <w:rPr>
                <w:iCs/>
                <w:sz w:val="16"/>
                <w:szCs w:val="20"/>
              </w:rPr>
              <w:t>%)</w:t>
            </w:r>
          </w:p>
        </w:tc>
        <w:tc>
          <w:tcPr>
            <w:tcW w:w="1650" w:type="dxa"/>
          </w:tcPr>
          <w:p w14:paraId="58ADF9AA" w14:textId="5626D245" w:rsidR="0045698D" w:rsidRPr="006431B9" w:rsidRDefault="00BD0CB9" w:rsidP="0045698D">
            <w:pPr>
              <w:rPr>
                <w:b/>
                <w:bCs/>
                <w:iCs/>
                <w:sz w:val="16"/>
                <w:szCs w:val="20"/>
              </w:rPr>
            </w:pPr>
            <w:r w:rsidRPr="006431B9">
              <w:rPr>
                <w:b/>
                <w:bCs/>
                <w:iCs/>
                <w:sz w:val="16"/>
                <w:szCs w:val="20"/>
              </w:rPr>
              <w:t>11</w:t>
            </w:r>
            <w:r w:rsidR="006431B9" w:rsidRPr="006431B9">
              <w:rPr>
                <w:b/>
                <w:bCs/>
                <w:iCs/>
                <w:sz w:val="16"/>
                <w:szCs w:val="20"/>
              </w:rPr>
              <w:t>4</w:t>
            </w:r>
            <w:r w:rsidR="0045698D" w:rsidRPr="006431B9">
              <w:rPr>
                <w:b/>
                <w:bCs/>
                <w:iCs/>
                <w:sz w:val="16"/>
                <w:szCs w:val="20"/>
              </w:rPr>
              <w:t xml:space="preserve"> </w:t>
            </w:r>
            <w:r w:rsidR="00191DE6" w:rsidRPr="006431B9">
              <w:rPr>
                <w:b/>
                <w:bCs/>
                <w:iCs/>
                <w:sz w:val="16"/>
                <w:szCs w:val="20"/>
              </w:rPr>
              <w:t>(100%)</w:t>
            </w:r>
          </w:p>
        </w:tc>
      </w:tr>
      <w:tr w:rsidR="00454AF4" w:rsidRPr="00BD0CB9" w14:paraId="10BFC82F" w14:textId="1FC50F5C" w:rsidTr="00B74886">
        <w:tc>
          <w:tcPr>
            <w:tcW w:w="4248" w:type="dxa"/>
          </w:tcPr>
          <w:p w14:paraId="7A43A255" w14:textId="2438B796" w:rsidR="00454AF4" w:rsidRPr="006431B9" w:rsidRDefault="00454AF4" w:rsidP="00F113EF">
            <w:pPr>
              <w:rPr>
                <w:b/>
                <w:bCs/>
                <w:iCs/>
                <w:sz w:val="16"/>
                <w:szCs w:val="20"/>
              </w:rPr>
            </w:pPr>
            <w:r w:rsidRPr="006431B9">
              <w:rPr>
                <w:b/>
                <w:bCs/>
                <w:iCs/>
                <w:sz w:val="16"/>
                <w:szCs w:val="20"/>
              </w:rPr>
              <w:t>Total</w:t>
            </w:r>
          </w:p>
        </w:tc>
        <w:tc>
          <w:tcPr>
            <w:tcW w:w="1559" w:type="dxa"/>
          </w:tcPr>
          <w:p w14:paraId="0FB78613" w14:textId="0F76545A" w:rsidR="00454AF4" w:rsidRPr="006431B9" w:rsidRDefault="00431899" w:rsidP="00F113EF">
            <w:pPr>
              <w:rPr>
                <w:b/>
                <w:bCs/>
                <w:iCs/>
                <w:sz w:val="16"/>
                <w:szCs w:val="20"/>
              </w:rPr>
            </w:pPr>
            <w:r w:rsidRPr="006431B9">
              <w:rPr>
                <w:b/>
                <w:bCs/>
                <w:iCs/>
                <w:sz w:val="16"/>
                <w:szCs w:val="20"/>
              </w:rPr>
              <w:t>111</w:t>
            </w:r>
            <w:r w:rsidR="009C3BA1" w:rsidRPr="006431B9">
              <w:rPr>
                <w:b/>
                <w:bCs/>
                <w:iCs/>
                <w:sz w:val="16"/>
                <w:szCs w:val="20"/>
              </w:rPr>
              <w:t xml:space="preserve"> </w:t>
            </w:r>
            <w:r w:rsidR="00D36017" w:rsidRPr="006431B9">
              <w:rPr>
                <w:b/>
                <w:bCs/>
                <w:iCs/>
                <w:sz w:val="16"/>
                <w:szCs w:val="20"/>
              </w:rPr>
              <w:t>(</w:t>
            </w:r>
            <w:r w:rsidRPr="006431B9">
              <w:rPr>
                <w:b/>
                <w:bCs/>
                <w:iCs/>
                <w:sz w:val="16"/>
                <w:szCs w:val="20"/>
              </w:rPr>
              <w:t>48.1</w:t>
            </w:r>
            <w:r w:rsidR="00D36017" w:rsidRPr="006431B9">
              <w:rPr>
                <w:b/>
                <w:bCs/>
                <w:iCs/>
                <w:sz w:val="16"/>
                <w:szCs w:val="20"/>
              </w:rPr>
              <w:t>%)</w:t>
            </w:r>
          </w:p>
        </w:tc>
        <w:tc>
          <w:tcPr>
            <w:tcW w:w="1559" w:type="dxa"/>
          </w:tcPr>
          <w:p w14:paraId="0E9F4FA9" w14:textId="5E6DB120" w:rsidR="00454AF4" w:rsidRPr="006431B9" w:rsidRDefault="00431899" w:rsidP="00F113EF">
            <w:pPr>
              <w:rPr>
                <w:b/>
                <w:bCs/>
                <w:iCs/>
                <w:sz w:val="16"/>
                <w:szCs w:val="20"/>
              </w:rPr>
            </w:pPr>
            <w:r w:rsidRPr="006431B9">
              <w:rPr>
                <w:b/>
                <w:bCs/>
                <w:iCs/>
                <w:sz w:val="16"/>
                <w:szCs w:val="20"/>
              </w:rPr>
              <w:t>120</w:t>
            </w:r>
            <w:r w:rsidR="009C3BA1" w:rsidRPr="006431B9">
              <w:rPr>
                <w:b/>
                <w:bCs/>
                <w:iCs/>
                <w:sz w:val="16"/>
                <w:szCs w:val="20"/>
              </w:rPr>
              <w:t xml:space="preserve"> </w:t>
            </w:r>
            <w:r w:rsidR="00D36017" w:rsidRPr="006431B9">
              <w:rPr>
                <w:b/>
                <w:bCs/>
                <w:iCs/>
                <w:sz w:val="16"/>
                <w:szCs w:val="20"/>
              </w:rPr>
              <w:t>(</w:t>
            </w:r>
            <w:r w:rsidRPr="006431B9">
              <w:rPr>
                <w:b/>
                <w:bCs/>
                <w:iCs/>
                <w:sz w:val="16"/>
                <w:szCs w:val="20"/>
              </w:rPr>
              <w:t>51.9</w:t>
            </w:r>
            <w:r w:rsidR="00D36017" w:rsidRPr="006431B9">
              <w:rPr>
                <w:b/>
                <w:bCs/>
                <w:iCs/>
                <w:sz w:val="16"/>
                <w:szCs w:val="20"/>
              </w:rPr>
              <w:t>%)</w:t>
            </w:r>
          </w:p>
        </w:tc>
        <w:tc>
          <w:tcPr>
            <w:tcW w:w="1650" w:type="dxa"/>
          </w:tcPr>
          <w:p w14:paraId="65EAF01F" w14:textId="5E2FD43D" w:rsidR="00454AF4" w:rsidRPr="006431B9" w:rsidRDefault="00431899" w:rsidP="00F113EF">
            <w:pPr>
              <w:rPr>
                <w:b/>
                <w:bCs/>
                <w:iCs/>
                <w:sz w:val="16"/>
                <w:szCs w:val="20"/>
              </w:rPr>
            </w:pPr>
            <w:r w:rsidRPr="006431B9">
              <w:rPr>
                <w:b/>
                <w:bCs/>
                <w:iCs/>
                <w:sz w:val="16"/>
                <w:szCs w:val="20"/>
              </w:rPr>
              <w:t>231</w:t>
            </w:r>
            <w:r w:rsidR="00454AF4" w:rsidRPr="006431B9">
              <w:rPr>
                <w:b/>
                <w:bCs/>
                <w:iCs/>
                <w:sz w:val="16"/>
                <w:szCs w:val="20"/>
              </w:rPr>
              <w:t xml:space="preserve"> (100%)</w:t>
            </w:r>
          </w:p>
        </w:tc>
      </w:tr>
    </w:tbl>
    <w:p w14:paraId="1BCB9610" w14:textId="77777777" w:rsidR="00AA2391" w:rsidRPr="00AA2391" w:rsidRDefault="00AA2391" w:rsidP="00AA2391">
      <w:pPr>
        <w:rPr>
          <w:sz w:val="16"/>
          <w:szCs w:val="18"/>
        </w:rPr>
      </w:pPr>
      <w:r w:rsidRPr="006431B9">
        <w:rPr>
          <w:sz w:val="16"/>
          <w:szCs w:val="18"/>
        </w:rPr>
        <w:t>Note: Percentages may not add to 100 percent due to rounding.</w:t>
      </w:r>
    </w:p>
    <w:p w14:paraId="095924FB" w14:textId="3BEC64CF" w:rsidR="00555C6C" w:rsidRDefault="00555C6C" w:rsidP="004F3F7F">
      <w:pPr>
        <w:rPr>
          <w:iCs/>
          <w:sz w:val="16"/>
          <w:szCs w:val="18"/>
        </w:rPr>
      </w:pPr>
    </w:p>
    <w:p w14:paraId="1A52DB62" w14:textId="77B70A47" w:rsidR="00555C6C" w:rsidRDefault="00555C6C" w:rsidP="004F3F7F">
      <w:pPr>
        <w:rPr>
          <w:iCs/>
          <w:sz w:val="16"/>
          <w:szCs w:val="18"/>
        </w:rPr>
      </w:pPr>
    </w:p>
    <w:p w14:paraId="4412312A" w14:textId="08F4FD57" w:rsidR="00555C6C" w:rsidRDefault="00555C6C" w:rsidP="004F3F7F">
      <w:pPr>
        <w:rPr>
          <w:iCs/>
          <w:sz w:val="16"/>
          <w:szCs w:val="18"/>
        </w:rPr>
      </w:pPr>
    </w:p>
    <w:p w14:paraId="39A7A75B" w14:textId="5F52E4B4" w:rsidR="00555C6C" w:rsidRDefault="00555C6C" w:rsidP="004F3F7F">
      <w:pPr>
        <w:rPr>
          <w:iCs/>
          <w:sz w:val="16"/>
          <w:szCs w:val="18"/>
        </w:rPr>
      </w:pPr>
    </w:p>
    <w:p w14:paraId="0A1CC4D4" w14:textId="4A55A525" w:rsidR="00CC5042" w:rsidRDefault="00CC5042" w:rsidP="004F3F7F">
      <w:pPr>
        <w:rPr>
          <w:iCs/>
          <w:sz w:val="16"/>
          <w:szCs w:val="18"/>
        </w:rPr>
      </w:pPr>
    </w:p>
    <w:p w14:paraId="52AD47D2" w14:textId="5FC7B3DF" w:rsidR="00B74886" w:rsidRDefault="00B74886" w:rsidP="004F3F7F">
      <w:pPr>
        <w:rPr>
          <w:iCs/>
          <w:sz w:val="16"/>
          <w:szCs w:val="18"/>
        </w:rPr>
      </w:pPr>
    </w:p>
    <w:p w14:paraId="0B4C5944" w14:textId="0B0944B9" w:rsidR="00B74886" w:rsidRDefault="00B74886" w:rsidP="004F3F7F">
      <w:pPr>
        <w:rPr>
          <w:iCs/>
          <w:sz w:val="16"/>
          <w:szCs w:val="18"/>
        </w:rPr>
      </w:pPr>
    </w:p>
    <w:p w14:paraId="7D9E1777" w14:textId="77777777" w:rsidR="00B74886" w:rsidRDefault="00B74886" w:rsidP="004F3F7F">
      <w:pPr>
        <w:rPr>
          <w:iCs/>
          <w:sz w:val="16"/>
          <w:szCs w:val="18"/>
        </w:rPr>
      </w:pPr>
    </w:p>
    <w:p w14:paraId="02011813" w14:textId="77777777" w:rsidR="00C47E9D" w:rsidRDefault="00C47E9D" w:rsidP="004F3F7F">
      <w:pPr>
        <w:rPr>
          <w:iCs/>
          <w:sz w:val="16"/>
          <w:szCs w:val="18"/>
        </w:rPr>
      </w:pPr>
    </w:p>
    <w:p w14:paraId="18F32850" w14:textId="6B2A0256" w:rsidR="005C436A" w:rsidRPr="00C9626C" w:rsidRDefault="00C9626C" w:rsidP="00FB3FD4">
      <w:pPr>
        <w:pStyle w:val="Heading3"/>
      </w:pPr>
      <w:r w:rsidRPr="00C9626C">
        <w:lastRenderedPageBreak/>
        <w:t xml:space="preserve">Just over </w:t>
      </w:r>
      <w:r w:rsidR="00FB3FD4">
        <w:t>50</w:t>
      </w:r>
      <w:r w:rsidRPr="00C9626C">
        <w:t xml:space="preserve"> percent</w:t>
      </w:r>
      <w:r w:rsidR="005C436A" w:rsidRPr="00C9626C">
        <w:t xml:space="preserve"> of participants spent </w:t>
      </w:r>
      <w:r w:rsidR="00FB3FD4">
        <w:t>less than 225</w:t>
      </w:r>
      <w:r w:rsidR="005C436A" w:rsidRPr="00C9626C">
        <w:t xml:space="preserve"> days in the </w:t>
      </w:r>
      <w:r w:rsidR="00BE175A">
        <w:t xml:space="preserve">Here Toitū </w:t>
      </w:r>
      <w:r w:rsidR="005C436A" w:rsidRPr="00C9626C">
        <w:t>service from enrolment to exit.</w:t>
      </w:r>
    </w:p>
    <w:p w14:paraId="1F9C79D4" w14:textId="2A7338D4" w:rsidR="00FB3FD4" w:rsidRPr="006E4095" w:rsidRDefault="00FB3FD4" w:rsidP="00FB3FD4">
      <w:pPr>
        <w:rPr>
          <w:iCs/>
        </w:rPr>
      </w:pPr>
      <w:r w:rsidRPr="006E4095">
        <w:rPr>
          <w:iCs/>
        </w:rPr>
        <w:t xml:space="preserve">From enrolment, participants are normally able to receive the service for 12 months, or around 365 days. However, events such as COVID-19 lockdowns meant that some participants may have received the service for a longer period. Additionally, if a participant achieved their goals in less time, they may </w:t>
      </w:r>
      <w:r w:rsidR="004C2ED1">
        <w:rPr>
          <w:iCs/>
        </w:rPr>
        <w:t>have left</w:t>
      </w:r>
      <w:r w:rsidRPr="006E4095">
        <w:rPr>
          <w:iCs/>
        </w:rPr>
        <w:t xml:space="preserve"> the service early.</w:t>
      </w:r>
    </w:p>
    <w:p w14:paraId="1D1FDDA6" w14:textId="1D6F3B94" w:rsidR="00521400" w:rsidRPr="00C9626C" w:rsidRDefault="0008130B" w:rsidP="00B02EF4">
      <w:pPr>
        <w:rPr>
          <w:iCs/>
        </w:rPr>
      </w:pPr>
      <w:r w:rsidRPr="00DD63F8">
        <w:rPr>
          <w:iCs/>
        </w:rPr>
        <w:fldChar w:fldCharType="begin"/>
      </w:r>
      <w:r w:rsidRPr="00DD63F8">
        <w:rPr>
          <w:iCs/>
        </w:rPr>
        <w:instrText xml:space="preserve"> REF _Ref71640637 \h  \* MERGEFORMAT </w:instrText>
      </w:r>
      <w:r w:rsidRPr="00DD63F8">
        <w:rPr>
          <w:iCs/>
        </w:rPr>
      </w:r>
      <w:r w:rsidRPr="00DD63F8">
        <w:rPr>
          <w:iCs/>
        </w:rPr>
        <w:fldChar w:fldCharType="separate"/>
      </w:r>
      <w:r w:rsidRPr="0034369B">
        <w:rPr>
          <w:iCs/>
        </w:rPr>
        <w:t xml:space="preserve">Figure </w:t>
      </w:r>
      <w:r w:rsidRPr="0034369B">
        <w:rPr>
          <w:iCs/>
          <w:noProof/>
        </w:rPr>
        <w:t>10</w:t>
      </w:r>
      <w:r w:rsidRPr="00DD63F8">
        <w:rPr>
          <w:iCs/>
        </w:rPr>
        <w:fldChar w:fldCharType="end"/>
      </w:r>
      <w:r>
        <w:rPr>
          <w:iCs/>
        </w:rPr>
        <w:t xml:space="preserve"> </w:t>
      </w:r>
      <w:r w:rsidR="00FB3FD4">
        <w:rPr>
          <w:iCs/>
        </w:rPr>
        <w:t xml:space="preserve">below shows that half of the participants spent less than 225 days in the Here </w:t>
      </w:r>
      <w:r w:rsidR="00304BE0">
        <w:rPr>
          <w:iCs/>
        </w:rPr>
        <w:t>Toitū</w:t>
      </w:r>
      <w:r w:rsidR="00FB3FD4">
        <w:rPr>
          <w:iCs/>
        </w:rPr>
        <w:t xml:space="preserve"> service from enrolment to exit. </w:t>
      </w:r>
      <w:r w:rsidR="00E816C4" w:rsidRPr="00DD63F8">
        <w:rPr>
          <w:iCs/>
        </w:rPr>
        <w:t xml:space="preserve">The median time between enrolment and exit was </w:t>
      </w:r>
      <w:r w:rsidR="00DD63F8" w:rsidRPr="00DD63F8">
        <w:rPr>
          <w:iCs/>
        </w:rPr>
        <w:t>210</w:t>
      </w:r>
      <w:r w:rsidR="00E816C4" w:rsidRPr="00DD63F8">
        <w:rPr>
          <w:iCs/>
        </w:rPr>
        <w:t xml:space="preserve"> days</w:t>
      </w:r>
      <w:r>
        <w:rPr>
          <w:iCs/>
        </w:rPr>
        <w:t>.</w:t>
      </w:r>
    </w:p>
    <w:p w14:paraId="6E2B4706" w14:textId="49ED36C7" w:rsidR="00E816C4" w:rsidRPr="00D70FB0" w:rsidRDefault="00E816C4" w:rsidP="00D70FB0">
      <w:pPr>
        <w:pStyle w:val="Caption"/>
      </w:pPr>
      <w:bookmarkStart w:id="19" w:name="_Ref71640637"/>
      <w:r w:rsidRPr="00C9626C">
        <w:t xml:space="preserve">Figure </w:t>
      </w:r>
      <w:fldSimple w:instr=" SEQ Figure \* ARABIC ">
        <w:r w:rsidR="0034369B">
          <w:rPr>
            <w:noProof/>
          </w:rPr>
          <w:t>10</w:t>
        </w:r>
      </w:fldSimple>
      <w:bookmarkEnd w:id="19"/>
      <w:r w:rsidRPr="00C9626C">
        <w:t>: Distribution of time from enrolment to exit.</w:t>
      </w:r>
    </w:p>
    <w:p w14:paraId="0D50B043" w14:textId="4AC49756" w:rsidR="00E816C4" w:rsidRDefault="00FB3FD4" w:rsidP="00E816C4">
      <w:pPr>
        <w:rPr>
          <w:iCs/>
        </w:rPr>
      </w:pPr>
      <w:r>
        <w:rPr>
          <w:noProof/>
        </w:rPr>
        <w:drawing>
          <wp:inline distT="0" distB="0" distL="0" distR="0" wp14:anchorId="72EEA39E" wp14:editId="0903097E">
            <wp:extent cx="4572000" cy="2743200"/>
            <wp:effectExtent l="0" t="0" r="0" b="0"/>
            <wp:docPr id="5" name="Chart 5">
              <a:extLst xmlns:a="http://schemas.openxmlformats.org/drawingml/2006/main">
                <a:ext uri="{FF2B5EF4-FFF2-40B4-BE49-F238E27FC236}">
                  <a16:creationId xmlns:a16="http://schemas.microsoft.com/office/drawing/2014/main" id="{821329CD-24D5-4DDC-8F40-19D258EFA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858F8A" w14:textId="77777777" w:rsidR="005C436A" w:rsidRDefault="005C436A" w:rsidP="00E816C4">
      <w:pPr>
        <w:rPr>
          <w:iCs/>
        </w:rPr>
      </w:pPr>
    </w:p>
    <w:p w14:paraId="1863BFF5" w14:textId="77777777" w:rsidR="005C436A" w:rsidRDefault="005C436A" w:rsidP="00E816C4">
      <w:pPr>
        <w:rPr>
          <w:iCs/>
        </w:rPr>
      </w:pPr>
    </w:p>
    <w:p w14:paraId="21922646" w14:textId="77777777" w:rsidR="005C436A" w:rsidRPr="00E745CD" w:rsidRDefault="005C436A" w:rsidP="00E816C4">
      <w:pPr>
        <w:rPr>
          <w:iCs/>
          <w:lang w:val="en-US"/>
        </w:rPr>
      </w:pPr>
    </w:p>
    <w:p w14:paraId="02BD1719" w14:textId="77777777" w:rsidR="005C436A" w:rsidRDefault="005C436A" w:rsidP="00E816C4">
      <w:pPr>
        <w:rPr>
          <w:iCs/>
        </w:rPr>
      </w:pPr>
    </w:p>
    <w:p w14:paraId="4CA19FCB" w14:textId="77777777" w:rsidR="005C436A" w:rsidRDefault="005C436A" w:rsidP="00E816C4">
      <w:pPr>
        <w:rPr>
          <w:iCs/>
        </w:rPr>
      </w:pPr>
    </w:p>
    <w:p w14:paraId="042B96A0" w14:textId="77777777" w:rsidR="005C436A" w:rsidRDefault="005C436A" w:rsidP="00E816C4">
      <w:pPr>
        <w:rPr>
          <w:iCs/>
        </w:rPr>
      </w:pPr>
    </w:p>
    <w:p w14:paraId="4749828C" w14:textId="77777777" w:rsidR="005C436A" w:rsidRDefault="005C436A" w:rsidP="00E816C4">
      <w:pPr>
        <w:rPr>
          <w:iCs/>
        </w:rPr>
      </w:pPr>
    </w:p>
    <w:p w14:paraId="392768DA" w14:textId="77777777" w:rsidR="005C436A" w:rsidRDefault="005C436A" w:rsidP="00E816C4">
      <w:pPr>
        <w:rPr>
          <w:iCs/>
        </w:rPr>
      </w:pPr>
    </w:p>
    <w:p w14:paraId="4CFF9914" w14:textId="77777777" w:rsidR="005C436A" w:rsidRDefault="005C436A" w:rsidP="00E816C4">
      <w:pPr>
        <w:rPr>
          <w:iCs/>
        </w:rPr>
      </w:pPr>
    </w:p>
    <w:p w14:paraId="197915D0" w14:textId="77777777" w:rsidR="005C436A" w:rsidRDefault="005C436A" w:rsidP="00E816C4">
      <w:pPr>
        <w:rPr>
          <w:iCs/>
        </w:rPr>
      </w:pPr>
    </w:p>
    <w:p w14:paraId="0C37D67B" w14:textId="77777777" w:rsidR="005C436A" w:rsidRDefault="005C436A" w:rsidP="00E816C4">
      <w:pPr>
        <w:rPr>
          <w:iCs/>
        </w:rPr>
      </w:pPr>
    </w:p>
    <w:p w14:paraId="10E703B0" w14:textId="77777777" w:rsidR="005C436A" w:rsidRDefault="005C436A" w:rsidP="00E816C4">
      <w:pPr>
        <w:rPr>
          <w:iCs/>
        </w:rPr>
      </w:pPr>
    </w:p>
    <w:p w14:paraId="56796201" w14:textId="43F2386D" w:rsidR="005C436A" w:rsidRDefault="005C436A" w:rsidP="00E816C4">
      <w:pPr>
        <w:rPr>
          <w:iCs/>
        </w:rPr>
      </w:pPr>
    </w:p>
    <w:p w14:paraId="3E6B7EF8" w14:textId="7CB6F9DF" w:rsidR="00D00390" w:rsidRDefault="00D00390" w:rsidP="00E816C4">
      <w:pPr>
        <w:rPr>
          <w:iCs/>
        </w:rPr>
      </w:pPr>
    </w:p>
    <w:p w14:paraId="6E8A6460" w14:textId="634525EF" w:rsidR="0059449F" w:rsidRDefault="0059449F" w:rsidP="00EC5C2A">
      <w:pPr>
        <w:pStyle w:val="Heading1"/>
      </w:pPr>
      <w:bookmarkStart w:id="20" w:name="_Toc114566737"/>
      <w:r w:rsidRPr="00C42E0A">
        <w:lastRenderedPageBreak/>
        <w:t>To what extent have enrolled clients been assigned a dedicated support team or person?</w:t>
      </w:r>
      <w:bookmarkEnd w:id="20"/>
    </w:p>
    <w:p w14:paraId="4FFFD08C" w14:textId="1C92A033" w:rsidR="0059449F" w:rsidRPr="00AC16A6" w:rsidRDefault="0089235F" w:rsidP="00AC16A6">
      <w:pPr>
        <w:pStyle w:val="Heading3"/>
      </w:pPr>
      <w:bookmarkStart w:id="21" w:name="_Hlk87631388"/>
      <w:r w:rsidRPr="00AC16A6">
        <w:rPr>
          <w:rStyle w:val="Heading4Char"/>
        </w:rPr>
        <w:t xml:space="preserve">Almost </w:t>
      </w:r>
      <w:r w:rsidR="00CC5042" w:rsidRPr="00AC16A6">
        <w:rPr>
          <w:rStyle w:val="Heading4Char"/>
        </w:rPr>
        <w:t xml:space="preserve">all </w:t>
      </w:r>
      <w:r w:rsidRPr="00AC16A6">
        <w:rPr>
          <w:rStyle w:val="Heading4Char"/>
        </w:rPr>
        <w:t xml:space="preserve">participants </w:t>
      </w:r>
      <w:r w:rsidR="00B415A0" w:rsidRPr="00AC16A6">
        <w:rPr>
          <w:rStyle w:val="Heading4Char"/>
        </w:rPr>
        <w:t>had been assigned their non-MSD support people.</w:t>
      </w:r>
    </w:p>
    <w:p w14:paraId="0CCA7FE7" w14:textId="401896CD" w:rsidR="00F530DC" w:rsidRDefault="006A4F20" w:rsidP="00B415A0">
      <w:r>
        <w:t xml:space="preserve">As part of the design of the </w:t>
      </w:r>
      <w:r w:rsidR="00FB3FD4" w:rsidRPr="00FB3FD4">
        <w:t>Here Toitū service</w:t>
      </w:r>
      <w:r w:rsidR="00FB3FD4">
        <w:t>,</w:t>
      </w:r>
      <w:r w:rsidR="00FB3FD4" w:rsidRPr="00FB3FD4">
        <w:t xml:space="preserve"> </w:t>
      </w:r>
      <w:r>
        <w:t>participants received a range of supports while in the service.</w:t>
      </w:r>
      <w:r w:rsidR="00A50B17">
        <w:t xml:space="preserve"> A key part of this was the team that was assigned to working with the participants. This team included:</w:t>
      </w:r>
    </w:p>
    <w:p w14:paraId="7CAC7D0B" w14:textId="77777777" w:rsidR="00A73D46" w:rsidRPr="00A73D46" w:rsidRDefault="00A73D46" w:rsidP="00A73D46">
      <w:pPr>
        <w:pStyle w:val="ListParagraph"/>
        <w:numPr>
          <w:ilvl w:val="0"/>
          <w:numId w:val="43"/>
        </w:numPr>
      </w:pPr>
      <w:r w:rsidRPr="00A73D46">
        <w:t xml:space="preserve">a </w:t>
      </w:r>
      <w:bookmarkStart w:id="22" w:name="_Hlk114146825"/>
      <w:r w:rsidRPr="00A73D46">
        <w:t xml:space="preserve">Kaimanaaki (health navigator), </w:t>
      </w:r>
      <w:bookmarkEnd w:id="22"/>
      <w:r w:rsidRPr="00A73D46">
        <w:t>who would work with the participant to support their wellbeing needs and facilitating access to health, social and community services and supports as required</w:t>
      </w:r>
    </w:p>
    <w:p w14:paraId="00461C04" w14:textId="77777777" w:rsidR="00A73D46" w:rsidRPr="00A73D46" w:rsidRDefault="00A73D46" w:rsidP="00A73D46">
      <w:pPr>
        <w:pStyle w:val="ListParagraph"/>
        <w:numPr>
          <w:ilvl w:val="0"/>
          <w:numId w:val="43"/>
        </w:numPr>
      </w:pPr>
      <w:r w:rsidRPr="00A73D46">
        <w:t>a General Practice team, who would work with the participant to support any clinical health needs</w:t>
      </w:r>
    </w:p>
    <w:p w14:paraId="3A9E64C6" w14:textId="1CAD733D" w:rsidR="00F530DC" w:rsidRDefault="00A73D46" w:rsidP="00A73D46">
      <w:pPr>
        <w:pStyle w:val="ListParagraph"/>
        <w:numPr>
          <w:ilvl w:val="0"/>
          <w:numId w:val="43"/>
        </w:numPr>
      </w:pPr>
      <w:bookmarkStart w:id="23" w:name="_Hlk114146843"/>
      <w:r>
        <w:t>a Dedicated MSD Case Manager</w:t>
      </w:r>
      <w:bookmarkEnd w:id="23"/>
      <w:r>
        <w:t>, who would work with the participant and their key worker to support participants to access further support services, as well as helping the participant to prepare and look for work</w:t>
      </w:r>
      <w:r w:rsidR="00F530DC">
        <w:t>.</w:t>
      </w:r>
      <w:r w:rsidR="00304BE0">
        <w:rPr>
          <w:rStyle w:val="FootnoteReference"/>
        </w:rPr>
        <w:footnoteReference w:id="16"/>
      </w:r>
    </w:p>
    <w:p w14:paraId="7E60C1A0" w14:textId="13F7795A" w:rsidR="00C9626C" w:rsidRDefault="00C9626C" w:rsidP="00C9626C">
      <w:r>
        <w:t xml:space="preserve">Analysis showed that </w:t>
      </w:r>
      <w:r w:rsidR="00BC2B7C">
        <w:t>around</w:t>
      </w:r>
      <w:r>
        <w:t xml:space="preserve"> 9</w:t>
      </w:r>
      <w:r w:rsidR="00BC2B7C">
        <w:t>7</w:t>
      </w:r>
      <w:r>
        <w:t xml:space="preserve"> percent of participants had been assigned to </w:t>
      </w:r>
      <w:r w:rsidR="00BC2B7C">
        <w:t xml:space="preserve">a </w:t>
      </w:r>
      <w:r w:rsidR="00DD63F8">
        <w:t>K</w:t>
      </w:r>
      <w:r w:rsidR="00BC2B7C">
        <w:t>aimanaaki,</w:t>
      </w:r>
      <w:r>
        <w:t xml:space="preserve"> and had a named General Practitioner or General Practice.</w:t>
      </w:r>
      <w:r>
        <w:rPr>
          <w:rStyle w:val="FootnoteReference"/>
        </w:rPr>
        <w:footnoteReference w:id="17"/>
      </w:r>
      <w:r>
        <w:t xml:space="preserve"> </w:t>
      </w:r>
    </w:p>
    <w:bookmarkEnd w:id="21"/>
    <w:p w14:paraId="1F20E843" w14:textId="1550D0B2" w:rsidR="0089235F" w:rsidRDefault="00C9626C" w:rsidP="00F113EF">
      <w:pPr>
        <w:rPr>
          <w:iCs/>
        </w:rPr>
      </w:pPr>
      <w:r>
        <w:rPr>
          <w:iCs/>
        </w:rPr>
        <w:t>However, t</w:t>
      </w:r>
      <w:r w:rsidR="00100547">
        <w:rPr>
          <w:iCs/>
        </w:rPr>
        <w:t>he</w:t>
      </w:r>
      <w:r w:rsidR="0089235F">
        <w:rPr>
          <w:iCs/>
        </w:rPr>
        <w:t xml:space="preserve"> available </w:t>
      </w:r>
      <w:r w:rsidR="00100547">
        <w:rPr>
          <w:iCs/>
        </w:rPr>
        <w:t xml:space="preserve">data does not allow us </w:t>
      </w:r>
      <w:r w:rsidR="0089235F">
        <w:rPr>
          <w:iCs/>
        </w:rPr>
        <w:t xml:space="preserve">to </w:t>
      </w:r>
      <w:r w:rsidR="00945446">
        <w:rPr>
          <w:iCs/>
        </w:rPr>
        <w:t>establish</w:t>
      </w:r>
      <w:r w:rsidR="0089235F">
        <w:rPr>
          <w:iCs/>
        </w:rPr>
        <w:t xml:space="preserve"> </w:t>
      </w:r>
      <w:r w:rsidR="00EA3FCF">
        <w:rPr>
          <w:iCs/>
        </w:rPr>
        <w:t>whether</w:t>
      </w:r>
      <w:r w:rsidR="0089235F">
        <w:rPr>
          <w:iCs/>
        </w:rPr>
        <w:t xml:space="preserve"> </w:t>
      </w:r>
      <w:r w:rsidR="00EA3FCF">
        <w:rPr>
          <w:iCs/>
        </w:rPr>
        <w:t>all</w:t>
      </w:r>
      <w:r w:rsidR="0089235F">
        <w:rPr>
          <w:iCs/>
        </w:rPr>
        <w:t xml:space="preserve"> the participants </w:t>
      </w:r>
      <w:r w:rsidR="00E745CD">
        <w:rPr>
          <w:iCs/>
        </w:rPr>
        <w:t>were</w:t>
      </w:r>
      <w:r w:rsidR="0089235F">
        <w:rPr>
          <w:iCs/>
        </w:rPr>
        <w:t xml:space="preserve"> assigned to </w:t>
      </w:r>
      <w:r w:rsidR="00DD63F8">
        <w:rPr>
          <w:iCs/>
        </w:rPr>
        <w:t xml:space="preserve">a </w:t>
      </w:r>
      <w:r w:rsidR="00A73D46">
        <w:t>Dedicated Case Manager</w:t>
      </w:r>
      <w:r w:rsidR="0089235F">
        <w:rPr>
          <w:iCs/>
        </w:rPr>
        <w:t>. This means we are unable to</w:t>
      </w:r>
      <w:r w:rsidR="00E745CD">
        <w:rPr>
          <w:iCs/>
        </w:rPr>
        <w:t xml:space="preserve"> fully answer the question of whether enrolled participants had been assigned a dedicated support team.</w:t>
      </w:r>
    </w:p>
    <w:p w14:paraId="667A0CF0" w14:textId="734F49B9" w:rsidR="003E0279" w:rsidRDefault="003E0279" w:rsidP="00F113EF">
      <w:pPr>
        <w:rPr>
          <w:iCs/>
        </w:rPr>
      </w:pPr>
    </w:p>
    <w:p w14:paraId="43CC25AF" w14:textId="4FDF94DB" w:rsidR="003E0279" w:rsidRDefault="003E0279" w:rsidP="00F113EF">
      <w:pPr>
        <w:rPr>
          <w:iCs/>
        </w:rPr>
      </w:pPr>
    </w:p>
    <w:p w14:paraId="4F5E8008" w14:textId="77629103" w:rsidR="00C9626C" w:rsidRDefault="00C9626C" w:rsidP="00F113EF">
      <w:pPr>
        <w:rPr>
          <w:iCs/>
        </w:rPr>
      </w:pPr>
    </w:p>
    <w:p w14:paraId="1B6225B1" w14:textId="1F4CA5AF" w:rsidR="00C9626C" w:rsidRDefault="00C9626C" w:rsidP="00F113EF">
      <w:pPr>
        <w:rPr>
          <w:iCs/>
        </w:rPr>
      </w:pPr>
    </w:p>
    <w:p w14:paraId="5A7CEEC2" w14:textId="05E06D8F" w:rsidR="00C9626C" w:rsidRDefault="00C9626C" w:rsidP="00F113EF">
      <w:pPr>
        <w:rPr>
          <w:iCs/>
        </w:rPr>
      </w:pPr>
    </w:p>
    <w:p w14:paraId="0DD7BBB4" w14:textId="77777777" w:rsidR="00C9626C" w:rsidRDefault="00C9626C" w:rsidP="00F113EF">
      <w:pPr>
        <w:rPr>
          <w:iCs/>
        </w:rPr>
      </w:pPr>
    </w:p>
    <w:p w14:paraId="51DA7244" w14:textId="09A0808B" w:rsidR="003E0279" w:rsidRDefault="003E0279" w:rsidP="00F113EF">
      <w:pPr>
        <w:rPr>
          <w:iCs/>
        </w:rPr>
      </w:pPr>
    </w:p>
    <w:p w14:paraId="6D70141C" w14:textId="7FC0582D" w:rsidR="00BC2B7C" w:rsidRDefault="00BC2B7C" w:rsidP="00F113EF">
      <w:pPr>
        <w:rPr>
          <w:iCs/>
        </w:rPr>
      </w:pPr>
    </w:p>
    <w:p w14:paraId="1103A6AB" w14:textId="77777777" w:rsidR="00BC2B7C" w:rsidRDefault="00BC2B7C" w:rsidP="00F113EF">
      <w:pPr>
        <w:rPr>
          <w:iCs/>
        </w:rPr>
      </w:pPr>
    </w:p>
    <w:p w14:paraId="78C631DA" w14:textId="59FF6829" w:rsidR="003E0279" w:rsidRDefault="003E0279" w:rsidP="00F113EF">
      <w:pPr>
        <w:rPr>
          <w:iCs/>
        </w:rPr>
      </w:pPr>
    </w:p>
    <w:p w14:paraId="364BCB4E" w14:textId="7F0E19A3" w:rsidR="003D4073" w:rsidRDefault="003D4073" w:rsidP="00F113EF">
      <w:pPr>
        <w:rPr>
          <w:iCs/>
        </w:rPr>
      </w:pPr>
    </w:p>
    <w:p w14:paraId="5AFA83B1" w14:textId="0D37B324" w:rsidR="003D4073" w:rsidRDefault="003D4073" w:rsidP="00F113EF">
      <w:pPr>
        <w:rPr>
          <w:iCs/>
        </w:rPr>
      </w:pPr>
    </w:p>
    <w:p w14:paraId="2CE02267" w14:textId="77777777" w:rsidR="003D4073" w:rsidRDefault="003D4073" w:rsidP="00F113EF">
      <w:pPr>
        <w:rPr>
          <w:iCs/>
        </w:rPr>
      </w:pPr>
    </w:p>
    <w:p w14:paraId="683DAC89" w14:textId="5CD93FE5" w:rsidR="00CB233C" w:rsidRDefault="00CB233C" w:rsidP="00EC5C2A">
      <w:pPr>
        <w:pStyle w:val="Heading1"/>
      </w:pPr>
      <w:bookmarkStart w:id="26" w:name="_Toc114566738"/>
      <w:r w:rsidRPr="00C42E0A">
        <w:lastRenderedPageBreak/>
        <w:t xml:space="preserve">Are </w:t>
      </w:r>
      <w:r w:rsidR="00B02844">
        <w:t>participants Wellbeing Action Plans</w:t>
      </w:r>
      <w:r w:rsidRPr="00C42E0A">
        <w:t xml:space="preserve"> being implemented?</w:t>
      </w:r>
      <w:bookmarkEnd w:id="26"/>
    </w:p>
    <w:p w14:paraId="62D07808" w14:textId="1F1B1B09" w:rsidR="00B02844" w:rsidRDefault="00B02844" w:rsidP="00F113EF">
      <w:pPr>
        <w:rPr>
          <w:iCs/>
        </w:rPr>
      </w:pPr>
      <w:r w:rsidRPr="005E5B6C">
        <w:rPr>
          <w:rFonts w:eastAsia="Times New Roman"/>
          <w:iCs/>
          <w:szCs w:val="20"/>
        </w:rPr>
        <w:t xml:space="preserve">An important part of the Here </w:t>
      </w:r>
      <w:r>
        <w:rPr>
          <w:rFonts w:eastAsia="Times New Roman"/>
          <w:iCs/>
          <w:szCs w:val="20"/>
        </w:rPr>
        <w:t>Toitū</w:t>
      </w:r>
      <w:r w:rsidRPr="005E5B6C">
        <w:rPr>
          <w:rFonts w:eastAsia="Times New Roman"/>
          <w:iCs/>
          <w:szCs w:val="20"/>
        </w:rPr>
        <w:t xml:space="preserve"> service is the development of a Wellbeing </w:t>
      </w:r>
      <w:r>
        <w:rPr>
          <w:rFonts w:eastAsia="Times New Roman"/>
          <w:iCs/>
          <w:szCs w:val="20"/>
        </w:rPr>
        <w:t xml:space="preserve">Action </w:t>
      </w:r>
      <w:r w:rsidRPr="005E5B6C">
        <w:rPr>
          <w:rFonts w:eastAsia="Times New Roman"/>
          <w:iCs/>
          <w:szCs w:val="20"/>
        </w:rPr>
        <w:t xml:space="preserve">Plan. The Wellbeing </w:t>
      </w:r>
      <w:r>
        <w:rPr>
          <w:rFonts w:eastAsia="Times New Roman"/>
          <w:iCs/>
          <w:szCs w:val="20"/>
        </w:rPr>
        <w:t xml:space="preserve">Action </w:t>
      </w:r>
      <w:r w:rsidRPr="005E5B6C">
        <w:rPr>
          <w:rFonts w:eastAsia="Times New Roman"/>
          <w:iCs/>
          <w:szCs w:val="20"/>
        </w:rPr>
        <w:t xml:space="preserve">Plan </w:t>
      </w:r>
      <w:r w:rsidR="00446A41">
        <w:rPr>
          <w:rFonts w:eastAsia="Times New Roman"/>
          <w:iCs/>
          <w:szCs w:val="20"/>
        </w:rPr>
        <w:t>is</w:t>
      </w:r>
      <w:r w:rsidRPr="005E5B6C">
        <w:rPr>
          <w:rFonts w:eastAsia="Times New Roman"/>
          <w:iCs/>
          <w:szCs w:val="20"/>
        </w:rPr>
        <w:t xml:space="preserve"> an individually tailored plan to help participants towards achieving their goals and aspirations.</w:t>
      </w:r>
      <w:r>
        <w:rPr>
          <w:rFonts w:eastAsia="Times New Roman"/>
          <w:iCs/>
          <w:szCs w:val="20"/>
        </w:rPr>
        <w:t xml:space="preserve"> The implementation of these plans is seen as an important component of achieving the stated goals of Here </w:t>
      </w:r>
      <w:r>
        <w:rPr>
          <w:iCs/>
        </w:rPr>
        <w:t>Toitū</w:t>
      </w:r>
      <w:r>
        <w:rPr>
          <w:rFonts w:eastAsia="Times New Roman"/>
          <w:iCs/>
          <w:szCs w:val="20"/>
        </w:rPr>
        <w:t xml:space="preserve">. </w:t>
      </w:r>
    </w:p>
    <w:p w14:paraId="527EEA8B" w14:textId="4578CDE2" w:rsidR="00066F91" w:rsidRDefault="00446A41" w:rsidP="00F113EF">
      <w:pPr>
        <w:rPr>
          <w:iCs/>
        </w:rPr>
      </w:pPr>
      <w:r>
        <w:rPr>
          <w:iCs/>
        </w:rPr>
        <w:t xml:space="preserve">Two measures are used to assess whether participants Wellbeing Action Plans are being implemented. One is the number of Flexi-fund grants that have been accessed, and the other is the number of </w:t>
      </w:r>
      <w:r w:rsidRPr="00446A41">
        <w:rPr>
          <w:iCs/>
        </w:rPr>
        <w:t>additional external services accessed by participants</w:t>
      </w:r>
      <w:r>
        <w:rPr>
          <w:iCs/>
        </w:rPr>
        <w:t>. Both are tools that clients can use to make progress towards agreed wellbeing and employment goals set out in their plans. Implementing these plans may also involve actions wider than these measures that are not captured in the data.</w:t>
      </w:r>
    </w:p>
    <w:p w14:paraId="557BA93F" w14:textId="77777777" w:rsidR="00446A41" w:rsidRDefault="00446A41" w:rsidP="00F113EF">
      <w:pPr>
        <w:rPr>
          <w:iCs/>
        </w:rPr>
      </w:pPr>
    </w:p>
    <w:p w14:paraId="6BC7D071" w14:textId="2412A59E" w:rsidR="008120FD" w:rsidRPr="001A2237" w:rsidRDefault="008120FD" w:rsidP="008120FD">
      <w:pPr>
        <w:pStyle w:val="Heading3"/>
      </w:pPr>
      <w:r w:rsidRPr="001A2237">
        <w:t xml:space="preserve">As at the end of 2021, </w:t>
      </w:r>
      <w:r w:rsidR="00066F91" w:rsidRPr="00066F91">
        <w:t>just under 6</w:t>
      </w:r>
      <w:r w:rsidR="00066F91">
        <w:t>3</w:t>
      </w:r>
      <w:r w:rsidR="00066F91" w:rsidRPr="00066F91">
        <w:t xml:space="preserve"> percent of participants (</w:t>
      </w:r>
      <w:r w:rsidR="00066F91">
        <w:t>288</w:t>
      </w:r>
      <w:r w:rsidR="00066F91" w:rsidRPr="00066F91">
        <w:t xml:space="preserve">) had </w:t>
      </w:r>
      <w:bookmarkStart w:id="27" w:name="_Hlk114147133"/>
      <w:r w:rsidR="00066F91" w:rsidRPr="00066F91">
        <w:t xml:space="preserve">accessed </w:t>
      </w:r>
      <w:r w:rsidR="00D8016D">
        <w:t xml:space="preserve">goods or </w:t>
      </w:r>
      <w:r w:rsidR="00066F91" w:rsidRPr="00066F91">
        <w:t>services</w:t>
      </w:r>
      <w:r w:rsidR="00066F91">
        <w:t xml:space="preserve"> through a Flexi-fund payment</w:t>
      </w:r>
      <w:r w:rsidR="00066F91" w:rsidRPr="00066F91">
        <w:t>.</w:t>
      </w:r>
      <w:bookmarkEnd w:id="27"/>
    </w:p>
    <w:p w14:paraId="4C59598B" w14:textId="6958A7F3" w:rsidR="005809D8" w:rsidRPr="001A2237" w:rsidRDefault="005809D8" w:rsidP="00F113EF">
      <w:pPr>
        <w:rPr>
          <w:iCs/>
        </w:rPr>
      </w:pPr>
      <w:r w:rsidRPr="001A2237">
        <w:rPr>
          <w:iCs/>
        </w:rPr>
        <w:t xml:space="preserve">The </w:t>
      </w:r>
      <w:r w:rsidR="00066F91">
        <w:rPr>
          <w:iCs/>
        </w:rPr>
        <w:t>Flexi-</w:t>
      </w:r>
      <w:r w:rsidRPr="001A2237">
        <w:rPr>
          <w:iCs/>
        </w:rPr>
        <w:t xml:space="preserve">fund for </w:t>
      </w:r>
      <w:r w:rsidR="00066F91">
        <w:rPr>
          <w:iCs/>
        </w:rPr>
        <w:t xml:space="preserve">Here </w:t>
      </w:r>
      <w:r w:rsidR="00304BE0">
        <w:rPr>
          <w:iCs/>
        </w:rPr>
        <w:t>Toitū</w:t>
      </w:r>
      <w:r w:rsidRPr="001A2237">
        <w:rPr>
          <w:iCs/>
        </w:rPr>
        <w:t xml:space="preserve"> </w:t>
      </w:r>
      <w:r w:rsidR="00446A41">
        <w:rPr>
          <w:iCs/>
        </w:rPr>
        <w:t>is</w:t>
      </w:r>
      <w:r w:rsidRPr="001A2237">
        <w:rPr>
          <w:iCs/>
        </w:rPr>
        <w:t xml:space="preserve"> a fund that could be used for things that would support the participant to work. While there </w:t>
      </w:r>
      <w:r w:rsidR="00446A41">
        <w:rPr>
          <w:iCs/>
        </w:rPr>
        <w:t>is</w:t>
      </w:r>
      <w:r w:rsidRPr="001A2237">
        <w:rPr>
          <w:iCs/>
        </w:rPr>
        <w:t xml:space="preserve"> general guidance around how the payment </w:t>
      </w:r>
      <w:r w:rsidR="00446A41">
        <w:rPr>
          <w:iCs/>
        </w:rPr>
        <w:t>can</w:t>
      </w:r>
      <w:r w:rsidRPr="001A2237">
        <w:rPr>
          <w:iCs/>
        </w:rPr>
        <w:t xml:space="preserve"> be used, each case </w:t>
      </w:r>
      <w:r w:rsidR="00446A41">
        <w:rPr>
          <w:iCs/>
        </w:rPr>
        <w:t>is</w:t>
      </w:r>
      <w:r w:rsidRPr="001A2237">
        <w:rPr>
          <w:iCs/>
        </w:rPr>
        <w:t xml:space="preserve"> assessed on its own merits before a decision </w:t>
      </w:r>
      <w:r w:rsidR="00446A41">
        <w:rPr>
          <w:iCs/>
        </w:rPr>
        <w:t>is</w:t>
      </w:r>
      <w:r w:rsidRPr="001A2237">
        <w:rPr>
          <w:iCs/>
        </w:rPr>
        <w:t xml:space="preserve"> made. This </w:t>
      </w:r>
      <w:r w:rsidR="00446A41">
        <w:rPr>
          <w:iCs/>
        </w:rPr>
        <w:t>means</w:t>
      </w:r>
      <w:r w:rsidRPr="001A2237">
        <w:rPr>
          <w:iCs/>
        </w:rPr>
        <w:t xml:space="preserve"> the payment </w:t>
      </w:r>
      <w:r w:rsidR="00446A41">
        <w:rPr>
          <w:iCs/>
        </w:rPr>
        <w:t>can</w:t>
      </w:r>
      <w:r w:rsidRPr="001A2237">
        <w:rPr>
          <w:iCs/>
        </w:rPr>
        <w:t xml:space="preserve"> flex to accommodate for specific participant needs.</w:t>
      </w:r>
      <w:r w:rsidR="00FD3B74" w:rsidRPr="001A2237">
        <w:t xml:space="preserve"> </w:t>
      </w:r>
      <w:r w:rsidR="00FD3B74" w:rsidRPr="001A2237">
        <w:rPr>
          <w:iCs/>
        </w:rPr>
        <w:t xml:space="preserve">Payments using the </w:t>
      </w:r>
      <w:r w:rsidR="00D8016D">
        <w:rPr>
          <w:iCs/>
        </w:rPr>
        <w:t>Flexi-</w:t>
      </w:r>
      <w:r w:rsidR="00FD3B74" w:rsidRPr="001A2237">
        <w:rPr>
          <w:iCs/>
        </w:rPr>
        <w:t xml:space="preserve">fund </w:t>
      </w:r>
      <w:r w:rsidR="00446A41">
        <w:rPr>
          <w:iCs/>
        </w:rPr>
        <w:t>are</w:t>
      </w:r>
      <w:r w:rsidR="00FD3B74" w:rsidRPr="001A2237">
        <w:rPr>
          <w:iCs/>
        </w:rPr>
        <w:t xml:space="preserve"> made from </w:t>
      </w:r>
      <w:r w:rsidR="00D8016D">
        <w:rPr>
          <w:iCs/>
        </w:rPr>
        <w:t xml:space="preserve">the Here </w:t>
      </w:r>
      <w:r w:rsidR="00304BE0">
        <w:rPr>
          <w:iCs/>
        </w:rPr>
        <w:t>Toitū</w:t>
      </w:r>
      <w:r w:rsidR="00D8016D">
        <w:rPr>
          <w:iCs/>
        </w:rPr>
        <w:t xml:space="preserve"> service provider</w:t>
      </w:r>
      <w:r w:rsidR="00FD3B74" w:rsidRPr="001A2237">
        <w:rPr>
          <w:iCs/>
        </w:rPr>
        <w:t xml:space="preserve"> directly to the provider of the good or service being purchased.</w:t>
      </w:r>
    </w:p>
    <w:p w14:paraId="3DA426B5" w14:textId="322E2C19" w:rsidR="00521359" w:rsidRPr="001A2237" w:rsidRDefault="00D8016D" w:rsidP="00F113EF">
      <w:pPr>
        <w:rPr>
          <w:iCs/>
        </w:rPr>
      </w:pPr>
      <w:r>
        <w:rPr>
          <w:iCs/>
        </w:rPr>
        <w:t>Flexi-</w:t>
      </w:r>
      <w:r w:rsidR="008120FD" w:rsidRPr="001A2237">
        <w:rPr>
          <w:iCs/>
        </w:rPr>
        <w:t xml:space="preserve">fund payments </w:t>
      </w:r>
      <w:r w:rsidR="00446A41">
        <w:rPr>
          <w:iCs/>
        </w:rPr>
        <w:t>have been</w:t>
      </w:r>
      <w:r>
        <w:rPr>
          <w:iCs/>
        </w:rPr>
        <w:t xml:space="preserve"> </w:t>
      </w:r>
      <w:r w:rsidR="00A679CC" w:rsidRPr="001A2237">
        <w:rPr>
          <w:iCs/>
        </w:rPr>
        <w:t>made</w:t>
      </w:r>
      <w:r>
        <w:rPr>
          <w:iCs/>
        </w:rPr>
        <w:t xml:space="preserve"> </w:t>
      </w:r>
      <w:r w:rsidR="00446A41">
        <w:rPr>
          <w:iCs/>
        </w:rPr>
        <w:t>on behalf of</w:t>
      </w:r>
      <w:r w:rsidR="00240F41" w:rsidRPr="001A2237">
        <w:rPr>
          <w:iCs/>
        </w:rPr>
        <w:t xml:space="preserve"> </w:t>
      </w:r>
      <w:r>
        <w:rPr>
          <w:iCs/>
        </w:rPr>
        <w:t>just under 63 percent of</w:t>
      </w:r>
      <w:r w:rsidR="00240F41" w:rsidRPr="001A2237">
        <w:rPr>
          <w:iCs/>
        </w:rPr>
        <w:t xml:space="preserve"> participants (</w:t>
      </w:r>
      <w:r>
        <w:rPr>
          <w:iCs/>
        </w:rPr>
        <w:t>288</w:t>
      </w:r>
      <w:r w:rsidR="00240F41" w:rsidRPr="001A2237">
        <w:rPr>
          <w:iCs/>
        </w:rPr>
        <w:t>)</w:t>
      </w:r>
      <w:r>
        <w:rPr>
          <w:iCs/>
        </w:rPr>
        <w:t>, with 504 payments made</w:t>
      </w:r>
      <w:r w:rsidR="00240F41" w:rsidRPr="001A2237">
        <w:rPr>
          <w:iCs/>
        </w:rPr>
        <w:t xml:space="preserve">. The average payment </w:t>
      </w:r>
      <w:r w:rsidR="00F314AF" w:rsidRPr="001A2237">
        <w:rPr>
          <w:iCs/>
        </w:rPr>
        <w:t>was</w:t>
      </w:r>
      <w:r w:rsidR="00240F41" w:rsidRPr="001A2237">
        <w:rPr>
          <w:iCs/>
        </w:rPr>
        <w:t xml:space="preserve"> $</w:t>
      </w:r>
      <w:r>
        <w:rPr>
          <w:iCs/>
        </w:rPr>
        <w:t>118, for a total spend of $59,650</w:t>
      </w:r>
      <w:r w:rsidR="00F314AF" w:rsidRPr="001A2237">
        <w:rPr>
          <w:iCs/>
        </w:rPr>
        <w:t>.</w:t>
      </w:r>
    </w:p>
    <w:p w14:paraId="05DA189A" w14:textId="37E9DF26" w:rsidR="00292117" w:rsidRDefault="00240F41" w:rsidP="00F113EF">
      <w:pPr>
        <w:rPr>
          <w:iCs/>
        </w:rPr>
      </w:pPr>
      <w:r w:rsidRPr="001A2237">
        <w:rPr>
          <w:iCs/>
        </w:rPr>
        <w:t xml:space="preserve">As no information </w:t>
      </w:r>
      <w:r w:rsidR="0048264E" w:rsidRPr="001A2237">
        <w:rPr>
          <w:iCs/>
        </w:rPr>
        <w:t xml:space="preserve">is available on </w:t>
      </w:r>
      <w:r w:rsidRPr="001A2237">
        <w:rPr>
          <w:iCs/>
        </w:rPr>
        <w:t xml:space="preserve">what the </w:t>
      </w:r>
      <w:r w:rsidR="005809D8" w:rsidRPr="001A2237">
        <w:rPr>
          <w:iCs/>
        </w:rPr>
        <w:t xml:space="preserve">specific </w:t>
      </w:r>
      <w:r w:rsidRPr="001A2237">
        <w:rPr>
          <w:iCs/>
        </w:rPr>
        <w:t xml:space="preserve">payments were for, further analysis is not </w:t>
      </w:r>
      <w:r w:rsidR="0048264E" w:rsidRPr="001A2237">
        <w:rPr>
          <w:iCs/>
        </w:rPr>
        <w:t>possible</w:t>
      </w:r>
      <w:r w:rsidRPr="001A2237">
        <w:rPr>
          <w:iCs/>
        </w:rPr>
        <w:t>.</w:t>
      </w:r>
    </w:p>
    <w:p w14:paraId="0418C9BB" w14:textId="77777777" w:rsidR="00446A41" w:rsidRDefault="00446A41" w:rsidP="00446A41">
      <w:pPr>
        <w:rPr>
          <w:iCs/>
        </w:rPr>
      </w:pPr>
    </w:p>
    <w:p w14:paraId="45FFB75E" w14:textId="77777777" w:rsidR="00446A41" w:rsidRDefault="00446A41" w:rsidP="00446A41">
      <w:pPr>
        <w:rPr>
          <w:rStyle w:val="Heading3Char"/>
        </w:rPr>
      </w:pPr>
      <w:r w:rsidRPr="008120FD">
        <w:rPr>
          <w:rStyle w:val="Heading3Char"/>
        </w:rPr>
        <w:t xml:space="preserve">As at the end of 2021, </w:t>
      </w:r>
      <w:r>
        <w:rPr>
          <w:rStyle w:val="Heading3Char"/>
        </w:rPr>
        <w:t>just under 67 percent of participants (306) had accessed external services.</w:t>
      </w:r>
    </w:p>
    <w:p w14:paraId="7E2A5FF8" w14:textId="1E8BE551" w:rsidR="00446A41" w:rsidRDefault="00446A41" w:rsidP="00446A41">
      <w:pPr>
        <w:rPr>
          <w:iCs/>
        </w:rPr>
      </w:pPr>
      <w:r w:rsidRPr="00066F91">
        <w:rPr>
          <w:iCs/>
        </w:rPr>
        <w:t xml:space="preserve">Participants’ support teams </w:t>
      </w:r>
      <w:r>
        <w:rPr>
          <w:iCs/>
        </w:rPr>
        <w:t xml:space="preserve">can </w:t>
      </w:r>
      <w:r w:rsidRPr="00066F91">
        <w:rPr>
          <w:iCs/>
        </w:rPr>
        <w:t>put them in touch with external services</w:t>
      </w:r>
      <w:r>
        <w:rPr>
          <w:iCs/>
        </w:rPr>
        <w:t xml:space="preserve"> to provide additional support or assistance where needed.</w:t>
      </w:r>
      <w:bookmarkStart w:id="28" w:name="_Hlk94532418"/>
      <w:r>
        <w:rPr>
          <w:iCs/>
        </w:rPr>
        <w:t xml:space="preserve"> Just under 67 percent of participants (306) accessed a total of 993 services by the end of 2021. </w:t>
      </w:r>
      <w:bookmarkStart w:id="29" w:name="_Hlk114147232"/>
      <w:r w:rsidRPr="00903870">
        <w:rPr>
          <w:iCs/>
        </w:rPr>
        <w:t xml:space="preserve">The most common type of service accessed </w:t>
      </w:r>
      <w:r>
        <w:rPr>
          <w:iCs/>
        </w:rPr>
        <w:t>was physical health services</w:t>
      </w:r>
      <w:r w:rsidRPr="00903870">
        <w:rPr>
          <w:iCs/>
        </w:rPr>
        <w:t xml:space="preserve">, </w:t>
      </w:r>
      <w:r>
        <w:rPr>
          <w:iCs/>
        </w:rPr>
        <w:t>making up just under 14 percent (138) of services that were accessed</w:t>
      </w:r>
      <w:bookmarkEnd w:id="28"/>
      <w:bookmarkEnd w:id="29"/>
      <w:r w:rsidRPr="00903870">
        <w:rPr>
          <w:iCs/>
        </w:rPr>
        <w:t xml:space="preserve"> (</w:t>
      </w:r>
      <w:r w:rsidRPr="00903870">
        <w:rPr>
          <w:iCs/>
          <w:sz w:val="22"/>
          <w:szCs w:val="24"/>
        </w:rPr>
        <w:fldChar w:fldCharType="begin"/>
      </w:r>
      <w:r w:rsidRPr="00903870">
        <w:rPr>
          <w:iCs/>
          <w:sz w:val="22"/>
          <w:szCs w:val="24"/>
        </w:rPr>
        <w:instrText xml:space="preserve"> REF _Ref71640686 \h  \* MERGEFORMAT </w:instrText>
      </w:r>
      <w:r w:rsidRPr="00903870">
        <w:rPr>
          <w:iCs/>
          <w:sz w:val="22"/>
          <w:szCs w:val="24"/>
        </w:rPr>
      </w:r>
      <w:r w:rsidRPr="00903870">
        <w:rPr>
          <w:iCs/>
          <w:sz w:val="22"/>
          <w:szCs w:val="24"/>
        </w:rPr>
        <w:fldChar w:fldCharType="separate"/>
      </w:r>
      <w:r w:rsidRPr="00BB71F0">
        <w:t xml:space="preserve">Table </w:t>
      </w:r>
      <w:r w:rsidRPr="00BB71F0">
        <w:rPr>
          <w:noProof/>
        </w:rPr>
        <w:t>4</w:t>
      </w:r>
      <w:r w:rsidRPr="00903870">
        <w:rPr>
          <w:iCs/>
          <w:sz w:val="22"/>
          <w:szCs w:val="24"/>
        </w:rPr>
        <w:fldChar w:fldCharType="end"/>
      </w:r>
      <w:r>
        <w:rPr>
          <w:iCs/>
          <w:sz w:val="22"/>
          <w:szCs w:val="24"/>
        </w:rPr>
        <w:t xml:space="preserve"> </w:t>
      </w:r>
      <w:r w:rsidRPr="00446A41">
        <w:rPr>
          <w:iCs/>
        </w:rPr>
        <w:t>overleaf</w:t>
      </w:r>
      <w:r w:rsidRPr="00903870">
        <w:rPr>
          <w:iCs/>
        </w:rPr>
        <w:t xml:space="preserve">). This was followed by </w:t>
      </w:r>
      <w:r>
        <w:rPr>
          <w:iCs/>
        </w:rPr>
        <w:t>training and education</w:t>
      </w:r>
      <w:r w:rsidRPr="00903870">
        <w:rPr>
          <w:iCs/>
        </w:rPr>
        <w:t xml:space="preserve"> services </w:t>
      </w:r>
      <w:r>
        <w:rPr>
          <w:iCs/>
        </w:rPr>
        <w:t>(10.9 percent, 108).</w:t>
      </w:r>
    </w:p>
    <w:p w14:paraId="77E9190F" w14:textId="44733CF9" w:rsidR="00446A41" w:rsidRDefault="00446A41" w:rsidP="00446A41">
      <w:pPr>
        <w:rPr>
          <w:iCs/>
        </w:rPr>
      </w:pPr>
    </w:p>
    <w:p w14:paraId="13F70549" w14:textId="0692796B" w:rsidR="00446A41" w:rsidRDefault="00446A41" w:rsidP="00446A41">
      <w:pPr>
        <w:rPr>
          <w:iCs/>
        </w:rPr>
      </w:pPr>
    </w:p>
    <w:p w14:paraId="3C48C4AE" w14:textId="4EAE13A3" w:rsidR="00446A41" w:rsidRDefault="00446A41" w:rsidP="00446A41">
      <w:pPr>
        <w:rPr>
          <w:iCs/>
        </w:rPr>
      </w:pPr>
    </w:p>
    <w:p w14:paraId="0734388C" w14:textId="796A0EA6" w:rsidR="00446A41" w:rsidRDefault="00446A41" w:rsidP="00446A41">
      <w:pPr>
        <w:rPr>
          <w:iCs/>
        </w:rPr>
      </w:pPr>
    </w:p>
    <w:p w14:paraId="3AB0B098" w14:textId="77777777" w:rsidR="00446A41" w:rsidRDefault="00446A41" w:rsidP="00446A41">
      <w:pPr>
        <w:rPr>
          <w:iCs/>
        </w:rPr>
      </w:pPr>
      <w:r w:rsidRPr="001D440B">
        <w:rPr>
          <w:b/>
          <w:bCs/>
          <w:sz w:val="18"/>
          <w:szCs w:val="20"/>
        </w:rPr>
        <w:lastRenderedPageBreak/>
        <w:t xml:space="preserve">Table </w:t>
      </w:r>
      <w:r w:rsidRPr="001D440B">
        <w:rPr>
          <w:b/>
          <w:bCs/>
          <w:sz w:val="18"/>
          <w:szCs w:val="20"/>
        </w:rPr>
        <w:fldChar w:fldCharType="begin"/>
      </w:r>
      <w:r w:rsidRPr="001D440B">
        <w:rPr>
          <w:b/>
          <w:bCs/>
          <w:sz w:val="18"/>
          <w:szCs w:val="20"/>
        </w:rPr>
        <w:instrText xml:space="preserve"> SEQ Table \* ARABIC </w:instrText>
      </w:r>
      <w:r w:rsidRPr="001D440B">
        <w:rPr>
          <w:b/>
          <w:bCs/>
          <w:sz w:val="18"/>
          <w:szCs w:val="20"/>
        </w:rPr>
        <w:fldChar w:fldCharType="separate"/>
      </w:r>
      <w:r>
        <w:rPr>
          <w:b/>
          <w:bCs/>
          <w:noProof/>
          <w:sz w:val="18"/>
          <w:szCs w:val="20"/>
        </w:rPr>
        <w:t>4</w:t>
      </w:r>
      <w:r w:rsidRPr="001D440B">
        <w:rPr>
          <w:b/>
          <w:bCs/>
          <w:sz w:val="18"/>
          <w:szCs w:val="20"/>
        </w:rPr>
        <w:fldChar w:fldCharType="end"/>
      </w:r>
      <w:r w:rsidRPr="001D440B">
        <w:rPr>
          <w:b/>
          <w:bCs/>
          <w:sz w:val="18"/>
          <w:szCs w:val="20"/>
        </w:rPr>
        <w:t>:</w:t>
      </w:r>
      <w:r w:rsidRPr="00903870">
        <w:rPr>
          <w:b/>
          <w:bCs/>
          <w:sz w:val="18"/>
          <w:szCs w:val="20"/>
        </w:rPr>
        <w:t xml:space="preserve"> Services accessed, by service type.</w:t>
      </w:r>
    </w:p>
    <w:tbl>
      <w:tblPr>
        <w:tblStyle w:val="TableGrid"/>
        <w:tblW w:w="0" w:type="auto"/>
        <w:tblLook w:val="04A0" w:firstRow="1" w:lastRow="0" w:firstColumn="1" w:lastColumn="0" w:noHBand="0" w:noVBand="1"/>
      </w:tblPr>
      <w:tblGrid>
        <w:gridCol w:w="5524"/>
        <w:gridCol w:w="1701"/>
        <w:gridCol w:w="1791"/>
      </w:tblGrid>
      <w:tr w:rsidR="00446A41" w14:paraId="36BCB22F" w14:textId="77777777" w:rsidTr="006A70D8">
        <w:tc>
          <w:tcPr>
            <w:tcW w:w="5524" w:type="dxa"/>
          </w:tcPr>
          <w:p w14:paraId="277388AB" w14:textId="77777777" w:rsidR="00446A41" w:rsidRPr="00066F91" w:rsidRDefault="00446A41" w:rsidP="006A70D8">
            <w:pPr>
              <w:rPr>
                <w:b/>
                <w:bCs/>
                <w:iCs/>
                <w:sz w:val="16"/>
                <w:szCs w:val="20"/>
              </w:rPr>
            </w:pPr>
            <w:r w:rsidRPr="00066F91">
              <w:rPr>
                <w:b/>
                <w:bCs/>
                <w:iCs/>
                <w:sz w:val="16"/>
                <w:szCs w:val="20"/>
              </w:rPr>
              <w:t>Service type</w:t>
            </w:r>
          </w:p>
        </w:tc>
        <w:tc>
          <w:tcPr>
            <w:tcW w:w="1701" w:type="dxa"/>
          </w:tcPr>
          <w:p w14:paraId="164ECC9C" w14:textId="77777777" w:rsidR="00446A41" w:rsidRPr="00066F91" w:rsidRDefault="00446A41" w:rsidP="006A70D8">
            <w:pPr>
              <w:rPr>
                <w:b/>
                <w:bCs/>
                <w:iCs/>
                <w:sz w:val="16"/>
                <w:szCs w:val="20"/>
              </w:rPr>
            </w:pPr>
            <w:r w:rsidRPr="00066F91">
              <w:rPr>
                <w:b/>
                <w:bCs/>
                <w:iCs/>
                <w:sz w:val="16"/>
                <w:szCs w:val="20"/>
              </w:rPr>
              <w:t>Number</w:t>
            </w:r>
          </w:p>
        </w:tc>
        <w:tc>
          <w:tcPr>
            <w:tcW w:w="1791" w:type="dxa"/>
          </w:tcPr>
          <w:p w14:paraId="680C30E5" w14:textId="77777777" w:rsidR="00446A41" w:rsidRPr="00066F91" w:rsidRDefault="00446A41" w:rsidP="006A70D8">
            <w:pPr>
              <w:rPr>
                <w:b/>
                <w:bCs/>
                <w:iCs/>
                <w:sz w:val="16"/>
                <w:szCs w:val="20"/>
              </w:rPr>
            </w:pPr>
            <w:r w:rsidRPr="00066F91">
              <w:rPr>
                <w:b/>
                <w:bCs/>
                <w:iCs/>
                <w:sz w:val="16"/>
                <w:szCs w:val="20"/>
              </w:rPr>
              <w:t>Percentage</w:t>
            </w:r>
          </w:p>
        </w:tc>
      </w:tr>
      <w:tr w:rsidR="00446A41" w14:paraId="57D31AF6" w14:textId="77777777" w:rsidTr="006A70D8">
        <w:tc>
          <w:tcPr>
            <w:tcW w:w="5524" w:type="dxa"/>
            <w:vAlign w:val="bottom"/>
          </w:tcPr>
          <w:p w14:paraId="000C8B9F" w14:textId="77777777" w:rsidR="00446A41" w:rsidRPr="00066F91" w:rsidRDefault="00446A41" w:rsidP="006A70D8">
            <w:pPr>
              <w:rPr>
                <w:iCs/>
                <w:sz w:val="16"/>
                <w:szCs w:val="20"/>
              </w:rPr>
            </w:pPr>
            <w:r w:rsidRPr="00066F91">
              <w:rPr>
                <w:rFonts w:cs="Calibri"/>
                <w:color w:val="000000"/>
                <w:sz w:val="16"/>
                <w:szCs w:val="20"/>
              </w:rPr>
              <w:t>Physical health services</w:t>
            </w:r>
          </w:p>
        </w:tc>
        <w:tc>
          <w:tcPr>
            <w:tcW w:w="1701" w:type="dxa"/>
            <w:vAlign w:val="bottom"/>
          </w:tcPr>
          <w:p w14:paraId="7C54FE5E" w14:textId="77777777" w:rsidR="00446A41" w:rsidRPr="00066F91" w:rsidRDefault="00446A41" w:rsidP="006A70D8">
            <w:pPr>
              <w:rPr>
                <w:iCs/>
                <w:sz w:val="16"/>
                <w:szCs w:val="20"/>
              </w:rPr>
            </w:pPr>
            <w:r w:rsidRPr="00066F91">
              <w:rPr>
                <w:rFonts w:cs="Calibri"/>
                <w:color w:val="000000"/>
                <w:sz w:val="16"/>
                <w:szCs w:val="20"/>
              </w:rPr>
              <w:t>138</w:t>
            </w:r>
          </w:p>
        </w:tc>
        <w:tc>
          <w:tcPr>
            <w:tcW w:w="1791" w:type="dxa"/>
            <w:vAlign w:val="bottom"/>
          </w:tcPr>
          <w:p w14:paraId="63AF5169" w14:textId="77777777" w:rsidR="00446A41" w:rsidRPr="00066F91" w:rsidRDefault="00446A41" w:rsidP="006A70D8">
            <w:pPr>
              <w:rPr>
                <w:iCs/>
                <w:sz w:val="16"/>
                <w:szCs w:val="20"/>
              </w:rPr>
            </w:pPr>
            <w:r w:rsidRPr="00066F91">
              <w:rPr>
                <w:rFonts w:cs="Calibri"/>
                <w:color w:val="000000"/>
                <w:sz w:val="16"/>
                <w:szCs w:val="20"/>
              </w:rPr>
              <w:t>13.9%</w:t>
            </w:r>
          </w:p>
        </w:tc>
      </w:tr>
      <w:tr w:rsidR="00446A41" w14:paraId="005A5884" w14:textId="77777777" w:rsidTr="006A70D8">
        <w:tc>
          <w:tcPr>
            <w:tcW w:w="5524" w:type="dxa"/>
            <w:vAlign w:val="bottom"/>
          </w:tcPr>
          <w:p w14:paraId="58BE25D5" w14:textId="77777777" w:rsidR="00446A41" w:rsidRPr="00066F91" w:rsidRDefault="00446A41" w:rsidP="006A70D8">
            <w:pPr>
              <w:rPr>
                <w:iCs/>
                <w:sz w:val="16"/>
                <w:szCs w:val="20"/>
              </w:rPr>
            </w:pPr>
            <w:r w:rsidRPr="00066F91">
              <w:rPr>
                <w:rFonts w:cs="Calibri"/>
                <w:color w:val="000000"/>
                <w:sz w:val="16"/>
                <w:szCs w:val="20"/>
              </w:rPr>
              <w:t>Training and education</w:t>
            </w:r>
          </w:p>
        </w:tc>
        <w:tc>
          <w:tcPr>
            <w:tcW w:w="1701" w:type="dxa"/>
            <w:vAlign w:val="bottom"/>
          </w:tcPr>
          <w:p w14:paraId="11BE4DC0" w14:textId="77777777" w:rsidR="00446A41" w:rsidRPr="00066F91" w:rsidRDefault="00446A41" w:rsidP="006A70D8">
            <w:pPr>
              <w:rPr>
                <w:iCs/>
                <w:sz w:val="16"/>
                <w:szCs w:val="20"/>
              </w:rPr>
            </w:pPr>
            <w:r w:rsidRPr="00066F91">
              <w:rPr>
                <w:rFonts w:cs="Calibri"/>
                <w:color w:val="000000"/>
                <w:sz w:val="16"/>
                <w:szCs w:val="20"/>
              </w:rPr>
              <w:t>108</w:t>
            </w:r>
          </w:p>
        </w:tc>
        <w:tc>
          <w:tcPr>
            <w:tcW w:w="1791" w:type="dxa"/>
            <w:vAlign w:val="bottom"/>
          </w:tcPr>
          <w:p w14:paraId="4CB96B68" w14:textId="77777777" w:rsidR="00446A41" w:rsidRPr="00066F91" w:rsidRDefault="00446A41" w:rsidP="006A70D8">
            <w:pPr>
              <w:rPr>
                <w:iCs/>
                <w:sz w:val="16"/>
                <w:szCs w:val="20"/>
              </w:rPr>
            </w:pPr>
            <w:r w:rsidRPr="00066F91">
              <w:rPr>
                <w:rFonts w:cs="Calibri"/>
                <w:color w:val="000000"/>
                <w:sz w:val="16"/>
                <w:szCs w:val="20"/>
              </w:rPr>
              <w:t>10.9%</w:t>
            </w:r>
          </w:p>
        </w:tc>
      </w:tr>
      <w:tr w:rsidR="00446A41" w14:paraId="38276B62" w14:textId="77777777" w:rsidTr="006A70D8">
        <w:tc>
          <w:tcPr>
            <w:tcW w:w="5524" w:type="dxa"/>
            <w:vAlign w:val="bottom"/>
          </w:tcPr>
          <w:p w14:paraId="25026A5D" w14:textId="77777777" w:rsidR="00446A41" w:rsidRPr="00066F91" w:rsidRDefault="00446A41" w:rsidP="006A70D8">
            <w:pPr>
              <w:rPr>
                <w:iCs/>
                <w:sz w:val="16"/>
                <w:szCs w:val="20"/>
              </w:rPr>
            </w:pPr>
            <w:r w:rsidRPr="00066F91">
              <w:rPr>
                <w:rFonts w:cs="Calibri"/>
                <w:color w:val="000000"/>
                <w:sz w:val="16"/>
                <w:szCs w:val="20"/>
              </w:rPr>
              <w:t>Counselling and life coaching services</w:t>
            </w:r>
          </w:p>
        </w:tc>
        <w:tc>
          <w:tcPr>
            <w:tcW w:w="1701" w:type="dxa"/>
            <w:vAlign w:val="bottom"/>
          </w:tcPr>
          <w:p w14:paraId="68B74448" w14:textId="77777777" w:rsidR="00446A41" w:rsidRPr="00066F91" w:rsidRDefault="00446A41" w:rsidP="006A70D8">
            <w:pPr>
              <w:rPr>
                <w:iCs/>
                <w:sz w:val="16"/>
                <w:szCs w:val="20"/>
              </w:rPr>
            </w:pPr>
            <w:r w:rsidRPr="00066F91">
              <w:rPr>
                <w:rFonts w:cs="Calibri"/>
                <w:color w:val="000000"/>
                <w:sz w:val="16"/>
                <w:szCs w:val="20"/>
              </w:rPr>
              <w:t>99</w:t>
            </w:r>
          </w:p>
        </w:tc>
        <w:tc>
          <w:tcPr>
            <w:tcW w:w="1791" w:type="dxa"/>
            <w:vAlign w:val="bottom"/>
          </w:tcPr>
          <w:p w14:paraId="59C365DB" w14:textId="77777777" w:rsidR="00446A41" w:rsidRPr="00066F91" w:rsidRDefault="00446A41" w:rsidP="006A70D8">
            <w:pPr>
              <w:rPr>
                <w:iCs/>
                <w:sz w:val="16"/>
                <w:szCs w:val="20"/>
              </w:rPr>
            </w:pPr>
            <w:r w:rsidRPr="00066F91">
              <w:rPr>
                <w:rFonts w:cs="Calibri"/>
                <w:color w:val="000000"/>
                <w:sz w:val="16"/>
                <w:szCs w:val="20"/>
              </w:rPr>
              <w:t>10.0%</w:t>
            </w:r>
          </w:p>
        </w:tc>
      </w:tr>
      <w:tr w:rsidR="00446A41" w14:paraId="4C0C09C5" w14:textId="77777777" w:rsidTr="006A70D8">
        <w:tc>
          <w:tcPr>
            <w:tcW w:w="5524" w:type="dxa"/>
            <w:vAlign w:val="bottom"/>
          </w:tcPr>
          <w:p w14:paraId="5B4F6CDC" w14:textId="77777777" w:rsidR="00446A41" w:rsidRPr="00066F91" w:rsidRDefault="00446A41" w:rsidP="006A70D8">
            <w:pPr>
              <w:rPr>
                <w:iCs/>
                <w:sz w:val="16"/>
                <w:szCs w:val="20"/>
              </w:rPr>
            </w:pPr>
            <w:r w:rsidRPr="00066F91">
              <w:rPr>
                <w:rFonts w:cs="Calibri"/>
                <w:color w:val="000000"/>
                <w:sz w:val="16"/>
                <w:szCs w:val="20"/>
              </w:rPr>
              <w:t>Other services</w:t>
            </w:r>
          </w:p>
        </w:tc>
        <w:tc>
          <w:tcPr>
            <w:tcW w:w="1701" w:type="dxa"/>
            <w:vAlign w:val="bottom"/>
          </w:tcPr>
          <w:p w14:paraId="11102118" w14:textId="77777777" w:rsidR="00446A41" w:rsidRPr="00066F91" w:rsidRDefault="00446A41" w:rsidP="006A70D8">
            <w:pPr>
              <w:rPr>
                <w:iCs/>
                <w:sz w:val="16"/>
                <w:szCs w:val="20"/>
              </w:rPr>
            </w:pPr>
            <w:r w:rsidRPr="00066F91">
              <w:rPr>
                <w:rFonts w:cs="Calibri"/>
                <w:color w:val="000000"/>
                <w:sz w:val="16"/>
                <w:szCs w:val="20"/>
              </w:rPr>
              <w:t>99</w:t>
            </w:r>
          </w:p>
        </w:tc>
        <w:tc>
          <w:tcPr>
            <w:tcW w:w="1791" w:type="dxa"/>
            <w:vAlign w:val="bottom"/>
          </w:tcPr>
          <w:p w14:paraId="32D26226" w14:textId="77777777" w:rsidR="00446A41" w:rsidRPr="00066F91" w:rsidRDefault="00446A41" w:rsidP="006A70D8">
            <w:pPr>
              <w:rPr>
                <w:iCs/>
                <w:sz w:val="16"/>
                <w:szCs w:val="20"/>
              </w:rPr>
            </w:pPr>
            <w:r w:rsidRPr="00066F91">
              <w:rPr>
                <w:rFonts w:cs="Calibri"/>
                <w:color w:val="000000"/>
                <w:sz w:val="16"/>
                <w:szCs w:val="20"/>
              </w:rPr>
              <w:t>10.0%</w:t>
            </w:r>
          </w:p>
        </w:tc>
      </w:tr>
      <w:tr w:rsidR="00446A41" w14:paraId="76CB7823" w14:textId="77777777" w:rsidTr="006A70D8">
        <w:tc>
          <w:tcPr>
            <w:tcW w:w="5524" w:type="dxa"/>
            <w:vAlign w:val="bottom"/>
          </w:tcPr>
          <w:p w14:paraId="04DFACBA" w14:textId="77777777" w:rsidR="00446A41" w:rsidRPr="00066F91" w:rsidRDefault="00446A41" w:rsidP="006A70D8">
            <w:pPr>
              <w:rPr>
                <w:iCs/>
                <w:sz w:val="16"/>
                <w:szCs w:val="20"/>
              </w:rPr>
            </w:pPr>
            <w:r w:rsidRPr="00066F91">
              <w:rPr>
                <w:rFonts w:cs="Calibri"/>
                <w:color w:val="000000"/>
                <w:sz w:val="16"/>
                <w:szCs w:val="20"/>
              </w:rPr>
              <w:t>Government agencies and other public services</w:t>
            </w:r>
          </w:p>
        </w:tc>
        <w:tc>
          <w:tcPr>
            <w:tcW w:w="1701" w:type="dxa"/>
            <w:vAlign w:val="bottom"/>
          </w:tcPr>
          <w:p w14:paraId="13F20D1A" w14:textId="77777777" w:rsidR="00446A41" w:rsidRPr="00066F91" w:rsidRDefault="00446A41" w:rsidP="006A70D8">
            <w:pPr>
              <w:rPr>
                <w:iCs/>
                <w:sz w:val="16"/>
                <w:szCs w:val="20"/>
              </w:rPr>
            </w:pPr>
            <w:r w:rsidRPr="00066F91">
              <w:rPr>
                <w:rFonts w:cs="Calibri"/>
                <w:color w:val="000000"/>
                <w:sz w:val="16"/>
                <w:szCs w:val="20"/>
              </w:rPr>
              <w:t>87</w:t>
            </w:r>
          </w:p>
        </w:tc>
        <w:tc>
          <w:tcPr>
            <w:tcW w:w="1791" w:type="dxa"/>
            <w:vAlign w:val="bottom"/>
          </w:tcPr>
          <w:p w14:paraId="47ED5465" w14:textId="77777777" w:rsidR="00446A41" w:rsidRPr="00066F91" w:rsidRDefault="00446A41" w:rsidP="006A70D8">
            <w:pPr>
              <w:rPr>
                <w:iCs/>
                <w:sz w:val="16"/>
                <w:szCs w:val="20"/>
              </w:rPr>
            </w:pPr>
            <w:r w:rsidRPr="00066F91">
              <w:rPr>
                <w:rFonts w:cs="Calibri"/>
                <w:color w:val="000000"/>
                <w:sz w:val="16"/>
                <w:szCs w:val="20"/>
              </w:rPr>
              <w:t>8.8%</w:t>
            </w:r>
          </w:p>
        </w:tc>
      </w:tr>
      <w:tr w:rsidR="00446A41" w14:paraId="0860700F" w14:textId="77777777" w:rsidTr="006A70D8">
        <w:tc>
          <w:tcPr>
            <w:tcW w:w="5524" w:type="dxa"/>
            <w:vAlign w:val="bottom"/>
          </w:tcPr>
          <w:p w14:paraId="76CCC18F" w14:textId="77777777" w:rsidR="00446A41" w:rsidRPr="00066F91" w:rsidRDefault="00446A41" w:rsidP="006A70D8">
            <w:pPr>
              <w:rPr>
                <w:iCs/>
                <w:sz w:val="16"/>
                <w:szCs w:val="20"/>
              </w:rPr>
            </w:pPr>
            <w:r w:rsidRPr="00066F91">
              <w:rPr>
                <w:rFonts w:cs="Calibri"/>
                <w:color w:val="000000"/>
                <w:sz w:val="16"/>
                <w:szCs w:val="20"/>
              </w:rPr>
              <w:t>Healthy lifestyle services</w:t>
            </w:r>
          </w:p>
        </w:tc>
        <w:tc>
          <w:tcPr>
            <w:tcW w:w="1701" w:type="dxa"/>
            <w:vAlign w:val="bottom"/>
          </w:tcPr>
          <w:p w14:paraId="282A8C0D" w14:textId="77777777" w:rsidR="00446A41" w:rsidRPr="00066F91" w:rsidRDefault="00446A41" w:rsidP="006A70D8">
            <w:pPr>
              <w:rPr>
                <w:iCs/>
                <w:sz w:val="16"/>
                <w:szCs w:val="20"/>
              </w:rPr>
            </w:pPr>
            <w:r w:rsidRPr="00066F91">
              <w:rPr>
                <w:rFonts w:cs="Calibri"/>
                <w:color w:val="000000"/>
                <w:sz w:val="16"/>
                <w:szCs w:val="20"/>
              </w:rPr>
              <w:t>75</w:t>
            </w:r>
          </w:p>
        </w:tc>
        <w:tc>
          <w:tcPr>
            <w:tcW w:w="1791" w:type="dxa"/>
            <w:vAlign w:val="bottom"/>
          </w:tcPr>
          <w:p w14:paraId="034BA75E" w14:textId="77777777" w:rsidR="00446A41" w:rsidRPr="00066F91" w:rsidRDefault="00446A41" w:rsidP="006A70D8">
            <w:pPr>
              <w:rPr>
                <w:iCs/>
                <w:sz w:val="16"/>
                <w:szCs w:val="20"/>
              </w:rPr>
            </w:pPr>
            <w:r w:rsidRPr="00066F91">
              <w:rPr>
                <w:rFonts w:cs="Calibri"/>
                <w:color w:val="000000"/>
                <w:sz w:val="16"/>
                <w:szCs w:val="20"/>
              </w:rPr>
              <w:t>7.6%</w:t>
            </w:r>
          </w:p>
        </w:tc>
      </w:tr>
      <w:tr w:rsidR="00446A41" w14:paraId="46568F01" w14:textId="77777777" w:rsidTr="006A70D8">
        <w:tc>
          <w:tcPr>
            <w:tcW w:w="5524" w:type="dxa"/>
            <w:vAlign w:val="bottom"/>
          </w:tcPr>
          <w:p w14:paraId="76B797AF" w14:textId="77777777" w:rsidR="00446A41" w:rsidRPr="00066F91" w:rsidRDefault="00446A41" w:rsidP="006A70D8">
            <w:pPr>
              <w:rPr>
                <w:iCs/>
                <w:sz w:val="16"/>
                <w:szCs w:val="20"/>
              </w:rPr>
            </w:pPr>
            <w:r w:rsidRPr="00066F91">
              <w:rPr>
                <w:rFonts w:cs="Calibri"/>
                <w:color w:val="000000"/>
                <w:sz w:val="16"/>
                <w:szCs w:val="20"/>
              </w:rPr>
              <w:t>Work preparation services</w:t>
            </w:r>
          </w:p>
        </w:tc>
        <w:tc>
          <w:tcPr>
            <w:tcW w:w="1701" w:type="dxa"/>
            <w:vAlign w:val="bottom"/>
          </w:tcPr>
          <w:p w14:paraId="7C431A29" w14:textId="77777777" w:rsidR="00446A41" w:rsidRPr="00066F91" w:rsidRDefault="00446A41" w:rsidP="006A70D8">
            <w:pPr>
              <w:rPr>
                <w:iCs/>
                <w:sz w:val="16"/>
                <w:szCs w:val="20"/>
              </w:rPr>
            </w:pPr>
            <w:r w:rsidRPr="00066F91">
              <w:rPr>
                <w:rFonts w:cs="Calibri"/>
                <w:color w:val="000000"/>
                <w:sz w:val="16"/>
                <w:szCs w:val="20"/>
              </w:rPr>
              <w:t>66</w:t>
            </w:r>
          </w:p>
        </w:tc>
        <w:tc>
          <w:tcPr>
            <w:tcW w:w="1791" w:type="dxa"/>
            <w:vAlign w:val="bottom"/>
          </w:tcPr>
          <w:p w14:paraId="354F82B8" w14:textId="77777777" w:rsidR="00446A41" w:rsidRPr="00066F91" w:rsidRDefault="00446A41" w:rsidP="006A70D8">
            <w:pPr>
              <w:rPr>
                <w:iCs/>
                <w:sz w:val="16"/>
                <w:szCs w:val="20"/>
              </w:rPr>
            </w:pPr>
            <w:r w:rsidRPr="00066F91">
              <w:rPr>
                <w:rFonts w:cs="Calibri"/>
                <w:color w:val="000000"/>
                <w:sz w:val="16"/>
                <w:szCs w:val="20"/>
              </w:rPr>
              <w:t>6.6%</w:t>
            </w:r>
          </w:p>
        </w:tc>
      </w:tr>
      <w:tr w:rsidR="00446A41" w14:paraId="50F90AF8" w14:textId="77777777" w:rsidTr="006A70D8">
        <w:tc>
          <w:tcPr>
            <w:tcW w:w="5524" w:type="dxa"/>
            <w:vAlign w:val="bottom"/>
          </w:tcPr>
          <w:p w14:paraId="01B9021E" w14:textId="77777777" w:rsidR="00446A41" w:rsidRPr="00066F91" w:rsidRDefault="00446A41" w:rsidP="006A70D8">
            <w:pPr>
              <w:rPr>
                <w:iCs/>
                <w:sz w:val="16"/>
                <w:szCs w:val="20"/>
              </w:rPr>
            </w:pPr>
            <w:r w:rsidRPr="00066F91">
              <w:rPr>
                <w:rFonts w:cs="Calibri"/>
                <w:color w:val="000000"/>
                <w:sz w:val="16"/>
                <w:szCs w:val="20"/>
              </w:rPr>
              <w:t>Social support services</w:t>
            </w:r>
          </w:p>
        </w:tc>
        <w:tc>
          <w:tcPr>
            <w:tcW w:w="1701" w:type="dxa"/>
            <w:vAlign w:val="bottom"/>
          </w:tcPr>
          <w:p w14:paraId="3192E9D4" w14:textId="77777777" w:rsidR="00446A41" w:rsidRPr="00066F91" w:rsidRDefault="00446A41" w:rsidP="006A70D8">
            <w:pPr>
              <w:rPr>
                <w:iCs/>
                <w:sz w:val="16"/>
                <w:szCs w:val="20"/>
              </w:rPr>
            </w:pPr>
            <w:r w:rsidRPr="00066F91">
              <w:rPr>
                <w:rFonts w:cs="Calibri"/>
                <w:color w:val="000000"/>
                <w:sz w:val="16"/>
                <w:szCs w:val="20"/>
              </w:rPr>
              <w:t>63</w:t>
            </w:r>
          </w:p>
        </w:tc>
        <w:tc>
          <w:tcPr>
            <w:tcW w:w="1791" w:type="dxa"/>
            <w:vAlign w:val="bottom"/>
          </w:tcPr>
          <w:p w14:paraId="6C2134F2" w14:textId="77777777" w:rsidR="00446A41" w:rsidRPr="00066F91" w:rsidRDefault="00446A41" w:rsidP="006A70D8">
            <w:pPr>
              <w:rPr>
                <w:iCs/>
                <w:sz w:val="16"/>
                <w:szCs w:val="20"/>
              </w:rPr>
            </w:pPr>
            <w:r w:rsidRPr="00066F91">
              <w:rPr>
                <w:rFonts w:cs="Calibri"/>
                <w:color w:val="000000"/>
                <w:sz w:val="16"/>
                <w:szCs w:val="20"/>
              </w:rPr>
              <w:t>6.3%</w:t>
            </w:r>
          </w:p>
        </w:tc>
      </w:tr>
      <w:tr w:rsidR="00446A41" w14:paraId="51D93ECC" w14:textId="77777777" w:rsidTr="006A70D8">
        <w:tc>
          <w:tcPr>
            <w:tcW w:w="5524" w:type="dxa"/>
            <w:vAlign w:val="bottom"/>
          </w:tcPr>
          <w:p w14:paraId="7D26AB06" w14:textId="77777777" w:rsidR="00446A41" w:rsidRPr="00066F91" w:rsidRDefault="00446A41" w:rsidP="006A70D8">
            <w:pPr>
              <w:rPr>
                <w:iCs/>
                <w:sz w:val="16"/>
                <w:szCs w:val="20"/>
              </w:rPr>
            </w:pPr>
            <w:r w:rsidRPr="00066F91">
              <w:rPr>
                <w:rFonts w:cs="Calibri"/>
                <w:color w:val="000000"/>
                <w:sz w:val="16"/>
                <w:szCs w:val="20"/>
              </w:rPr>
              <w:t>Job search services</w:t>
            </w:r>
          </w:p>
        </w:tc>
        <w:tc>
          <w:tcPr>
            <w:tcW w:w="1701" w:type="dxa"/>
            <w:vAlign w:val="bottom"/>
          </w:tcPr>
          <w:p w14:paraId="4F7C0AB4" w14:textId="77777777" w:rsidR="00446A41" w:rsidRPr="00066F91" w:rsidRDefault="00446A41" w:rsidP="006A70D8">
            <w:pPr>
              <w:rPr>
                <w:iCs/>
                <w:sz w:val="16"/>
                <w:szCs w:val="20"/>
              </w:rPr>
            </w:pPr>
            <w:r w:rsidRPr="00066F91">
              <w:rPr>
                <w:rFonts w:cs="Calibri"/>
                <w:color w:val="000000"/>
                <w:sz w:val="16"/>
                <w:szCs w:val="20"/>
              </w:rPr>
              <w:t>63</w:t>
            </w:r>
          </w:p>
        </w:tc>
        <w:tc>
          <w:tcPr>
            <w:tcW w:w="1791" w:type="dxa"/>
            <w:vAlign w:val="bottom"/>
          </w:tcPr>
          <w:p w14:paraId="64B3693D" w14:textId="77777777" w:rsidR="00446A41" w:rsidRPr="00066F91" w:rsidRDefault="00446A41" w:rsidP="006A70D8">
            <w:pPr>
              <w:rPr>
                <w:iCs/>
                <w:sz w:val="16"/>
                <w:szCs w:val="20"/>
              </w:rPr>
            </w:pPr>
            <w:r w:rsidRPr="00066F91">
              <w:rPr>
                <w:rFonts w:cs="Calibri"/>
                <w:color w:val="000000"/>
                <w:sz w:val="16"/>
                <w:szCs w:val="20"/>
              </w:rPr>
              <w:t>6.3%</w:t>
            </w:r>
          </w:p>
        </w:tc>
      </w:tr>
      <w:tr w:rsidR="00446A41" w14:paraId="4AC6FF98" w14:textId="77777777" w:rsidTr="006A70D8">
        <w:tc>
          <w:tcPr>
            <w:tcW w:w="5524" w:type="dxa"/>
            <w:vAlign w:val="bottom"/>
          </w:tcPr>
          <w:p w14:paraId="164AF8B2" w14:textId="77777777" w:rsidR="00446A41" w:rsidRPr="00066F91" w:rsidRDefault="00446A41" w:rsidP="006A70D8">
            <w:pPr>
              <w:rPr>
                <w:iCs/>
                <w:sz w:val="16"/>
                <w:szCs w:val="20"/>
              </w:rPr>
            </w:pPr>
            <w:r w:rsidRPr="00066F91">
              <w:rPr>
                <w:rFonts w:cs="Calibri"/>
                <w:color w:val="000000"/>
                <w:sz w:val="16"/>
                <w:szCs w:val="20"/>
              </w:rPr>
              <w:t>Career advice and exploration services</w:t>
            </w:r>
          </w:p>
        </w:tc>
        <w:tc>
          <w:tcPr>
            <w:tcW w:w="1701" w:type="dxa"/>
            <w:vAlign w:val="bottom"/>
          </w:tcPr>
          <w:p w14:paraId="55337D4F" w14:textId="77777777" w:rsidR="00446A41" w:rsidRPr="00066F91" w:rsidRDefault="00446A41" w:rsidP="006A70D8">
            <w:pPr>
              <w:rPr>
                <w:iCs/>
                <w:sz w:val="16"/>
                <w:szCs w:val="20"/>
              </w:rPr>
            </w:pPr>
            <w:r w:rsidRPr="00066F91">
              <w:rPr>
                <w:rFonts w:cs="Calibri"/>
                <w:color w:val="000000"/>
                <w:sz w:val="16"/>
                <w:szCs w:val="20"/>
              </w:rPr>
              <w:t>45</w:t>
            </w:r>
          </w:p>
        </w:tc>
        <w:tc>
          <w:tcPr>
            <w:tcW w:w="1791" w:type="dxa"/>
            <w:vAlign w:val="bottom"/>
          </w:tcPr>
          <w:p w14:paraId="335B25D4" w14:textId="77777777" w:rsidR="00446A41" w:rsidRPr="00066F91" w:rsidRDefault="00446A41" w:rsidP="006A70D8">
            <w:pPr>
              <w:rPr>
                <w:iCs/>
                <w:sz w:val="16"/>
                <w:szCs w:val="20"/>
              </w:rPr>
            </w:pPr>
            <w:r w:rsidRPr="00066F91">
              <w:rPr>
                <w:rFonts w:cs="Calibri"/>
                <w:color w:val="000000"/>
                <w:sz w:val="16"/>
                <w:szCs w:val="20"/>
              </w:rPr>
              <w:t>4.5%</w:t>
            </w:r>
          </w:p>
        </w:tc>
      </w:tr>
      <w:tr w:rsidR="00446A41" w14:paraId="16C2CE6C" w14:textId="77777777" w:rsidTr="006A70D8">
        <w:tc>
          <w:tcPr>
            <w:tcW w:w="5524" w:type="dxa"/>
            <w:vAlign w:val="bottom"/>
          </w:tcPr>
          <w:p w14:paraId="4F48524B" w14:textId="77777777" w:rsidR="00446A41" w:rsidRPr="00066F91" w:rsidRDefault="00446A41" w:rsidP="006A70D8">
            <w:pPr>
              <w:rPr>
                <w:iCs/>
                <w:sz w:val="16"/>
                <w:szCs w:val="20"/>
              </w:rPr>
            </w:pPr>
            <w:r w:rsidRPr="00066F91">
              <w:rPr>
                <w:rFonts w:cs="Calibri"/>
                <w:color w:val="000000"/>
                <w:sz w:val="16"/>
                <w:szCs w:val="20"/>
              </w:rPr>
              <w:t>Voluntary work opportunities</w:t>
            </w:r>
          </w:p>
        </w:tc>
        <w:tc>
          <w:tcPr>
            <w:tcW w:w="1701" w:type="dxa"/>
            <w:vAlign w:val="bottom"/>
          </w:tcPr>
          <w:p w14:paraId="2489EC8D" w14:textId="77777777" w:rsidR="00446A41" w:rsidRPr="00066F91" w:rsidRDefault="00446A41" w:rsidP="006A70D8">
            <w:pPr>
              <w:rPr>
                <w:iCs/>
                <w:sz w:val="16"/>
                <w:szCs w:val="20"/>
              </w:rPr>
            </w:pPr>
            <w:r w:rsidRPr="00066F91">
              <w:rPr>
                <w:rFonts w:cs="Calibri"/>
                <w:color w:val="000000"/>
                <w:sz w:val="16"/>
                <w:szCs w:val="20"/>
              </w:rPr>
              <w:t>33</w:t>
            </w:r>
          </w:p>
        </w:tc>
        <w:tc>
          <w:tcPr>
            <w:tcW w:w="1791" w:type="dxa"/>
            <w:vAlign w:val="bottom"/>
          </w:tcPr>
          <w:p w14:paraId="5A44A6E0" w14:textId="77777777" w:rsidR="00446A41" w:rsidRPr="00066F91" w:rsidRDefault="00446A41" w:rsidP="006A70D8">
            <w:pPr>
              <w:rPr>
                <w:iCs/>
                <w:sz w:val="16"/>
                <w:szCs w:val="20"/>
              </w:rPr>
            </w:pPr>
            <w:r w:rsidRPr="00066F91">
              <w:rPr>
                <w:rFonts w:cs="Calibri"/>
                <w:color w:val="000000"/>
                <w:sz w:val="16"/>
                <w:szCs w:val="20"/>
              </w:rPr>
              <w:t>3.3%</w:t>
            </w:r>
          </w:p>
        </w:tc>
      </w:tr>
      <w:tr w:rsidR="00446A41" w14:paraId="4C00BB07" w14:textId="77777777" w:rsidTr="006A70D8">
        <w:tc>
          <w:tcPr>
            <w:tcW w:w="5524" w:type="dxa"/>
            <w:vAlign w:val="bottom"/>
          </w:tcPr>
          <w:p w14:paraId="4A75C00E" w14:textId="77777777" w:rsidR="00446A41" w:rsidRPr="00066F91" w:rsidRDefault="00446A41" w:rsidP="006A70D8">
            <w:pPr>
              <w:rPr>
                <w:iCs/>
                <w:sz w:val="16"/>
                <w:szCs w:val="20"/>
              </w:rPr>
            </w:pPr>
            <w:r w:rsidRPr="00066F91">
              <w:rPr>
                <w:rFonts w:cs="Calibri"/>
                <w:color w:val="000000"/>
                <w:sz w:val="16"/>
                <w:szCs w:val="20"/>
              </w:rPr>
              <w:t>In-practice General Practitioner services</w:t>
            </w:r>
          </w:p>
        </w:tc>
        <w:tc>
          <w:tcPr>
            <w:tcW w:w="1701" w:type="dxa"/>
            <w:vAlign w:val="bottom"/>
          </w:tcPr>
          <w:p w14:paraId="2255A31E" w14:textId="77777777" w:rsidR="00446A41" w:rsidRPr="00066F91" w:rsidRDefault="00446A41" w:rsidP="006A70D8">
            <w:pPr>
              <w:rPr>
                <w:iCs/>
                <w:sz w:val="16"/>
                <w:szCs w:val="20"/>
              </w:rPr>
            </w:pPr>
            <w:r w:rsidRPr="00066F91">
              <w:rPr>
                <w:rFonts w:cs="Calibri"/>
                <w:color w:val="000000"/>
                <w:sz w:val="16"/>
                <w:szCs w:val="20"/>
              </w:rPr>
              <w:t>33</w:t>
            </w:r>
          </w:p>
        </w:tc>
        <w:tc>
          <w:tcPr>
            <w:tcW w:w="1791" w:type="dxa"/>
            <w:vAlign w:val="bottom"/>
          </w:tcPr>
          <w:p w14:paraId="4A5F7B0F" w14:textId="77777777" w:rsidR="00446A41" w:rsidRPr="00066F91" w:rsidRDefault="00446A41" w:rsidP="006A70D8">
            <w:pPr>
              <w:rPr>
                <w:iCs/>
                <w:sz w:val="16"/>
                <w:szCs w:val="20"/>
              </w:rPr>
            </w:pPr>
            <w:r w:rsidRPr="00066F91">
              <w:rPr>
                <w:rFonts w:cs="Calibri"/>
                <w:color w:val="000000"/>
                <w:sz w:val="16"/>
                <w:szCs w:val="20"/>
              </w:rPr>
              <w:t>3.3%</w:t>
            </w:r>
          </w:p>
        </w:tc>
      </w:tr>
      <w:tr w:rsidR="00446A41" w14:paraId="0698B0CE" w14:textId="77777777" w:rsidTr="006A70D8">
        <w:tc>
          <w:tcPr>
            <w:tcW w:w="5524" w:type="dxa"/>
            <w:vAlign w:val="bottom"/>
          </w:tcPr>
          <w:p w14:paraId="5313C772" w14:textId="77777777" w:rsidR="00446A41" w:rsidRPr="00066F91" w:rsidRDefault="00446A41" w:rsidP="006A70D8">
            <w:pPr>
              <w:rPr>
                <w:iCs/>
                <w:sz w:val="16"/>
                <w:szCs w:val="20"/>
              </w:rPr>
            </w:pPr>
            <w:r w:rsidRPr="00066F91">
              <w:rPr>
                <w:rFonts w:cs="Calibri"/>
                <w:color w:val="000000"/>
                <w:sz w:val="16"/>
                <w:szCs w:val="20"/>
              </w:rPr>
              <w:t>Non-government organisation mental health services</w:t>
            </w:r>
          </w:p>
        </w:tc>
        <w:tc>
          <w:tcPr>
            <w:tcW w:w="1701" w:type="dxa"/>
            <w:vAlign w:val="bottom"/>
          </w:tcPr>
          <w:p w14:paraId="38D73A54" w14:textId="77777777" w:rsidR="00446A41" w:rsidRPr="00066F91" w:rsidRDefault="00446A41" w:rsidP="006A70D8">
            <w:pPr>
              <w:rPr>
                <w:iCs/>
                <w:sz w:val="16"/>
                <w:szCs w:val="20"/>
              </w:rPr>
            </w:pPr>
            <w:r w:rsidRPr="00066F91">
              <w:rPr>
                <w:rFonts w:cs="Calibri"/>
                <w:color w:val="000000"/>
                <w:sz w:val="16"/>
                <w:szCs w:val="20"/>
              </w:rPr>
              <w:t>24</w:t>
            </w:r>
          </w:p>
        </w:tc>
        <w:tc>
          <w:tcPr>
            <w:tcW w:w="1791" w:type="dxa"/>
            <w:vAlign w:val="bottom"/>
          </w:tcPr>
          <w:p w14:paraId="33E58128" w14:textId="77777777" w:rsidR="00446A41" w:rsidRPr="00066F91" w:rsidRDefault="00446A41" w:rsidP="006A70D8">
            <w:pPr>
              <w:rPr>
                <w:iCs/>
                <w:sz w:val="16"/>
                <w:szCs w:val="20"/>
              </w:rPr>
            </w:pPr>
            <w:r w:rsidRPr="00066F91">
              <w:rPr>
                <w:rFonts w:cs="Calibri"/>
                <w:color w:val="000000"/>
                <w:sz w:val="16"/>
                <w:szCs w:val="20"/>
              </w:rPr>
              <w:t>2.4%</w:t>
            </w:r>
          </w:p>
        </w:tc>
      </w:tr>
      <w:tr w:rsidR="00446A41" w14:paraId="230648C0" w14:textId="77777777" w:rsidTr="006A70D8">
        <w:tc>
          <w:tcPr>
            <w:tcW w:w="5524" w:type="dxa"/>
            <w:vAlign w:val="bottom"/>
          </w:tcPr>
          <w:p w14:paraId="2AC37713" w14:textId="77777777" w:rsidR="00446A41" w:rsidRPr="00066F91" w:rsidRDefault="00446A41" w:rsidP="006A70D8">
            <w:pPr>
              <w:rPr>
                <w:iCs/>
                <w:sz w:val="16"/>
                <w:szCs w:val="20"/>
              </w:rPr>
            </w:pPr>
            <w:r w:rsidRPr="00066F91">
              <w:rPr>
                <w:rFonts w:cs="Calibri"/>
                <w:color w:val="000000"/>
                <w:sz w:val="16"/>
                <w:szCs w:val="20"/>
              </w:rPr>
              <w:t>Alcohol and other drug addiction support services</w:t>
            </w:r>
          </w:p>
        </w:tc>
        <w:tc>
          <w:tcPr>
            <w:tcW w:w="1701" w:type="dxa"/>
            <w:vAlign w:val="bottom"/>
          </w:tcPr>
          <w:p w14:paraId="27BBDC23" w14:textId="77777777" w:rsidR="00446A41" w:rsidRPr="00066F91" w:rsidRDefault="00446A41" w:rsidP="006A70D8">
            <w:pPr>
              <w:rPr>
                <w:iCs/>
                <w:sz w:val="16"/>
                <w:szCs w:val="20"/>
              </w:rPr>
            </w:pPr>
            <w:r w:rsidRPr="00066F91">
              <w:rPr>
                <w:rFonts w:cs="Calibri"/>
                <w:color w:val="000000"/>
                <w:sz w:val="16"/>
                <w:szCs w:val="20"/>
              </w:rPr>
              <w:t>21</w:t>
            </w:r>
          </w:p>
        </w:tc>
        <w:tc>
          <w:tcPr>
            <w:tcW w:w="1791" w:type="dxa"/>
            <w:vAlign w:val="bottom"/>
          </w:tcPr>
          <w:p w14:paraId="6CF8E216" w14:textId="77777777" w:rsidR="00446A41" w:rsidRPr="00066F91" w:rsidRDefault="00446A41" w:rsidP="006A70D8">
            <w:pPr>
              <w:rPr>
                <w:iCs/>
                <w:sz w:val="16"/>
                <w:szCs w:val="20"/>
              </w:rPr>
            </w:pPr>
            <w:r w:rsidRPr="00066F91">
              <w:rPr>
                <w:rFonts w:cs="Calibri"/>
                <w:color w:val="000000"/>
                <w:sz w:val="16"/>
                <w:szCs w:val="20"/>
              </w:rPr>
              <w:t>2.</w:t>
            </w:r>
            <w:r>
              <w:rPr>
                <w:rFonts w:cs="Calibri"/>
                <w:color w:val="000000"/>
                <w:sz w:val="16"/>
                <w:szCs w:val="20"/>
              </w:rPr>
              <w:t>1</w:t>
            </w:r>
            <w:r w:rsidRPr="00066F91">
              <w:rPr>
                <w:rFonts w:cs="Calibri"/>
                <w:color w:val="000000"/>
                <w:sz w:val="16"/>
                <w:szCs w:val="20"/>
              </w:rPr>
              <w:t>%</w:t>
            </w:r>
          </w:p>
        </w:tc>
      </w:tr>
      <w:tr w:rsidR="00446A41" w14:paraId="26D0A48A" w14:textId="77777777" w:rsidTr="006A70D8">
        <w:tc>
          <w:tcPr>
            <w:tcW w:w="5524" w:type="dxa"/>
            <w:vAlign w:val="bottom"/>
          </w:tcPr>
          <w:p w14:paraId="0D9921AD" w14:textId="77777777" w:rsidR="00446A41" w:rsidRPr="00066F91" w:rsidRDefault="00446A41" w:rsidP="006A70D8">
            <w:pPr>
              <w:rPr>
                <w:iCs/>
                <w:sz w:val="16"/>
                <w:szCs w:val="20"/>
              </w:rPr>
            </w:pPr>
            <w:r w:rsidRPr="00066F91">
              <w:rPr>
                <w:rFonts w:cs="Calibri"/>
                <w:color w:val="000000"/>
                <w:sz w:val="16"/>
                <w:szCs w:val="20"/>
              </w:rPr>
              <w:t>Primary mental health services</w:t>
            </w:r>
          </w:p>
        </w:tc>
        <w:tc>
          <w:tcPr>
            <w:tcW w:w="1701" w:type="dxa"/>
            <w:vAlign w:val="bottom"/>
          </w:tcPr>
          <w:p w14:paraId="46AD9621" w14:textId="77777777" w:rsidR="00446A41" w:rsidRPr="00066F91" w:rsidRDefault="00446A41" w:rsidP="006A70D8">
            <w:pPr>
              <w:rPr>
                <w:iCs/>
                <w:sz w:val="16"/>
                <w:szCs w:val="20"/>
              </w:rPr>
            </w:pPr>
            <w:r w:rsidRPr="00066F91">
              <w:rPr>
                <w:rFonts w:cs="Calibri"/>
                <w:color w:val="000000"/>
                <w:sz w:val="16"/>
                <w:szCs w:val="20"/>
              </w:rPr>
              <w:t>15</w:t>
            </w:r>
          </w:p>
        </w:tc>
        <w:tc>
          <w:tcPr>
            <w:tcW w:w="1791" w:type="dxa"/>
            <w:vAlign w:val="bottom"/>
          </w:tcPr>
          <w:p w14:paraId="0C65573E" w14:textId="77777777" w:rsidR="00446A41" w:rsidRPr="00066F91" w:rsidRDefault="00446A41" w:rsidP="006A70D8">
            <w:pPr>
              <w:rPr>
                <w:iCs/>
                <w:sz w:val="16"/>
                <w:szCs w:val="20"/>
              </w:rPr>
            </w:pPr>
            <w:r w:rsidRPr="00066F91">
              <w:rPr>
                <w:rFonts w:cs="Calibri"/>
                <w:color w:val="000000"/>
                <w:sz w:val="16"/>
                <w:szCs w:val="20"/>
              </w:rPr>
              <w:t>1.5%</w:t>
            </w:r>
          </w:p>
        </w:tc>
      </w:tr>
      <w:tr w:rsidR="00446A41" w14:paraId="5AF1C686" w14:textId="77777777" w:rsidTr="006A70D8">
        <w:tc>
          <w:tcPr>
            <w:tcW w:w="5524" w:type="dxa"/>
            <w:vAlign w:val="bottom"/>
          </w:tcPr>
          <w:p w14:paraId="2D4512C2" w14:textId="77777777" w:rsidR="00446A41" w:rsidRPr="00066F91" w:rsidRDefault="00446A41" w:rsidP="006A70D8">
            <w:pPr>
              <w:rPr>
                <w:iCs/>
                <w:sz w:val="16"/>
                <w:szCs w:val="20"/>
              </w:rPr>
            </w:pPr>
            <w:r w:rsidRPr="00066F91">
              <w:rPr>
                <w:rFonts w:cs="Calibri"/>
                <w:color w:val="000000"/>
                <w:sz w:val="16"/>
                <w:szCs w:val="20"/>
              </w:rPr>
              <w:t>Transportation services</w:t>
            </w:r>
          </w:p>
        </w:tc>
        <w:tc>
          <w:tcPr>
            <w:tcW w:w="1701" w:type="dxa"/>
            <w:vAlign w:val="bottom"/>
          </w:tcPr>
          <w:p w14:paraId="4DED6109" w14:textId="77777777" w:rsidR="00446A41" w:rsidRPr="00066F91" w:rsidRDefault="00446A41" w:rsidP="006A70D8">
            <w:pPr>
              <w:rPr>
                <w:iCs/>
                <w:sz w:val="16"/>
                <w:szCs w:val="20"/>
              </w:rPr>
            </w:pPr>
            <w:r w:rsidRPr="00066F91">
              <w:rPr>
                <w:rFonts w:cs="Calibri"/>
                <w:color w:val="000000"/>
                <w:sz w:val="16"/>
                <w:szCs w:val="20"/>
              </w:rPr>
              <w:t>9</w:t>
            </w:r>
          </w:p>
        </w:tc>
        <w:tc>
          <w:tcPr>
            <w:tcW w:w="1791" w:type="dxa"/>
            <w:vAlign w:val="bottom"/>
          </w:tcPr>
          <w:p w14:paraId="26B077D4" w14:textId="77777777" w:rsidR="00446A41" w:rsidRPr="00066F91" w:rsidRDefault="00446A41" w:rsidP="006A70D8">
            <w:pPr>
              <w:rPr>
                <w:iCs/>
                <w:sz w:val="16"/>
                <w:szCs w:val="20"/>
              </w:rPr>
            </w:pPr>
            <w:r w:rsidRPr="00066F91">
              <w:rPr>
                <w:rFonts w:cs="Calibri"/>
                <w:color w:val="000000"/>
                <w:sz w:val="16"/>
                <w:szCs w:val="20"/>
              </w:rPr>
              <w:t>0.9%</w:t>
            </w:r>
          </w:p>
        </w:tc>
      </w:tr>
      <w:tr w:rsidR="00446A41" w14:paraId="31353A71" w14:textId="77777777" w:rsidTr="006A70D8">
        <w:tc>
          <w:tcPr>
            <w:tcW w:w="5524" w:type="dxa"/>
            <w:vAlign w:val="bottom"/>
          </w:tcPr>
          <w:p w14:paraId="0859D99A" w14:textId="77777777" w:rsidR="00446A41" w:rsidRPr="00066F91" w:rsidRDefault="00446A41" w:rsidP="006A70D8">
            <w:pPr>
              <w:rPr>
                <w:iCs/>
                <w:sz w:val="16"/>
                <w:szCs w:val="20"/>
              </w:rPr>
            </w:pPr>
            <w:r w:rsidRPr="00066F91">
              <w:rPr>
                <w:rFonts w:cs="Calibri"/>
                <w:color w:val="000000"/>
                <w:sz w:val="16"/>
                <w:szCs w:val="20"/>
              </w:rPr>
              <w:t>Temp agencies</w:t>
            </w:r>
          </w:p>
        </w:tc>
        <w:tc>
          <w:tcPr>
            <w:tcW w:w="1701" w:type="dxa"/>
            <w:vAlign w:val="bottom"/>
          </w:tcPr>
          <w:p w14:paraId="79FD9107" w14:textId="77777777" w:rsidR="00446A41" w:rsidRPr="00066F91" w:rsidRDefault="00446A41" w:rsidP="006A70D8">
            <w:pPr>
              <w:rPr>
                <w:iCs/>
                <w:sz w:val="16"/>
                <w:szCs w:val="20"/>
              </w:rPr>
            </w:pPr>
            <w:r w:rsidRPr="00066F91">
              <w:rPr>
                <w:rFonts w:cs="Calibri"/>
                <w:color w:val="000000"/>
                <w:sz w:val="16"/>
                <w:szCs w:val="20"/>
              </w:rPr>
              <w:t>9</w:t>
            </w:r>
          </w:p>
        </w:tc>
        <w:tc>
          <w:tcPr>
            <w:tcW w:w="1791" w:type="dxa"/>
            <w:vAlign w:val="bottom"/>
          </w:tcPr>
          <w:p w14:paraId="0FB1C091" w14:textId="77777777" w:rsidR="00446A41" w:rsidRPr="00066F91" w:rsidRDefault="00446A41" w:rsidP="006A70D8">
            <w:pPr>
              <w:rPr>
                <w:iCs/>
                <w:sz w:val="16"/>
                <w:szCs w:val="20"/>
              </w:rPr>
            </w:pPr>
            <w:r w:rsidRPr="00066F91">
              <w:rPr>
                <w:rFonts w:cs="Calibri"/>
                <w:color w:val="000000"/>
                <w:sz w:val="16"/>
                <w:szCs w:val="20"/>
              </w:rPr>
              <w:t>0.9%</w:t>
            </w:r>
          </w:p>
        </w:tc>
      </w:tr>
      <w:tr w:rsidR="00446A41" w14:paraId="71BAA60D" w14:textId="77777777" w:rsidTr="006A70D8">
        <w:tc>
          <w:tcPr>
            <w:tcW w:w="5524" w:type="dxa"/>
            <w:vAlign w:val="bottom"/>
          </w:tcPr>
          <w:p w14:paraId="620FCAA1" w14:textId="77777777" w:rsidR="00446A41" w:rsidRPr="00066F91" w:rsidRDefault="00446A41" w:rsidP="006A70D8">
            <w:pPr>
              <w:rPr>
                <w:iCs/>
                <w:sz w:val="16"/>
                <w:szCs w:val="20"/>
              </w:rPr>
            </w:pPr>
            <w:r w:rsidRPr="00066F91">
              <w:rPr>
                <w:rFonts w:cs="Calibri"/>
                <w:color w:val="000000"/>
                <w:sz w:val="16"/>
                <w:szCs w:val="20"/>
              </w:rPr>
              <w:t>Navigation services</w:t>
            </w:r>
          </w:p>
        </w:tc>
        <w:tc>
          <w:tcPr>
            <w:tcW w:w="1701" w:type="dxa"/>
            <w:vAlign w:val="bottom"/>
          </w:tcPr>
          <w:p w14:paraId="12DD6A91" w14:textId="77777777" w:rsidR="00446A41" w:rsidRPr="00066F91" w:rsidRDefault="00446A41" w:rsidP="006A70D8">
            <w:pPr>
              <w:rPr>
                <w:iCs/>
                <w:sz w:val="16"/>
                <w:szCs w:val="20"/>
              </w:rPr>
            </w:pPr>
            <w:r w:rsidRPr="00066F91">
              <w:rPr>
                <w:rFonts w:cs="Calibri"/>
                <w:color w:val="000000"/>
                <w:sz w:val="16"/>
                <w:szCs w:val="20"/>
              </w:rPr>
              <w:t>6</w:t>
            </w:r>
          </w:p>
        </w:tc>
        <w:tc>
          <w:tcPr>
            <w:tcW w:w="1791" w:type="dxa"/>
            <w:vAlign w:val="bottom"/>
          </w:tcPr>
          <w:p w14:paraId="534DFB9D" w14:textId="77777777" w:rsidR="00446A41" w:rsidRPr="00066F91" w:rsidRDefault="00446A41" w:rsidP="006A70D8">
            <w:pPr>
              <w:rPr>
                <w:iCs/>
                <w:sz w:val="16"/>
                <w:szCs w:val="20"/>
              </w:rPr>
            </w:pPr>
            <w:r w:rsidRPr="00066F91">
              <w:rPr>
                <w:rFonts w:cs="Calibri"/>
                <w:color w:val="000000"/>
                <w:sz w:val="16"/>
                <w:szCs w:val="20"/>
              </w:rPr>
              <w:t>0.6%</w:t>
            </w:r>
          </w:p>
        </w:tc>
      </w:tr>
      <w:tr w:rsidR="00446A41" w14:paraId="7C0CBD93" w14:textId="77777777" w:rsidTr="006A70D8">
        <w:tc>
          <w:tcPr>
            <w:tcW w:w="5524" w:type="dxa"/>
            <w:vAlign w:val="bottom"/>
          </w:tcPr>
          <w:p w14:paraId="20812FC5" w14:textId="77777777" w:rsidR="00446A41" w:rsidRPr="00066F91" w:rsidRDefault="00446A41" w:rsidP="006A70D8">
            <w:pPr>
              <w:rPr>
                <w:b/>
                <w:bCs/>
                <w:iCs/>
                <w:sz w:val="16"/>
                <w:szCs w:val="20"/>
              </w:rPr>
            </w:pPr>
            <w:r w:rsidRPr="00066F91">
              <w:rPr>
                <w:rFonts w:cs="Calibri"/>
                <w:b/>
                <w:bCs/>
                <w:color w:val="000000"/>
                <w:sz w:val="16"/>
                <w:szCs w:val="20"/>
              </w:rPr>
              <w:t>Total</w:t>
            </w:r>
          </w:p>
        </w:tc>
        <w:tc>
          <w:tcPr>
            <w:tcW w:w="1701" w:type="dxa"/>
            <w:vAlign w:val="bottom"/>
          </w:tcPr>
          <w:p w14:paraId="1712538A" w14:textId="77777777" w:rsidR="00446A41" w:rsidRPr="00066F91" w:rsidRDefault="00446A41" w:rsidP="006A70D8">
            <w:pPr>
              <w:rPr>
                <w:b/>
                <w:bCs/>
                <w:iCs/>
                <w:sz w:val="16"/>
                <w:szCs w:val="20"/>
              </w:rPr>
            </w:pPr>
            <w:r w:rsidRPr="00066F91">
              <w:rPr>
                <w:rFonts w:cs="Calibri"/>
                <w:b/>
                <w:bCs/>
                <w:color w:val="000000"/>
                <w:sz w:val="16"/>
                <w:szCs w:val="20"/>
              </w:rPr>
              <w:t>993</w:t>
            </w:r>
          </w:p>
        </w:tc>
        <w:tc>
          <w:tcPr>
            <w:tcW w:w="1791" w:type="dxa"/>
            <w:vAlign w:val="bottom"/>
          </w:tcPr>
          <w:p w14:paraId="351B86BD" w14:textId="77777777" w:rsidR="00446A41" w:rsidRPr="00066F91" w:rsidRDefault="00446A41" w:rsidP="006A70D8">
            <w:pPr>
              <w:rPr>
                <w:b/>
                <w:bCs/>
                <w:iCs/>
                <w:sz w:val="16"/>
                <w:szCs w:val="20"/>
              </w:rPr>
            </w:pPr>
            <w:r w:rsidRPr="00066F91">
              <w:rPr>
                <w:rFonts w:cs="Calibri"/>
                <w:b/>
                <w:bCs/>
                <w:color w:val="000000"/>
                <w:sz w:val="16"/>
                <w:szCs w:val="20"/>
              </w:rPr>
              <w:t>100%</w:t>
            </w:r>
          </w:p>
        </w:tc>
      </w:tr>
    </w:tbl>
    <w:p w14:paraId="0FD1A418" w14:textId="77777777" w:rsidR="00446A41" w:rsidRDefault="00446A41" w:rsidP="00446A41">
      <w:pPr>
        <w:rPr>
          <w:iCs/>
        </w:rPr>
      </w:pPr>
    </w:p>
    <w:p w14:paraId="7890F193" w14:textId="77777777" w:rsidR="00446A41" w:rsidRDefault="00446A41" w:rsidP="00446A41">
      <w:pPr>
        <w:rPr>
          <w:iCs/>
        </w:rPr>
      </w:pPr>
    </w:p>
    <w:p w14:paraId="3C661CF3" w14:textId="503135D3" w:rsidR="00A1309F" w:rsidRDefault="00A1309F" w:rsidP="00F113EF">
      <w:pPr>
        <w:rPr>
          <w:iCs/>
        </w:rPr>
      </w:pPr>
    </w:p>
    <w:p w14:paraId="0AEAD0DF" w14:textId="3D890A66" w:rsidR="00A1309F" w:rsidRDefault="00A1309F" w:rsidP="00F113EF">
      <w:pPr>
        <w:rPr>
          <w:iCs/>
        </w:rPr>
      </w:pPr>
    </w:p>
    <w:p w14:paraId="4D60CBA3" w14:textId="20772E53" w:rsidR="00A1309F" w:rsidRDefault="00A1309F" w:rsidP="00F113EF">
      <w:pPr>
        <w:rPr>
          <w:iCs/>
        </w:rPr>
      </w:pPr>
    </w:p>
    <w:p w14:paraId="1738E7DE" w14:textId="12A5CA59" w:rsidR="00A1309F" w:rsidRDefault="00A1309F" w:rsidP="00F113EF">
      <w:pPr>
        <w:rPr>
          <w:iCs/>
        </w:rPr>
      </w:pPr>
    </w:p>
    <w:p w14:paraId="7D507A1E" w14:textId="0E5EE327" w:rsidR="00A1309F" w:rsidRDefault="00A1309F" w:rsidP="00F113EF">
      <w:pPr>
        <w:rPr>
          <w:iCs/>
        </w:rPr>
      </w:pPr>
    </w:p>
    <w:p w14:paraId="693D0F01" w14:textId="66759046" w:rsidR="00D8016D" w:rsidRDefault="00D8016D" w:rsidP="00F113EF">
      <w:pPr>
        <w:rPr>
          <w:iCs/>
        </w:rPr>
      </w:pPr>
    </w:p>
    <w:p w14:paraId="472CB162" w14:textId="189DE248" w:rsidR="00D8016D" w:rsidRDefault="00D8016D" w:rsidP="00F113EF">
      <w:pPr>
        <w:rPr>
          <w:iCs/>
        </w:rPr>
      </w:pPr>
    </w:p>
    <w:p w14:paraId="7BFEAA49" w14:textId="73D7B352" w:rsidR="00D8016D" w:rsidRDefault="00D8016D" w:rsidP="00F113EF">
      <w:pPr>
        <w:rPr>
          <w:iCs/>
        </w:rPr>
      </w:pPr>
    </w:p>
    <w:p w14:paraId="350733EC" w14:textId="705FA432" w:rsidR="00D8016D" w:rsidRDefault="00D8016D" w:rsidP="00F113EF">
      <w:pPr>
        <w:rPr>
          <w:iCs/>
        </w:rPr>
      </w:pPr>
    </w:p>
    <w:p w14:paraId="202B0C99" w14:textId="2E8F1BEE" w:rsidR="00D8016D" w:rsidRDefault="00D8016D" w:rsidP="00F113EF">
      <w:pPr>
        <w:rPr>
          <w:iCs/>
        </w:rPr>
      </w:pPr>
    </w:p>
    <w:p w14:paraId="432F44D7" w14:textId="0770BB9C" w:rsidR="00D8016D" w:rsidRDefault="00D8016D" w:rsidP="00F113EF">
      <w:pPr>
        <w:rPr>
          <w:iCs/>
        </w:rPr>
      </w:pPr>
    </w:p>
    <w:p w14:paraId="0AD9F870" w14:textId="671C8CF8" w:rsidR="00D8016D" w:rsidRDefault="00D8016D" w:rsidP="00F113EF">
      <w:pPr>
        <w:rPr>
          <w:iCs/>
        </w:rPr>
      </w:pPr>
    </w:p>
    <w:p w14:paraId="4D58ED58" w14:textId="67962E58" w:rsidR="00D8016D" w:rsidRDefault="00D8016D" w:rsidP="00F113EF">
      <w:pPr>
        <w:rPr>
          <w:iCs/>
        </w:rPr>
      </w:pPr>
    </w:p>
    <w:p w14:paraId="53AB8E22" w14:textId="134AC05B" w:rsidR="00240F41" w:rsidRDefault="00240F41" w:rsidP="00EC5C2A">
      <w:pPr>
        <w:pStyle w:val="Heading1"/>
      </w:pPr>
      <w:bookmarkStart w:id="30" w:name="_Toc114566739"/>
      <w:r w:rsidRPr="00C42E0A">
        <w:lastRenderedPageBreak/>
        <w:t xml:space="preserve">Are </w:t>
      </w:r>
      <w:r w:rsidR="00FD3B74">
        <w:t>participants</w:t>
      </w:r>
      <w:r w:rsidRPr="00C42E0A">
        <w:t xml:space="preserve"> experiencing improvements in their health and wellbeing while in </w:t>
      </w:r>
      <w:r w:rsidR="00811157" w:rsidRPr="00811157">
        <w:t>Here Toitū</w:t>
      </w:r>
      <w:r w:rsidRPr="00C42E0A">
        <w:t>?</w:t>
      </w:r>
      <w:bookmarkEnd w:id="30"/>
    </w:p>
    <w:p w14:paraId="0A297FF6" w14:textId="0CA05347" w:rsidR="003E0279" w:rsidRDefault="003E0279" w:rsidP="003E0279">
      <w:r>
        <w:t xml:space="preserve">There </w:t>
      </w:r>
      <w:r w:rsidR="00811157">
        <w:t>is one</w:t>
      </w:r>
      <w:r>
        <w:t xml:space="preserve"> </w:t>
      </w:r>
      <w:r w:rsidR="007E07CD">
        <w:t xml:space="preserve">‘before’ and ‘after’ </w:t>
      </w:r>
      <w:r>
        <w:t xml:space="preserve">measure that </w:t>
      </w:r>
      <w:r w:rsidR="00811157">
        <w:t>is</w:t>
      </w:r>
      <w:r>
        <w:t xml:space="preserve"> available to help answer this question. The </w:t>
      </w:r>
      <w:r w:rsidR="00811157">
        <w:t>W</w:t>
      </w:r>
      <w:r>
        <w:t xml:space="preserve">ellbeing </w:t>
      </w:r>
      <w:r w:rsidR="00811157">
        <w:t xml:space="preserve">Star </w:t>
      </w:r>
      <w:r>
        <w:t xml:space="preserve">scores that have been provided in the </w:t>
      </w:r>
      <w:r w:rsidR="00811157" w:rsidRPr="00811157">
        <w:t xml:space="preserve">Here Toitū </w:t>
      </w:r>
      <w:r>
        <w:t>monitoring data</w:t>
      </w:r>
      <w:r w:rsidR="00811157">
        <w:t xml:space="preserve">. </w:t>
      </w:r>
      <w:r w:rsidR="004C2ED1" w:rsidRPr="004C2ED1">
        <w:t xml:space="preserve">This </w:t>
      </w:r>
      <w:r w:rsidR="004C2ED1">
        <w:t xml:space="preserve">measure </w:t>
      </w:r>
      <w:r w:rsidR="004C2ED1" w:rsidRPr="004C2ED1">
        <w:t>will give us a sense of whether individual components of wellbeing improved during participants’ time in Here Toitū</w:t>
      </w:r>
      <w:r w:rsidR="004C2ED1">
        <w:t>. However,</w:t>
      </w:r>
      <w:r w:rsidR="004C2ED1" w:rsidRPr="004C2ED1">
        <w:t xml:space="preserve"> </w:t>
      </w:r>
      <w:r w:rsidR="004C2ED1">
        <w:t>t</w:t>
      </w:r>
      <w:r w:rsidR="00811157">
        <w:t>his</w:t>
      </w:r>
      <w:r w:rsidR="00D61BAB">
        <w:t xml:space="preserve"> </w:t>
      </w:r>
      <w:r w:rsidR="00811157">
        <w:t>is an</w:t>
      </w:r>
      <w:r w:rsidR="00D61BAB">
        <w:t xml:space="preserve"> </w:t>
      </w:r>
      <w:r w:rsidR="00811157">
        <w:t>imperfect measure</w:t>
      </w:r>
      <w:r w:rsidR="00D61BAB">
        <w:t xml:space="preserve">, as </w:t>
      </w:r>
      <w:r w:rsidR="00811157">
        <w:t>it is</w:t>
      </w:r>
      <w:r w:rsidR="00D61BAB">
        <w:t xml:space="preserve"> unable to determine the </w:t>
      </w:r>
      <w:r w:rsidR="0048264E">
        <w:t xml:space="preserve">extent </w:t>
      </w:r>
      <w:r w:rsidR="00D61BAB">
        <w:t>of change in wellbeing, only that a change may have occurred.</w:t>
      </w:r>
    </w:p>
    <w:p w14:paraId="7BB83F16" w14:textId="4C7C22CA" w:rsidR="007E07CD" w:rsidRDefault="007E07CD" w:rsidP="003E0279">
      <w:r w:rsidRPr="007E07CD">
        <w:t xml:space="preserve">This ‘before’ and ‘after’ analysis has a key limitation: a person’s situation at the start of their time in the </w:t>
      </w:r>
      <w:r w:rsidR="004C2ED1" w:rsidRPr="004C2ED1">
        <w:t xml:space="preserve">Here Toitū </w:t>
      </w:r>
      <w:r w:rsidRPr="007E07CD">
        <w:t xml:space="preserve">service may have been related to a crisis event, or another event, that triggered the referral to the </w:t>
      </w:r>
      <w:r w:rsidR="004C2ED1" w:rsidRPr="004C2ED1">
        <w:t xml:space="preserve">Here Toitū </w:t>
      </w:r>
      <w:r w:rsidRPr="007E07CD">
        <w:t xml:space="preserve">service. This means that the ‘after’ result could be a regression towards that person’s usual situation, and not necessarily a reflection of the services impact. Additionally, without a comparison group, it is difficult to determine how much of any change is down to the </w:t>
      </w:r>
      <w:r w:rsidR="004C2ED1" w:rsidRPr="004C2ED1">
        <w:t xml:space="preserve">Here Toitū </w:t>
      </w:r>
      <w:r w:rsidRPr="007E07CD">
        <w:t xml:space="preserve">service, </w:t>
      </w:r>
      <w:r w:rsidR="004C2ED1">
        <w:t>or</w:t>
      </w:r>
      <w:r w:rsidRPr="007E07CD">
        <w:t xml:space="preserve"> what would have happened anyway without the service. </w:t>
      </w:r>
      <w:r w:rsidR="004C2ED1" w:rsidRPr="007E07CD">
        <w:t xml:space="preserve">Therefore, any findings in this section should be treated as </w:t>
      </w:r>
      <w:r w:rsidR="004C2ED1">
        <w:t>indicative</w:t>
      </w:r>
      <w:r w:rsidR="004C2ED1" w:rsidRPr="007E07CD">
        <w:t xml:space="preserve">, </w:t>
      </w:r>
      <w:r w:rsidR="004C2ED1">
        <w:t>rather than</w:t>
      </w:r>
      <w:r w:rsidR="004C2ED1" w:rsidRPr="007E07CD">
        <w:t xml:space="preserve"> conclusive</w:t>
      </w:r>
      <w:r w:rsidR="004C2ED1">
        <w:t>,</w:t>
      </w:r>
      <w:r w:rsidR="004C2ED1" w:rsidRPr="007E07CD">
        <w:t xml:space="preserve"> findings.</w:t>
      </w:r>
    </w:p>
    <w:p w14:paraId="70453A00" w14:textId="77777777" w:rsidR="00AE2A75" w:rsidRPr="003E0279" w:rsidRDefault="00AE2A75" w:rsidP="003E0279"/>
    <w:p w14:paraId="288692BA" w14:textId="39236B04" w:rsidR="00AE2A75" w:rsidRPr="0008130B" w:rsidRDefault="00AE2A75" w:rsidP="00AE2A75">
      <w:pPr>
        <w:pStyle w:val="Heading3"/>
      </w:pPr>
      <w:r w:rsidRPr="0008130B">
        <w:t>Most participants (</w:t>
      </w:r>
      <w:r w:rsidR="00937747" w:rsidRPr="0008130B">
        <w:t>384</w:t>
      </w:r>
      <w:r w:rsidRPr="0008130B">
        <w:t xml:space="preserve">) had at least one </w:t>
      </w:r>
      <w:r w:rsidR="00811157">
        <w:t>W</w:t>
      </w:r>
      <w:r w:rsidRPr="0008130B">
        <w:t xml:space="preserve">ellbeing </w:t>
      </w:r>
      <w:r w:rsidR="00811157">
        <w:t xml:space="preserve">Star </w:t>
      </w:r>
      <w:r w:rsidRPr="0008130B">
        <w:t>score recorded as at the end of 2021.</w:t>
      </w:r>
    </w:p>
    <w:p w14:paraId="7950E9C7" w14:textId="7878698F" w:rsidR="00937747" w:rsidRPr="0008130B" w:rsidRDefault="00937747" w:rsidP="00937747">
      <w:pPr>
        <w:rPr>
          <w:rFonts w:eastAsia="Times New Roman"/>
          <w:iCs/>
          <w:szCs w:val="20"/>
        </w:rPr>
      </w:pPr>
      <w:bookmarkStart w:id="31" w:name="_Hlk114147304"/>
      <w:r w:rsidRPr="0008130B">
        <w:rPr>
          <w:rFonts w:eastAsia="Times New Roman"/>
          <w:iCs/>
          <w:szCs w:val="20"/>
        </w:rPr>
        <w:t>Wellbeing Star assessments were initially intended to be completed when participants enrol, then every three months after enrolment, and finally at exit. These are calculated using the Wellbeing Star tool.</w:t>
      </w:r>
      <w:r w:rsidR="001D440B" w:rsidRPr="0008130B">
        <w:rPr>
          <w:rStyle w:val="FootnoteReference"/>
          <w:rFonts w:eastAsia="Times New Roman"/>
          <w:iCs/>
          <w:szCs w:val="20"/>
        </w:rPr>
        <w:footnoteReference w:id="18"/>
      </w:r>
      <w:r w:rsidRPr="0008130B">
        <w:rPr>
          <w:rFonts w:eastAsia="Times New Roman"/>
          <w:iCs/>
          <w:szCs w:val="20"/>
        </w:rPr>
        <w:t xml:space="preserve"> However, these can happen more or less often depending on how the tool is used with each participant.</w:t>
      </w:r>
    </w:p>
    <w:bookmarkEnd w:id="31"/>
    <w:p w14:paraId="71AD4F25" w14:textId="77777777" w:rsidR="00AB160B" w:rsidRPr="0008130B" w:rsidRDefault="00AE2A75" w:rsidP="00AE2A75">
      <w:pPr>
        <w:rPr>
          <w:rFonts w:eastAsia="Times New Roman"/>
          <w:iCs/>
          <w:szCs w:val="20"/>
        </w:rPr>
      </w:pPr>
      <w:r w:rsidRPr="0008130B">
        <w:rPr>
          <w:rFonts w:eastAsia="Times New Roman"/>
          <w:iCs/>
          <w:szCs w:val="20"/>
        </w:rPr>
        <w:t xml:space="preserve">There were </w:t>
      </w:r>
      <w:r w:rsidR="00937747" w:rsidRPr="0008130B">
        <w:rPr>
          <w:rFonts w:eastAsia="Times New Roman"/>
          <w:iCs/>
          <w:szCs w:val="20"/>
        </w:rPr>
        <w:t>581</w:t>
      </w:r>
      <w:r w:rsidRPr="0008130B">
        <w:rPr>
          <w:rFonts w:eastAsia="Times New Roman"/>
          <w:iCs/>
          <w:szCs w:val="20"/>
        </w:rPr>
        <w:t xml:space="preserve"> unique Wellbeing Star scores recorded, belonging to </w:t>
      </w:r>
      <w:r w:rsidR="00937747" w:rsidRPr="0008130B">
        <w:rPr>
          <w:rFonts w:eastAsia="Times New Roman"/>
          <w:iCs/>
          <w:szCs w:val="20"/>
        </w:rPr>
        <w:t>just under 84</w:t>
      </w:r>
      <w:r w:rsidRPr="0008130B">
        <w:rPr>
          <w:rFonts w:eastAsia="Times New Roman"/>
          <w:iCs/>
          <w:szCs w:val="20"/>
        </w:rPr>
        <w:t xml:space="preserve"> percent of participants (</w:t>
      </w:r>
      <w:r w:rsidR="00937747" w:rsidRPr="0008130B">
        <w:rPr>
          <w:rFonts w:eastAsia="Times New Roman"/>
          <w:iCs/>
          <w:szCs w:val="20"/>
        </w:rPr>
        <w:t>385</w:t>
      </w:r>
      <w:r w:rsidRPr="0008130B">
        <w:rPr>
          <w:rFonts w:eastAsia="Times New Roman"/>
          <w:iCs/>
          <w:szCs w:val="20"/>
        </w:rPr>
        <w:t xml:space="preserve">). Of those participants, </w:t>
      </w:r>
      <w:r w:rsidR="00937747" w:rsidRPr="0008130B">
        <w:rPr>
          <w:rFonts w:eastAsia="Times New Roman"/>
          <w:iCs/>
          <w:szCs w:val="20"/>
        </w:rPr>
        <w:t>just under 40</w:t>
      </w:r>
      <w:r w:rsidRPr="0008130B">
        <w:rPr>
          <w:rFonts w:eastAsia="Times New Roman"/>
          <w:iCs/>
          <w:szCs w:val="20"/>
        </w:rPr>
        <w:t xml:space="preserve"> percent (</w:t>
      </w:r>
      <w:r w:rsidR="00937747" w:rsidRPr="0008130B">
        <w:rPr>
          <w:rFonts w:eastAsia="Times New Roman"/>
          <w:iCs/>
          <w:szCs w:val="20"/>
        </w:rPr>
        <w:t>123</w:t>
      </w:r>
      <w:r w:rsidRPr="0008130B">
        <w:rPr>
          <w:rFonts w:eastAsia="Times New Roman"/>
          <w:iCs/>
          <w:szCs w:val="20"/>
        </w:rPr>
        <w:t>) have had a second entry recorded. These second entries were recorded an average of 1</w:t>
      </w:r>
      <w:r w:rsidR="00937747" w:rsidRPr="0008130B">
        <w:rPr>
          <w:rFonts w:eastAsia="Times New Roman"/>
          <w:iCs/>
          <w:szCs w:val="20"/>
        </w:rPr>
        <w:t>27</w:t>
      </w:r>
      <w:r w:rsidRPr="0008130B">
        <w:rPr>
          <w:rFonts w:eastAsia="Times New Roman"/>
          <w:iCs/>
          <w:szCs w:val="20"/>
        </w:rPr>
        <w:t xml:space="preserve"> days after the first entry.</w:t>
      </w:r>
      <w:r w:rsidRPr="0008130B">
        <w:rPr>
          <w:rStyle w:val="FootnoteReference"/>
          <w:rFonts w:eastAsia="Times New Roman"/>
          <w:iCs/>
          <w:szCs w:val="20"/>
        </w:rPr>
        <w:footnoteReference w:id="19"/>
      </w:r>
      <w:r w:rsidRPr="0008130B">
        <w:rPr>
          <w:rFonts w:eastAsia="Times New Roman"/>
          <w:iCs/>
          <w:szCs w:val="20"/>
        </w:rPr>
        <w:t xml:space="preserve"> </w:t>
      </w:r>
    </w:p>
    <w:p w14:paraId="4B248CB0" w14:textId="7749C5F2" w:rsidR="000F12CC" w:rsidRDefault="0036003A" w:rsidP="00AE2A75">
      <w:pPr>
        <w:rPr>
          <w:rFonts w:eastAsia="Times New Roman"/>
          <w:iCs/>
          <w:szCs w:val="20"/>
        </w:rPr>
      </w:pPr>
      <w:r>
        <w:rPr>
          <w:rFonts w:eastAsia="Times New Roman"/>
          <w:iCs/>
          <w:szCs w:val="20"/>
        </w:rPr>
        <w:t>Just over 12</w:t>
      </w:r>
      <w:r w:rsidR="00937747" w:rsidRPr="0008130B">
        <w:rPr>
          <w:rFonts w:eastAsia="Times New Roman"/>
          <w:iCs/>
          <w:szCs w:val="20"/>
        </w:rPr>
        <w:t xml:space="preserve"> percent of</w:t>
      </w:r>
      <w:r w:rsidR="00AE2A75" w:rsidRPr="0008130B">
        <w:rPr>
          <w:rFonts w:eastAsia="Times New Roman"/>
          <w:iCs/>
          <w:szCs w:val="20"/>
        </w:rPr>
        <w:t xml:space="preserve"> participants</w:t>
      </w:r>
      <w:r w:rsidR="00937747" w:rsidRPr="0008130B">
        <w:rPr>
          <w:rFonts w:eastAsia="Times New Roman"/>
          <w:iCs/>
          <w:szCs w:val="20"/>
        </w:rPr>
        <w:t xml:space="preserve"> (48)</w:t>
      </w:r>
      <w:r w:rsidR="00AE2A75" w:rsidRPr="0008130B">
        <w:rPr>
          <w:rFonts w:eastAsia="Times New Roman"/>
          <w:iCs/>
          <w:szCs w:val="20"/>
        </w:rPr>
        <w:t xml:space="preserve"> had a third entry recorded. </w:t>
      </w:r>
      <w:r w:rsidR="00AB160B" w:rsidRPr="0008130B">
        <w:rPr>
          <w:rFonts w:eastAsia="Times New Roman"/>
          <w:iCs/>
          <w:szCs w:val="20"/>
        </w:rPr>
        <w:t>These</w:t>
      </w:r>
      <w:r w:rsidR="00AB160B">
        <w:rPr>
          <w:rFonts w:eastAsia="Times New Roman"/>
          <w:iCs/>
          <w:szCs w:val="20"/>
        </w:rPr>
        <w:t xml:space="preserve"> third entries were recorded an average of 242 days after the first entry, and 139 days after the second entry.</w:t>
      </w:r>
      <w:r w:rsidR="00AB160B">
        <w:rPr>
          <w:rStyle w:val="FootnoteReference"/>
          <w:rFonts w:eastAsia="Times New Roman"/>
          <w:iCs/>
          <w:szCs w:val="20"/>
        </w:rPr>
        <w:footnoteReference w:id="20"/>
      </w:r>
    </w:p>
    <w:p w14:paraId="1DC50D49" w14:textId="373D9892" w:rsidR="00AE2A75" w:rsidRDefault="000F12CC" w:rsidP="00AE2A75">
      <w:pPr>
        <w:rPr>
          <w:rFonts w:eastAsia="Times New Roman"/>
          <w:iCs/>
          <w:szCs w:val="20"/>
        </w:rPr>
      </w:pPr>
      <w:r>
        <w:rPr>
          <w:rFonts w:eastAsia="Times New Roman"/>
          <w:iCs/>
          <w:szCs w:val="20"/>
        </w:rPr>
        <w:t xml:space="preserve">Some participants had up to seven Wellbeing Star assessments lodged. In this </w:t>
      </w:r>
      <w:r w:rsidR="001D440B">
        <w:rPr>
          <w:rFonts w:eastAsia="Times New Roman"/>
          <w:iCs/>
          <w:szCs w:val="20"/>
        </w:rPr>
        <w:t>section</w:t>
      </w:r>
      <w:r>
        <w:rPr>
          <w:rFonts w:eastAsia="Times New Roman"/>
          <w:iCs/>
          <w:szCs w:val="20"/>
        </w:rPr>
        <w:t xml:space="preserve">, we analyse matched pairs for all participants with at least two or three entries. </w:t>
      </w:r>
      <w:r w:rsidR="00AE2A75">
        <w:rPr>
          <w:rFonts w:eastAsia="Times New Roman"/>
          <w:iCs/>
          <w:szCs w:val="20"/>
        </w:rPr>
        <w:br/>
      </w:r>
    </w:p>
    <w:p w14:paraId="5112DB33" w14:textId="77777777" w:rsidR="008C71C4" w:rsidRDefault="008C71C4" w:rsidP="00AE2A75">
      <w:pPr>
        <w:rPr>
          <w:rFonts w:eastAsia="Times New Roman"/>
          <w:iCs/>
          <w:szCs w:val="20"/>
        </w:rPr>
      </w:pPr>
    </w:p>
    <w:p w14:paraId="51D6A7EF" w14:textId="77777777" w:rsidR="0036003A" w:rsidRDefault="0036003A" w:rsidP="0036003A">
      <w:pPr>
        <w:pStyle w:val="Heading3"/>
      </w:pPr>
      <w:r>
        <w:lastRenderedPageBreak/>
        <w:t>Most</w:t>
      </w:r>
      <w:r w:rsidRPr="005E1D9E">
        <w:t xml:space="preserve"> participants with </w:t>
      </w:r>
      <w:r>
        <w:t xml:space="preserve">at least </w:t>
      </w:r>
      <w:r w:rsidRPr="005E1D9E">
        <w:t>two entries</w:t>
      </w:r>
      <w:r>
        <w:t xml:space="preserve"> </w:t>
      </w:r>
      <w:r w:rsidRPr="005E1D9E">
        <w:t>experienced a positive change in their score between their first and second entries, in four of the eight categories</w:t>
      </w:r>
      <w:r>
        <w:t>.</w:t>
      </w:r>
    </w:p>
    <w:p w14:paraId="7AC8B7FA" w14:textId="55D7C613" w:rsidR="0060619E" w:rsidRPr="005E1D9E" w:rsidRDefault="00383F5C" w:rsidP="0060619E">
      <w:r w:rsidRPr="005E1D9E">
        <w:t xml:space="preserve">These categories were: “Your </w:t>
      </w:r>
      <w:r w:rsidR="0036003A">
        <w:t>l</w:t>
      </w:r>
      <w:r w:rsidRPr="005E1D9E">
        <w:t>ifestyle”, “</w:t>
      </w:r>
      <w:r w:rsidR="00A1309F" w:rsidRPr="005E1D9E">
        <w:t>Managing</w:t>
      </w:r>
      <w:r w:rsidRPr="005E1D9E">
        <w:t xml:space="preserve"> </w:t>
      </w:r>
      <w:r w:rsidR="0036003A">
        <w:t>s</w:t>
      </w:r>
      <w:r w:rsidRPr="005E1D9E">
        <w:t xml:space="preserve">ymptoms”, “Work, </w:t>
      </w:r>
      <w:r w:rsidR="0036003A">
        <w:t>v</w:t>
      </w:r>
      <w:r w:rsidRPr="005E1D9E">
        <w:t>olunteering,</w:t>
      </w:r>
      <w:r w:rsidR="0036003A">
        <w:t xml:space="preserve"> and</w:t>
      </w:r>
      <w:r w:rsidRPr="005E1D9E">
        <w:t xml:space="preserve"> </w:t>
      </w:r>
      <w:r w:rsidR="0036003A">
        <w:t>o</w:t>
      </w:r>
      <w:r w:rsidRPr="005E1D9E">
        <w:t xml:space="preserve">ther </w:t>
      </w:r>
      <w:r w:rsidR="0036003A">
        <w:t>a</w:t>
      </w:r>
      <w:r w:rsidRPr="005E1D9E">
        <w:t>ctivities”</w:t>
      </w:r>
      <w:r w:rsidR="00F77A3B" w:rsidRPr="005E1D9E">
        <w:t xml:space="preserve"> </w:t>
      </w:r>
      <w:r w:rsidRPr="005E1D9E">
        <w:t xml:space="preserve">and “Feeling </w:t>
      </w:r>
      <w:r w:rsidR="0036003A">
        <w:t>p</w:t>
      </w:r>
      <w:r w:rsidRPr="005E1D9E">
        <w:t>ositive”</w:t>
      </w:r>
      <w:r w:rsidR="00F77A3B" w:rsidRPr="005E1D9E">
        <w:t xml:space="preserve"> (Table </w:t>
      </w:r>
      <w:r w:rsidR="0008130B">
        <w:t>5</w:t>
      </w:r>
      <w:r w:rsidR="00F77A3B" w:rsidRPr="005E1D9E">
        <w:t>)</w:t>
      </w:r>
      <w:r w:rsidRPr="005E1D9E">
        <w:t xml:space="preserve">. </w:t>
      </w:r>
    </w:p>
    <w:p w14:paraId="4FC48034" w14:textId="77777777" w:rsidR="004C2ED1" w:rsidRDefault="004C2ED1" w:rsidP="005E1D9E">
      <w:r w:rsidRPr="004C2ED1">
        <w:t>For the most part, these categories reflect areas that that Here Toitū service specifically addresses in its work with clients.</w:t>
      </w:r>
      <w:r>
        <w:t xml:space="preserve"> </w:t>
      </w:r>
    </w:p>
    <w:p w14:paraId="29FF7099" w14:textId="32E67FE0" w:rsidR="00A74321" w:rsidRPr="005E1D9E" w:rsidRDefault="001D440B" w:rsidP="005E1D9E">
      <w:r w:rsidRPr="005E1D9E">
        <w:t xml:space="preserve">For these participants, Here </w:t>
      </w:r>
      <w:r w:rsidR="00304BE0">
        <w:t>Toitū</w:t>
      </w:r>
      <w:r w:rsidRPr="005E1D9E">
        <w:t xml:space="preserve"> did not improve wellbeing in relation to material factors, such as a participant’s income, or their housing situation, except for </w:t>
      </w:r>
      <w:r w:rsidR="0036003A" w:rsidRPr="0036003A">
        <w:t>“Work, volunteering, and other activities”</w:t>
      </w:r>
      <w:r w:rsidRPr="005E1D9E">
        <w:t xml:space="preserve">. </w:t>
      </w:r>
      <w:r w:rsidR="005E1D9E" w:rsidRPr="005E1D9E">
        <w:t>This is expected</w:t>
      </w:r>
      <w:r w:rsidR="00D37C4B">
        <w:t xml:space="preserve"> at the earlier stage of the service</w:t>
      </w:r>
      <w:r w:rsidR="005E1D9E" w:rsidRPr="005E1D9E">
        <w:t>, as the service was not designed to explicitly improve participants’ material wellbeing</w:t>
      </w:r>
      <w:r w:rsidR="00D37C4B">
        <w:t xml:space="preserve"> immediately.</w:t>
      </w:r>
    </w:p>
    <w:p w14:paraId="42117308" w14:textId="4921B8A7" w:rsidR="00F77A3B" w:rsidRPr="005E1D9E" w:rsidRDefault="005E1D9E" w:rsidP="00F83D85">
      <w:pPr>
        <w:rPr>
          <w:rFonts w:eastAsia="Times New Roman"/>
          <w:iCs/>
          <w:szCs w:val="20"/>
        </w:rPr>
      </w:pPr>
      <w:r>
        <w:rPr>
          <w:rFonts w:eastAsia="Times New Roman"/>
          <w:iCs/>
          <w:szCs w:val="20"/>
        </w:rPr>
        <w:t>E</w:t>
      </w:r>
      <w:r w:rsidR="002018EA" w:rsidRPr="005E1D9E">
        <w:rPr>
          <w:rFonts w:eastAsia="Times New Roman"/>
          <w:iCs/>
          <w:szCs w:val="20"/>
        </w:rPr>
        <w:t xml:space="preserve">ven though </w:t>
      </w:r>
      <w:r w:rsidR="002F2582" w:rsidRPr="005E1D9E">
        <w:rPr>
          <w:rFonts w:eastAsia="Times New Roman"/>
          <w:iCs/>
          <w:szCs w:val="20"/>
        </w:rPr>
        <w:t>most</w:t>
      </w:r>
      <w:r w:rsidR="002018EA" w:rsidRPr="005E1D9E">
        <w:rPr>
          <w:rFonts w:eastAsia="Times New Roman"/>
          <w:iCs/>
          <w:szCs w:val="20"/>
        </w:rPr>
        <w:t xml:space="preserve"> participants with two Wellbeing Star scores did not report a positive change in the </w:t>
      </w:r>
      <w:r w:rsidRPr="005E1D9E">
        <w:rPr>
          <w:rFonts w:eastAsia="Times New Roman"/>
          <w:iCs/>
          <w:szCs w:val="20"/>
        </w:rPr>
        <w:t xml:space="preserve">“Looking </w:t>
      </w:r>
      <w:r w:rsidR="0036003A">
        <w:rPr>
          <w:rFonts w:eastAsia="Times New Roman"/>
          <w:iCs/>
          <w:szCs w:val="20"/>
        </w:rPr>
        <w:t>a</w:t>
      </w:r>
      <w:r w:rsidRPr="005E1D9E">
        <w:rPr>
          <w:rFonts w:eastAsia="Times New Roman"/>
          <w:iCs/>
          <w:szCs w:val="20"/>
        </w:rPr>
        <w:t xml:space="preserve">fter </w:t>
      </w:r>
      <w:r w:rsidR="0036003A">
        <w:rPr>
          <w:rFonts w:eastAsia="Times New Roman"/>
          <w:iCs/>
          <w:szCs w:val="20"/>
        </w:rPr>
        <w:t>y</w:t>
      </w:r>
      <w:r w:rsidRPr="005E1D9E">
        <w:rPr>
          <w:rFonts w:eastAsia="Times New Roman"/>
          <w:iCs/>
          <w:szCs w:val="20"/>
        </w:rPr>
        <w:t xml:space="preserve">ourself”, </w:t>
      </w:r>
      <w:r w:rsidR="002018EA" w:rsidRPr="005E1D9E">
        <w:rPr>
          <w:rFonts w:eastAsia="Times New Roman"/>
          <w:iCs/>
          <w:szCs w:val="20"/>
        </w:rPr>
        <w:t>“Money”</w:t>
      </w:r>
      <w:r w:rsidR="00F77A3B" w:rsidRPr="005E1D9E">
        <w:rPr>
          <w:rFonts w:eastAsia="Times New Roman"/>
          <w:iCs/>
          <w:szCs w:val="20"/>
        </w:rPr>
        <w:t xml:space="preserve">, “Family and </w:t>
      </w:r>
      <w:r w:rsidR="0036003A">
        <w:rPr>
          <w:rFonts w:eastAsia="Times New Roman"/>
          <w:iCs/>
          <w:szCs w:val="20"/>
        </w:rPr>
        <w:t>f</w:t>
      </w:r>
      <w:r w:rsidR="00F77A3B" w:rsidRPr="005E1D9E">
        <w:rPr>
          <w:rFonts w:eastAsia="Times New Roman"/>
          <w:iCs/>
          <w:szCs w:val="20"/>
        </w:rPr>
        <w:t>riends”,</w:t>
      </w:r>
      <w:r w:rsidR="002018EA" w:rsidRPr="005E1D9E">
        <w:rPr>
          <w:rFonts w:eastAsia="Times New Roman"/>
          <w:iCs/>
          <w:szCs w:val="20"/>
        </w:rPr>
        <w:t xml:space="preserve"> and “Where </w:t>
      </w:r>
      <w:r w:rsidR="0036003A">
        <w:rPr>
          <w:rFonts w:eastAsia="Times New Roman"/>
          <w:iCs/>
          <w:szCs w:val="20"/>
        </w:rPr>
        <w:t>y</w:t>
      </w:r>
      <w:r w:rsidR="002018EA" w:rsidRPr="005E1D9E">
        <w:rPr>
          <w:rFonts w:eastAsia="Times New Roman"/>
          <w:iCs/>
          <w:szCs w:val="20"/>
        </w:rPr>
        <w:t xml:space="preserve">ou </w:t>
      </w:r>
      <w:r w:rsidR="0036003A">
        <w:rPr>
          <w:rFonts w:eastAsia="Times New Roman"/>
          <w:iCs/>
          <w:szCs w:val="20"/>
        </w:rPr>
        <w:t>l</w:t>
      </w:r>
      <w:r w:rsidR="002018EA" w:rsidRPr="005E1D9E">
        <w:rPr>
          <w:rFonts w:eastAsia="Times New Roman"/>
          <w:iCs/>
          <w:szCs w:val="20"/>
        </w:rPr>
        <w:t xml:space="preserve">ive” categories, </w:t>
      </w:r>
      <w:r w:rsidR="00F77A3B" w:rsidRPr="005E1D9E">
        <w:rPr>
          <w:rFonts w:eastAsia="Times New Roman"/>
          <w:iCs/>
          <w:szCs w:val="20"/>
        </w:rPr>
        <w:t>there was still a sizable group of participants that did report a positive change</w:t>
      </w:r>
      <w:r w:rsidR="002F2582" w:rsidRPr="005E1D9E">
        <w:rPr>
          <w:rFonts w:eastAsia="Times New Roman"/>
          <w:iCs/>
          <w:szCs w:val="20"/>
        </w:rPr>
        <w:t>. This</w:t>
      </w:r>
      <w:r w:rsidR="002018EA" w:rsidRPr="005E1D9E">
        <w:rPr>
          <w:rFonts w:eastAsia="Times New Roman"/>
          <w:iCs/>
          <w:szCs w:val="20"/>
        </w:rPr>
        <w:t xml:space="preserve"> suggest</w:t>
      </w:r>
      <w:r w:rsidR="002F2582" w:rsidRPr="005E1D9E">
        <w:rPr>
          <w:rFonts w:eastAsia="Times New Roman"/>
          <w:iCs/>
          <w:szCs w:val="20"/>
        </w:rPr>
        <w:t>s</w:t>
      </w:r>
      <w:r w:rsidR="002018EA" w:rsidRPr="005E1D9E">
        <w:rPr>
          <w:rFonts w:eastAsia="Times New Roman"/>
          <w:iCs/>
          <w:szCs w:val="20"/>
        </w:rPr>
        <w:t xml:space="preserve"> that</w:t>
      </w:r>
      <w:r w:rsidR="002F2582" w:rsidRPr="005E1D9E">
        <w:rPr>
          <w:rFonts w:eastAsia="Times New Roman"/>
          <w:iCs/>
          <w:szCs w:val="20"/>
        </w:rPr>
        <w:t xml:space="preserve"> </w:t>
      </w:r>
      <w:r w:rsidR="002018EA" w:rsidRPr="005E1D9E">
        <w:rPr>
          <w:rFonts w:eastAsia="Times New Roman"/>
          <w:iCs/>
          <w:szCs w:val="20"/>
        </w:rPr>
        <w:t xml:space="preserve">the </w:t>
      </w:r>
      <w:r>
        <w:rPr>
          <w:rFonts w:eastAsia="Times New Roman"/>
          <w:iCs/>
          <w:szCs w:val="20"/>
        </w:rPr>
        <w:t xml:space="preserve">Here </w:t>
      </w:r>
      <w:r w:rsidR="00304BE0">
        <w:rPr>
          <w:rFonts w:eastAsia="Times New Roman"/>
          <w:iCs/>
          <w:szCs w:val="20"/>
        </w:rPr>
        <w:t>Toitū</w:t>
      </w:r>
      <w:r w:rsidR="002018EA" w:rsidRPr="005E1D9E">
        <w:rPr>
          <w:rFonts w:eastAsia="Times New Roman"/>
          <w:iCs/>
          <w:szCs w:val="20"/>
        </w:rPr>
        <w:t xml:space="preserve"> service </w:t>
      </w:r>
      <w:r w:rsidR="00306A27">
        <w:rPr>
          <w:rFonts w:eastAsia="Times New Roman"/>
          <w:iCs/>
          <w:szCs w:val="20"/>
        </w:rPr>
        <w:t>has</w:t>
      </w:r>
      <w:r w:rsidR="002F2582" w:rsidRPr="005E1D9E">
        <w:rPr>
          <w:rFonts w:eastAsia="Times New Roman"/>
          <w:iCs/>
          <w:szCs w:val="20"/>
        </w:rPr>
        <w:t xml:space="preserve"> </w:t>
      </w:r>
      <w:r w:rsidR="002018EA" w:rsidRPr="005E1D9E">
        <w:rPr>
          <w:rFonts w:eastAsia="Times New Roman"/>
          <w:iCs/>
          <w:szCs w:val="20"/>
        </w:rPr>
        <w:t xml:space="preserve">the potential for positive impacts </w:t>
      </w:r>
      <w:r w:rsidR="00306A27">
        <w:rPr>
          <w:rFonts w:eastAsia="Times New Roman"/>
          <w:iCs/>
          <w:szCs w:val="20"/>
        </w:rPr>
        <w:t>o</w:t>
      </w:r>
      <w:r w:rsidR="002018EA" w:rsidRPr="005E1D9E">
        <w:rPr>
          <w:rFonts w:eastAsia="Times New Roman"/>
          <w:iCs/>
          <w:szCs w:val="20"/>
        </w:rPr>
        <w:t>n these domains of wellbeing as assessed by the Wellbeing Star tool.</w:t>
      </w:r>
      <w:r w:rsidR="00A74321" w:rsidRPr="005E1D9E">
        <w:rPr>
          <w:rFonts w:eastAsia="Times New Roman"/>
          <w:iCs/>
          <w:szCs w:val="20"/>
        </w:rPr>
        <w:t xml:space="preserve"> </w:t>
      </w:r>
    </w:p>
    <w:p w14:paraId="287A22DC" w14:textId="12337A93" w:rsidR="00F83D85" w:rsidRPr="001D440B" w:rsidRDefault="00F83D85" w:rsidP="00F83D85">
      <w:pPr>
        <w:rPr>
          <w:b/>
          <w:bCs/>
          <w:iCs/>
          <w:sz w:val="18"/>
          <w:szCs w:val="20"/>
        </w:rPr>
      </w:pPr>
      <w:r w:rsidRPr="001D440B">
        <w:rPr>
          <w:b/>
          <w:bCs/>
          <w:sz w:val="18"/>
          <w:szCs w:val="20"/>
        </w:rPr>
        <w:t xml:space="preserve">Table </w:t>
      </w:r>
      <w:r w:rsidRPr="001D440B">
        <w:rPr>
          <w:b/>
          <w:bCs/>
          <w:sz w:val="18"/>
          <w:szCs w:val="20"/>
        </w:rPr>
        <w:fldChar w:fldCharType="begin"/>
      </w:r>
      <w:r w:rsidRPr="001D440B">
        <w:rPr>
          <w:b/>
          <w:bCs/>
          <w:sz w:val="18"/>
          <w:szCs w:val="20"/>
        </w:rPr>
        <w:instrText xml:space="preserve"> SEQ Table \* ARABIC </w:instrText>
      </w:r>
      <w:r w:rsidRPr="001D440B">
        <w:rPr>
          <w:b/>
          <w:bCs/>
          <w:sz w:val="18"/>
          <w:szCs w:val="20"/>
        </w:rPr>
        <w:fldChar w:fldCharType="separate"/>
      </w:r>
      <w:r w:rsidR="0008130B">
        <w:rPr>
          <w:b/>
          <w:bCs/>
          <w:noProof/>
          <w:sz w:val="18"/>
          <w:szCs w:val="20"/>
        </w:rPr>
        <w:t>5</w:t>
      </w:r>
      <w:r w:rsidRPr="001D440B">
        <w:rPr>
          <w:b/>
          <w:bCs/>
          <w:sz w:val="18"/>
          <w:szCs w:val="20"/>
        </w:rPr>
        <w:fldChar w:fldCharType="end"/>
      </w:r>
      <w:r w:rsidRPr="001D440B">
        <w:rPr>
          <w:b/>
          <w:bCs/>
          <w:sz w:val="18"/>
          <w:szCs w:val="20"/>
        </w:rPr>
        <w:t xml:space="preserve">: </w:t>
      </w:r>
      <w:r w:rsidR="00477CD7" w:rsidRPr="001D440B">
        <w:rPr>
          <w:b/>
          <w:bCs/>
          <w:sz w:val="18"/>
          <w:szCs w:val="20"/>
        </w:rPr>
        <w:t xml:space="preserve">Change in Wellbeing Star category scores between first and second </w:t>
      </w:r>
      <w:r w:rsidR="001D440B" w:rsidRPr="001D440B">
        <w:rPr>
          <w:b/>
          <w:bCs/>
          <w:sz w:val="18"/>
          <w:szCs w:val="20"/>
        </w:rPr>
        <w:t>assessments</w:t>
      </w:r>
      <w:r w:rsidR="008A3A19" w:rsidRPr="001D440B">
        <w:rPr>
          <w:b/>
          <w:bCs/>
          <w:sz w:val="18"/>
          <w:szCs w:val="20"/>
        </w:rPr>
        <w:t xml:space="preserve"> (n = </w:t>
      </w:r>
      <w:r w:rsidR="001D440B" w:rsidRPr="001D440B">
        <w:rPr>
          <w:b/>
          <w:bCs/>
          <w:sz w:val="18"/>
          <w:szCs w:val="20"/>
        </w:rPr>
        <w:t>123</w:t>
      </w:r>
      <w:r w:rsidR="008A3A19" w:rsidRPr="001D440B">
        <w:rPr>
          <w:b/>
          <w:bCs/>
          <w:sz w:val="18"/>
          <w:szCs w:val="20"/>
        </w:rPr>
        <w:t>)</w:t>
      </w:r>
      <w:r w:rsidR="00EA0281" w:rsidRPr="001D440B">
        <w:rPr>
          <w:b/>
          <w:bCs/>
          <w:sz w:val="18"/>
          <w:szCs w:val="20"/>
        </w:rPr>
        <w:t>.</w:t>
      </w:r>
    </w:p>
    <w:tbl>
      <w:tblPr>
        <w:tblStyle w:val="TableGrid"/>
        <w:tblW w:w="9016" w:type="dxa"/>
        <w:tblLook w:val="04A0" w:firstRow="1" w:lastRow="0" w:firstColumn="1" w:lastColumn="0" w:noHBand="0" w:noVBand="1"/>
      </w:tblPr>
      <w:tblGrid>
        <w:gridCol w:w="2262"/>
        <w:gridCol w:w="2266"/>
        <w:gridCol w:w="2221"/>
        <w:gridCol w:w="2267"/>
      </w:tblGrid>
      <w:tr w:rsidR="004B45CA" w:rsidRPr="001D440B" w14:paraId="1EFE5395" w14:textId="7A584A59" w:rsidTr="004B45CA">
        <w:tc>
          <w:tcPr>
            <w:tcW w:w="2262" w:type="dxa"/>
          </w:tcPr>
          <w:p w14:paraId="0B9EEFBD" w14:textId="1A145CEF" w:rsidR="004B45CA" w:rsidRPr="001D440B" w:rsidRDefault="004B45CA" w:rsidP="00F113EF">
            <w:pPr>
              <w:rPr>
                <w:rFonts w:eastAsia="Times New Roman"/>
                <w:b/>
                <w:bCs/>
                <w:iCs/>
                <w:sz w:val="16"/>
                <w:szCs w:val="18"/>
              </w:rPr>
            </w:pPr>
            <w:r w:rsidRPr="001D440B">
              <w:rPr>
                <w:rFonts w:eastAsia="Times New Roman"/>
                <w:b/>
                <w:bCs/>
                <w:iCs/>
                <w:sz w:val="16"/>
                <w:szCs w:val="18"/>
              </w:rPr>
              <w:t>C</w:t>
            </w:r>
            <w:r w:rsidRPr="001D440B">
              <w:rPr>
                <w:rFonts w:eastAsia="Times New Roman"/>
                <w:b/>
                <w:bCs/>
                <w:sz w:val="16"/>
                <w:szCs w:val="18"/>
              </w:rPr>
              <w:t>ategory</w:t>
            </w:r>
          </w:p>
        </w:tc>
        <w:tc>
          <w:tcPr>
            <w:tcW w:w="2266" w:type="dxa"/>
          </w:tcPr>
          <w:p w14:paraId="6B6FABCA" w14:textId="437F072D" w:rsidR="004B45CA" w:rsidRPr="001D440B" w:rsidRDefault="004B45CA" w:rsidP="00F113EF">
            <w:pPr>
              <w:rPr>
                <w:rFonts w:eastAsia="Times New Roman"/>
                <w:b/>
                <w:bCs/>
                <w:iCs/>
                <w:sz w:val="16"/>
                <w:szCs w:val="18"/>
              </w:rPr>
            </w:pPr>
            <w:r w:rsidRPr="001D440B">
              <w:rPr>
                <w:rFonts w:eastAsia="Times New Roman"/>
                <w:b/>
                <w:bCs/>
                <w:iCs/>
                <w:sz w:val="16"/>
                <w:szCs w:val="18"/>
              </w:rPr>
              <w:t>Percentage (number) that reported a decrease in category score</w:t>
            </w:r>
          </w:p>
        </w:tc>
        <w:tc>
          <w:tcPr>
            <w:tcW w:w="2221" w:type="dxa"/>
          </w:tcPr>
          <w:p w14:paraId="56192BF2" w14:textId="205A007A" w:rsidR="004B45CA" w:rsidRPr="001D440B" w:rsidRDefault="004B45CA" w:rsidP="00F113EF">
            <w:pPr>
              <w:rPr>
                <w:rFonts w:eastAsia="Times New Roman"/>
                <w:b/>
                <w:bCs/>
                <w:iCs/>
                <w:sz w:val="16"/>
                <w:szCs w:val="18"/>
              </w:rPr>
            </w:pPr>
            <w:r w:rsidRPr="001D440B">
              <w:rPr>
                <w:rFonts w:eastAsia="Times New Roman"/>
                <w:b/>
                <w:bCs/>
                <w:iCs/>
                <w:sz w:val="16"/>
                <w:szCs w:val="18"/>
              </w:rPr>
              <w:t>Percentage (number) that reported no change in category score</w:t>
            </w:r>
          </w:p>
        </w:tc>
        <w:tc>
          <w:tcPr>
            <w:tcW w:w="2267" w:type="dxa"/>
          </w:tcPr>
          <w:p w14:paraId="28293191" w14:textId="52CB5E24" w:rsidR="004B45CA" w:rsidRPr="001D440B" w:rsidRDefault="004B45CA" w:rsidP="00F113EF">
            <w:pPr>
              <w:rPr>
                <w:rFonts w:eastAsia="Times New Roman"/>
                <w:b/>
                <w:bCs/>
                <w:iCs/>
                <w:sz w:val="16"/>
                <w:szCs w:val="18"/>
              </w:rPr>
            </w:pPr>
            <w:r w:rsidRPr="001D440B">
              <w:rPr>
                <w:rFonts w:eastAsia="Times New Roman"/>
                <w:b/>
                <w:bCs/>
                <w:iCs/>
                <w:sz w:val="16"/>
                <w:szCs w:val="18"/>
              </w:rPr>
              <w:t>Percentage (number) that reported a positive change in category score</w:t>
            </w:r>
          </w:p>
        </w:tc>
      </w:tr>
      <w:tr w:rsidR="004B45CA" w:rsidRPr="001D440B" w14:paraId="3E5C6451" w14:textId="4F5F5D9E" w:rsidTr="004B45CA">
        <w:tc>
          <w:tcPr>
            <w:tcW w:w="2262" w:type="dxa"/>
          </w:tcPr>
          <w:p w14:paraId="1DD92B89" w14:textId="0E1256E9" w:rsidR="004B45CA" w:rsidRPr="001D440B" w:rsidRDefault="004B45CA" w:rsidP="006B20F6">
            <w:pPr>
              <w:rPr>
                <w:rFonts w:eastAsia="Times New Roman"/>
                <w:iCs/>
                <w:szCs w:val="20"/>
              </w:rPr>
            </w:pPr>
            <w:r w:rsidRPr="001D440B">
              <w:rPr>
                <w:rFonts w:eastAsia="Times New Roman"/>
                <w:iCs/>
                <w:sz w:val="16"/>
                <w:szCs w:val="18"/>
              </w:rPr>
              <w:t>1: Your Lifestyle</w:t>
            </w:r>
          </w:p>
        </w:tc>
        <w:tc>
          <w:tcPr>
            <w:tcW w:w="2266" w:type="dxa"/>
          </w:tcPr>
          <w:p w14:paraId="445C5EF7" w14:textId="65E18D5F" w:rsidR="004B45CA" w:rsidRPr="001D440B" w:rsidRDefault="001D440B" w:rsidP="006B20F6">
            <w:pPr>
              <w:rPr>
                <w:rFonts w:eastAsia="Times New Roman"/>
                <w:iCs/>
                <w:sz w:val="16"/>
                <w:szCs w:val="18"/>
              </w:rPr>
            </w:pPr>
            <w:r w:rsidRPr="001D440B">
              <w:rPr>
                <w:rFonts w:eastAsia="Times New Roman"/>
                <w:iCs/>
                <w:sz w:val="16"/>
                <w:szCs w:val="18"/>
              </w:rPr>
              <w:t>9.8% (12)</w:t>
            </w:r>
          </w:p>
        </w:tc>
        <w:tc>
          <w:tcPr>
            <w:tcW w:w="2221" w:type="dxa"/>
          </w:tcPr>
          <w:p w14:paraId="09B44B15" w14:textId="7C33E76C" w:rsidR="004B45CA" w:rsidRPr="001D440B" w:rsidRDefault="001D440B" w:rsidP="006B20F6">
            <w:pPr>
              <w:rPr>
                <w:rFonts w:eastAsia="Times New Roman"/>
                <w:iCs/>
                <w:sz w:val="16"/>
                <w:szCs w:val="18"/>
              </w:rPr>
            </w:pPr>
            <w:r w:rsidRPr="001D440B">
              <w:rPr>
                <w:rFonts w:eastAsia="Times New Roman"/>
                <w:iCs/>
                <w:sz w:val="16"/>
                <w:szCs w:val="18"/>
              </w:rPr>
              <w:t>36.6% (45)</w:t>
            </w:r>
          </w:p>
        </w:tc>
        <w:tc>
          <w:tcPr>
            <w:tcW w:w="2267" w:type="dxa"/>
          </w:tcPr>
          <w:p w14:paraId="18975D5A" w14:textId="0E77C1A9" w:rsidR="004B45CA" w:rsidRPr="001D440B" w:rsidRDefault="001D440B" w:rsidP="006B20F6">
            <w:pPr>
              <w:rPr>
                <w:rFonts w:eastAsia="Times New Roman"/>
                <w:iCs/>
                <w:sz w:val="16"/>
                <w:szCs w:val="18"/>
              </w:rPr>
            </w:pPr>
            <w:r w:rsidRPr="001D440B">
              <w:rPr>
                <w:rFonts w:eastAsia="Times New Roman"/>
                <w:iCs/>
                <w:sz w:val="16"/>
                <w:szCs w:val="18"/>
              </w:rPr>
              <w:t>53.7% (66)</w:t>
            </w:r>
          </w:p>
        </w:tc>
      </w:tr>
      <w:tr w:rsidR="004B45CA" w:rsidRPr="001D440B" w14:paraId="6D230337" w14:textId="01E50F34" w:rsidTr="004B45CA">
        <w:tc>
          <w:tcPr>
            <w:tcW w:w="2262" w:type="dxa"/>
          </w:tcPr>
          <w:p w14:paraId="79813A1C" w14:textId="709CD599" w:rsidR="004B45CA" w:rsidRPr="001D440B" w:rsidRDefault="004B45CA" w:rsidP="006B20F6">
            <w:pPr>
              <w:rPr>
                <w:rFonts w:eastAsia="Times New Roman"/>
                <w:iCs/>
                <w:szCs w:val="20"/>
              </w:rPr>
            </w:pPr>
            <w:r w:rsidRPr="001D440B">
              <w:rPr>
                <w:rFonts w:eastAsia="Times New Roman"/>
                <w:iCs/>
                <w:sz w:val="16"/>
                <w:szCs w:val="18"/>
              </w:rPr>
              <w:t>2: Looking After Yourself</w:t>
            </w:r>
          </w:p>
        </w:tc>
        <w:tc>
          <w:tcPr>
            <w:tcW w:w="2266" w:type="dxa"/>
          </w:tcPr>
          <w:p w14:paraId="61E2F641" w14:textId="4DAA315A" w:rsidR="004B45CA" w:rsidRPr="001D440B" w:rsidRDefault="001D440B" w:rsidP="006B20F6">
            <w:pPr>
              <w:rPr>
                <w:rFonts w:eastAsia="Times New Roman"/>
                <w:iCs/>
                <w:sz w:val="16"/>
                <w:szCs w:val="18"/>
              </w:rPr>
            </w:pPr>
            <w:r w:rsidRPr="001D440B">
              <w:rPr>
                <w:rFonts w:eastAsia="Times New Roman"/>
                <w:iCs/>
                <w:sz w:val="16"/>
                <w:szCs w:val="18"/>
              </w:rPr>
              <w:t>17.1% (21)</w:t>
            </w:r>
          </w:p>
        </w:tc>
        <w:tc>
          <w:tcPr>
            <w:tcW w:w="2221" w:type="dxa"/>
          </w:tcPr>
          <w:p w14:paraId="79529157" w14:textId="6D36E185" w:rsidR="004B45CA" w:rsidRPr="001D440B" w:rsidRDefault="001D440B" w:rsidP="006B20F6">
            <w:pPr>
              <w:rPr>
                <w:rFonts w:eastAsia="Times New Roman"/>
                <w:iCs/>
                <w:sz w:val="16"/>
                <w:szCs w:val="18"/>
              </w:rPr>
            </w:pPr>
            <w:r w:rsidRPr="001D440B">
              <w:rPr>
                <w:rFonts w:eastAsia="Times New Roman"/>
                <w:iCs/>
                <w:sz w:val="16"/>
                <w:szCs w:val="18"/>
              </w:rPr>
              <w:t>41.5% (51)</w:t>
            </w:r>
          </w:p>
        </w:tc>
        <w:tc>
          <w:tcPr>
            <w:tcW w:w="2267" w:type="dxa"/>
          </w:tcPr>
          <w:p w14:paraId="4B84F8A2" w14:textId="30D4B612" w:rsidR="004B45CA" w:rsidRPr="001D440B" w:rsidRDefault="001D440B" w:rsidP="006B20F6">
            <w:pPr>
              <w:rPr>
                <w:rFonts w:eastAsia="Times New Roman"/>
                <w:iCs/>
                <w:sz w:val="16"/>
                <w:szCs w:val="18"/>
              </w:rPr>
            </w:pPr>
            <w:r w:rsidRPr="001D440B">
              <w:rPr>
                <w:rFonts w:eastAsia="Times New Roman"/>
                <w:iCs/>
                <w:sz w:val="16"/>
                <w:szCs w:val="18"/>
              </w:rPr>
              <w:t>41.5% (51)</w:t>
            </w:r>
          </w:p>
        </w:tc>
      </w:tr>
      <w:tr w:rsidR="004B45CA" w:rsidRPr="001D440B" w14:paraId="74BE14E3" w14:textId="47434847" w:rsidTr="004B45CA">
        <w:tc>
          <w:tcPr>
            <w:tcW w:w="2262" w:type="dxa"/>
          </w:tcPr>
          <w:p w14:paraId="733F57F4" w14:textId="4BBB4E2F" w:rsidR="004B45CA" w:rsidRPr="001D440B" w:rsidRDefault="004B45CA" w:rsidP="006B20F6">
            <w:pPr>
              <w:rPr>
                <w:rFonts w:eastAsia="Times New Roman"/>
                <w:iCs/>
                <w:szCs w:val="20"/>
              </w:rPr>
            </w:pPr>
            <w:r w:rsidRPr="001D440B">
              <w:rPr>
                <w:rFonts w:eastAsia="Times New Roman"/>
                <w:iCs/>
                <w:sz w:val="16"/>
                <w:szCs w:val="18"/>
              </w:rPr>
              <w:t>3: Managing Symptoms</w:t>
            </w:r>
          </w:p>
        </w:tc>
        <w:tc>
          <w:tcPr>
            <w:tcW w:w="2266" w:type="dxa"/>
          </w:tcPr>
          <w:p w14:paraId="43E6F9C9" w14:textId="177031D9" w:rsidR="004B45CA" w:rsidRPr="001D440B" w:rsidRDefault="001D440B" w:rsidP="006B20F6">
            <w:pPr>
              <w:rPr>
                <w:rFonts w:eastAsia="Times New Roman"/>
                <w:iCs/>
                <w:sz w:val="16"/>
                <w:szCs w:val="18"/>
              </w:rPr>
            </w:pPr>
            <w:r w:rsidRPr="001D440B">
              <w:rPr>
                <w:rFonts w:eastAsia="Times New Roman"/>
                <w:iCs/>
                <w:sz w:val="16"/>
                <w:szCs w:val="18"/>
              </w:rPr>
              <w:t>9.8% (12)</w:t>
            </w:r>
          </w:p>
        </w:tc>
        <w:tc>
          <w:tcPr>
            <w:tcW w:w="2221" w:type="dxa"/>
          </w:tcPr>
          <w:p w14:paraId="3442D2B1" w14:textId="09C64D00" w:rsidR="004B45CA" w:rsidRPr="001D440B" w:rsidRDefault="001D440B" w:rsidP="006B20F6">
            <w:pPr>
              <w:rPr>
                <w:rFonts w:eastAsia="Times New Roman"/>
                <w:iCs/>
                <w:sz w:val="16"/>
                <w:szCs w:val="18"/>
              </w:rPr>
            </w:pPr>
            <w:r w:rsidRPr="001D440B">
              <w:rPr>
                <w:rFonts w:eastAsia="Times New Roman"/>
                <w:iCs/>
                <w:sz w:val="16"/>
                <w:szCs w:val="18"/>
              </w:rPr>
              <w:t>34.1% (42)</w:t>
            </w:r>
          </w:p>
        </w:tc>
        <w:tc>
          <w:tcPr>
            <w:tcW w:w="2267" w:type="dxa"/>
          </w:tcPr>
          <w:p w14:paraId="7B38AC13" w14:textId="4DF83AE1" w:rsidR="004B45CA" w:rsidRPr="001D440B" w:rsidRDefault="001D440B" w:rsidP="006B20F6">
            <w:pPr>
              <w:rPr>
                <w:rFonts w:eastAsia="Times New Roman"/>
                <w:iCs/>
                <w:sz w:val="16"/>
                <w:szCs w:val="18"/>
              </w:rPr>
            </w:pPr>
            <w:r w:rsidRPr="001D440B">
              <w:rPr>
                <w:rFonts w:eastAsia="Times New Roman"/>
                <w:iCs/>
                <w:sz w:val="16"/>
                <w:szCs w:val="18"/>
              </w:rPr>
              <w:t>56.1% (69)</w:t>
            </w:r>
          </w:p>
        </w:tc>
      </w:tr>
      <w:tr w:rsidR="004B45CA" w:rsidRPr="001D440B" w14:paraId="0E74F69F" w14:textId="482E3E67" w:rsidTr="004B45CA">
        <w:tc>
          <w:tcPr>
            <w:tcW w:w="2262" w:type="dxa"/>
          </w:tcPr>
          <w:p w14:paraId="3B344DC3" w14:textId="6BB347CC" w:rsidR="004B45CA" w:rsidRPr="001D440B" w:rsidRDefault="004B45CA" w:rsidP="007F7045">
            <w:pPr>
              <w:rPr>
                <w:rFonts w:eastAsia="Times New Roman"/>
                <w:iCs/>
                <w:szCs w:val="20"/>
              </w:rPr>
            </w:pPr>
            <w:r w:rsidRPr="001D440B">
              <w:rPr>
                <w:rFonts w:eastAsia="Times New Roman"/>
                <w:iCs/>
                <w:sz w:val="16"/>
                <w:szCs w:val="18"/>
              </w:rPr>
              <w:t>4: Work, Volunteering, Other Activities</w:t>
            </w:r>
          </w:p>
        </w:tc>
        <w:tc>
          <w:tcPr>
            <w:tcW w:w="2266" w:type="dxa"/>
          </w:tcPr>
          <w:p w14:paraId="751F213E" w14:textId="40ECB90F" w:rsidR="004B45CA" w:rsidRPr="001D440B" w:rsidRDefault="001D440B" w:rsidP="007F7045">
            <w:pPr>
              <w:rPr>
                <w:rFonts w:eastAsia="Times New Roman"/>
                <w:iCs/>
                <w:sz w:val="16"/>
                <w:szCs w:val="18"/>
              </w:rPr>
            </w:pPr>
            <w:r w:rsidRPr="001D440B">
              <w:rPr>
                <w:rFonts w:eastAsia="Times New Roman"/>
                <w:iCs/>
                <w:sz w:val="16"/>
                <w:szCs w:val="18"/>
              </w:rPr>
              <w:t>12.2% (15)</w:t>
            </w:r>
          </w:p>
        </w:tc>
        <w:tc>
          <w:tcPr>
            <w:tcW w:w="2221" w:type="dxa"/>
          </w:tcPr>
          <w:p w14:paraId="5B6EC0C4" w14:textId="6CA8470C" w:rsidR="004B45CA" w:rsidRPr="001D440B" w:rsidRDefault="001D440B" w:rsidP="007F7045">
            <w:pPr>
              <w:rPr>
                <w:rFonts w:eastAsia="Times New Roman"/>
                <w:iCs/>
                <w:sz w:val="16"/>
                <w:szCs w:val="18"/>
              </w:rPr>
            </w:pPr>
            <w:r w:rsidRPr="001D440B">
              <w:rPr>
                <w:rFonts w:eastAsia="Times New Roman"/>
                <w:iCs/>
                <w:sz w:val="16"/>
                <w:szCs w:val="18"/>
              </w:rPr>
              <w:t>34.1% (42)</w:t>
            </w:r>
          </w:p>
        </w:tc>
        <w:tc>
          <w:tcPr>
            <w:tcW w:w="2267" w:type="dxa"/>
          </w:tcPr>
          <w:p w14:paraId="311CC5AB" w14:textId="0977A117" w:rsidR="004B45CA" w:rsidRPr="001D440B" w:rsidRDefault="001D440B" w:rsidP="007F7045">
            <w:pPr>
              <w:rPr>
                <w:rFonts w:eastAsia="Times New Roman"/>
                <w:iCs/>
                <w:sz w:val="16"/>
                <w:szCs w:val="18"/>
              </w:rPr>
            </w:pPr>
            <w:r w:rsidRPr="001D440B">
              <w:rPr>
                <w:rFonts w:eastAsia="Times New Roman"/>
                <w:iCs/>
                <w:sz w:val="16"/>
                <w:szCs w:val="18"/>
              </w:rPr>
              <w:t>53.7% (66)</w:t>
            </w:r>
          </w:p>
        </w:tc>
      </w:tr>
      <w:tr w:rsidR="004B45CA" w:rsidRPr="001D440B" w14:paraId="7B65975B" w14:textId="37D7F934" w:rsidTr="004B45CA">
        <w:tc>
          <w:tcPr>
            <w:tcW w:w="2262" w:type="dxa"/>
          </w:tcPr>
          <w:p w14:paraId="3825F499" w14:textId="57D65E6F" w:rsidR="004B45CA" w:rsidRPr="001D440B" w:rsidRDefault="004B45CA" w:rsidP="006B20F6">
            <w:pPr>
              <w:rPr>
                <w:rFonts w:eastAsia="Times New Roman"/>
                <w:iCs/>
                <w:szCs w:val="20"/>
              </w:rPr>
            </w:pPr>
            <w:r w:rsidRPr="001D440B">
              <w:rPr>
                <w:rFonts w:eastAsia="Times New Roman"/>
                <w:iCs/>
                <w:sz w:val="16"/>
                <w:szCs w:val="18"/>
              </w:rPr>
              <w:t>5: Money</w:t>
            </w:r>
          </w:p>
        </w:tc>
        <w:tc>
          <w:tcPr>
            <w:tcW w:w="2266" w:type="dxa"/>
          </w:tcPr>
          <w:p w14:paraId="4DDE00D7" w14:textId="70301C5C" w:rsidR="004B45CA" w:rsidRPr="001D440B" w:rsidRDefault="001D440B" w:rsidP="006B20F6">
            <w:pPr>
              <w:rPr>
                <w:rFonts w:eastAsia="Times New Roman"/>
                <w:iCs/>
                <w:sz w:val="16"/>
                <w:szCs w:val="18"/>
              </w:rPr>
            </w:pPr>
            <w:r w:rsidRPr="001D440B">
              <w:rPr>
                <w:rFonts w:eastAsia="Times New Roman"/>
                <w:iCs/>
                <w:sz w:val="16"/>
                <w:szCs w:val="18"/>
              </w:rPr>
              <w:t>14.6% (18)</w:t>
            </w:r>
          </w:p>
        </w:tc>
        <w:tc>
          <w:tcPr>
            <w:tcW w:w="2221" w:type="dxa"/>
          </w:tcPr>
          <w:p w14:paraId="0F4A58BD" w14:textId="472865E8" w:rsidR="004B45CA" w:rsidRPr="001D440B" w:rsidRDefault="001D440B" w:rsidP="006B20F6">
            <w:pPr>
              <w:rPr>
                <w:rFonts w:eastAsia="Times New Roman"/>
                <w:iCs/>
                <w:sz w:val="16"/>
                <w:szCs w:val="18"/>
              </w:rPr>
            </w:pPr>
            <w:r w:rsidRPr="001D440B">
              <w:rPr>
                <w:rFonts w:eastAsia="Times New Roman"/>
                <w:iCs/>
                <w:sz w:val="16"/>
                <w:szCs w:val="18"/>
              </w:rPr>
              <w:t>41.5% (51)</w:t>
            </w:r>
          </w:p>
        </w:tc>
        <w:tc>
          <w:tcPr>
            <w:tcW w:w="2267" w:type="dxa"/>
          </w:tcPr>
          <w:p w14:paraId="73800FB0" w14:textId="308B87DF" w:rsidR="004B45CA" w:rsidRPr="001D440B" w:rsidRDefault="001D440B" w:rsidP="006B20F6">
            <w:pPr>
              <w:rPr>
                <w:rFonts w:eastAsia="Times New Roman"/>
                <w:iCs/>
                <w:sz w:val="16"/>
                <w:szCs w:val="18"/>
              </w:rPr>
            </w:pPr>
            <w:r w:rsidRPr="001D440B">
              <w:rPr>
                <w:rFonts w:eastAsia="Times New Roman"/>
                <w:iCs/>
                <w:sz w:val="16"/>
                <w:szCs w:val="18"/>
              </w:rPr>
              <w:t>43.9% (54)</w:t>
            </w:r>
          </w:p>
        </w:tc>
      </w:tr>
      <w:tr w:rsidR="004B45CA" w:rsidRPr="001D440B" w14:paraId="654EBC0A" w14:textId="77777777" w:rsidTr="004B45CA">
        <w:tc>
          <w:tcPr>
            <w:tcW w:w="2262" w:type="dxa"/>
          </w:tcPr>
          <w:p w14:paraId="7FDE3C7A" w14:textId="55F1B5F1" w:rsidR="004B45CA" w:rsidRPr="001D440B" w:rsidRDefault="004B45CA" w:rsidP="006B20F6">
            <w:pPr>
              <w:rPr>
                <w:rFonts w:eastAsia="Times New Roman"/>
                <w:iCs/>
                <w:szCs w:val="20"/>
              </w:rPr>
            </w:pPr>
            <w:r w:rsidRPr="001D440B">
              <w:rPr>
                <w:rFonts w:eastAsia="Times New Roman"/>
                <w:iCs/>
                <w:sz w:val="16"/>
                <w:szCs w:val="18"/>
              </w:rPr>
              <w:t>6: Where You Live</w:t>
            </w:r>
          </w:p>
        </w:tc>
        <w:tc>
          <w:tcPr>
            <w:tcW w:w="2266" w:type="dxa"/>
          </w:tcPr>
          <w:p w14:paraId="766FE304" w14:textId="7343FB3E" w:rsidR="004B45CA" w:rsidRPr="001D440B" w:rsidRDefault="001D440B" w:rsidP="006B20F6">
            <w:pPr>
              <w:rPr>
                <w:rFonts w:eastAsia="Times New Roman"/>
                <w:iCs/>
                <w:sz w:val="16"/>
                <w:szCs w:val="18"/>
              </w:rPr>
            </w:pPr>
            <w:r w:rsidRPr="001D440B">
              <w:rPr>
                <w:rFonts w:eastAsia="Times New Roman"/>
                <w:iCs/>
                <w:sz w:val="16"/>
                <w:szCs w:val="18"/>
              </w:rPr>
              <w:t>19.5% (24)</w:t>
            </w:r>
          </w:p>
        </w:tc>
        <w:tc>
          <w:tcPr>
            <w:tcW w:w="2221" w:type="dxa"/>
          </w:tcPr>
          <w:p w14:paraId="1CB5B092" w14:textId="3EF33FDB" w:rsidR="004B45CA" w:rsidRPr="001D440B" w:rsidRDefault="001D440B" w:rsidP="006B20F6">
            <w:pPr>
              <w:rPr>
                <w:rFonts w:eastAsia="Times New Roman"/>
                <w:iCs/>
                <w:sz w:val="16"/>
                <w:szCs w:val="18"/>
              </w:rPr>
            </w:pPr>
            <w:r w:rsidRPr="001D440B">
              <w:rPr>
                <w:rFonts w:eastAsia="Times New Roman"/>
                <w:iCs/>
                <w:sz w:val="16"/>
                <w:szCs w:val="18"/>
              </w:rPr>
              <w:t>48.8% (60)</w:t>
            </w:r>
          </w:p>
        </w:tc>
        <w:tc>
          <w:tcPr>
            <w:tcW w:w="2267" w:type="dxa"/>
          </w:tcPr>
          <w:p w14:paraId="3D64F66E" w14:textId="37522014" w:rsidR="004B45CA" w:rsidRPr="001D440B" w:rsidRDefault="001D440B" w:rsidP="006B20F6">
            <w:pPr>
              <w:rPr>
                <w:rFonts w:eastAsia="Times New Roman"/>
                <w:iCs/>
                <w:sz w:val="16"/>
                <w:szCs w:val="18"/>
              </w:rPr>
            </w:pPr>
            <w:r w:rsidRPr="001D440B">
              <w:rPr>
                <w:rFonts w:eastAsia="Times New Roman"/>
                <w:iCs/>
                <w:sz w:val="16"/>
                <w:szCs w:val="18"/>
              </w:rPr>
              <w:t>31.7% (39)</w:t>
            </w:r>
          </w:p>
        </w:tc>
      </w:tr>
      <w:tr w:rsidR="004B45CA" w:rsidRPr="001D440B" w14:paraId="40A75084" w14:textId="77777777" w:rsidTr="004B45CA">
        <w:tc>
          <w:tcPr>
            <w:tcW w:w="2262" w:type="dxa"/>
          </w:tcPr>
          <w:p w14:paraId="6170303E" w14:textId="34DDD4CA" w:rsidR="004B45CA" w:rsidRPr="001D440B" w:rsidRDefault="004B45CA" w:rsidP="006B20F6">
            <w:pPr>
              <w:rPr>
                <w:rFonts w:eastAsia="Times New Roman"/>
                <w:iCs/>
                <w:szCs w:val="20"/>
              </w:rPr>
            </w:pPr>
            <w:r w:rsidRPr="001D440B">
              <w:rPr>
                <w:rFonts w:eastAsia="Times New Roman"/>
                <w:iCs/>
                <w:sz w:val="16"/>
                <w:szCs w:val="18"/>
              </w:rPr>
              <w:t>7: Family and Friends</w:t>
            </w:r>
          </w:p>
        </w:tc>
        <w:tc>
          <w:tcPr>
            <w:tcW w:w="2266" w:type="dxa"/>
          </w:tcPr>
          <w:p w14:paraId="73DA8D97" w14:textId="0D2EF476" w:rsidR="004B45CA" w:rsidRPr="001D440B" w:rsidRDefault="001D440B" w:rsidP="006B20F6">
            <w:pPr>
              <w:rPr>
                <w:rFonts w:eastAsia="Times New Roman"/>
                <w:iCs/>
                <w:sz w:val="16"/>
                <w:szCs w:val="18"/>
              </w:rPr>
            </w:pPr>
            <w:r w:rsidRPr="001D440B">
              <w:rPr>
                <w:rFonts w:eastAsia="Times New Roman"/>
                <w:iCs/>
                <w:sz w:val="16"/>
                <w:szCs w:val="18"/>
              </w:rPr>
              <w:t>16.7% (18)</w:t>
            </w:r>
          </w:p>
        </w:tc>
        <w:tc>
          <w:tcPr>
            <w:tcW w:w="2221" w:type="dxa"/>
          </w:tcPr>
          <w:p w14:paraId="1722A369" w14:textId="6AED039B" w:rsidR="004B45CA" w:rsidRPr="001D440B" w:rsidRDefault="001D440B" w:rsidP="006B20F6">
            <w:pPr>
              <w:rPr>
                <w:rFonts w:eastAsia="Times New Roman"/>
                <w:iCs/>
                <w:sz w:val="16"/>
                <w:szCs w:val="18"/>
              </w:rPr>
            </w:pPr>
            <w:r w:rsidRPr="001D440B">
              <w:rPr>
                <w:rFonts w:eastAsia="Times New Roman"/>
                <w:iCs/>
                <w:sz w:val="16"/>
                <w:szCs w:val="18"/>
              </w:rPr>
              <w:t>41.5% (51)</w:t>
            </w:r>
          </w:p>
        </w:tc>
        <w:tc>
          <w:tcPr>
            <w:tcW w:w="2267" w:type="dxa"/>
          </w:tcPr>
          <w:p w14:paraId="2276BFC3" w14:textId="46FB1D72" w:rsidR="004B45CA" w:rsidRPr="001D440B" w:rsidRDefault="001D440B" w:rsidP="006B20F6">
            <w:pPr>
              <w:rPr>
                <w:rFonts w:eastAsia="Times New Roman"/>
                <w:iCs/>
                <w:sz w:val="16"/>
                <w:szCs w:val="18"/>
              </w:rPr>
            </w:pPr>
            <w:r w:rsidRPr="001D440B">
              <w:rPr>
                <w:rFonts w:eastAsia="Times New Roman"/>
                <w:iCs/>
                <w:sz w:val="16"/>
                <w:szCs w:val="18"/>
              </w:rPr>
              <w:t>43.9% (54)</w:t>
            </w:r>
          </w:p>
        </w:tc>
      </w:tr>
      <w:tr w:rsidR="004B45CA" w:rsidRPr="001D440B" w14:paraId="202217CE" w14:textId="77777777" w:rsidTr="004B45CA">
        <w:tc>
          <w:tcPr>
            <w:tcW w:w="2262" w:type="dxa"/>
          </w:tcPr>
          <w:p w14:paraId="6248E9D4" w14:textId="3D3914FC" w:rsidR="004B45CA" w:rsidRPr="001D440B" w:rsidRDefault="004B45CA" w:rsidP="006B20F6">
            <w:pPr>
              <w:rPr>
                <w:rFonts w:eastAsia="Times New Roman"/>
                <w:iCs/>
                <w:szCs w:val="20"/>
              </w:rPr>
            </w:pPr>
            <w:r w:rsidRPr="001D440B">
              <w:rPr>
                <w:rFonts w:eastAsia="Times New Roman"/>
                <w:iCs/>
                <w:sz w:val="16"/>
                <w:szCs w:val="18"/>
              </w:rPr>
              <w:t>8: Feeling Positive</w:t>
            </w:r>
          </w:p>
        </w:tc>
        <w:tc>
          <w:tcPr>
            <w:tcW w:w="2266" w:type="dxa"/>
          </w:tcPr>
          <w:p w14:paraId="3DF4AEFD" w14:textId="3417CD7A" w:rsidR="004B45CA" w:rsidRPr="001D440B" w:rsidRDefault="001D440B" w:rsidP="006B20F6">
            <w:pPr>
              <w:rPr>
                <w:rFonts w:eastAsia="Times New Roman"/>
                <w:iCs/>
                <w:sz w:val="16"/>
                <w:szCs w:val="18"/>
              </w:rPr>
            </w:pPr>
            <w:r w:rsidRPr="001D440B">
              <w:rPr>
                <w:rFonts w:eastAsia="Times New Roman"/>
                <w:iCs/>
                <w:sz w:val="16"/>
                <w:szCs w:val="18"/>
              </w:rPr>
              <w:t>17.1% (21)</w:t>
            </w:r>
          </w:p>
        </w:tc>
        <w:tc>
          <w:tcPr>
            <w:tcW w:w="2221" w:type="dxa"/>
          </w:tcPr>
          <w:p w14:paraId="095EBDB4" w14:textId="6D19162B" w:rsidR="004B45CA" w:rsidRPr="001D440B" w:rsidRDefault="001D440B" w:rsidP="006B20F6">
            <w:pPr>
              <w:rPr>
                <w:rFonts w:eastAsia="Times New Roman"/>
                <w:iCs/>
                <w:sz w:val="16"/>
                <w:szCs w:val="18"/>
              </w:rPr>
            </w:pPr>
            <w:r w:rsidRPr="001D440B">
              <w:rPr>
                <w:rFonts w:eastAsia="Times New Roman"/>
                <w:iCs/>
                <w:sz w:val="16"/>
                <w:szCs w:val="18"/>
              </w:rPr>
              <w:t>244% (30)</w:t>
            </w:r>
          </w:p>
        </w:tc>
        <w:tc>
          <w:tcPr>
            <w:tcW w:w="2267" w:type="dxa"/>
          </w:tcPr>
          <w:p w14:paraId="6EE9F327" w14:textId="3FEDA2D3" w:rsidR="004B45CA" w:rsidRPr="001D440B" w:rsidRDefault="001D440B" w:rsidP="006B20F6">
            <w:pPr>
              <w:rPr>
                <w:rFonts w:eastAsia="Times New Roman"/>
                <w:iCs/>
                <w:sz w:val="16"/>
                <w:szCs w:val="18"/>
              </w:rPr>
            </w:pPr>
            <w:r w:rsidRPr="001D440B">
              <w:rPr>
                <w:rFonts w:eastAsia="Times New Roman"/>
                <w:iCs/>
                <w:sz w:val="16"/>
                <w:szCs w:val="18"/>
              </w:rPr>
              <w:t>58.5% (72)</w:t>
            </w:r>
          </w:p>
        </w:tc>
      </w:tr>
    </w:tbl>
    <w:p w14:paraId="4EFAA4E4" w14:textId="6ACB2306" w:rsidR="006B20F6" w:rsidRPr="001D440B" w:rsidRDefault="00AA2391" w:rsidP="00F113EF">
      <w:pPr>
        <w:rPr>
          <w:sz w:val="16"/>
          <w:szCs w:val="18"/>
        </w:rPr>
      </w:pPr>
      <w:r w:rsidRPr="001D440B">
        <w:rPr>
          <w:sz w:val="16"/>
          <w:szCs w:val="18"/>
        </w:rPr>
        <w:t>Note: Percentages may not add to 100 percent due to rounding.</w:t>
      </w:r>
    </w:p>
    <w:p w14:paraId="0B31E317" w14:textId="3A16497F" w:rsidR="002018EA" w:rsidRPr="00AE2A75" w:rsidRDefault="002018EA" w:rsidP="00F113EF">
      <w:pPr>
        <w:rPr>
          <w:rFonts w:eastAsia="Times New Roman"/>
          <w:iCs/>
          <w:szCs w:val="20"/>
          <w:highlight w:val="yellow"/>
        </w:rPr>
      </w:pPr>
    </w:p>
    <w:p w14:paraId="040E5F90" w14:textId="3674C34C" w:rsidR="002018EA" w:rsidRPr="00AE2A75" w:rsidRDefault="002018EA" w:rsidP="00F113EF">
      <w:pPr>
        <w:rPr>
          <w:rFonts w:eastAsia="Times New Roman"/>
          <w:iCs/>
          <w:szCs w:val="20"/>
          <w:highlight w:val="yellow"/>
        </w:rPr>
      </w:pPr>
    </w:p>
    <w:p w14:paraId="387505FD" w14:textId="72403EEC" w:rsidR="002018EA" w:rsidRPr="00AE2A75" w:rsidRDefault="002018EA" w:rsidP="00F113EF">
      <w:pPr>
        <w:rPr>
          <w:rFonts w:eastAsia="Times New Roman"/>
          <w:iCs/>
          <w:szCs w:val="20"/>
          <w:highlight w:val="yellow"/>
        </w:rPr>
      </w:pPr>
    </w:p>
    <w:p w14:paraId="25BAE00B" w14:textId="0D31C6AA" w:rsidR="004C1722" w:rsidRPr="00AE2A75" w:rsidRDefault="004C1722" w:rsidP="00F113EF">
      <w:pPr>
        <w:rPr>
          <w:rFonts w:eastAsia="Times New Roman"/>
          <w:iCs/>
          <w:szCs w:val="20"/>
          <w:highlight w:val="yellow"/>
        </w:rPr>
      </w:pPr>
    </w:p>
    <w:p w14:paraId="499F11DE" w14:textId="767D4EA2" w:rsidR="004C1722" w:rsidRPr="00AE2A75" w:rsidRDefault="004C1722" w:rsidP="00F113EF">
      <w:pPr>
        <w:rPr>
          <w:rFonts w:eastAsia="Times New Roman"/>
          <w:iCs/>
          <w:szCs w:val="20"/>
          <w:highlight w:val="yellow"/>
        </w:rPr>
      </w:pPr>
    </w:p>
    <w:p w14:paraId="403E86A7" w14:textId="39C07A6D" w:rsidR="004C1722" w:rsidRPr="00AE2A75" w:rsidRDefault="004C1722" w:rsidP="00F113EF">
      <w:pPr>
        <w:rPr>
          <w:rFonts w:eastAsia="Times New Roman"/>
          <w:iCs/>
          <w:szCs w:val="20"/>
          <w:highlight w:val="yellow"/>
        </w:rPr>
      </w:pPr>
    </w:p>
    <w:p w14:paraId="1DF899CA" w14:textId="77777777" w:rsidR="00306A27" w:rsidRPr="00D37C4B" w:rsidRDefault="00306A27" w:rsidP="00306A27">
      <w:pPr>
        <w:pStyle w:val="Heading3"/>
      </w:pPr>
      <w:r>
        <w:lastRenderedPageBreak/>
        <w:t>Most</w:t>
      </w:r>
      <w:r w:rsidRPr="00D37C4B">
        <w:t xml:space="preserve"> participants with at least three entries</w:t>
      </w:r>
      <w:r>
        <w:t xml:space="preserve"> </w:t>
      </w:r>
      <w:r w:rsidRPr="00D37C4B">
        <w:t>experienced a positive change in their score between their first and third entries, in five of the eight categories.</w:t>
      </w:r>
    </w:p>
    <w:p w14:paraId="39493634" w14:textId="01BE08F1" w:rsidR="005E1D9E" w:rsidRPr="005E1D9E" w:rsidRDefault="005E1D9E" w:rsidP="005E1D9E">
      <w:r w:rsidRPr="005E1D9E">
        <w:t>These categories were: “Your Lifestyle”, “Managing Symptoms”, “Work, Volunteering, Other Activities”</w:t>
      </w:r>
      <w:r>
        <w:t>, “Money”</w:t>
      </w:r>
      <w:r w:rsidR="00D37C4B">
        <w:t>,</w:t>
      </w:r>
      <w:r w:rsidRPr="005E1D9E">
        <w:t xml:space="preserve"> and “Feeling Positive” (Table </w:t>
      </w:r>
      <w:r w:rsidR="0008130B">
        <w:t>6</w:t>
      </w:r>
      <w:r w:rsidRPr="005E1D9E">
        <w:t xml:space="preserve">). </w:t>
      </w:r>
    </w:p>
    <w:p w14:paraId="51740776" w14:textId="2899F080" w:rsidR="005E1D9E" w:rsidRPr="005E1D9E" w:rsidRDefault="004C2ED1" w:rsidP="00D37C4B">
      <w:r w:rsidRPr="004C2ED1">
        <w:t xml:space="preserve">For the most part, these categories reflect areas that that Here Toitū service specifically addresses in its work with clients. </w:t>
      </w:r>
      <w:r w:rsidR="00D37C4B" w:rsidRPr="004C2ED1">
        <w:t>However</w:t>
      </w:r>
      <w:r w:rsidR="00D37C4B">
        <w:t xml:space="preserve">, as these scores are generally recorded later on in a participant’s time in Here </w:t>
      </w:r>
      <w:r w:rsidR="00304BE0">
        <w:t>Toitū</w:t>
      </w:r>
      <w:r w:rsidR="00D37C4B">
        <w:t xml:space="preserve">, this may also be beginning to reflect improvements to a participants material wellbeing. </w:t>
      </w:r>
    </w:p>
    <w:p w14:paraId="6B4F192C" w14:textId="7EE074E2" w:rsidR="005E1D9E" w:rsidRDefault="005E1D9E" w:rsidP="005E1D9E">
      <w:pPr>
        <w:rPr>
          <w:rFonts w:eastAsia="Times New Roman"/>
          <w:iCs/>
          <w:szCs w:val="20"/>
        </w:rPr>
      </w:pPr>
      <w:r>
        <w:rPr>
          <w:rFonts w:eastAsia="Times New Roman"/>
          <w:iCs/>
          <w:szCs w:val="20"/>
        </w:rPr>
        <w:t>E</w:t>
      </w:r>
      <w:r w:rsidRPr="005E1D9E">
        <w:rPr>
          <w:rFonts w:eastAsia="Times New Roman"/>
          <w:iCs/>
          <w:szCs w:val="20"/>
        </w:rPr>
        <w:t xml:space="preserve">ven though most participants with </w:t>
      </w:r>
      <w:r w:rsidR="00D37C4B">
        <w:rPr>
          <w:rFonts w:eastAsia="Times New Roman"/>
          <w:iCs/>
          <w:szCs w:val="20"/>
        </w:rPr>
        <w:t>at least three</w:t>
      </w:r>
      <w:r w:rsidRPr="005E1D9E">
        <w:rPr>
          <w:rFonts w:eastAsia="Times New Roman"/>
          <w:iCs/>
          <w:szCs w:val="20"/>
        </w:rPr>
        <w:t xml:space="preserve"> Wellbeing Star scores did not report a positive change in the “Looking After Yourself”</w:t>
      </w:r>
      <w:r w:rsidR="00D37C4B">
        <w:rPr>
          <w:rFonts w:eastAsia="Times New Roman"/>
          <w:iCs/>
          <w:szCs w:val="20"/>
        </w:rPr>
        <w:t xml:space="preserve">, </w:t>
      </w:r>
      <w:r w:rsidRPr="005E1D9E">
        <w:rPr>
          <w:rFonts w:eastAsia="Times New Roman"/>
          <w:iCs/>
          <w:szCs w:val="20"/>
        </w:rPr>
        <w:t xml:space="preserve">“Family and Friends”, and “Where You Live” categories, there was still a sizable group of participants that did report a positive change. This suggests that the </w:t>
      </w:r>
      <w:r>
        <w:rPr>
          <w:rFonts w:eastAsia="Times New Roman"/>
          <w:iCs/>
          <w:szCs w:val="20"/>
        </w:rPr>
        <w:t xml:space="preserve">Here </w:t>
      </w:r>
      <w:r w:rsidR="00304BE0">
        <w:rPr>
          <w:rFonts w:eastAsia="Times New Roman"/>
          <w:iCs/>
          <w:szCs w:val="20"/>
        </w:rPr>
        <w:t>Toitū</w:t>
      </w:r>
      <w:r w:rsidRPr="005E1D9E">
        <w:rPr>
          <w:rFonts w:eastAsia="Times New Roman"/>
          <w:iCs/>
          <w:szCs w:val="20"/>
        </w:rPr>
        <w:t xml:space="preserve"> service still could have had the potential for positive impacts in these domains of wellbeing as assessed by the Wellbeing Star tool. </w:t>
      </w:r>
    </w:p>
    <w:p w14:paraId="5E626034" w14:textId="77777777" w:rsidR="00306A27" w:rsidRPr="005E1D9E" w:rsidRDefault="00306A27" w:rsidP="00306A27">
      <w:pPr>
        <w:rPr>
          <w:rFonts w:eastAsia="Times New Roman"/>
          <w:iCs/>
          <w:szCs w:val="20"/>
        </w:rPr>
      </w:pPr>
      <w:r>
        <w:t>More observations over time will help to clarify this set of findings.</w:t>
      </w:r>
    </w:p>
    <w:p w14:paraId="3B4BD2F6" w14:textId="74A161CB" w:rsidR="004C1722" w:rsidRDefault="004C1722" w:rsidP="005E1D9E">
      <w:pPr>
        <w:rPr>
          <w:b/>
          <w:bCs/>
          <w:sz w:val="18"/>
          <w:szCs w:val="20"/>
        </w:rPr>
      </w:pPr>
      <w:r w:rsidRPr="005E1D9E">
        <w:rPr>
          <w:b/>
          <w:bCs/>
          <w:sz w:val="18"/>
          <w:szCs w:val="20"/>
        </w:rPr>
        <w:t xml:space="preserve">Table </w:t>
      </w:r>
      <w:r w:rsidRPr="005E1D9E">
        <w:rPr>
          <w:b/>
          <w:bCs/>
          <w:sz w:val="18"/>
          <w:szCs w:val="20"/>
        </w:rPr>
        <w:fldChar w:fldCharType="begin"/>
      </w:r>
      <w:r w:rsidRPr="005E1D9E">
        <w:rPr>
          <w:b/>
          <w:bCs/>
          <w:sz w:val="18"/>
          <w:szCs w:val="20"/>
        </w:rPr>
        <w:instrText xml:space="preserve"> SEQ Table \* ARABIC </w:instrText>
      </w:r>
      <w:r w:rsidRPr="005E1D9E">
        <w:rPr>
          <w:b/>
          <w:bCs/>
          <w:sz w:val="18"/>
          <w:szCs w:val="20"/>
        </w:rPr>
        <w:fldChar w:fldCharType="separate"/>
      </w:r>
      <w:r w:rsidR="0008130B">
        <w:rPr>
          <w:b/>
          <w:bCs/>
          <w:noProof/>
          <w:sz w:val="18"/>
          <w:szCs w:val="20"/>
        </w:rPr>
        <w:t>6</w:t>
      </w:r>
      <w:r w:rsidRPr="005E1D9E">
        <w:rPr>
          <w:b/>
          <w:bCs/>
          <w:sz w:val="18"/>
          <w:szCs w:val="20"/>
        </w:rPr>
        <w:fldChar w:fldCharType="end"/>
      </w:r>
      <w:r w:rsidRPr="005E1D9E">
        <w:rPr>
          <w:b/>
          <w:bCs/>
          <w:sz w:val="18"/>
          <w:szCs w:val="20"/>
        </w:rPr>
        <w:t xml:space="preserve">: Change in Wellbeing Star category scores between first and </w:t>
      </w:r>
      <w:r w:rsidR="001D440B" w:rsidRPr="005E1D9E">
        <w:rPr>
          <w:b/>
          <w:bCs/>
          <w:sz w:val="18"/>
          <w:szCs w:val="20"/>
        </w:rPr>
        <w:t>third</w:t>
      </w:r>
      <w:r w:rsidRPr="005E1D9E">
        <w:rPr>
          <w:b/>
          <w:bCs/>
          <w:sz w:val="18"/>
          <w:szCs w:val="20"/>
        </w:rPr>
        <w:t xml:space="preserve"> </w:t>
      </w:r>
      <w:r w:rsidR="001D440B" w:rsidRPr="005E1D9E">
        <w:rPr>
          <w:b/>
          <w:bCs/>
          <w:sz w:val="18"/>
          <w:szCs w:val="20"/>
        </w:rPr>
        <w:t>assessments</w:t>
      </w:r>
      <w:r w:rsidRPr="005E1D9E">
        <w:rPr>
          <w:b/>
          <w:bCs/>
          <w:sz w:val="18"/>
          <w:szCs w:val="20"/>
        </w:rPr>
        <w:t xml:space="preserve"> (n = </w:t>
      </w:r>
      <w:r w:rsidR="001D440B" w:rsidRPr="005E1D9E">
        <w:rPr>
          <w:b/>
          <w:bCs/>
          <w:sz w:val="18"/>
          <w:szCs w:val="20"/>
        </w:rPr>
        <w:t>48</w:t>
      </w:r>
      <w:r w:rsidRPr="005E1D9E">
        <w:rPr>
          <w:b/>
          <w:bCs/>
          <w:sz w:val="18"/>
          <w:szCs w:val="20"/>
        </w:rPr>
        <w:t>).</w:t>
      </w:r>
    </w:p>
    <w:tbl>
      <w:tblPr>
        <w:tblStyle w:val="TableGrid"/>
        <w:tblW w:w="9016" w:type="dxa"/>
        <w:tblLook w:val="04A0" w:firstRow="1" w:lastRow="0" w:firstColumn="1" w:lastColumn="0" w:noHBand="0" w:noVBand="1"/>
      </w:tblPr>
      <w:tblGrid>
        <w:gridCol w:w="2262"/>
        <w:gridCol w:w="2266"/>
        <w:gridCol w:w="2221"/>
        <w:gridCol w:w="2267"/>
      </w:tblGrid>
      <w:tr w:rsidR="005E1D9E" w:rsidRPr="001D440B" w14:paraId="271FD194" w14:textId="77777777" w:rsidTr="008D5A7D">
        <w:tc>
          <w:tcPr>
            <w:tcW w:w="2262" w:type="dxa"/>
          </w:tcPr>
          <w:p w14:paraId="364702A6" w14:textId="77777777" w:rsidR="005E1D9E" w:rsidRPr="001D440B" w:rsidRDefault="005E1D9E" w:rsidP="008D5A7D">
            <w:pPr>
              <w:rPr>
                <w:rFonts w:eastAsia="Times New Roman"/>
                <w:b/>
                <w:bCs/>
                <w:iCs/>
                <w:sz w:val="16"/>
                <w:szCs w:val="18"/>
              </w:rPr>
            </w:pPr>
            <w:r w:rsidRPr="001D440B">
              <w:rPr>
                <w:rFonts w:eastAsia="Times New Roman"/>
                <w:b/>
                <w:bCs/>
                <w:iCs/>
                <w:sz w:val="16"/>
                <w:szCs w:val="18"/>
              </w:rPr>
              <w:t>C</w:t>
            </w:r>
            <w:r w:rsidRPr="001D440B">
              <w:rPr>
                <w:rFonts w:eastAsia="Times New Roman"/>
                <w:b/>
                <w:bCs/>
                <w:sz w:val="16"/>
                <w:szCs w:val="18"/>
              </w:rPr>
              <w:t>ategory</w:t>
            </w:r>
          </w:p>
        </w:tc>
        <w:tc>
          <w:tcPr>
            <w:tcW w:w="2266" w:type="dxa"/>
          </w:tcPr>
          <w:p w14:paraId="5D3D5FE9" w14:textId="77777777" w:rsidR="005E1D9E" w:rsidRPr="001D440B" w:rsidRDefault="005E1D9E" w:rsidP="008D5A7D">
            <w:pPr>
              <w:rPr>
                <w:rFonts w:eastAsia="Times New Roman"/>
                <w:b/>
                <w:bCs/>
                <w:iCs/>
                <w:sz w:val="16"/>
                <w:szCs w:val="18"/>
              </w:rPr>
            </w:pPr>
            <w:r w:rsidRPr="001D440B">
              <w:rPr>
                <w:rFonts w:eastAsia="Times New Roman"/>
                <w:b/>
                <w:bCs/>
                <w:iCs/>
                <w:sz w:val="16"/>
                <w:szCs w:val="18"/>
              </w:rPr>
              <w:t>Percentage (number) that reported a decrease in category score</w:t>
            </w:r>
          </w:p>
        </w:tc>
        <w:tc>
          <w:tcPr>
            <w:tcW w:w="2221" w:type="dxa"/>
          </w:tcPr>
          <w:p w14:paraId="16956409" w14:textId="77777777" w:rsidR="005E1D9E" w:rsidRPr="001D440B" w:rsidRDefault="005E1D9E" w:rsidP="008D5A7D">
            <w:pPr>
              <w:rPr>
                <w:rFonts w:eastAsia="Times New Roman"/>
                <w:b/>
                <w:bCs/>
                <w:iCs/>
                <w:sz w:val="16"/>
                <w:szCs w:val="18"/>
              </w:rPr>
            </w:pPr>
            <w:r w:rsidRPr="001D440B">
              <w:rPr>
                <w:rFonts w:eastAsia="Times New Roman"/>
                <w:b/>
                <w:bCs/>
                <w:iCs/>
                <w:sz w:val="16"/>
                <w:szCs w:val="18"/>
              </w:rPr>
              <w:t>Percentage (number) that reported no change in category score</w:t>
            </w:r>
          </w:p>
        </w:tc>
        <w:tc>
          <w:tcPr>
            <w:tcW w:w="2267" w:type="dxa"/>
          </w:tcPr>
          <w:p w14:paraId="7C2B6071" w14:textId="77777777" w:rsidR="005E1D9E" w:rsidRPr="001D440B" w:rsidRDefault="005E1D9E" w:rsidP="008D5A7D">
            <w:pPr>
              <w:rPr>
                <w:rFonts w:eastAsia="Times New Roman"/>
                <w:b/>
                <w:bCs/>
                <w:iCs/>
                <w:sz w:val="16"/>
                <w:szCs w:val="18"/>
              </w:rPr>
            </w:pPr>
            <w:r w:rsidRPr="001D440B">
              <w:rPr>
                <w:rFonts w:eastAsia="Times New Roman"/>
                <w:b/>
                <w:bCs/>
                <w:iCs/>
                <w:sz w:val="16"/>
                <w:szCs w:val="18"/>
              </w:rPr>
              <w:t>Percentage (number) that reported a positive change in category score</w:t>
            </w:r>
          </w:p>
        </w:tc>
      </w:tr>
      <w:tr w:rsidR="005E1D9E" w:rsidRPr="001D440B" w14:paraId="22D45905" w14:textId="77777777" w:rsidTr="008D5A7D">
        <w:tc>
          <w:tcPr>
            <w:tcW w:w="2262" w:type="dxa"/>
          </w:tcPr>
          <w:p w14:paraId="0AB7DE6E" w14:textId="77777777" w:rsidR="005E1D9E" w:rsidRPr="001D440B" w:rsidRDefault="005E1D9E" w:rsidP="008D5A7D">
            <w:pPr>
              <w:rPr>
                <w:rFonts w:eastAsia="Times New Roman"/>
                <w:iCs/>
                <w:szCs w:val="20"/>
              </w:rPr>
            </w:pPr>
            <w:r w:rsidRPr="001D440B">
              <w:rPr>
                <w:rFonts w:eastAsia="Times New Roman"/>
                <w:iCs/>
                <w:sz w:val="16"/>
                <w:szCs w:val="18"/>
              </w:rPr>
              <w:t>1: Your Lifestyle</w:t>
            </w:r>
          </w:p>
        </w:tc>
        <w:tc>
          <w:tcPr>
            <w:tcW w:w="2266" w:type="dxa"/>
          </w:tcPr>
          <w:p w14:paraId="4ADCD643" w14:textId="75A49BE2" w:rsidR="005E1D9E" w:rsidRPr="001D440B" w:rsidRDefault="005E1D9E" w:rsidP="008D5A7D">
            <w:pPr>
              <w:rPr>
                <w:rFonts w:eastAsia="Times New Roman"/>
                <w:iCs/>
                <w:sz w:val="16"/>
                <w:szCs w:val="18"/>
              </w:rPr>
            </w:pPr>
            <w:r>
              <w:rPr>
                <w:rFonts w:eastAsia="Times New Roman"/>
                <w:iCs/>
                <w:sz w:val="16"/>
                <w:szCs w:val="18"/>
              </w:rPr>
              <w:t>12.5% (6)</w:t>
            </w:r>
          </w:p>
        </w:tc>
        <w:tc>
          <w:tcPr>
            <w:tcW w:w="2221" w:type="dxa"/>
          </w:tcPr>
          <w:p w14:paraId="151499F1" w14:textId="288EA62A" w:rsidR="005E1D9E" w:rsidRPr="001D440B" w:rsidRDefault="005E1D9E" w:rsidP="008D5A7D">
            <w:pPr>
              <w:rPr>
                <w:rFonts w:eastAsia="Times New Roman"/>
                <w:iCs/>
                <w:sz w:val="16"/>
                <w:szCs w:val="18"/>
              </w:rPr>
            </w:pPr>
            <w:r>
              <w:rPr>
                <w:rFonts w:eastAsia="Times New Roman"/>
                <w:iCs/>
                <w:sz w:val="16"/>
                <w:szCs w:val="18"/>
              </w:rPr>
              <w:t>25.0% (12)</w:t>
            </w:r>
          </w:p>
        </w:tc>
        <w:tc>
          <w:tcPr>
            <w:tcW w:w="2267" w:type="dxa"/>
          </w:tcPr>
          <w:p w14:paraId="52625E9C" w14:textId="082CEF5B" w:rsidR="005E1D9E" w:rsidRPr="001D440B" w:rsidRDefault="005E1D9E" w:rsidP="008D5A7D">
            <w:pPr>
              <w:rPr>
                <w:rFonts w:eastAsia="Times New Roman"/>
                <w:iCs/>
                <w:sz w:val="16"/>
                <w:szCs w:val="18"/>
              </w:rPr>
            </w:pPr>
            <w:r>
              <w:rPr>
                <w:rFonts w:eastAsia="Times New Roman"/>
                <w:iCs/>
                <w:sz w:val="16"/>
                <w:szCs w:val="18"/>
              </w:rPr>
              <w:t>62.5% (30)</w:t>
            </w:r>
          </w:p>
        </w:tc>
      </w:tr>
      <w:tr w:rsidR="005E1D9E" w:rsidRPr="001D440B" w14:paraId="26F15FA4" w14:textId="77777777" w:rsidTr="008D5A7D">
        <w:tc>
          <w:tcPr>
            <w:tcW w:w="2262" w:type="dxa"/>
          </w:tcPr>
          <w:p w14:paraId="4767E032" w14:textId="77777777" w:rsidR="005E1D9E" w:rsidRPr="001D440B" w:rsidRDefault="005E1D9E" w:rsidP="008D5A7D">
            <w:pPr>
              <w:rPr>
                <w:rFonts w:eastAsia="Times New Roman"/>
                <w:iCs/>
                <w:szCs w:val="20"/>
              </w:rPr>
            </w:pPr>
            <w:r w:rsidRPr="001D440B">
              <w:rPr>
                <w:rFonts w:eastAsia="Times New Roman"/>
                <w:iCs/>
                <w:sz w:val="16"/>
                <w:szCs w:val="18"/>
              </w:rPr>
              <w:t>2: Looking After Yourself</w:t>
            </w:r>
          </w:p>
        </w:tc>
        <w:tc>
          <w:tcPr>
            <w:tcW w:w="2266" w:type="dxa"/>
          </w:tcPr>
          <w:p w14:paraId="7710ADA9" w14:textId="7533CEED" w:rsidR="005E1D9E" w:rsidRPr="001D440B" w:rsidRDefault="005E1D9E" w:rsidP="008D5A7D">
            <w:pPr>
              <w:rPr>
                <w:rFonts w:eastAsia="Times New Roman"/>
                <w:iCs/>
                <w:sz w:val="16"/>
                <w:szCs w:val="18"/>
              </w:rPr>
            </w:pPr>
            <w:r>
              <w:rPr>
                <w:rFonts w:eastAsia="Times New Roman"/>
                <w:iCs/>
                <w:sz w:val="16"/>
                <w:szCs w:val="18"/>
              </w:rPr>
              <w:t>18.8% (9)</w:t>
            </w:r>
          </w:p>
        </w:tc>
        <w:tc>
          <w:tcPr>
            <w:tcW w:w="2221" w:type="dxa"/>
          </w:tcPr>
          <w:p w14:paraId="55E321E2" w14:textId="325E8674" w:rsidR="005E1D9E" w:rsidRPr="001D440B" w:rsidRDefault="005E1D9E" w:rsidP="008D5A7D">
            <w:pPr>
              <w:rPr>
                <w:rFonts w:eastAsia="Times New Roman"/>
                <w:iCs/>
                <w:sz w:val="16"/>
                <w:szCs w:val="18"/>
              </w:rPr>
            </w:pPr>
            <w:r>
              <w:rPr>
                <w:rFonts w:eastAsia="Times New Roman"/>
                <w:iCs/>
                <w:sz w:val="16"/>
                <w:szCs w:val="18"/>
              </w:rPr>
              <w:t>37.5% (18)</w:t>
            </w:r>
          </w:p>
        </w:tc>
        <w:tc>
          <w:tcPr>
            <w:tcW w:w="2267" w:type="dxa"/>
          </w:tcPr>
          <w:p w14:paraId="0597ADC0" w14:textId="3F40C685" w:rsidR="005E1D9E" w:rsidRPr="001D440B" w:rsidRDefault="005E1D9E" w:rsidP="008D5A7D">
            <w:pPr>
              <w:rPr>
                <w:rFonts w:eastAsia="Times New Roman"/>
                <w:iCs/>
                <w:sz w:val="16"/>
                <w:szCs w:val="18"/>
              </w:rPr>
            </w:pPr>
            <w:r>
              <w:rPr>
                <w:rFonts w:eastAsia="Times New Roman"/>
                <w:iCs/>
                <w:sz w:val="16"/>
                <w:szCs w:val="18"/>
              </w:rPr>
              <w:t>43.8% (21)</w:t>
            </w:r>
          </w:p>
        </w:tc>
      </w:tr>
      <w:tr w:rsidR="005E1D9E" w:rsidRPr="001D440B" w14:paraId="6014751A" w14:textId="77777777" w:rsidTr="008D5A7D">
        <w:tc>
          <w:tcPr>
            <w:tcW w:w="2262" w:type="dxa"/>
          </w:tcPr>
          <w:p w14:paraId="14EED599" w14:textId="77777777" w:rsidR="005E1D9E" w:rsidRPr="001D440B" w:rsidRDefault="005E1D9E" w:rsidP="008D5A7D">
            <w:pPr>
              <w:rPr>
                <w:rFonts w:eastAsia="Times New Roman"/>
                <w:iCs/>
                <w:szCs w:val="20"/>
              </w:rPr>
            </w:pPr>
            <w:r w:rsidRPr="001D440B">
              <w:rPr>
                <w:rFonts w:eastAsia="Times New Roman"/>
                <w:iCs/>
                <w:sz w:val="16"/>
                <w:szCs w:val="18"/>
              </w:rPr>
              <w:t>3: Managing Symptoms</w:t>
            </w:r>
          </w:p>
        </w:tc>
        <w:tc>
          <w:tcPr>
            <w:tcW w:w="2266" w:type="dxa"/>
          </w:tcPr>
          <w:p w14:paraId="2984F8D8" w14:textId="71FC1A03" w:rsidR="005E1D9E" w:rsidRPr="001D440B" w:rsidRDefault="005E1D9E" w:rsidP="008D5A7D">
            <w:pPr>
              <w:rPr>
                <w:rFonts w:eastAsia="Times New Roman"/>
                <w:iCs/>
                <w:sz w:val="16"/>
                <w:szCs w:val="18"/>
              </w:rPr>
            </w:pPr>
            <w:r>
              <w:rPr>
                <w:rFonts w:eastAsia="Times New Roman"/>
                <w:iCs/>
                <w:sz w:val="16"/>
                <w:szCs w:val="18"/>
              </w:rPr>
              <w:t>6.3% (3)</w:t>
            </w:r>
          </w:p>
        </w:tc>
        <w:tc>
          <w:tcPr>
            <w:tcW w:w="2221" w:type="dxa"/>
          </w:tcPr>
          <w:p w14:paraId="6D4B3B07" w14:textId="28791AC4" w:rsidR="005E1D9E" w:rsidRPr="001D440B" w:rsidRDefault="005E1D9E" w:rsidP="008D5A7D">
            <w:pPr>
              <w:rPr>
                <w:rFonts w:eastAsia="Times New Roman"/>
                <w:iCs/>
                <w:sz w:val="16"/>
                <w:szCs w:val="18"/>
              </w:rPr>
            </w:pPr>
            <w:r>
              <w:rPr>
                <w:rFonts w:eastAsia="Times New Roman"/>
                <w:iCs/>
                <w:sz w:val="16"/>
                <w:szCs w:val="18"/>
              </w:rPr>
              <w:t>37.5% (18)</w:t>
            </w:r>
          </w:p>
        </w:tc>
        <w:tc>
          <w:tcPr>
            <w:tcW w:w="2267" w:type="dxa"/>
          </w:tcPr>
          <w:p w14:paraId="7A245D19" w14:textId="0C42BD6C" w:rsidR="005E1D9E" w:rsidRPr="001D440B" w:rsidRDefault="005E1D9E" w:rsidP="008D5A7D">
            <w:pPr>
              <w:rPr>
                <w:rFonts w:eastAsia="Times New Roman"/>
                <w:iCs/>
                <w:sz w:val="16"/>
                <w:szCs w:val="18"/>
              </w:rPr>
            </w:pPr>
            <w:r>
              <w:rPr>
                <w:rFonts w:eastAsia="Times New Roman"/>
                <w:iCs/>
                <w:sz w:val="16"/>
                <w:szCs w:val="18"/>
              </w:rPr>
              <w:t>56.3% (27)</w:t>
            </w:r>
          </w:p>
        </w:tc>
      </w:tr>
      <w:tr w:rsidR="005E1D9E" w:rsidRPr="001D440B" w14:paraId="2F6FABE8" w14:textId="77777777" w:rsidTr="008D5A7D">
        <w:tc>
          <w:tcPr>
            <w:tcW w:w="2262" w:type="dxa"/>
          </w:tcPr>
          <w:p w14:paraId="0BDD4B61" w14:textId="77777777" w:rsidR="005E1D9E" w:rsidRPr="001D440B" w:rsidRDefault="005E1D9E" w:rsidP="008D5A7D">
            <w:pPr>
              <w:rPr>
                <w:rFonts w:eastAsia="Times New Roman"/>
                <w:iCs/>
                <w:szCs w:val="20"/>
              </w:rPr>
            </w:pPr>
            <w:r w:rsidRPr="001D440B">
              <w:rPr>
                <w:rFonts w:eastAsia="Times New Roman"/>
                <w:iCs/>
                <w:sz w:val="16"/>
                <w:szCs w:val="18"/>
              </w:rPr>
              <w:t>4: Work, Volunteering, Other Activities</w:t>
            </w:r>
          </w:p>
        </w:tc>
        <w:tc>
          <w:tcPr>
            <w:tcW w:w="2266" w:type="dxa"/>
          </w:tcPr>
          <w:p w14:paraId="43A16F0D" w14:textId="509DE005" w:rsidR="005E1D9E" w:rsidRPr="001D440B" w:rsidRDefault="005E1D9E" w:rsidP="008D5A7D">
            <w:pPr>
              <w:rPr>
                <w:rFonts w:eastAsia="Times New Roman"/>
                <w:iCs/>
                <w:sz w:val="16"/>
                <w:szCs w:val="18"/>
              </w:rPr>
            </w:pPr>
            <w:r>
              <w:rPr>
                <w:rFonts w:eastAsia="Times New Roman"/>
                <w:iCs/>
                <w:sz w:val="16"/>
                <w:szCs w:val="18"/>
              </w:rPr>
              <w:t>18.8% (9)</w:t>
            </w:r>
          </w:p>
        </w:tc>
        <w:tc>
          <w:tcPr>
            <w:tcW w:w="2221" w:type="dxa"/>
          </w:tcPr>
          <w:p w14:paraId="232E2303" w14:textId="6C740184" w:rsidR="005E1D9E" w:rsidRPr="001D440B" w:rsidRDefault="005E1D9E" w:rsidP="008D5A7D">
            <w:pPr>
              <w:rPr>
                <w:rFonts w:eastAsia="Times New Roman"/>
                <w:iCs/>
                <w:sz w:val="16"/>
                <w:szCs w:val="18"/>
              </w:rPr>
            </w:pPr>
            <w:r>
              <w:rPr>
                <w:rFonts w:eastAsia="Times New Roman"/>
                <w:iCs/>
                <w:sz w:val="16"/>
                <w:szCs w:val="18"/>
              </w:rPr>
              <w:t>31.3% (15)</w:t>
            </w:r>
          </w:p>
        </w:tc>
        <w:tc>
          <w:tcPr>
            <w:tcW w:w="2267" w:type="dxa"/>
          </w:tcPr>
          <w:p w14:paraId="3C01E309" w14:textId="0427226E" w:rsidR="005E1D9E" w:rsidRPr="001D440B" w:rsidRDefault="005E1D9E" w:rsidP="008D5A7D">
            <w:pPr>
              <w:rPr>
                <w:rFonts w:eastAsia="Times New Roman"/>
                <w:iCs/>
                <w:sz w:val="16"/>
                <w:szCs w:val="18"/>
              </w:rPr>
            </w:pPr>
            <w:r>
              <w:rPr>
                <w:rFonts w:eastAsia="Times New Roman"/>
                <w:iCs/>
                <w:sz w:val="16"/>
                <w:szCs w:val="18"/>
              </w:rPr>
              <w:t>50.0% (24)</w:t>
            </w:r>
          </w:p>
        </w:tc>
      </w:tr>
      <w:tr w:rsidR="005E1D9E" w:rsidRPr="001D440B" w14:paraId="4D4746AE" w14:textId="77777777" w:rsidTr="008D5A7D">
        <w:tc>
          <w:tcPr>
            <w:tcW w:w="2262" w:type="dxa"/>
          </w:tcPr>
          <w:p w14:paraId="6A22C2BD" w14:textId="77777777" w:rsidR="005E1D9E" w:rsidRPr="001D440B" w:rsidRDefault="005E1D9E" w:rsidP="005E1D9E">
            <w:pPr>
              <w:rPr>
                <w:rFonts w:eastAsia="Times New Roman"/>
                <w:iCs/>
                <w:szCs w:val="20"/>
              </w:rPr>
            </w:pPr>
            <w:r w:rsidRPr="001D440B">
              <w:rPr>
                <w:rFonts w:eastAsia="Times New Roman"/>
                <w:iCs/>
                <w:sz w:val="16"/>
                <w:szCs w:val="18"/>
              </w:rPr>
              <w:t>5: Money</w:t>
            </w:r>
          </w:p>
        </w:tc>
        <w:tc>
          <w:tcPr>
            <w:tcW w:w="2266" w:type="dxa"/>
          </w:tcPr>
          <w:p w14:paraId="5295B63C" w14:textId="5624BAD8" w:rsidR="005E1D9E" w:rsidRPr="001D440B" w:rsidRDefault="005E1D9E" w:rsidP="005E1D9E">
            <w:pPr>
              <w:rPr>
                <w:rFonts w:eastAsia="Times New Roman"/>
                <w:iCs/>
                <w:sz w:val="16"/>
                <w:szCs w:val="18"/>
              </w:rPr>
            </w:pPr>
            <w:r>
              <w:rPr>
                <w:rFonts w:eastAsia="Times New Roman"/>
                <w:iCs/>
                <w:sz w:val="16"/>
                <w:szCs w:val="18"/>
              </w:rPr>
              <w:t>18.8% (9)</w:t>
            </w:r>
          </w:p>
        </w:tc>
        <w:tc>
          <w:tcPr>
            <w:tcW w:w="2221" w:type="dxa"/>
          </w:tcPr>
          <w:p w14:paraId="547CF303" w14:textId="5A20E5A8" w:rsidR="005E1D9E" w:rsidRPr="001D440B" w:rsidRDefault="005E1D9E" w:rsidP="005E1D9E">
            <w:pPr>
              <w:rPr>
                <w:rFonts w:eastAsia="Times New Roman"/>
                <w:iCs/>
                <w:sz w:val="16"/>
                <w:szCs w:val="18"/>
              </w:rPr>
            </w:pPr>
            <w:r>
              <w:rPr>
                <w:rFonts w:eastAsia="Times New Roman"/>
                <w:iCs/>
                <w:sz w:val="16"/>
                <w:szCs w:val="18"/>
              </w:rPr>
              <w:t>31.3% (15)</w:t>
            </w:r>
          </w:p>
        </w:tc>
        <w:tc>
          <w:tcPr>
            <w:tcW w:w="2267" w:type="dxa"/>
          </w:tcPr>
          <w:p w14:paraId="5883A469" w14:textId="3B173B2B" w:rsidR="005E1D9E" w:rsidRPr="001D440B" w:rsidRDefault="005E1D9E" w:rsidP="005E1D9E">
            <w:pPr>
              <w:rPr>
                <w:rFonts w:eastAsia="Times New Roman"/>
                <w:iCs/>
                <w:sz w:val="16"/>
                <w:szCs w:val="18"/>
              </w:rPr>
            </w:pPr>
            <w:r>
              <w:rPr>
                <w:rFonts w:eastAsia="Times New Roman"/>
                <w:iCs/>
                <w:sz w:val="16"/>
                <w:szCs w:val="18"/>
              </w:rPr>
              <w:t>50.0% (24)</w:t>
            </w:r>
          </w:p>
        </w:tc>
      </w:tr>
      <w:tr w:rsidR="005E1D9E" w:rsidRPr="001D440B" w14:paraId="0158FC79" w14:textId="77777777" w:rsidTr="008D5A7D">
        <w:tc>
          <w:tcPr>
            <w:tcW w:w="2262" w:type="dxa"/>
          </w:tcPr>
          <w:p w14:paraId="426F68B0" w14:textId="77777777" w:rsidR="005E1D9E" w:rsidRPr="001D440B" w:rsidRDefault="005E1D9E" w:rsidP="008D5A7D">
            <w:pPr>
              <w:rPr>
                <w:rFonts w:eastAsia="Times New Roman"/>
                <w:iCs/>
                <w:szCs w:val="20"/>
              </w:rPr>
            </w:pPr>
            <w:r w:rsidRPr="001D440B">
              <w:rPr>
                <w:rFonts w:eastAsia="Times New Roman"/>
                <w:iCs/>
                <w:sz w:val="16"/>
                <w:szCs w:val="18"/>
              </w:rPr>
              <w:t>6: Where You Live</w:t>
            </w:r>
          </w:p>
        </w:tc>
        <w:tc>
          <w:tcPr>
            <w:tcW w:w="2266" w:type="dxa"/>
          </w:tcPr>
          <w:p w14:paraId="470FFBDB" w14:textId="703D297A" w:rsidR="005E1D9E" w:rsidRPr="001D440B" w:rsidRDefault="005E1D9E" w:rsidP="008D5A7D">
            <w:pPr>
              <w:rPr>
                <w:rFonts w:eastAsia="Times New Roman"/>
                <w:iCs/>
                <w:sz w:val="16"/>
                <w:szCs w:val="18"/>
              </w:rPr>
            </w:pPr>
            <w:r>
              <w:rPr>
                <w:rFonts w:eastAsia="Times New Roman"/>
                <w:iCs/>
                <w:sz w:val="16"/>
                <w:szCs w:val="18"/>
              </w:rPr>
              <w:t>12.5% (6)</w:t>
            </w:r>
          </w:p>
        </w:tc>
        <w:tc>
          <w:tcPr>
            <w:tcW w:w="2221" w:type="dxa"/>
          </w:tcPr>
          <w:p w14:paraId="4B3DEB2E" w14:textId="1B3DA0A4" w:rsidR="005E1D9E" w:rsidRPr="001D440B" w:rsidRDefault="005E1D9E" w:rsidP="008D5A7D">
            <w:pPr>
              <w:rPr>
                <w:rFonts w:eastAsia="Times New Roman"/>
                <w:iCs/>
                <w:sz w:val="16"/>
                <w:szCs w:val="18"/>
              </w:rPr>
            </w:pPr>
            <w:r>
              <w:rPr>
                <w:rFonts w:eastAsia="Times New Roman"/>
                <w:iCs/>
                <w:sz w:val="16"/>
                <w:szCs w:val="18"/>
              </w:rPr>
              <w:t>43.8% (21)</w:t>
            </w:r>
          </w:p>
        </w:tc>
        <w:tc>
          <w:tcPr>
            <w:tcW w:w="2267" w:type="dxa"/>
          </w:tcPr>
          <w:p w14:paraId="21742FC2" w14:textId="60999454" w:rsidR="005E1D9E" w:rsidRPr="001D440B" w:rsidRDefault="005E1D9E" w:rsidP="008D5A7D">
            <w:pPr>
              <w:rPr>
                <w:rFonts w:eastAsia="Times New Roman"/>
                <w:iCs/>
                <w:sz w:val="16"/>
                <w:szCs w:val="18"/>
              </w:rPr>
            </w:pPr>
            <w:r>
              <w:rPr>
                <w:rFonts w:eastAsia="Times New Roman"/>
                <w:iCs/>
                <w:sz w:val="16"/>
                <w:szCs w:val="18"/>
              </w:rPr>
              <w:t>43.8% (21)</w:t>
            </w:r>
          </w:p>
        </w:tc>
      </w:tr>
      <w:tr w:rsidR="005E1D9E" w:rsidRPr="001D440B" w14:paraId="3B3529D2" w14:textId="77777777" w:rsidTr="008D5A7D">
        <w:tc>
          <w:tcPr>
            <w:tcW w:w="2262" w:type="dxa"/>
          </w:tcPr>
          <w:p w14:paraId="4DDA5D03" w14:textId="77777777" w:rsidR="005E1D9E" w:rsidRPr="001D440B" w:rsidRDefault="005E1D9E" w:rsidP="005E1D9E">
            <w:pPr>
              <w:rPr>
                <w:rFonts w:eastAsia="Times New Roman"/>
                <w:iCs/>
                <w:szCs w:val="20"/>
              </w:rPr>
            </w:pPr>
            <w:r w:rsidRPr="001D440B">
              <w:rPr>
                <w:rFonts w:eastAsia="Times New Roman"/>
                <w:iCs/>
                <w:sz w:val="16"/>
                <w:szCs w:val="18"/>
              </w:rPr>
              <w:t>7: Family and Friends</w:t>
            </w:r>
          </w:p>
        </w:tc>
        <w:tc>
          <w:tcPr>
            <w:tcW w:w="2266" w:type="dxa"/>
          </w:tcPr>
          <w:p w14:paraId="4D2F18A1" w14:textId="084E01BB" w:rsidR="005E1D9E" w:rsidRPr="001D440B" w:rsidRDefault="005E1D9E" w:rsidP="005E1D9E">
            <w:pPr>
              <w:rPr>
                <w:rFonts w:eastAsia="Times New Roman"/>
                <w:iCs/>
                <w:sz w:val="16"/>
                <w:szCs w:val="18"/>
              </w:rPr>
            </w:pPr>
            <w:r>
              <w:rPr>
                <w:rFonts w:eastAsia="Times New Roman"/>
                <w:iCs/>
                <w:sz w:val="16"/>
                <w:szCs w:val="18"/>
              </w:rPr>
              <w:t>12.5% (6)</w:t>
            </w:r>
          </w:p>
        </w:tc>
        <w:tc>
          <w:tcPr>
            <w:tcW w:w="2221" w:type="dxa"/>
          </w:tcPr>
          <w:p w14:paraId="22D0A3F1" w14:textId="33A50660" w:rsidR="005E1D9E" w:rsidRPr="001D440B" w:rsidRDefault="005E1D9E" w:rsidP="005E1D9E">
            <w:pPr>
              <w:rPr>
                <w:rFonts w:eastAsia="Times New Roman"/>
                <w:iCs/>
                <w:sz w:val="16"/>
                <w:szCs w:val="18"/>
              </w:rPr>
            </w:pPr>
            <w:r>
              <w:rPr>
                <w:rFonts w:eastAsia="Times New Roman"/>
                <w:iCs/>
                <w:sz w:val="16"/>
                <w:szCs w:val="18"/>
              </w:rPr>
              <w:t>43.8% (21)</w:t>
            </w:r>
          </w:p>
        </w:tc>
        <w:tc>
          <w:tcPr>
            <w:tcW w:w="2267" w:type="dxa"/>
          </w:tcPr>
          <w:p w14:paraId="392E2B05" w14:textId="5CF2677E" w:rsidR="005E1D9E" w:rsidRPr="001D440B" w:rsidRDefault="005E1D9E" w:rsidP="005E1D9E">
            <w:pPr>
              <w:rPr>
                <w:rFonts w:eastAsia="Times New Roman"/>
                <w:iCs/>
                <w:sz w:val="16"/>
                <w:szCs w:val="18"/>
              </w:rPr>
            </w:pPr>
            <w:r>
              <w:rPr>
                <w:rFonts w:eastAsia="Times New Roman"/>
                <w:iCs/>
                <w:sz w:val="16"/>
                <w:szCs w:val="18"/>
              </w:rPr>
              <w:t>43.8% (21)</w:t>
            </w:r>
          </w:p>
        </w:tc>
      </w:tr>
      <w:tr w:rsidR="005E1D9E" w:rsidRPr="001D440B" w14:paraId="700CD545" w14:textId="77777777" w:rsidTr="008D5A7D">
        <w:tc>
          <w:tcPr>
            <w:tcW w:w="2262" w:type="dxa"/>
          </w:tcPr>
          <w:p w14:paraId="01923050" w14:textId="77777777" w:rsidR="005E1D9E" w:rsidRPr="001D440B" w:rsidRDefault="005E1D9E" w:rsidP="008D5A7D">
            <w:pPr>
              <w:rPr>
                <w:rFonts w:eastAsia="Times New Roman"/>
                <w:iCs/>
                <w:szCs w:val="20"/>
              </w:rPr>
            </w:pPr>
            <w:r w:rsidRPr="001D440B">
              <w:rPr>
                <w:rFonts w:eastAsia="Times New Roman"/>
                <w:iCs/>
                <w:sz w:val="16"/>
                <w:szCs w:val="18"/>
              </w:rPr>
              <w:t>8: Feeling Positive</w:t>
            </w:r>
          </w:p>
        </w:tc>
        <w:tc>
          <w:tcPr>
            <w:tcW w:w="2266" w:type="dxa"/>
          </w:tcPr>
          <w:p w14:paraId="60542A6D" w14:textId="4A011969" w:rsidR="005E1D9E" w:rsidRPr="001D440B" w:rsidRDefault="005E1D9E" w:rsidP="008D5A7D">
            <w:pPr>
              <w:rPr>
                <w:rFonts w:eastAsia="Times New Roman"/>
                <w:iCs/>
                <w:sz w:val="16"/>
                <w:szCs w:val="18"/>
              </w:rPr>
            </w:pPr>
            <w:r>
              <w:rPr>
                <w:rFonts w:eastAsia="Times New Roman"/>
                <w:iCs/>
                <w:sz w:val="16"/>
                <w:szCs w:val="18"/>
              </w:rPr>
              <w:t>0.0% (0)</w:t>
            </w:r>
          </w:p>
        </w:tc>
        <w:tc>
          <w:tcPr>
            <w:tcW w:w="2221" w:type="dxa"/>
          </w:tcPr>
          <w:p w14:paraId="17EC8EBD" w14:textId="32EBFBE8" w:rsidR="005E1D9E" w:rsidRPr="001D440B" w:rsidRDefault="005E1D9E" w:rsidP="008D5A7D">
            <w:pPr>
              <w:rPr>
                <w:rFonts w:eastAsia="Times New Roman"/>
                <w:iCs/>
                <w:sz w:val="16"/>
                <w:szCs w:val="18"/>
              </w:rPr>
            </w:pPr>
            <w:r>
              <w:rPr>
                <w:rFonts w:eastAsia="Times New Roman"/>
                <w:iCs/>
                <w:sz w:val="16"/>
                <w:szCs w:val="18"/>
              </w:rPr>
              <w:t>50.0% (24)</w:t>
            </w:r>
          </w:p>
        </w:tc>
        <w:tc>
          <w:tcPr>
            <w:tcW w:w="2267" w:type="dxa"/>
          </w:tcPr>
          <w:p w14:paraId="692CA041" w14:textId="23955509" w:rsidR="005E1D9E" w:rsidRPr="001D440B" w:rsidRDefault="005E1D9E" w:rsidP="008D5A7D">
            <w:pPr>
              <w:rPr>
                <w:rFonts w:eastAsia="Times New Roman"/>
                <w:iCs/>
                <w:sz w:val="16"/>
                <w:szCs w:val="18"/>
              </w:rPr>
            </w:pPr>
            <w:r>
              <w:rPr>
                <w:rFonts w:eastAsia="Times New Roman"/>
                <w:iCs/>
                <w:sz w:val="16"/>
                <w:szCs w:val="18"/>
              </w:rPr>
              <w:t>50.0% (24)</w:t>
            </w:r>
          </w:p>
        </w:tc>
      </w:tr>
    </w:tbl>
    <w:p w14:paraId="6EF19690" w14:textId="77777777" w:rsidR="005E1D9E" w:rsidRPr="001D440B" w:rsidRDefault="005E1D9E" w:rsidP="005E1D9E">
      <w:pPr>
        <w:rPr>
          <w:sz w:val="16"/>
          <w:szCs w:val="18"/>
        </w:rPr>
      </w:pPr>
      <w:r w:rsidRPr="001D440B">
        <w:rPr>
          <w:sz w:val="16"/>
          <w:szCs w:val="18"/>
        </w:rPr>
        <w:t>Note: Percentages may not add to 100 percent due to rounding.</w:t>
      </w:r>
    </w:p>
    <w:p w14:paraId="21723AD0" w14:textId="77777777" w:rsidR="005E1D9E" w:rsidRPr="00AA2391" w:rsidRDefault="005E1D9E" w:rsidP="005E1D9E">
      <w:pPr>
        <w:rPr>
          <w:sz w:val="16"/>
          <w:szCs w:val="18"/>
        </w:rPr>
      </w:pPr>
    </w:p>
    <w:p w14:paraId="66E9051A" w14:textId="77777777" w:rsidR="004C1722" w:rsidRDefault="004C1722" w:rsidP="004C1722">
      <w:pPr>
        <w:rPr>
          <w:rFonts w:eastAsia="Times New Roman"/>
          <w:iCs/>
          <w:szCs w:val="20"/>
        </w:rPr>
      </w:pPr>
    </w:p>
    <w:p w14:paraId="14759934" w14:textId="77777777" w:rsidR="004C1722" w:rsidRDefault="004C1722" w:rsidP="004C1722">
      <w:pPr>
        <w:rPr>
          <w:rFonts w:eastAsia="Times New Roman"/>
          <w:iCs/>
          <w:szCs w:val="20"/>
        </w:rPr>
      </w:pPr>
    </w:p>
    <w:p w14:paraId="7F879DCB" w14:textId="77777777" w:rsidR="004C1722" w:rsidRDefault="004C1722" w:rsidP="00F113EF">
      <w:pPr>
        <w:rPr>
          <w:rFonts w:eastAsia="Times New Roman"/>
          <w:iCs/>
          <w:szCs w:val="20"/>
        </w:rPr>
      </w:pPr>
    </w:p>
    <w:p w14:paraId="7791AD44" w14:textId="2AB102B7" w:rsidR="002018EA" w:rsidRDefault="002018EA" w:rsidP="00F113EF">
      <w:pPr>
        <w:rPr>
          <w:rFonts w:eastAsia="Times New Roman"/>
          <w:iCs/>
          <w:szCs w:val="20"/>
        </w:rPr>
      </w:pPr>
    </w:p>
    <w:p w14:paraId="63C1E771" w14:textId="20D8C666" w:rsidR="002018EA" w:rsidRDefault="002018EA" w:rsidP="00F113EF">
      <w:pPr>
        <w:rPr>
          <w:rFonts w:eastAsia="Times New Roman"/>
          <w:iCs/>
          <w:szCs w:val="20"/>
        </w:rPr>
      </w:pPr>
    </w:p>
    <w:p w14:paraId="3740038F" w14:textId="2DD549E2" w:rsidR="002018EA" w:rsidRDefault="002018EA" w:rsidP="00F113EF">
      <w:pPr>
        <w:rPr>
          <w:rFonts w:eastAsia="Times New Roman"/>
          <w:iCs/>
          <w:szCs w:val="20"/>
        </w:rPr>
      </w:pPr>
    </w:p>
    <w:p w14:paraId="6A804122" w14:textId="554FB3FB" w:rsidR="002018EA" w:rsidRDefault="002018EA" w:rsidP="00F113EF">
      <w:pPr>
        <w:rPr>
          <w:rFonts w:eastAsia="Times New Roman"/>
          <w:iCs/>
          <w:szCs w:val="20"/>
        </w:rPr>
      </w:pPr>
    </w:p>
    <w:p w14:paraId="4E5DB96F" w14:textId="7E1C1CFD" w:rsidR="001D1AE5" w:rsidRDefault="001D1AE5" w:rsidP="00EC5C2A">
      <w:pPr>
        <w:pStyle w:val="Heading1"/>
      </w:pPr>
      <w:bookmarkStart w:id="32" w:name="_Toc114566740"/>
      <w:r w:rsidRPr="00C42E0A">
        <w:lastRenderedPageBreak/>
        <w:t>Are clients experiencing improvements in work readiness?</w:t>
      </w:r>
      <w:bookmarkEnd w:id="32"/>
    </w:p>
    <w:p w14:paraId="179109E7" w14:textId="4090C1A7" w:rsidR="00811157" w:rsidRDefault="00811157" w:rsidP="00811157">
      <w:r w:rsidRPr="00811157">
        <w:t>One expected outcome of Here Toitū is that participants are able to improve their readiness for work, including undertaking training and education where appropriate. One measure that can be used to measure this is the work readiness outcomes provided in the provider data.</w:t>
      </w:r>
      <w:r w:rsidR="000C2845">
        <w:t xml:space="preserve"> </w:t>
      </w:r>
      <w:r w:rsidR="000C2845" w:rsidRPr="000C2845">
        <w:t xml:space="preserve">However, this is an imperfect measure, as it is unable to determine the extent of change in </w:t>
      </w:r>
      <w:r w:rsidR="000C2845">
        <w:t>work readiness (as we don’t have a baseline measurement for each participant)</w:t>
      </w:r>
      <w:r w:rsidR="000C2845" w:rsidRPr="000C2845">
        <w:t>, only that a change may have occurred.</w:t>
      </w:r>
    </w:p>
    <w:p w14:paraId="2F1CA3B9" w14:textId="77777777" w:rsidR="00EE5288" w:rsidRPr="00811157" w:rsidRDefault="00EE5288" w:rsidP="00811157"/>
    <w:p w14:paraId="42D7AF18" w14:textId="7BE90B06" w:rsidR="00D53BC0" w:rsidRPr="0046532A" w:rsidRDefault="0046532A" w:rsidP="00D53BC0">
      <w:pPr>
        <w:pStyle w:val="Heading3"/>
      </w:pPr>
      <w:bookmarkStart w:id="33" w:name="_Hlk94275891"/>
      <w:r w:rsidRPr="0046532A">
        <w:t>At the end of 2021</w:t>
      </w:r>
      <w:r w:rsidR="00D53BC0" w:rsidRPr="0046532A">
        <w:t xml:space="preserve">, </w:t>
      </w:r>
      <w:r w:rsidRPr="0046532A">
        <w:t>just under 27</w:t>
      </w:r>
      <w:r w:rsidR="00D53BC0" w:rsidRPr="0046532A">
        <w:t xml:space="preserve"> percent of participants have had a work readiness outcome recorded.</w:t>
      </w:r>
    </w:p>
    <w:p w14:paraId="67650C60" w14:textId="488406AC" w:rsidR="00D53BC0" w:rsidRPr="0046532A" w:rsidRDefault="00D53BC0" w:rsidP="00D53BC0">
      <w:pPr>
        <w:rPr>
          <w:iCs/>
        </w:rPr>
      </w:pPr>
      <w:bookmarkStart w:id="34" w:name="_Hlk114147655"/>
      <w:bookmarkEnd w:id="33"/>
      <w:r w:rsidRPr="0046532A">
        <w:rPr>
          <w:iCs/>
        </w:rPr>
        <w:t xml:space="preserve">Within the </w:t>
      </w:r>
      <w:r w:rsidR="0046532A" w:rsidRPr="0046532A">
        <w:rPr>
          <w:iCs/>
        </w:rPr>
        <w:t>monitoring</w:t>
      </w:r>
      <w:r w:rsidRPr="0046532A">
        <w:rPr>
          <w:iCs/>
        </w:rPr>
        <w:t xml:space="preserve"> data, providers can provide up to two work readiness outcomes for participants.</w:t>
      </w:r>
      <w:bookmarkEnd w:id="34"/>
      <w:r w:rsidRPr="0046532A">
        <w:rPr>
          <w:iCs/>
        </w:rPr>
        <w:t xml:space="preserve"> </w:t>
      </w:r>
      <w:bookmarkStart w:id="35" w:name="_Hlk94275875"/>
      <w:r w:rsidRPr="0046532A">
        <w:rPr>
          <w:iCs/>
        </w:rPr>
        <w:t xml:space="preserve">The potential work readiness outcomes </w:t>
      </w:r>
      <w:proofErr w:type="gramStart"/>
      <w:r w:rsidRPr="0046532A">
        <w:rPr>
          <w:iCs/>
        </w:rPr>
        <w:t>are:</w:t>
      </w:r>
      <w:proofErr w:type="gramEnd"/>
      <w:r w:rsidRPr="0046532A">
        <w:rPr>
          <w:iCs/>
        </w:rPr>
        <w:t xml:space="preserve"> caring, participating in a training programme, part-time or full-time study, volunteer work, paid work for less than 15 hours a week, work experience, and any “other” reasons that are not captured by these categories.</w:t>
      </w:r>
      <w:r w:rsidR="00652E45">
        <w:rPr>
          <w:iCs/>
        </w:rPr>
        <w:t xml:space="preserve"> </w:t>
      </w:r>
    </w:p>
    <w:bookmarkEnd w:id="35"/>
    <w:p w14:paraId="52FCB7D3" w14:textId="64AC8E62" w:rsidR="0046532A" w:rsidRPr="0046532A" w:rsidRDefault="00D53BC0" w:rsidP="00D53BC0">
      <w:pPr>
        <w:rPr>
          <w:iCs/>
        </w:rPr>
      </w:pPr>
      <w:r w:rsidRPr="0046532A">
        <w:rPr>
          <w:iCs/>
          <w:sz w:val="22"/>
          <w:szCs w:val="24"/>
        </w:rPr>
        <w:fldChar w:fldCharType="begin"/>
      </w:r>
      <w:r w:rsidRPr="0046532A">
        <w:rPr>
          <w:iCs/>
          <w:sz w:val="22"/>
          <w:szCs w:val="24"/>
        </w:rPr>
        <w:instrText xml:space="preserve"> REF _Ref94276706 \h  \* MERGEFORMAT </w:instrText>
      </w:r>
      <w:r w:rsidRPr="0046532A">
        <w:rPr>
          <w:iCs/>
          <w:sz w:val="22"/>
          <w:szCs w:val="24"/>
        </w:rPr>
      </w:r>
      <w:r w:rsidRPr="0046532A">
        <w:rPr>
          <w:iCs/>
          <w:sz w:val="22"/>
          <w:szCs w:val="24"/>
        </w:rPr>
        <w:fldChar w:fldCharType="separate"/>
      </w:r>
      <w:r w:rsidR="0008130B" w:rsidRPr="0008130B">
        <w:t xml:space="preserve">Table </w:t>
      </w:r>
      <w:r w:rsidR="0008130B" w:rsidRPr="0008130B">
        <w:rPr>
          <w:noProof/>
        </w:rPr>
        <w:t>7</w:t>
      </w:r>
      <w:r w:rsidRPr="0046532A">
        <w:rPr>
          <w:iCs/>
          <w:sz w:val="22"/>
          <w:szCs w:val="24"/>
        </w:rPr>
        <w:fldChar w:fldCharType="end"/>
      </w:r>
      <w:r w:rsidRPr="0046532A">
        <w:rPr>
          <w:iCs/>
        </w:rPr>
        <w:t xml:space="preserve"> below shows that </w:t>
      </w:r>
      <w:r w:rsidR="0046532A" w:rsidRPr="0046532A">
        <w:rPr>
          <w:iCs/>
        </w:rPr>
        <w:t>just under 27 percent of</w:t>
      </w:r>
      <w:r w:rsidRPr="0046532A">
        <w:rPr>
          <w:iCs/>
        </w:rPr>
        <w:t xml:space="preserve"> participants (</w:t>
      </w:r>
      <w:r w:rsidR="0046532A" w:rsidRPr="0046532A">
        <w:rPr>
          <w:iCs/>
        </w:rPr>
        <w:t>123)</w:t>
      </w:r>
      <w:r w:rsidRPr="0046532A">
        <w:rPr>
          <w:iCs/>
        </w:rPr>
        <w:t xml:space="preserve"> have a</w:t>
      </w:r>
      <w:r w:rsidR="0046532A" w:rsidRPr="0046532A">
        <w:rPr>
          <w:iCs/>
        </w:rPr>
        <w:t>t least one</w:t>
      </w:r>
      <w:r w:rsidRPr="0046532A">
        <w:rPr>
          <w:iCs/>
        </w:rPr>
        <w:t xml:space="preserve"> work readiness outcome recorded. In addition to this, </w:t>
      </w:r>
      <w:r w:rsidR="0046532A" w:rsidRPr="0046532A">
        <w:rPr>
          <w:iCs/>
        </w:rPr>
        <w:t>6.5 percent of</w:t>
      </w:r>
      <w:r w:rsidRPr="0046532A">
        <w:rPr>
          <w:iCs/>
        </w:rPr>
        <w:t xml:space="preserve"> participants (</w:t>
      </w:r>
      <w:r w:rsidR="0046532A" w:rsidRPr="0046532A">
        <w:rPr>
          <w:iCs/>
        </w:rPr>
        <w:t>30</w:t>
      </w:r>
      <w:r w:rsidRPr="0046532A">
        <w:rPr>
          <w:iCs/>
        </w:rPr>
        <w:t xml:space="preserve">) had two work readiness outcomes recorded. </w:t>
      </w:r>
    </w:p>
    <w:p w14:paraId="2A98A4DB" w14:textId="680EA4F4" w:rsidR="00D53BC0" w:rsidRPr="00921969" w:rsidRDefault="00D53BC0" w:rsidP="00D53BC0">
      <w:pPr>
        <w:rPr>
          <w:iCs/>
        </w:rPr>
      </w:pPr>
      <w:r w:rsidRPr="0046532A">
        <w:rPr>
          <w:iCs/>
        </w:rPr>
        <w:t xml:space="preserve">The most common outcomes were </w:t>
      </w:r>
      <w:bookmarkStart w:id="36" w:name="_Hlk114147704"/>
      <w:r w:rsidR="0046532A" w:rsidRPr="0046532A">
        <w:rPr>
          <w:iCs/>
        </w:rPr>
        <w:t>paid work for less than 15 hours a week</w:t>
      </w:r>
      <w:r w:rsidRPr="0046532A">
        <w:rPr>
          <w:iCs/>
        </w:rPr>
        <w:t xml:space="preserve"> (2</w:t>
      </w:r>
      <w:r w:rsidR="0046532A" w:rsidRPr="0046532A">
        <w:rPr>
          <w:iCs/>
        </w:rPr>
        <w:t>5.2</w:t>
      </w:r>
      <w:r w:rsidRPr="0046532A">
        <w:rPr>
          <w:iCs/>
        </w:rPr>
        <w:t xml:space="preserve"> percent of outcomes, or </w:t>
      </w:r>
      <w:r w:rsidR="0046532A" w:rsidRPr="0046532A">
        <w:rPr>
          <w:iCs/>
        </w:rPr>
        <w:t>39</w:t>
      </w:r>
      <w:r w:rsidRPr="0046532A">
        <w:rPr>
          <w:iCs/>
        </w:rPr>
        <w:t xml:space="preserve"> outcomes) and </w:t>
      </w:r>
      <w:r w:rsidR="0046532A" w:rsidRPr="0046532A">
        <w:rPr>
          <w:iCs/>
        </w:rPr>
        <w:t>volunteer work</w:t>
      </w:r>
      <w:r w:rsidRPr="0046532A">
        <w:rPr>
          <w:iCs/>
        </w:rPr>
        <w:t xml:space="preserve"> (25.</w:t>
      </w:r>
      <w:r w:rsidR="0046532A" w:rsidRPr="0046532A">
        <w:rPr>
          <w:iCs/>
        </w:rPr>
        <w:t>2</w:t>
      </w:r>
      <w:r w:rsidRPr="0046532A">
        <w:rPr>
          <w:iCs/>
        </w:rPr>
        <w:t xml:space="preserve"> percent of outcomes, or </w:t>
      </w:r>
      <w:r w:rsidR="0046532A" w:rsidRPr="0046532A">
        <w:rPr>
          <w:iCs/>
        </w:rPr>
        <w:t>39</w:t>
      </w:r>
      <w:r w:rsidRPr="0046532A">
        <w:rPr>
          <w:iCs/>
        </w:rPr>
        <w:t xml:space="preserve"> outcomes).</w:t>
      </w:r>
      <w:bookmarkEnd w:id="36"/>
    </w:p>
    <w:p w14:paraId="3CF92134" w14:textId="336EDBE4" w:rsidR="00D53BC0" w:rsidRPr="00921969" w:rsidRDefault="00D53BC0" w:rsidP="00D53BC0">
      <w:pPr>
        <w:rPr>
          <w:b/>
          <w:bCs/>
          <w:sz w:val="18"/>
          <w:szCs w:val="20"/>
        </w:rPr>
      </w:pPr>
      <w:bookmarkStart w:id="37" w:name="_Ref94276706"/>
      <w:r w:rsidRPr="00921969">
        <w:rPr>
          <w:b/>
          <w:bCs/>
          <w:sz w:val="18"/>
          <w:szCs w:val="20"/>
        </w:rPr>
        <w:t xml:space="preserve">Table </w:t>
      </w:r>
      <w:r w:rsidRPr="00921969">
        <w:rPr>
          <w:b/>
          <w:bCs/>
          <w:sz w:val="18"/>
          <w:szCs w:val="20"/>
        </w:rPr>
        <w:fldChar w:fldCharType="begin"/>
      </w:r>
      <w:r w:rsidRPr="00921969">
        <w:rPr>
          <w:b/>
          <w:bCs/>
          <w:sz w:val="18"/>
          <w:szCs w:val="20"/>
        </w:rPr>
        <w:instrText xml:space="preserve"> SEQ Table \* ARABIC </w:instrText>
      </w:r>
      <w:r w:rsidRPr="00921969">
        <w:rPr>
          <w:b/>
          <w:bCs/>
          <w:sz w:val="18"/>
          <w:szCs w:val="20"/>
        </w:rPr>
        <w:fldChar w:fldCharType="separate"/>
      </w:r>
      <w:r w:rsidR="0008130B">
        <w:rPr>
          <w:b/>
          <w:bCs/>
          <w:noProof/>
          <w:sz w:val="18"/>
          <w:szCs w:val="20"/>
        </w:rPr>
        <w:t>7</w:t>
      </w:r>
      <w:r w:rsidRPr="00921969">
        <w:rPr>
          <w:b/>
          <w:bCs/>
          <w:sz w:val="18"/>
          <w:szCs w:val="20"/>
        </w:rPr>
        <w:fldChar w:fldCharType="end"/>
      </w:r>
      <w:bookmarkEnd w:id="37"/>
      <w:r w:rsidRPr="00921969">
        <w:rPr>
          <w:b/>
          <w:bCs/>
          <w:sz w:val="18"/>
          <w:szCs w:val="20"/>
        </w:rPr>
        <w:t xml:space="preserve">: Work readiness outcomes for participants </w:t>
      </w:r>
      <w:r w:rsidR="00306A27">
        <w:rPr>
          <w:b/>
          <w:bCs/>
          <w:sz w:val="18"/>
          <w:szCs w:val="20"/>
        </w:rPr>
        <w:t>as at the end of 2021</w:t>
      </w:r>
      <w:r w:rsidRPr="00921969">
        <w:rPr>
          <w:b/>
          <w:bCs/>
          <w:sz w:val="18"/>
          <w:szCs w:val="20"/>
        </w:rPr>
        <w:t>.</w:t>
      </w:r>
    </w:p>
    <w:tbl>
      <w:tblPr>
        <w:tblStyle w:val="TableGrid"/>
        <w:tblW w:w="8784" w:type="dxa"/>
        <w:tblLook w:val="04A0" w:firstRow="1" w:lastRow="0" w:firstColumn="1" w:lastColumn="0" w:noHBand="0" w:noVBand="1"/>
      </w:tblPr>
      <w:tblGrid>
        <w:gridCol w:w="3681"/>
        <w:gridCol w:w="2551"/>
        <w:gridCol w:w="2552"/>
      </w:tblGrid>
      <w:tr w:rsidR="00D53BC0" w:rsidRPr="00921969" w14:paraId="70E01157" w14:textId="77777777" w:rsidTr="001A60EB">
        <w:tc>
          <w:tcPr>
            <w:tcW w:w="3681" w:type="dxa"/>
          </w:tcPr>
          <w:p w14:paraId="3C7B91D8" w14:textId="77777777" w:rsidR="00D53BC0" w:rsidRPr="00921969" w:rsidRDefault="00D53BC0" w:rsidP="001A60EB">
            <w:pPr>
              <w:rPr>
                <w:b/>
                <w:bCs/>
                <w:iCs/>
                <w:sz w:val="16"/>
                <w:szCs w:val="18"/>
              </w:rPr>
            </w:pPr>
            <w:r w:rsidRPr="00921969">
              <w:rPr>
                <w:b/>
                <w:bCs/>
                <w:iCs/>
                <w:sz w:val="16"/>
                <w:szCs w:val="18"/>
              </w:rPr>
              <w:t>Outcome</w:t>
            </w:r>
          </w:p>
        </w:tc>
        <w:tc>
          <w:tcPr>
            <w:tcW w:w="2551" w:type="dxa"/>
          </w:tcPr>
          <w:p w14:paraId="6B96F005" w14:textId="77777777" w:rsidR="00D53BC0" w:rsidRPr="00921969" w:rsidRDefault="00D53BC0" w:rsidP="001A60EB">
            <w:pPr>
              <w:rPr>
                <w:b/>
                <w:bCs/>
                <w:iCs/>
                <w:sz w:val="16"/>
                <w:szCs w:val="18"/>
              </w:rPr>
            </w:pPr>
            <w:r w:rsidRPr="00921969">
              <w:rPr>
                <w:b/>
                <w:bCs/>
                <w:iCs/>
                <w:sz w:val="16"/>
                <w:szCs w:val="18"/>
              </w:rPr>
              <w:t>Total number</w:t>
            </w:r>
          </w:p>
        </w:tc>
        <w:tc>
          <w:tcPr>
            <w:tcW w:w="2552" w:type="dxa"/>
          </w:tcPr>
          <w:p w14:paraId="1882E6E1" w14:textId="77777777" w:rsidR="00D53BC0" w:rsidRPr="00921969" w:rsidRDefault="00D53BC0" w:rsidP="001A60EB">
            <w:pPr>
              <w:rPr>
                <w:b/>
                <w:bCs/>
                <w:iCs/>
                <w:sz w:val="16"/>
                <w:szCs w:val="18"/>
              </w:rPr>
            </w:pPr>
            <w:r w:rsidRPr="00921969">
              <w:rPr>
                <w:b/>
                <w:bCs/>
                <w:iCs/>
                <w:sz w:val="16"/>
                <w:szCs w:val="18"/>
              </w:rPr>
              <w:t>Percentage</w:t>
            </w:r>
          </w:p>
        </w:tc>
      </w:tr>
      <w:tr w:rsidR="00D53BC0" w:rsidRPr="00921969" w14:paraId="2522CA6B" w14:textId="77777777" w:rsidTr="001A60EB">
        <w:tc>
          <w:tcPr>
            <w:tcW w:w="3681" w:type="dxa"/>
            <w:vAlign w:val="bottom"/>
          </w:tcPr>
          <w:p w14:paraId="5F061B02" w14:textId="34691EC2" w:rsidR="00D53BC0" w:rsidRPr="00921969" w:rsidRDefault="00107855" w:rsidP="001A60EB">
            <w:pPr>
              <w:rPr>
                <w:iCs/>
                <w:sz w:val="16"/>
                <w:szCs w:val="16"/>
              </w:rPr>
            </w:pPr>
            <w:r>
              <w:rPr>
                <w:iCs/>
                <w:sz w:val="16"/>
                <w:szCs w:val="16"/>
              </w:rPr>
              <w:t>Paid work (for less than 15 hours a week)</w:t>
            </w:r>
          </w:p>
        </w:tc>
        <w:tc>
          <w:tcPr>
            <w:tcW w:w="2551" w:type="dxa"/>
            <w:vAlign w:val="bottom"/>
          </w:tcPr>
          <w:p w14:paraId="084704DB" w14:textId="03234AD5" w:rsidR="00D53BC0" w:rsidRPr="00921969" w:rsidRDefault="00107855" w:rsidP="001A60EB">
            <w:pPr>
              <w:rPr>
                <w:iCs/>
                <w:sz w:val="16"/>
                <w:szCs w:val="16"/>
              </w:rPr>
            </w:pPr>
            <w:r>
              <w:rPr>
                <w:iCs/>
                <w:sz w:val="16"/>
                <w:szCs w:val="16"/>
              </w:rPr>
              <w:t>39</w:t>
            </w:r>
          </w:p>
        </w:tc>
        <w:tc>
          <w:tcPr>
            <w:tcW w:w="2552" w:type="dxa"/>
            <w:vAlign w:val="bottom"/>
          </w:tcPr>
          <w:p w14:paraId="2791F2F8" w14:textId="263EBAF2" w:rsidR="00D53BC0" w:rsidRPr="00921969" w:rsidRDefault="00107855" w:rsidP="001A60EB">
            <w:pPr>
              <w:rPr>
                <w:iCs/>
                <w:sz w:val="16"/>
                <w:szCs w:val="16"/>
              </w:rPr>
            </w:pPr>
            <w:r>
              <w:rPr>
                <w:iCs/>
                <w:sz w:val="16"/>
                <w:szCs w:val="16"/>
              </w:rPr>
              <w:t>25.</w:t>
            </w:r>
            <w:r w:rsidR="0046532A">
              <w:rPr>
                <w:iCs/>
                <w:sz w:val="16"/>
                <w:szCs w:val="16"/>
              </w:rPr>
              <w:t>2%</w:t>
            </w:r>
          </w:p>
        </w:tc>
      </w:tr>
      <w:tr w:rsidR="00D53BC0" w:rsidRPr="00921969" w14:paraId="5724F2EA" w14:textId="77777777" w:rsidTr="001A60EB">
        <w:tc>
          <w:tcPr>
            <w:tcW w:w="3681" w:type="dxa"/>
            <w:vAlign w:val="bottom"/>
          </w:tcPr>
          <w:p w14:paraId="42BC38CC" w14:textId="1C16F8EE" w:rsidR="00D53BC0" w:rsidRPr="00921969" w:rsidRDefault="00107855" w:rsidP="001A60EB">
            <w:pPr>
              <w:rPr>
                <w:iCs/>
                <w:sz w:val="16"/>
                <w:szCs w:val="16"/>
              </w:rPr>
            </w:pPr>
            <w:r>
              <w:rPr>
                <w:iCs/>
                <w:sz w:val="16"/>
                <w:szCs w:val="16"/>
              </w:rPr>
              <w:t>Volunteer work</w:t>
            </w:r>
          </w:p>
        </w:tc>
        <w:tc>
          <w:tcPr>
            <w:tcW w:w="2551" w:type="dxa"/>
            <w:vAlign w:val="bottom"/>
          </w:tcPr>
          <w:p w14:paraId="49DBC05A" w14:textId="50FA792F" w:rsidR="00D53BC0" w:rsidRPr="00921969" w:rsidRDefault="00107855" w:rsidP="001A60EB">
            <w:pPr>
              <w:rPr>
                <w:iCs/>
                <w:sz w:val="16"/>
                <w:szCs w:val="16"/>
              </w:rPr>
            </w:pPr>
            <w:r>
              <w:rPr>
                <w:iCs/>
                <w:sz w:val="16"/>
                <w:szCs w:val="16"/>
              </w:rPr>
              <w:t>39</w:t>
            </w:r>
          </w:p>
        </w:tc>
        <w:tc>
          <w:tcPr>
            <w:tcW w:w="2552" w:type="dxa"/>
            <w:vAlign w:val="bottom"/>
          </w:tcPr>
          <w:p w14:paraId="0E6F1929" w14:textId="44BD7884" w:rsidR="00D53BC0" w:rsidRPr="00921969" w:rsidRDefault="0046532A" w:rsidP="001A60EB">
            <w:pPr>
              <w:rPr>
                <w:iCs/>
                <w:sz w:val="16"/>
                <w:szCs w:val="16"/>
              </w:rPr>
            </w:pPr>
            <w:r>
              <w:rPr>
                <w:iCs/>
                <w:sz w:val="16"/>
                <w:szCs w:val="16"/>
              </w:rPr>
              <w:t>25.2%</w:t>
            </w:r>
          </w:p>
        </w:tc>
      </w:tr>
      <w:tr w:rsidR="00D53BC0" w:rsidRPr="00921969" w14:paraId="4ED99390" w14:textId="77777777" w:rsidTr="001A60EB">
        <w:tc>
          <w:tcPr>
            <w:tcW w:w="3681" w:type="dxa"/>
            <w:vAlign w:val="bottom"/>
          </w:tcPr>
          <w:p w14:paraId="3F87DD9D" w14:textId="25F38529" w:rsidR="00D53BC0" w:rsidRPr="00921969" w:rsidRDefault="00107855" w:rsidP="001A60EB">
            <w:pPr>
              <w:rPr>
                <w:iCs/>
                <w:sz w:val="16"/>
                <w:szCs w:val="16"/>
              </w:rPr>
            </w:pPr>
            <w:r>
              <w:rPr>
                <w:iCs/>
                <w:sz w:val="16"/>
                <w:szCs w:val="16"/>
              </w:rPr>
              <w:t>Other outcomes</w:t>
            </w:r>
            <w:r w:rsidR="0046532A">
              <w:rPr>
                <w:rStyle w:val="FootnoteReference"/>
                <w:iCs/>
                <w:sz w:val="16"/>
                <w:szCs w:val="16"/>
              </w:rPr>
              <w:footnoteReference w:id="21"/>
            </w:r>
          </w:p>
        </w:tc>
        <w:tc>
          <w:tcPr>
            <w:tcW w:w="2551" w:type="dxa"/>
            <w:vAlign w:val="bottom"/>
          </w:tcPr>
          <w:p w14:paraId="5A4DAB5F" w14:textId="2FC8781C" w:rsidR="00D53BC0" w:rsidRPr="00921969" w:rsidRDefault="0046532A" w:rsidP="001A60EB">
            <w:pPr>
              <w:rPr>
                <w:iCs/>
                <w:sz w:val="16"/>
                <w:szCs w:val="16"/>
              </w:rPr>
            </w:pPr>
            <w:r>
              <w:rPr>
                <w:iCs/>
                <w:sz w:val="16"/>
                <w:szCs w:val="16"/>
              </w:rPr>
              <w:t>29</w:t>
            </w:r>
          </w:p>
        </w:tc>
        <w:tc>
          <w:tcPr>
            <w:tcW w:w="2552" w:type="dxa"/>
            <w:vAlign w:val="bottom"/>
          </w:tcPr>
          <w:p w14:paraId="70B44575" w14:textId="1BF09647" w:rsidR="00D53BC0" w:rsidRPr="00921969" w:rsidRDefault="0046532A" w:rsidP="001A60EB">
            <w:pPr>
              <w:rPr>
                <w:iCs/>
                <w:sz w:val="16"/>
                <w:szCs w:val="16"/>
              </w:rPr>
            </w:pPr>
            <w:r>
              <w:rPr>
                <w:iCs/>
                <w:sz w:val="16"/>
                <w:szCs w:val="16"/>
              </w:rPr>
              <w:t>18.7%</w:t>
            </w:r>
          </w:p>
        </w:tc>
      </w:tr>
      <w:tr w:rsidR="00D53BC0" w:rsidRPr="00921969" w14:paraId="79B9F269" w14:textId="77777777" w:rsidTr="001A60EB">
        <w:tc>
          <w:tcPr>
            <w:tcW w:w="3681" w:type="dxa"/>
            <w:vAlign w:val="bottom"/>
          </w:tcPr>
          <w:p w14:paraId="0BFED11C" w14:textId="65B2DD1B" w:rsidR="00D53BC0" w:rsidRPr="00921969" w:rsidRDefault="00107855" w:rsidP="001A60EB">
            <w:pPr>
              <w:rPr>
                <w:iCs/>
                <w:sz w:val="16"/>
                <w:szCs w:val="16"/>
              </w:rPr>
            </w:pPr>
            <w:r>
              <w:rPr>
                <w:iCs/>
                <w:sz w:val="16"/>
                <w:szCs w:val="16"/>
              </w:rPr>
              <w:t>Participation in a training programme</w:t>
            </w:r>
          </w:p>
        </w:tc>
        <w:tc>
          <w:tcPr>
            <w:tcW w:w="2551" w:type="dxa"/>
            <w:vAlign w:val="bottom"/>
          </w:tcPr>
          <w:p w14:paraId="49A8D1D3" w14:textId="6272FCFD" w:rsidR="00D53BC0" w:rsidRPr="00921969" w:rsidRDefault="0046532A" w:rsidP="001A60EB">
            <w:pPr>
              <w:rPr>
                <w:iCs/>
                <w:sz w:val="16"/>
                <w:szCs w:val="16"/>
              </w:rPr>
            </w:pPr>
            <w:r>
              <w:rPr>
                <w:iCs/>
                <w:sz w:val="16"/>
                <w:szCs w:val="16"/>
              </w:rPr>
              <w:t>18</w:t>
            </w:r>
          </w:p>
        </w:tc>
        <w:tc>
          <w:tcPr>
            <w:tcW w:w="2552" w:type="dxa"/>
            <w:vAlign w:val="bottom"/>
          </w:tcPr>
          <w:p w14:paraId="6C865D66" w14:textId="51AC6F42" w:rsidR="00D53BC0" w:rsidRPr="00921969" w:rsidRDefault="0046532A" w:rsidP="001A60EB">
            <w:pPr>
              <w:rPr>
                <w:iCs/>
                <w:sz w:val="16"/>
                <w:szCs w:val="16"/>
              </w:rPr>
            </w:pPr>
            <w:r>
              <w:rPr>
                <w:iCs/>
                <w:sz w:val="16"/>
                <w:szCs w:val="16"/>
              </w:rPr>
              <w:t>11.6%</w:t>
            </w:r>
          </w:p>
        </w:tc>
      </w:tr>
      <w:tr w:rsidR="00D53BC0" w:rsidRPr="00921969" w14:paraId="6BB222EC" w14:textId="77777777" w:rsidTr="001A60EB">
        <w:tc>
          <w:tcPr>
            <w:tcW w:w="3681" w:type="dxa"/>
            <w:vAlign w:val="bottom"/>
          </w:tcPr>
          <w:p w14:paraId="6D9596C2" w14:textId="1167832F" w:rsidR="00D53BC0" w:rsidRPr="00921969" w:rsidRDefault="00107855" w:rsidP="001A60EB">
            <w:pPr>
              <w:rPr>
                <w:iCs/>
                <w:sz w:val="16"/>
                <w:szCs w:val="16"/>
              </w:rPr>
            </w:pPr>
            <w:r>
              <w:rPr>
                <w:iCs/>
                <w:sz w:val="16"/>
                <w:szCs w:val="16"/>
              </w:rPr>
              <w:t>Full-time study</w:t>
            </w:r>
          </w:p>
        </w:tc>
        <w:tc>
          <w:tcPr>
            <w:tcW w:w="2551" w:type="dxa"/>
            <w:vAlign w:val="bottom"/>
          </w:tcPr>
          <w:p w14:paraId="1EC590FB" w14:textId="149EB366" w:rsidR="00D53BC0" w:rsidRPr="00921969" w:rsidRDefault="0046532A" w:rsidP="001A60EB">
            <w:pPr>
              <w:rPr>
                <w:iCs/>
                <w:sz w:val="16"/>
                <w:szCs w:val="16"/>
              </w:rPr>
            </w:pPr>
            <w:r>
              <w:rPr>
                <w:iCs/>
                <w:sz w:val="16"/>
                <w:szCs w:val="16"/>
              </w:rPr>
              <w:t>18</w:t>
            </w:r>
          </w:p>
        </w:tc>
        <w:tc>
          <w:tcPr>
            <w:tcW w:w="2552" w:type="dxa"/>
            <w:vAlign w:val="bottom"/>
          </w:tcPr>
          <w:p w14:paraId="1C57B471" w14:textId="156F631E" w:rsidR="00D53BC0" w:rsidRPr="00921969" w:rsidRDefault="0046532A" w:rsidP="001A60EB">
            <w:pPr>
              <w:rPr>
                <w:iCs/>
                <w:sz w:val="16"/>
                <w:szCs w:val="16"/>
              </w:rPr>
            </w:pPr>
            <w:r>
              <w:rPr>
                <w:iCs/>
                <w:sz w:val="16"/>
                <w:szCs w:val="16"/>
              </w:rPr>
              <w:t>11.6%</w:t>
            </w:r>
          </w:p>
        </w:tc>
      </w:tr>
      <w:tr w:rsidR="00D53BC0" w:rsidRPr="00921969" w14:paraId="281136A8" w14:textId="77777777" w:rsidTr="001A60EB">
        <w:tc>
          <w:tcPr>
            <w:tcW w:w="3681" w:type="dxa"/>
            <w:vAlign w:val="bottom"/>
          </w:tcPr>
          <w:p w14:paraId="2BF2A9B4" w14:textId="3B63BEB9" w:rsidR="00D53BC0" w:rsidRPr="00921969" w:rsidRDefault="00107855" w:rsidP="001A60EB">
            <w:pPr>
              <w:rPr>
                <w:iCs/>
                <w:sz w:val="16"/>
                <w:szCs w:val="16"/>
              </w:rPr>
            </w:pPr>
            <w:r>
              <w:rPr>
                <w:iCs/>
                <w:sz w:val="16"/>
                <w:szCs w:val="16"/>
              </w:rPr>
              <w:t>Part-time study</w:t>
            </w:r>
          </w:p>
        </w:tc>
        <w:tc>
          <w:tcPr>
            <w:tcW w:w="2551" w:type="dxa"/>
            <w:vAlign w:val="bottom"/>
          </w:tcPr>
          <w:p w14:paraId="17651C82" w14:textId="6E9F3386" w:rsidR="00D53BC0" w:rsidRPr="00921969" w:rsidRDefault="0046532A" w:rsidP="001A60EB">
            <w:pPr>
              <w:rPr>
                <w:iCs/>
                <w:sz w:val="16"/>
                <w:szCs w:val="16"/>
              </w:rPr>
            </w:pPr>
            <w:r>
              <w:rPr>
                <w:iCs/>
                <w:sz w:val="16"/>
                <w:szCs w:val="16"/>
              </w:rPr>
              <w:t>12</w:t>
            </w:r>
          </w:p>
        </w:tc>
        <w:tc>
          <w:tcPr>
            <w:tcW w:w="2552" w:type="dxa"/>
            <w:vAlign w:val="bottom"/>
          </w:tcPr>
          <w:p w14:paraId="1D0370F5" w14:textId="4590E322" w:rsidR="00D53BC0" w:rsidRPr="00921969" w:rsidRDefault="0046532A" w:rsidP="001A60EB">
            <w:pPr>
              <w:rPr>
                <w:iCs/>
                <w:sz w:val="16"/>
                <w:szCs w:val="16"/>
              </w:rPr>
            </w:pPr>
            <w:r>
              <w:rPr>
                <w:iCs/>
                <w:sz w:val="16"/>
                <w:szCs w:val="16"/>
              </w:rPr>
              <w:t>7.7%</w:t>
            </w:r>
          </w:p>
        </w:tc>
      </w:tr>
      <w:tr w:rsidR="00D53BC0" w:rsidRPr="00921969" w14:paraId="7158B7C3" w14:textId="77777777" w:rsidTr="001A60EB">
        <w:tc>
          <w:tcPr>
            <w:tcW w:w="3681" w:type="dxa"/>
            <w:vAlign w:val="bottom"/>
          </w:tcPr>
          <w:p w14:paraId="157011B3" w14:textId="77777777" w:rsidR="00D53BC0" w:rsidRPr="00921969" w:rsidRDefault="00D53BC0" w:rsidP="001A60EB">
            <w:pPr>
              <w:rPr>
                <w:b/>
                <w:bCs/>
                <w:iCs/>
                <w:sz w:val="16"/>
                <w:szCs w:val="18"/>
              </w:rPr>
            </w:pPr>
            <w:r w:rsidRPr="00921969">
              <w:rPr>
                <w:b/>
                <w:bCs/>
                <w:iCs/>
                <w:sz w:val="16"/>
                <w:szCs w:val="18"/>
              </w:rPr>
              <w:t>Total outcomes</w:t>
            </w:r>
          </w:p>
        </w:tc>
        <w:tc>
          <w:tcPr>
            <w:tcW w:w="2551" w:type="dxa"/>
            <w:vAlign w:val="bottom"/>
          </w:tcPr>
          <w:p w14:paraId="0763C856" w14:textId="1D5872B6" w:rsidR="00D53BC0" w:rsidRPr="00921969" w:rsidRDefault="00107855" w:rsidP="001A60EB">
            <w:pPr>
              <w:rPr>
                <w:b/>
                <w:bCs/>
                <w:iCs/>
                <w:sz w:val="16"/>
                <w:szCs w:val="18"/>
              </w:rPr>
            </w:pPr>
            <w:r>
              <w:rPr>
                <w:b/>
                <w:bCs/>
                <w:iCs/>
                <w:sz w:val="16"/>
                <w:szCs w:val="18"/>
              </w:rPr>
              <w:t>155</w:t>
            </w:r>
          </w:p>
        </w:tc>
        <w:tc>
          <w:tcPr>
            <w:tcW w:w="2552" w:type="dxa"/>
            <w:vAlign w:val="bottom"/>
          </w:tcPr>
          <w:p w14:paraId="1A094996" w14:textId="77777777" w:rsidR="00D53BC0" w:rsidRPr="00921969" w:rsidRDefault="00D53BC0" w:rsidP="001A60EB">
            <w:pPr>
              <w:rPr>
                <w:b/>
                <w:bCs/>
                <w:iCs/>
                <w:sz w:val="16"/>
                <w:szCs w:val="18"/>
              </w:rPr>
            </w:pPr>
            <w:r w:rsidRPr="00921969">
              <w:rPr>
                <w:b/>
                <w:bCs/>
                <w:iCs/>
                <w:sz w:val="16"/>
                <w:szCs w:val="18"/>
              </w:rPr>
              <w:t>100.0%</w:t>
            </w:r>
          </w:p>
        </w:tc>
      </w:tr>
      <w:tr w:rsidR="00D53BC0" w:rsidRPr="003619B8" w14:paraId="4E3C473D" w14:textId="77777777" w:rsidTr="001A60EB">
        <w:tc>
          <w:tcPr>
            <w:tcW w:w="3681" w:type="dxa"/>
            <w:vAlign w:val="bottom"/>
          </w:tcPr>
          <w:p w14:paraId="738E9D7C" w14:textId="77777777" w:rsidR="00D53BC0" w:rsidRPr="00921969" w:rsidRDefault="00D53BC0" w:rsidP="001A60EB">
            <w:pPr>
              <w:rPr>
                <w:b/>
                <w:bCs/>
                <w:iCs/>
                <w:sz w:val="16"/>
                <w:szCs w:val="18"/>
              </w:rPr>
            </w:pPr>
            <w:r w:rsidRPr="00921969">
              <w:rPr>
                <w:b/>
                <w:bCs/>
                <w:iCs/>
                <w:sz w:val="16"/>
                <w:szCs w:val="18"/>
              </w:rPr>
              <w:t>Total participants</w:t>
            </w:r>
            <w:r>
              <w:rPr>
                <w:b/>
                <w:bCs/>
                <w:iCs/>
                <w:sz w:val="16"/>
                <w:szCs w:val="18"/>
              </w:rPr>
              <w:t xml:space="preserve"> with at least one outcome</w:t>
            </w:r>
          </w:p>
        </w:tc>
        <w:tc>
          <w:tcPr>
            <w:tcW w:w="5103" w:type="dxa"/>
            <w:gridSpan w:val="2"/>
            <w:vAlign w:val="bottom"/>
          </w:tcPr>
          <w:p w14:paraId="413CA2BF" w14:textId="39F01D7C" w:rsidR="00D53BC0" w:rsidRPr="00921969" w:rsidRDefault="0046532A" w:rsidP="001A60EB">
            <w:pPr>
              <w:rPr>
                <w:b/>
                <w:bCs/>
                <w:iCs/>
                <w:sz w:val="16"/>
                <w:szCs w:val="18"/>
              </w:rPr>
            </w:pPr>
            <w:r>
              <w:rPr>
                <w:b/>
                <w:bCs/>
                <w:iCs/>
                <w:sz w:val="16"/>
                <w:szCs w:val="18"/>
              </w:rPr>
              <w:t>26.8</w:t>
            </w:r>
            <w:r w:rsidR="00A60999">
              <w:rPr>
                <w:b/>
                <w:bCs/>
                <w:iCs/>
                <w:sz w:val="16"/>
                <w:szCs w:val="18"/>
              </w:rPr>
              <w:t>% (123)</w:t>
            </w:r>
          </w:p>
        </w:tc>
      </w:tr>
      <w:tr w:rsidR="0046532A" w:rsidRPr="003619B8" w14:paraId="1446D2DC" w14:textId="77777777" w:rsidTr="001A60EB">
        <w:tc>
          <w:tcPr>
            <w:tcW w:w="3681" w:type="dxa"/>
            <w:vAlign w:val="bottom"/>
          </w:tcPr>
          <w:p w14:paraId="42BC3674" w14:textId="00932C61" w:rsidR="0046532A" w:rsidRPr="00921969" w:rsidRDefault="0046532A" w:rsidP="001A60EB">
            <w:pPr>
              <w:rPr>
                <w:b/>
                <w:bCs/>
                <w:iCs/>
                <w:sz w:val="16"/>
                <w:szCs w:val="18"/>
              </w:rPr>
            </w:pPr>
            <w:r>
              <w:rPr>
                <w:b/>
                <w:bCs/>
                <w:iCs/>
                <w:sz w:val="16"/>
                <w:szCs w:val="18"/>
              </w:rPr>
              <w:t>Total participants with two outcomes</w:t>
            </w:r>
          </w:p>
        </w:tc>
        <w:tc>
          <w:tcPr>
            <w:tcW w:w="5103" w:type="dxa"/>
            <w:gridSpan w:val="2"/>
            <w:vAlign w:val="bottom"/>
          </w:tcPr>
          <w:p w14:paraId="4981D14A" w14:textId="0CA9877F" w:rsidR="0046532A" w:rsidRDefault="00A60999" w:rsidP="001A60EB">
            <w:pPr>
              <w:rPr>
                <w:b/>
                <w:bCs/>
                <w:iCs/>
                <w:sz w:val="16"/>
                <w:szCs w:val="18"/>
              </w:rPr>
            </w:pPr>
            <w:r>
              <w:rPr>
                <w:b/>
                <w:bCs/>
                <w:iCs/>
                <w:sz w:val="16"/>
                <w:szCs w:val="18"/>
              </w:rPr>
              <w:t>6.5% (</w:t>
            </w:r>
            <w:r w:rsidR="0046532A">
              <w:rPr>
                <w:b/>
                <w:bCs/>
                <w:iCs/>
                <w:sz w:val="16"/>
                <w:szCs w:val="18"/>
              </w:rPr>
              <w:t>30</w:t>
            </w:r>
            <w:r>
              <w:rPr>
                <w:b/>
                <w:bCs/>
                <w:iCs/>
                <w:sz w:val="16"/>
                <w:szCs w:val="18"/>
              </w:rPr>
              <w:t>)</w:t>
            </w:r>
            <w:r w:rsidR="0046532A">
              <w:rPr>
                <w:b/>
                <w:bCs/>
                <w:iCs/>
                <w:sz w:val="16"/>
                <w:szCs w:val="18"/>
              </w:rPr>
              <w:t xml:space="preserve"> </w:t>
            </w:r>
          </w:p>
        </w:tc>
      </w:tr>
    </w:tbl>
    <w:p w14:paraId="7985BE6E" w14:textId="77777777" w:rsidR="00D53BC0" w:rsidRPr="003619B8" w:rsidRDefault="00D53BC0" w:rsidP="00D53BC0">
      <w:pPr>
        <w:rPr>
          <w:b/>
          <w:bCs/>
          <w:sz w:val="18"/>
          <w:szCs w:val="20"/>
          <w:highlight w:val="yellow"/>
        </w:rPr>
      </w:pPr>
    </w:p>
    <w:p w14:paraId="1AE788E9" w14:textId="77777777" w:rsidR="00D53BC0" w:rsidRPr="003619B8" w:rsidRDefault="00D53BC0" w:rsidP="00D53BC0">
      <w:pPr>
        <w:rPr>
          <w:b/>
          <w:bCs/>
          <w:sz w:val="18"/>
          <w:szCs w:val="20"/>
          <w:highlight w:val="yellow"/>
        </w:rPr>
      </w:pPr>
    </w:p>
    <w:p w14:paraId="3F7C0B5E" w14:textId="77777777" w:rsidR="00D53BC0" w:rsidRPr="003619B8" w:rsidRDefault="00D53BC0" w:rsidP="00D53BC0">
      <w:pPr>
        <w:rPr>
          <w:b/>
          <w:bCs/>
          <w:sz w:val="18"/>
          <w:szCs w:val="20"/>
          <w:highlight w:val="yellow"/>
        </w:rPr>
      </w:pPr>
    </w:p>
    <w:p w14:paraId="2DB05C16" w14:textId="77777777" w:rsidR="00D53BC0" w:rsidRPr="00BE09BE" w:rsidRDefault="00D53BC0" w:rsidP="00D53BC0">
      <w:pPr>
        <w:pStyle w:val="Heading1"/>
      </w:pPr>
      <w:bookmarkStart w:id="38" w:name="_Toc94630767"/>
      <w:bookmarkStart w:id="39" w:name="_Toc114566741"/>
      <w:r w:rsidRPr="00BE09BE">
        <w:lastRenderedPageBreak/>
        <w:t>To what extent are clients entering employment (whether part-time or full-time) on exiting the programme and sustaining that employment over time?</w:t>
      </w:r>
      <w:bookmarkEnd w:id="38"/>
      <w:bookmarkEnd w:id="39"/>
    </w:p>
    <w:p w14:paraId="61C98790" w14:textId="03C4D6F6" w:rsidR="00D53BC0" w:rsidRDefault="00D53BC0" w:rsidP="00D53BC0">
      <w:pPr>
        <w:rPr>
          <w:iCs/>
        </w:rPr>
      </w:pPr>
      <w:r w:rsidRPr="00BE09BE">
        <w:rPr>
          <w:rFonts w:eastAsia="Times New Roman"/>
          <w:iCs/>
          <w:szCs w:val="20"/>
        </w:rPr>
        <w:t xml:space="preserve">Another expected outcome of Here Toitū </w:t>
      </w:r>
      <w:bookmarkStart w:id="40" w:name="_Hlk94276092"/>
      <w:r w:rsidRPr="00BE09BE">
        <w:rPr>
          <w:rFonts w:eastAsia="Times New Roman"/>
          <w:iCs/>
          <w:szCs w:val="20"/>
        </w:rPr>
        <w:t xml:space="preserve">is that </w:t>
      </w:r>
      <w:r w:rsidRPr="00BE09BE">
        <w:rPr>
          <w:iCs/>
        </w:rPr>
        <w:t xml:space="preserve">participants </w:t>
      </w:r>
      <w:r w:rsidR="0046532A" w:rsidRPr="00BE09BE">
        <w:rPr>
          <w:iCs/>
        </w:rPr>
        <w:t>can</w:t>
      </w:r>
      <w:r w:rsidRPr="00BE09BE">
        <w:rPr>
          <w:iCs/>
        </w:rPr>
        <w:t xml:space="preserve"> improve their employment outcomes through finding sustainable work. </w:t>
      </w:r>
      <w:bookmarkStart w:id="41" w:name="_Hlk114147857"/>
      <w:bookmarkEnd w:id="40"/>
      <w:r w:rsidRPr="00BE09BE">
        <w:rPr>
          <w:iCs/>
        </w:rPr>
        <w:t>One measure that can be used to measure this is the employment outcomes provided in the provider data</w:t>
      </w:r>
      <w:bookmarkEnd w:id="41"/>
      <w:r w:rsidRPr="00BE09BE">
        <w:rPr>
          <w:iCs/>
        </w:rPr>
        <w:t xml:space="preserve">. </w:t>
      </w:r>
      <w:r w:rsidR="0046532A">
        <w:rPr>
          <w:iCs/>
        </w:rPr>
        <w:t xml:space="preserve">Another measure that can be used is checking the </w:t>
      </w:r>
      <w:r w:rsidR="00811157">
        <w:rPr>
          <w:iCs/>
        </w:rPr>
        <w:t xml:space="preserve">main </w:t>
      </w:r>
      <w:r w:rsidR="0046532A">
        <w:rPr>
          <w:iCs/>
        </w:rPr>
        <w:t>benefit status of participants after their exit date.</w:t>
      </w:r>
      <w:r w:rsidR="000C2845">
        <w:rPr>
          <w:iCs/>
        </w:rPr>
        <w:t xml:space="preserve"> These measures are both limited by the lack of </w:t>
      </w:r>
      <w:r w:rsidR="000C2845" w:rsidRPr="000C2845">
        <w:rPr>
          <w:iCs/>
        </w:rPr>
        <w:t>a comparison group</w:t>
      </w:r>
      <w:r w:rsidR="000C2845">
        <w:rPr>
          <w:iCs/>
        </w:rPr>
        <w:t>. W</w:t>
      </w:r>
      <w:r w:rsidR="000C2845" w:rsidRPr="000C2845">
        <w:rPr>
          <w:iCs/>
        </w:rPr>
        <w:t xml:space="preserve">ithout a comparison group, it is difficult to determine how much of any change is down to the Here Toitū service, or what would have happened anyway without the service. </w:t>
      </w:r>
    </w:p>
    <w:p w14:paraId="39A56BBE" w14:textId="77777777" w:rsidR="00EE5288" w:rsidRPr="00BE09BE" w:rsidRDefault="00EE5288" w:rsidP="00D53BC0">
      <w:pPr>
        <w:rPr>
          <w:iCs/>
        </w:rPr>
      </w:pPr>
    </w:p>
    <w:p w14:paraId="0B629BC6" w14:textId="13CE2155" w:rsidR="00D53BC0" w:rsidRPr="00BE09BE" w:rsidRDefault="00D53BC0" w:rsidP="00D53BC0">
      <w:pPr>
        <w:pStyle w:val="Heading3"/>
      </w:pPr>
      <w:r w:rsidRPr="00BE09BE">
        <w:t xml:space="preserve">As at </w:t>
      </w:r>
      <w:r w:rsidR="0046532A">
        <w:t>the end of 2021</w:t>
      </w:r>
      <w:r w:rsidRPr="00BE09BE">
        <w:t xml:space="preserve">, </w:t>
      </w:r>
      <w:bookmarkStart w:id="42" w:name="_Hlk94275985"/>
      <w:r w:rsidR="00BC4C29">
        <w:t>just over 16</w:t>
      </w:r>
      <w:r w:rsidRPr="00BE09BE">
        <w:t xml:space="preserve"> percent of participants have an employment outcome recorded.</w:t>
      </w:r>
      <w:bookmarkEnd w:id="42"/>
    </w:p>
    <w:p w14:paraId="60FEA317" w14:textId="77777777" w:rsidR="00D53BC0" w:rsidRPr="00BE09BE" w:rsidRDefault="00D53BC0" w:rsidP="00D53BC0">
      <w:pPr>
        <w:rPr>
          <w:iCs/>
        </w:rPr>
      </w:pPr>
      <w:bookmarkStart w:id="43" w:name="_Hlk114147869"/>
      <w:r w:rsidRPr="00BE09BE">
        <w:rPr>
          <w:iCs/>
        </w:rPr>
        <w:t xml:space="preserve">Within the provider data, providers can provide up to two employment outcomes for participants, as well as supplying a start and end date. </w:t>
      </w:r>
      <w:bookmarkStart w:id="44" w:name="_Hlk94276010"/>
      <w:r w:rsidRPr="00BE09BE">
        <w:rPr>
          <w:iCs/>
        </w:rPr>
        <w:t xml:space="preserve">The potential employment outcomes </w:t>
      </w:r>
      <w:proofErr w:type="gramStart"/>
      <w:r w:rsidRPr="00BE09BE">
        <w:rPr>
          <w:iCs/>
        </w:rPr>
        <w:t>are:</w:t>
      </w:r>
      <w:proofErr w:type="gramEnd"/>
      <w:r w:rsidRPr="00BE09BE">
        <w:rPr>
          <w:iCs/>
        </w:rPr>
        <w:t xml:space="preserve"> part-time work (defined as work between 15 and 29 hours per week), and full-time work (defined as work that is 30 or more hours per week).</w:t>
      </w:r>
    </w:p>
    <w:bookmarkEnd w:id="43"/>
    <w:bookmarkEnd w:id="44"/>
    <w:p w14:paraId="23C390FC" w14:textId="58481371" w:rsidR="00D53BC0" w:rsidRPr="00BE09BE" w:rsidRDefault="00D53BC0" w:rsidP="00D53BC0">
      <w:pPr>
        <w:rPr>
          <w:iCs/>
        </w:rPr>
      </w:pPr>
      <w:r w:rsidRPr="00BE09BE">
        <w:rPr>
          <w:iCs/>
          <w:sz w:val="22"/>
          <w:szCs w:val="24"/>
        </w:rPr>
        <w:fldChar w:fldCharType="begin"/>
      </w:r>
      <w:r w:rsidRPr="00BE09BE">
        <w:rPr>
          <w:iCs/>
          <w:sz w:val="22"/>
          <w:szCs w:val="24"/>
        </w:rPr>
        <w:instrText xml:space="preserve"> REF _Ref94276737 \h  \* MERGEFORMAT </w:instrText>
      </w:r>
      <w:r w:rsidRPr="00BE09BE">
        <w:rPr>
          <w:iCs/>
          <w:sz w:val="22"/>
          <w:szCs w:val="24"/>
        </w:rPr>
      </w:r>
      <w:r w:rsidRPr="00BE09BE">
        <w:rPr>
          <w:iCs/>
          <w:sz w:val="22"/>
          <w:szCs w:val="24"/>
        </w:rPr>
        <w:fldChar w:fldCharType="separate"/>
      </w:r>
      <w:r w:rsidR="0008130B" w:rsidRPr="0008130B">
        <w:t xml:space="preserve">Table </w:t>
      </w:r>
      <w:r w:rsidR="0008130B" w:rsidRPr="0008130B">
        <w:rPr>
          <w:noProof/>
        </w:rPr>
        <w:t>8</w:t>
      </w:r>
      <w:r w:rsidRPr="00BE09BE">
        <w:rPr>
          <w:iCs/>
          <w:sz w:val="22"/>
          <w:szCs w:val="24"/>
        </w:rPr>
        <w:fldChar w:fldCharType="end"/>
      </w:r>
      <w:r w:rsidRPr="00BE09BE">
        <w:rPr>
          <w:iCs/>
        </w:rPr>
        <w:t xml:space="preserve"> below shows that </w:t>
      </w:r>
      <w:r w:rsidR="00BC4C29">
        <w:rPr>
          <w:iCs/>
        </w:rPr>
        <w:t xml:space="preserve">just over 16 percent of </w:t>
      </w:r>
      <w:r w:rsidRPr="00BE09BE">
        <w:rPr>
          <w:iCs/>
        </w:rPr>
        <w:t xml:space="preserve">participants </w:t>
      </w:r>
      <w:bookmarkStart w:id="45" w:name="_Hlk114147892"/>
      <w:r w:rsidRPr="00BE09BE">
        <w:rPr>
          <w:iCs/>
        </w:rPr>
        <w:t>(</w:t>
      </w:r>
      <w:r w:rsidR="00BC4C29">
        <w:rPr>
          <w:iCs/>
        </w:rPr>
        <w:t>75</w:t>
      </w:r>
      <w:r w:rsidRPr="00BE09BE">
        <w:rPr>
          <w:iCs/>
        </w:rPr>
        <w:t>) have had a</w:t>
      </w:r>
      <w:r w:rsidR="00BC4C29">
        <w:rPr>
          <w:iCs/>
        </w:rPr>
        <w:t>t least one</w:t>
      </w:r>
      <w:r w:rsidRPr="00BE09BE">
        <w:rPr>
          <w:iCs/>
        </w:rPr>
        <w:t xml:space="preserve"> employment outcome recorded. Additionally, </w:t>
      </w:r>
      <w:r w:rsidR="00306A27">
        <w:rPr>
          <w:iCs/>
        </w:rPr>
        <w:t>just over two</w:t>
      </w:r>
      <w:r w:rsidR="00BC4C29">
        <w:rPr>
          <w:iCs/>
        </w:rPr>
        <w:t xml:space="preserve"> percent of</w:t>
      </w:r>
      <w:r w:rsidRPr="00BE09BE">
        <w:rPr>
          <w:iCs/>
        </w:rPr>
        <w:t xml:space="preserve"> participants</w:t>
      </w:r>
      <w:r w:rsidR="00BC4C29">
        <w:rPr>
          <w:iCs/>
        </w:rPr>
        <w:t xml:space="preserve"> (12)</w:t>
      </w:r>
      <w:r w:rsidRPr="00BE09BE">
        <w:rPr>
          <w:iCs/>
        </w:rPr>
        <w:t xml:space="preserve"> have had two employment outcomes recorded. The most common outcome was full-time work (</w:t>
      </w:r>
      <w:r w:rsidR="00BC4C29">
        <w:rPr>
          <w:iCs/>
        </w:rPr>
        <w:t>62.1</w:t>
      </w:r>
      <w:r w:rsidRPr="00BE09BE">
        <w:rPr>
          <w:iCs/>
        </w:rPr>
        <w:t xml:space="preserve"> percent of all outcomes</w:t>
      </w:r>
      <w:r w:rsidR="00BC4C29">
        <w:rPr>
          <w:iCs/>
        </w:rPr>
        <w:t>, or 54 outcomes</w:t>
      </w:r>
      <w:r w:rsidRPr="00BE09BE">
        <w:rPr>
          <w:iCs/>
        </w:rPr>
        <w:t>).</w:t>
      </w:r>
    </w:p>
    <w:p w14:paraId="209DCF0B" w14:textId="4A7542FC" w:rsidR="00D53BC0" w:rsidRPr="00BE09BE" w:rsidRDefault="00D53BC0" w:rsidP="00D53BC0">
      <w:pPr>
        <w:rPr>
          <w:b/>
          <w:bCs/>
          <w:sz w:val="18"/>
          <w:szCs w:val="20"/>
        </w:rPr>
      </w:pPr>
      <w:bookmarkStart w:id="46" w:name="_Ref94276737"/>
      <w:bookmarkEnd w:id="45"/>
      <w:r w:rsidRPr="00BE09BE">
        <w:rPr>
          <w:b/>
          <w:bCs/>
          <w:sz w:val="18"/>
          <w:szCs w:val="20"/>
        </w:rPr>
        <w:t xml:space="preserve">Table </w:t>
      </w:r>
      <w:r w:rsidRPr="00BE09BE">
        <w:rPr>
          <w:b/>
          <w:bCs/>
          <w:sz w:val="18"/>
          <w:szCs w:val="20"/>
        </w:rPr>
        <w:fldChar w:fldCharType="begin"/>
      </w:r>
      <w:r w:rsidRPr="00BE09BE">
        <w:rPr>
          <w:b/>
          <w:bCs/>
          <w:sz w:val="18"/>
          <w:szCs w:val="20"/>
        </w:rPr>
        <w:instrText xml:space="preserve"> SEQ Table \* ARABIC </w:instrText>
      </w:r>
      <w:r w:rsidRPr="00BE09BE">
        <w:rPr>
          <w:b/>
          <w:bCs/>
          <w:sz w:val="18"/>
          <w:szCs w:val="20"/>
        </w:rPr>
        <w:fldChar w:fldCharType="separate"/>
      </w:r>
      <w:r w:rsidR="0008130B">
        <w:rPr>
          <w:b/>
          <w:bCs/>
          <w:noProof/>
          <w:sz w:val="18"/>
          <w:szCs w:val="20"/>
        </w:rPr>
        <w:t>8</w:t>
      </w:r>
      <w:r w:rsidRPr="00BE09BE">
        <w:rPr>
          <w:b/>
          <w:bCs/>
          <w:sz w:val="18"/>
          <w:szCs w:val="20"/>
        </w:rPr>
        <w:fldChar w:fldCharType="end"/>
      </w:r>
      <w:bookmarkEnd w:id="46"/>
      <w:r w:rsidRPr="00BE09BE">
        <w:rPr>
          <w:b/>
          <w:bCs/>
          <w:sz w:val="18"/>
          <w:szCs w:val="20"/>
        </w:rPr>
        <w:t xml:space="preserve">: Employment outcomes for participants </w:t>
      </w:r>
      <w:r w:rsidR="00306A27">
        <w:rPr>
          <w:b/>
          <w:bCs/>
          <w:sz w:val="18"/>
          <w:szCs w:val="20"/>
        </w:rPr>
        <w:t>as at the end of 2021</w:t>
      </w:r>
      <w:r w:rsidRPr="00BE09BE">
        <w:rPr>
          <w:b/>
          <w:bCs/>
          <w:sz w:val="18"/>
          <w:szCs w:val="20"/>
        </w:rPr>
        <w:t>.</w:t>
      </w:r>
    </w:p>
    <w:tbl>
      <w:tblPr>
        <w:tblStyle w:val="TableGrid"/>
        <w:tblW w:w="0" w:type="auto"/>
        <w:tblLook w:val="04A0" w:firstRow="1" w:lastRow="0" w:firstColumn="1" w:lastColumn="0" w:noHBand="0" w:noVBand="1"/>
      </w:tblPr>
      <w:tblGrid>
        <w:gridCol w:w="2350"/>
        <w:gridCol w:w="2264"/>
        <w:gridCol w:w="2375"/>
        <w:gridCol w:w="2027"/>
      </w:tblGrid>
      <w:tr w:rsidR="00D53BC0" w:rsidRPr="00BE09BE" w14:paraId="7C6794B2" w14:textId="77777777" w:rsidTr="001A60EB">
        <w:tc>
          <w:tcPr>
            <w:tcW w:w="2350" w:type="dxa"/>
          </w:tcPr>
          <w:p w14:paraId="611C9503" w14:textId="77777777" w:rsidR="00D53BC0" w:rsidRPr="00BE09BE" w:rsidRDefault="00D53BC0" w:rsidP="001A60EB">
            <w:pPr>
              <w:rPr>
                <w:b/>
                <w:bCs/>
                <w:iCs/>
                <w:sz w:val="16"/>
                <w:szCs w:val="18"/>
              </w:rPr>
            </w:pPr>
            <w:r w:rsidRPr="00BE09BE">
              <w:rPr>
                <w:b/>
                <w:bCs/>
                <w:iCs/>
                <w:sz w:val="16"/>
                <w:szCs w:val="18"/>
              </w:rPr>
              <w:t>Outcome</w:t>
            </w:r>
          </w:p>
        </w:tc>
        <w:tc>
          <w:tcPr>
            <w:tcW w:w="2264" w:type="dxa"/>
          </w:tcPr>
          <w:p w14:paraId="208D80E3" w14:textId="77777777" w:rsidR="00D53BC0" w:rsidRPr="00BE09BE" w:rsidRDefault="00D53BC0" w:rsidP="001A60EB">
            <w:pPr>
              <w:rPr>
                <w:b/>
                <w:bCs/>
                <w:iCs/>
                <w:sz w:val="16"/>
                <w:szCs w:val="18"/>
              </w:rPr>
            </w:pPr>
            <w:r w:rsidRPr="00BE09BE">
              <w:rPr>
                <w:b/>
                <w:bCs/>
                <w:iCs/>
                <w:sz w:val="16"/>
                <w:szCs w:val="18"/>
              </w:rPr>
              <w:t>Total number</w:t>
            </w:r>
          </w:p>
        </w:tc>
        <w:tc>
          <w:tcPr>
            <w:tcW w:w="2375" w:type="dxa"/>
          </w:tcPr>
          <w:p w14:paraId="6F965469" w14:textId="77777777" w:rsidR="00D53BC0" w:rsidRPr="00BE09BE" w:rsidRDefault="00D53BC0" w:rsidP="001A60EB">
            <w:pPr>
              <w:rPr>
                <w:b/>
                <w:bCs/>
                <w:iCs/>
                <w:sz w:val="16"/>
                <w:szCs w:val="18"/>
              </w:rPr>
            </w:pPr>
            <w:r w:rsidRPr="00BE09BE">
              <w:rPr>
                <w:b/>
                <w:bCs/>
                <w:iCs/>
                <w:sz w:val="16"/>
                <w:szCs w:val="18"/>
              </w:rPr>
              <w:t>Percentage</w:t>
            </w:r>
          </w:p>
        </w:tc>
        <w:tc>
          <w:tcPr>
            <w:tcW w:w="2027" w:type="dxa"/>
          </w:tcPr>
          <w:p w14:paraId="75313913" w14:textId="77777777" w:rsidR="00D53BC0" w:rsidRPr="00BE09BE" w:rsidRDefault="00D53BC0" w:rsidP="001A60EB">
            <w:pPr>
              <w:rPr>
                <w:b/>
                <w:bCs/>
                <w:iCs/>
                <w:sz w:val="16"/>
                <w:szCs w:val="18"/>
              </w:rPr>
            </w:pPr>
            <w:r w:rsidRPr="00BE09BE">
              <w:rPr>
                <w:b/>
                <w:bCs/>
                <w:iCs/>
                <w:sz w:val="16"/>
                <w:szCs w:val="18"/>
              </w:rPr>
              <w:t>Number ended</w:t>
            </w:r>
          </w:p>
        </w:tc>
      </w:tr>
      <w:tr w:rsidR="00D53BC0" w:rsidRPr="00BE09BE" w14:paraId="740A3F14" w14:textId="77777777" w:rsidTr="001A60EB">
        <w:tc>
          <w:tcPr>
            <w:tcW w:w="2350" w:type="dxa"/>
            <w:vAlign w:val="bottom"/>
          </w:tcPr>
          <w:p w14:paraId="2CC0682D" w14:textId="77777777" w:rsidR="00D53BC0" w:rsidRPr="00BE09BE" w:rsidRDefault="00D53BC0" w:rsidP="001A60EB">
            <w:pPr>
              <w:rPr>
                <w:iCs/>
                <w:sz w:val="16"/>
                <w:szCs w:val="18"/>
              </w:rPr>
            </w:pPr>
            <w:r w:rsidRPr="00BE09BE">
              <w:rPr>
                <w:iCs/>
                <w:sz w:val="16"/>
                <w:szCs w:val="18"/>
              </w:rPr>
              <w:t>Full-time work</w:t>
            </w:r>
          </w:p>
        </w:tc>
        <w:tc>
          <w:tcPr>
            <w:tcW w:w="2264" w:type="dxa"/>
            <w:vAlign w:val="bottom"/>
          </w:tcPr>
          <w:p w14:paraId="6C695565" w14:textId="540DD43E" w:rsidR="00D53BC0" w:rsidRPr="00BE09BE" w:rsidRDefault="00BC4C29" w:rsidP="001A60EB">
            <w:pPr>
              <w:rPr>
                <w:iCs/>
                <w:sz w:val="16"/>
                <w:szCs w:val="18"/>
              </w:rPr>
            </w:pPr>
            <w:r>
              <w:rPr>
                <w:iCs/>
                <w:sz w:val="16"/>
                <w:szCs w:val="18"/>
              </w:rPr>
              <w:t>54</w:t>
            </w:r>
          </w:p>
        </w:tc>
        <w:tc>
          <w:tcPr>
            <w:tcW w:w="2375" w:type="dxa"/>
            <w:vAlign w:val="bottom"/>
          </w:tcPr>
          <w:p w14:paraId="1FFDF5BC" w14:textId="6B2DDDC5" w:rsidR="00D53BC0" w:rsidRPr="00BE09BE" w:rsidRDefault="00BC4C29" w:rsidP="001A60EB">
            <w:pPr>
              <w:rPr>
                <w:iCs/>
                <w:sz w:val="16"/>
                <w:szCs w:val="18"/>
              </w:rPr>
            </w:pPr>
            <w:r>
              <w:rPr>
                <w:iCs/>
                <w:sz w:val="16"/>
                <w:szCs w:val="18"/>
              </w:rPr>
              <w:t>62.1%</w:t>
            </w:r>
          </w:p>
        </w:tc>
        <w:tc>
          <w:tcPr>
            <w:tcW w:w="2027" w:type="dxa"/>
          </w:tcPr>
          <w:p w14:paraId="6CC8F274" w14:textId="78887446" w:rsidR="00D53BC0" w:rsidRPr="00BE09BE" w:rsidRDefault="00BC4C29" w:rsidP="001A60EB">
            <w:pPr>
              <w:rPr>
                <w:iCs/>
                <w:sz w:val="16"/>
                <w:szCs w:val="18"/>
              </w:rPr>
            </w:pPr>
            <w:r>
              <w:rPr>
                <w:iCs/>
                <w:sz w:val="16"/>
                <w:szCs w:val="18"/>
              </w:rPr>
              <w:t>12</w:t>
            </w:r>
          </w:p>
        </w:tc>
      </w:tr>
      <w:tr w:rsidR="00D53BC0" w:rsidRPr="00BE09BE" w14:paraId="18A4BEB8" w14:textId="77777777" w:rsidTr="001A60EB">
        <w:tc>
          <w:tcPr>
            <w:tcW w:w="2350" w:type="dxa"/>
            <w:vAlign w:val="bottom"/>
          </w:tcPr>
          <w:p w14:paraId="4822D4AE" w14:textId="77777777" w:rsidR="00D53BC0" w:rsidRPr="00BE09BE" w:rsidRDefault="00D53BC0" w:rsidP="001A60EB">
            <w:pPr>
              <w:rPr>
                <w:iCs/>
                <w:sz w:val="16"/>
                <w:szCs w:val="18"/>
              </w:rPr>
            </w:pPr>
            <w:r w:rsidRPr="00BE09BE">
              <w:rPr>
                <w:iCs/>
                <w:sz w:val="16"/>
                <w:szCs w:val="18"/>
              </w:rPr>
              <w:t>Part-time work</w:t>
            </w:r>
          </w:p>
        </w:tc>
        <w:tc>
          <w:tcPr>
            <w:tcW w:w="2264" w:type="dxa"/>
            <w:vAlign w:val="bottom"/>
          </w:tcPr>
          <w:p w14:paraId="7B45FF22" w14:textId="1107DAD7" w:rsidR="00D53BC0" w:rsidRPr="00BE09BE" w:rsidRDefault="00BC4C29" w:rsidP="001A60EB">
            <w:pPr>
              <w:rPr>
                <w:iCs/>
                <w:sz w:val="16"/>
                <w:szCs w:val="18"/>
              </w:rPr>
            </w:pPr>
            <w:r>
              <w:rPr>
                <w:iCs/>
                <w:sz w:val="16"/>
                <w:szCs w:val="18"/>
              </w:rPr>
              <w:t>33</w:t>
            </w:r>
          </w:p>
        </w:tc>
        <w:tc>
          <w:tcPr>
            <w:tcW w:w="2375" w:type="dxa"/>
            <w:vAlign w:val="bottom"/>
          </w:tcPr>
          <w:p w14:paraId="4759B915" w14:textId="04C49F79" w:rsidR="00D53BC0" w:rsidRPr="00BE09BE" w:rsidRDefault="00BC4C29" w:rsidP="001A60EB">
            <w:pPr>
              <w:rPr>
                <w:iCs/>
                <w:sz w:val="16"/>
                <w:szCs w:val="18"/>
              </w:rPr>
            </w:pPr>
            <w:r>
              <w:rPr>
                <w:iCs/>
                <w:sz w:val="16"/>
                <w:szCs w:val="18"/>
              </w:rPr>
              <w:t>37.9%</w:t>
            </w:r>
          </w:p>
        </w:tc>
        <w:tc>
          <w:tcPr>
            <w:tcW w:w="2027" w:type="dxa"/>
          </w:tcPr>
          <w:p w14:paraId="581E2CAD" w14:textId="087C109A" w:rsidR="00D53BC0" w:rsidRPr="00BE09BE" w:rsidRDefault="00BC4C29" w:rsidP="001A60EB">
            <w:pPr>
              <w:rPr>
                <w:iCs/>
                <w:sz w:val="16"/>
                <w:szCs w:val="18"/>
              </w:rPr>
            </w:pPr>
            <w:r>
              <w:rPr>
                <w:iCs/>
                <w:sz w:val="16"/>
                <w:szCs w:val="18"/>
              </w:rPr>
              <w:t>9</w:t>
            </w:r>
          </w:p>
        </w:tc>
      </w:tr>
      <w:tr w:rsidR="00D53BC0" w:rsidRPr="00BE09BE" w14:paraId="36C41033" w14:textId="77777777" w:rsidTr="001A60EB">
        <w:tc>
          <w:tcPr>
            <w:tcW w:w="2350" w:type="dxa"/>
            <w:vAlign w:val="bottom"/>
          </w:tcPr>
          <w:p w14:paraId="03355278" w14:textId="77777777" w:rsidR="00D53BC0" w:rsidRPr="00BC4C29" w:rsidRDefault="00D53BC0" w:rsidP="001A60EB">
            <w:pPr>
              <w:rPr>
                <w:b/>
                <w:bCs/>
                <w:iCs/>
                <w:sz w:val="16"/>
                <w:szCs w:val="18"/>
              </w:rPr>
            </w:pPr>
            <w:r w:rsidRPr="00BC4C29">
              <w:rPr>
                <w:b/>
                <w:bCs/>
                <w:iCs/>
                <w:sz w:val="16"/>
                <w:szCs w:val="18"/>
              </w:rPr>
              <w:t>Total outcomes</w:t>
            </w:r>
          </w:p>
        </w:tc>
        <w:tc>
          <w:tcPr>
            <w:tcW w:w="2264" w:type="dxa"/>
            <w:vAlign w:val="bottom"/>
          </w:tcPr>
          <w:p w14:paraId="2FA96CDC" w14:textId="64C93EA0" w:rsidR="00D53BC0" w:rsidRPr="00BC4C29" w:rsidRDefault="00BC4C29" w:rsidP="001A60EB">
            <w:pPr>
              <w:rPr>
                <w:b/>
                <w:bCs/>
                <w:iCs/>
                <w:sz w:val="16"/>
                <w:szCs w:val="18"/>
              </w:rPr>
            </w:pPr>
            <w:r w:rsidRPr="00BC4C29">
              <w:rPr>
                <w:b/>
                <w:bCs/>
                <w:iCs/>
                <w:sz w:val="16"/>
                <w:szCs w:val="18"/>
              </w:rPr>
              <w:t>87</w:t>
            </w:r>
          </w:p>
        </w:tc>
        <w:tc>
          <w:tcPr>
            <w:tcW w:w="2375" w:type="dxa"/>
            <w:vAlign w:val="bottom"/>
          </w:tcPr>
          <w:p w14:paraId="11C1EE4C" w14:textId="01587130" w:rsidR="00D53BC0" w:rsidRPr="00BC4C29" w:rsidRDefault="00BC4C29" w:rsidP="001A60EB">
            <w:pPr>
              <w:rPr>
                <w:b/>
                <w:bCs/>
                <w:iCs/>
                <w:sz w:val="16"/>
                <w:szCs w:val="18"/>
              </w:rPr>
            </w:pPr>
            <w:r w:rsidRPr="00BC4C29">
              <w:rPr>
                <w:b/>
                <w:bCs/>
                <w:iCs/>
                <w:sz w:val="16"/>
                <w:szCs w:val="18"/>
              </w:rPr>
              <w:t>100%</w:t>
            </w:r>
          </w:p>
        </w:tc>
        <w:tc>
          <w:tcPr>
            <w:tcW w:w="2027" w:type="dxa"/>
          </w:tcPr>
          <w:p w14:paraId="57DF90D5" w14:textId="4EF304A4" w:rsidR="00D53BC0" w:rsidRPr="00BC4C29" w:rsidRDefault="00BC4C29" w:rsidP="001A60EB">
            <w:pPr>
              <w:rPr>
                <w:b/>
                <w:bCs/>
                <w:iCs/>
                <w:sz w:val="16"/>
                <w:szCs w:val="18"/>
              </w:rPr>
            </w:pPr>
            <w:r>
              <w:rPr>
                <w:b/>
                <w:bCs/>
                <w:iCs/>
                <w:sz w:val="16"/>
                <w:szCs w:val="18"/>
              </w:rPr>
              <w:t>21</w:t>
            </w:r>
          </w:p>
        </w:tc>
      </w:tr>
      <w:tr w:rsidR="00D53BC0" w:rsidRPr="00BE09BE" w14:paraId="58C4681B" w14:textId="77777777" w:rsidTr="001A60EB">
        <w:tc>
          <w:tcPr>
            <w:tcW w:w="2350" w:type="dxa"/>
            <w:vAlign w:val="bottom"/>
          </w:tcPr>
          <w:p w14:paraId="1AAE3FAF" w14:textId="77777777" w:rsidR="00D53BC0" w:rsidRPr="00BC4C29" w:rsidRDefault="00D53BC0" w:rsidP="001A60EB">
            <w:pPr>
              <w:rPr>
                <w:b/>
                <w:bCs/>
                <w:iCs/>
                <w:sz w:val="16"/>
                <w:szCs w:val="18"/>
              </w:rPr>
            </w:pPr>
            <w:r w:rsidRPr="00BC4C29">
              <w:rPr>
                <w:b/>
                <w:bCs/>
                <w:iCs/>
                <w:sz w:val="16"/>
                <w:szCs w:val="18"/>
              </w:rPr>
              <w:t>Total participants with at least one outcome</w:t>
            </w:r>
          </w:p>
        </w:tc>
        <w:tc>
          <w:tcPr>
            <w:tcW w:w="6666" w:type="dxa"/>
            <w:gridSpan w:val="3"/>
            <w:vAlign w:val="bottom"/>
          </w:tcPr>
          <w:p w14:paraId="29CDD72B" w14:textId="30501472" w:rsidR="00D53BC0" w:rsidRPr="00BC4C29" w:rsidRDefault="00BC4C29" w:rsidP="001A60EB">
            <w:pPr>
              <w:rPr>
                <w:b/>
                <w:bCs/>
                <w:iCs/>
                <w:sz w:val="16"/>
                <w:szCs w:val="18"/>
              </w:rPr>
            </w:pPr>
            <w:r w:rsidRPr="00BC4C29">
              <w:rPr>
                <w:b/>
                <w:bCs/>
                <w:iCs/>
                <w:sz w:val="16"/>
                <w:szCs w:val="18"/>
              </w:rPr>
              <w:t>16.3</w:t>
            </w:r>
            <w:r w:rsidR="00A60999">
              <w:rPr>
                <w:b/>
                <w:bCs/>
                <w:iCs/>
                <w:sz w:val="16"/>
                <w:szCs w:val="18"/>
              </w:rPr>
              <w:t>% (75)</w:t>
            </w:r>
            <w:r w:rsidRPr="00BC4C29">
              <w:rPr>
                <w:b/>
                <w:bCs/>
                <w:iCs/>
                <w:sz w:val="16"/>
                <w:szCs w:val="18"/>
              </w:rPr>
              <w:t xml:space="preserve"> </w:t>
            </w:r>
          </w:p>
        </w:tc>
      </w:tr>
      <w:tr w:rsidR="00BC4C29" w:rsidRPr="00BE09BE" w14:paraId="4996016B" w14:textId="77777777" w:rsidTr="001A60EB">
        <w:tc>
          <w:tcPr>
            <w:tcW w:w="2350" w:type="dxa"/>
            <w:vAlign w:val="bottom"/>
          </w:tcPr>
          <w:p w14:paraId="5EFE1E53" w14:textId="356BA40C" w:rsidR="00BC4C29" w:rsidRPr="00BC4C29" w:rsidRDefault="00BC4C29" w:rsidP="001A60EB">
            <w:pPr>
              <w:rPr>
                <w:b/>
                <w:bCs/>
                <w:iCs/>
                <w:sz w:val="16"/>
                <w:szCs w:val="18"/>
              </w:rPr>
            </w:pPr>
            <w:r w:rsidRPr="00BC4C29">
              <w:rPr>
                <w:b/>
                <w:bCs/>
                <w:iCs/>
                <w:sz w:val="16"/>
                <w:szCs w:val="18"/>
              </w:rPr>
              <w:t>Total participants with two outcomes</w:t>
            </w:r>
          </w:p>
        </w:tc>
        <w:tc>
          <w:tcPr>
            <w:tcW w:w="6666" w:type="dxa"/>
            <w:gridSpan w:val="3"/>
            <w:vAlign w:val="bottom"/>
          </w:tcPr>
          <w:p w14:paraId="55DE3B4E" w14:textId="248DCE47" w:rsidR="00BC4C29" w:rsidRPr="00BC4C29" w:rsidRDefault="00BC4C29" w:rsidP="001A60EB">
            <w:pPr>
              <w:rPr>
                <w:b/>
                <w:bCs/>
                <w:iCs/>
                <w:sz w:val="16"/>
                <w:szCs w:val="18"/>
              </w:rPr>
            </w:pPr>
            <w:r w:rsidRPr="00BC4C29">
              <w:rPr>
                <w:b/>
                <w:bCs/>
                <w:iCs/>
                <w:sz w:val="16"/>
                <w:szCs w:val="18"/>
              </w:rPr>
              <w:t>2.4</w:t>
            </w:r>
            <w:r w:rsidR="00A60999">
              <w:rPr>
                <w:b/>
                <w:bCs/>
                <w:iCs/>
                <w:sz w:val="16"/>
                <w:szCs w:val="18"/>
              </w:rPr>
              <w:t>% (12)</w:t>
            </w:r>
            <w:r w:rsidRPr="00BC4C29">
              <w:rPr>
                <w:b/>
                <w:bCs/>
                <w:iCs/>
                <w:sz w:val="16"/>
                <w:szCs w:val="18"/>
              </w:rPr>
              <w:t xml:space="preserve"> </w:t>
            </w:r>
          </w:p>
        </w:tc>
      </w:tr>
    </w:tbl>
    <w:p w14:paraId="01DACBB3" w14:textId="77777777" w:rsidR="00D53BC0" w:rsidRPr="00BE09BE" w:rsidRDefault="00D53BC0" w:rsidP="00D53BC0">
      <w:pPr>
        <w:rPr>
          <w:iCs/>
        </w:rPr>
      </w:pPr>
    </w:p>
    <w:p w14:paraId="41C5371E" w14:textId="7860581B" w:rsidR="00D53BC0" w:rsidRPr="00BE09BE" w:rsidRDefault="00D53BC0" w:rsidP="00D53BC0">
      <w:pPr>
        <w:rPr>
          <w:rFonts w:eastAsia="Times New Roman"/>
          <w:iCs/>
          <w:szCs w:val="20"/>
        </w:rPr>
      </w:pPr>
      <w:r w:rsidRPr="00BE09BE">
        <w:rPr>
          <w:rFonts w:eastAsia="Times New Roman"/>
          <w:iCs/>
          <w:szCs w:val="20"/>
        </w:rPr>
        <w:t xml:space="preserve">Of the outcomes displayed in the table above, </w:t>
      </w:r>
      <w:r w:rsidR="00BC4C29">
        <w:rPr>
          <w:rFonts w:eastAsia="Times New Roman"/>
          <w:iCs/>
          <w:szCs w:val="20"/>
        </w:rPr>
        <w:t>twelve</w:t>
      </w:r>
      <w:r w:rsidRPr="00BE09BE">
        <w:rPr>
          <w:rFonts w:eastAsia="Times New Roman"/>
          <w:iCs/>
          <w:szCs w:val="20"/>
        </w:rPr>
        <w:t xml:space="preserve"> of the full-time employment outcomes had ended</w:t>
      </w:r>
      <w:r w:rsidR="00306A27">
        <w:rPr>
          <w:rFonts w:eastAsia="Times New Roman"/>
          <w:iCs/>
          <w:szCs w:val="20"/>
        </w:rPr>
        <w:t xml:space="preserve"> by the end of 2021</w:t>
      </w:r>
      <w:r w:rsidRPr="00BE09BE">
        <w:rPr>
          <w:rFonts w:eastAsia="Times New Roman"/>
          <w:iCs/>
          <w:szCs w:val="20"/>
        </w:rPr>
        <w:t xml:space="preserve">, while the </w:t>
      </w:r>
      <w:r w:rsidR="00BC4C29">
        <w:rPr>
          <w:rFonts w:eastAsia="Times New Roman"/>
          <w:iCs/>
          <w:szCs w:val="20"/>
        </w:rPr>
        <w:t>nine</w:t>
      </w:r>
      <w:r w:rsidRPr="00BE09BE">
        <w:rPr>
          <w:rFonts w:eastAsia="Times New Roman"/>
          <w:iCs/>
          <w:szCs w:val="20"/>
        </w:rPr>
        <w:t xml:space="preserve"> of the part-time work outcomes had ended</w:t>
      </w:r>
      <w:r w:rsidR="00306A27">
        <w:rPr>
          <w:rFonts w:eastAsia="Times New Roman"/>
          <w:iCs/>
          <w:szCs w:val="20"/>
        </w:rPr>
        <w:t xml:space="preserve"> by the end of 2021</w:t>
      </w:r>
      <w:r w:rsidRPr="00BE09BE">
        <w:rPr>
          <w:rFonts w:eastAsia="Times New Roman"/>
          <w:iCs/>
          <w:szCs w:val="20"/>
        </w:rPr>
        <w:t>.</w:t>
      </w:r>
    </w:p>
    <w:p w14:paraId="45E0505E" w14:textId="5A4982E4" w:rsidR="00D53BC0" w:rsidRDefault="00D53BC0" w:rsidP="00D53BC0">
      <w:pPr>
        <w:rPr>
          <w:rFonts w:eastAsia="Times New Roman"/>
          <w:iCs/>
          <w:szCs w:val="20"/>
        </w:rPr>
      </w:pPr>
      <w:r w:rsidRPr="00BE09BE">
        <w:rPr>
          <w:rFonts w:eastAsia="Times New Roman"/>
          <w:iCs/>
          <w:szCs w:val="20"/>
        </w:rPr>
        <w:t>Long-term analysis using the IDI will likely allow for a better long-term answer to this question, as it will capture work outcomes not recorded in the provider data, as well as provide earnings information.</w:t>
      </w:r>
    </w:p>
    <w:p w14:paraId="512F5658" w14:textId="77777777" w:rsidR="00BC4C29" w:rsidRPr="00BE09BE" w:rsidRDefault="00BC4C29" w:rsidP="00D53BC0">
      <w:pPr>
        <w:rPr>
          <w:iCs/>
        </w:rPr>
      </w:pPr>
    </w:p>
    <w:p w14:paraId="77910674" w14:textId="330B9762" w:rsidR="0046532A" w:rsidRDefault="000D0A6A" w:rsidP="007F1CB9">
      <w:pPr>
        <w:pStyle w:val="Heading3"/>
      </w:pPr>
      <w:bookmarkStart w:id="47" w:name="_Hlk114147914"/>
      <w:r>
        <w:lastRenderedPageBreak/>
        <w:t>J</w:t>
      </w:r>
      <w:r w:rsidR="00BC4C29">
        <w:t xml:space="preserve">ust over 25 percent </w:t>
      </w:r>
      <w:r>
        <w:t xml:space="preserve">of former participants </w:t>
      </w:r>
      <w:r w:rsidR="00BC4C29">
        <w:t>were not on a main benefit six months after their exit</w:t>
      </w:r>
      <w:r w:rsidR="007F1CB9">
        <w:t>.</w:t>
      </w:r>
    </w:p>
    <w:p w14:paraId="0448E044" w14:textId="724E7B17" w:rsidR="00BC4C29" w:rsidRDefault="00BC4C29" w:rsidP="00F113EF">
      <w:pPr>
        <w:rPr>
          <w:iCs/>
        </w:rPr>
      </w:pPr>
      <w:bookmarkStart w:id="48" w:name="_Hlk114147946"/>
      <w:bookmarkEnd w:id="47"/>
      <w:r>
        <w:rPr>
          <w:iCs/>
        </w:rPr>
        <w:t xml:space="preserve">Within MSD data, we can track whether a participant is receiving a main benefit as at their enrolment, exit, and at time intervals after their exit date. </w:t>
      </w:r>
      <w:r w:rsidR="007F1CB9">
        <w:rPr>
          <w:iCs/>
        </w:rPr>
        <w:t>While not a direct observation of whether a participant has moved off main benefit and into employment, this can provide a proxy measure in lieu of better indicators.</w:t>
      </w:r>
    </w:p>
    <w:bookmarkEnd w:id="48"/>
    <w:p w14:paraId="47D5114C" w14:textId="3AC3655D" w:rsidR="007F1CB9" w:rsidRDefault="007F1CB9" w:rsidP="00F113EF">
      <w:pPr>
        <w:rPr>
          <w:iCs/>
        </w:rPr>
      </w:pPr>
      <w:r>
        <w:rPr>
          <w:iCs/>
        </w:rPr>
        <w:t xml:space="preserve">Figure </w:t>
      </w:r>
      <w:r w:rsidR="0008130B">
        <w:rPr>
          <w:iCs/>
        </w:rPr>
        <w:t>1</w:t>
      </w:r>
      <w:r w:rsidR="003D4073">
        <w:rPr>
          <w:iCs/>
        </w:rPr>
        <w:t>1</w:t>
      </w:r>
      <w:r>
        <w:rPr>
          <w:iCs/>
        </w:rPr>
        <w:t xml:space="preserve"> below shows that the proportion of exited participants that are not on a main benefit increases between enrolment, exit and six months after exit. Specifically, it shows that the proportion of participants that are off main benefit increases from </w:t>
      </w:r>
      <w:r w:rsidR="00306A27">
        <w:rPr>
          <w:iCs/>
        </w:rPr>
        <w:t>just over six</w:t>
      </w:r>
      <w:r>
        <w:rPr>
          <w:iCs/>
        </w:rPr>
        <w:t xml:space="preserve"> percent as at enrolment to Here </w:t>
      </w:r>
      <w:r w:rsidR="00304BE0">
        <w:rPr>
          <w:iCs/>
        </w:rPr>
        <w:t>Toitū</w:t>
      </w:r>
      <w:r>
        <w:rPr>
          <w:iCs/>
        </w:rPr>
        <w:t xml:space="preserve">, to </w:t>
      </w:r>
      <w:r w:rsidR="00306A27">
        <w:rPr>
          <w:iCs/>
        </w:rPr>
        <w:t>just over 19</w:t>
      </w:r>
      <w:r>
        <w:rPr>
          <w:iCs/>
        </w:rPr>
        <w:t xml:space="preserve"> percent as at exit from Here </w:t>
      </w:r>
      <w:r w:rsidR="00304BE0">
        <w:rPr>
          <w:iCs/>
        </w:rPr>
        <w:t>Toitū</w:t>
      </w:r>
      <w:r>
        <w:rPr>
          <w:iCs/>
        </w:rPr>
        <w:t>, and to just over 25 percent by six months after exit.</w:t>
      </w:r>
    </w:p>
    <w:p w14:paraId="114BACE8" w14:textId="2A718EA7" w:rsidR="00F271F8" w:rsidRPr="00D70FB0" w:rsidRDefault="00F271F8" w:rsidP="00F271F8">
      <w:pPr>
        <w:pStyle w:val="Caption"/>
      </w:pPr>
      <w:r w:rsidRPr="00D70FB0">
        <w:t xml:space="preserve">Figure </w:t>
      </w:r>
      <w:fldSimple w:instr=" SEQ Figure \* ARABIC ">
        <w:r w:rsidR="003D4073">
          <w:rPr>
            <w:noProof/>
          </w:rPr>
          <w:t>11</w:t>
        </w:r>
      </w:fldSimple>
      <w:r w:rsidRPr="00D70FB0">
        <w:t xml:space="preserve">: </w:t>
      </w:r>
      <w:r>
        <w:t xml:space="preserve">Proportion of </w:t>
      </w:r>
      <w:bookmarkStart w:id="49" w:name="_Hlk114147962"/>
      <w:r>
        <w:t xml:space="preserve">participants who have been exited for at least six months </w:t>
      </w:r>
      <w:bookmarkEnd w:id="49"/>
      <w:r>
        <w:t>that are not on a main benefit, at specific points of time</w:t>
      </w:r>
      <w:r w:rsidR="00682146">
        <w:t xml:space="preserve"> (n = 231)</w:t>
      </w:r>
    </w:p>
    <w:p w14:paraId="2A9852B5" w14:textId="1A8D0CEB" w:rsidR="007F1CB9" w:rsidRDefault="007F1CB9" w:rsidP="00F113EF">
      <w:pPr>
        <w:rPr>
          <w:iCs/>
        </w:rPr>
      </w:pPr>
      <w:r>
        <w:rPr>
          <w:noProof/>
        </w:rPr>
        <w:drawing>
          <wp:inline distT="0" distB="0" distL="0" distR="0" wp14:anchorId="30356006" wp14:editId="0065A3EF">
            <wp:extent cx="5057775" cy="1924050"/>
            <wp:effectExtent l="0" t="0" r="0" b="0"/>
            <wp:docPr id="11" name="Chart 11">
              <a:extLst xmlns:a="http://schemas.openxmlformats.org/drawingml/2006/main">
                <a:ext uri="{FF2B5EF4-FFF2-40B4-BE49-F238E27FC236}">
                  <a16:creationId xmlns:a16="http://schemas.microsoft.com/office/drawing/2014/main" id="{94D78CC2-EB80-44FA-8465-8F0F75FAA8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556058" w14:textId="64979CAC" w:rsidR="007F1CB9" w:rsidRDefault="007F1CB9" w:rsidP="00F113EF">
      <w:pPr>
        <w:rPr>
          <w:iCs/>
        </w:rPr>
      </w:pPr>
      <w:r>
        <w:rPr>
          <w:iCs/>
        </w:rPr>
        <w:t xml:space="preserve">Expanding these findings to look at participants that have been exited from Here </w:t>
      </w:r>
      <w:r w:rsidR="00304BE0">
        <w:rPr>
          <w:iCs/>
        </w:rPr>
        <w:t>Toitū</w:t>
      </w:r>
      <w:r>
        <w:rPr>
          <w:iCs/>
        </w:rPr>
        <w:t xml:space="preserve"> for at least 12 months, we find similar results (Figure </w:t>
      </w:r>
      <w:r w:rsidR="0008130B">
        <w:rPr>
          <w:iCs/>
        </w:rPr>
        <w:t>1</w:t>
      </w:r>
      <w:r w:rsidR="003D4073">
        <w:rPr>
          <w:iCs/>
        </w:rPr>
        <w:t>2</w:t>
      </w:r>
      <w:r>
        <w:rPr>
          <w:iCs/>
        </w:rPr>
        <w:t xml:space="preserve">). </w:t>
      </w:r>
    </w:p>
    <w:p w14:paraId="29DE96CA" w14:textId="38E8462B" w:rsidR="00F271F8" w:rsidRPr="00D70FB0" w:rsidRDefault="00F271F8" w:rsidP="00F271F8">
      <w:pPr>
        <w:pStyle w:val="Caption"/>
      </w:pPr>
      <w:r w:rsidRPr="00D70FB0">
        <w:t xml:space="preserve">Figure </w:t>
      </w:r>
      <w:fldSimple w:instr=" SEQ Figure \* ARABIC ">
        <w:r w:rsidR="003D4073">
          <w:rPr>
            <w:noProof/>
          </w:rPr>
          <w:t>12</w:t>
        </w:r>
      </w:fldSimple>
      <w:r w:rsidRPr="00D70FB0">
        <w:t xml:space="preserve">: </w:t>
      </w:r>
      <w:r>
        <w:t>Proportion of participants who have been exited for at least 12 months that are not on a main benefit, at specific points of time</w:t>
      </w:r>
      <w:r w:rsidR="00682146">
        <w:t xml:space="preserve"> (n = 129)</w:t>
      </w:r>
      <w:r>
        <w:t>.</w:t>
      </w:r>
    </w:p>
    <w:p w14:paraId="3FA2682D" w14:textId="25CF3E02" w:rsidR="007F1CB9" w:rsidRDefault="007F1CB9" w:rsidP="00F113EF">
      <w:pPr>
        <w:rPr>
          <w:iCs/>
        </w:rPr>
      </w:pPr>
      <w:r>
        <w:rPr>
          <w:noProof/>
        </w:rPr>
        <w:drawing>
          <wp:inline distT="0" distB="0" distL="0" distR="0" wp14:anchorId="1A8A9F3B" wp14:editId="63BF26BA">
            <wp:extent cx="5067300" cy="2114550"/>
            <wp:effectExtent l="0" t="0" r="0" b="0"/>
            <wp:docPr id="12" name="Chart 12">
              <a:extLst xmlns:a="http://schemas.openxmlformats.org/drawingml/2006/main">
                <a:ext uri="{FF2B5EF4-FFF2-40B4-BE49-F238E27FC236}">
                  <a16:creationId xmlns:a16="http://schemas.microsoft.com/office/drawing/2014/main" id="{28F10F48-9643-4A25-9149-182E5217AD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EA4581" w14:textId="320462C2" w:rsidR="00B2417F" w:rsidRDefault="00B2417F" w:rsidP="00B2417F">
      <w:pPr>
        <w:rPr>
          <w:rFonts w:eastAsia="Times New Roman"/>
          <w:iCs/>
          <w:szCs w:val="20"/>
        </w:rPr>
      </w:pPr>
      <w:r w:rsidRPr="00BE09BE">
        <w:rPr>
          <w:rFonts w:eastAsia="Times New Roman"/>
          <w:iCs/>
          <w:szCs w:val="20"/>
        </w:rPr>
        <w:t xml:space="preserve">Long-term analysis using the IDI will likely allow for a better long-term answer to this question, as it will </w:t>
      </w:r>
      <w:r>
        <w:rPr>
          <w:rFonts w:eastAsia="Times New Roman"/>
          <w:iCs/>
          <w:szCs w:val="20"/>
        </w:rPr>
        <w:t xml:space="preserve">allow for detailed analysis alongside a comparison group to determine whether these outcomes are different from MSD benefit recipients who did not enrol into Here </w:t>
      </w:r>
      <w:r w:rsidR="00304BE0">
        <w:rPr>
          <w:rFonts w:eastAsia="Times New Roman"/>
          <w:iCs/>
          <w:szCs w:val="20"/>
        </w:rPr>
        <w:t>Toitū</w:t>
      </w:r>
      <w:r>
        <w:rPr>
          <w:rFonts w:eastAsia="Times New Roman"/>
          <w:iCs/>
          <w:szCs w:val="20"/>
        </w:rPr>
        <w:t>.</w:t>
      </w:r>
    </w:p>
    <w:sectPr w:rsidR="00B2417F" w:rsidSect="002559DB">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8655" w14:textId="77777777" w:rsidR="00CB464E" w:rsidRDefault="00CB464E" w:rsidP="00FC6821">
      <w:pPr>
        <w:spacing w:after="0" w:line="240" w:lineRule="auto"/>
      </w:pPr>
      <w:r>
        <w:separator/>
      </w:r>
    </w:p>
  </w:endnote>
  <w:endnote w:type="continuationSeparator" w:id="0">
    <w:p w14:paraId="312D52CF" w14:textId="77777777" w:rsidR="00CB464E" w:rsidRDefault="00CB464E" w:rsidP="00FC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Bold">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F908" w14:textId="0A1A51BB" w:rsidR="00E10782" w:rsidRPr="002F0BBD" w:rsidRDefault="00E10782">
    <w:pPr>
      <w:pStyle w:val="Footer"/>
      <w:jc w:val="right"/>
      <w:rPr>
        <w:sz w:val="16"/>
        <w:szCs w:val="20"/>
      </w:rPr>
    </w:pPr>
  </w:p>
  <w:p w14:paraId="33F1382A" w14:textId="5B305DF1" w:rsidR="00E10782" w:rsidRPr="002F0BBD" w:rsidRDefault="00E10782">
    <w:pPr>
      <w:pStyle w:val="Footer"/>
      <w:rPr>
        <w:sz w:val="16"/>
        <w:szCs w:val="20"/>
      </w:rPr>
    </w:pPr>
    <w:r w:rsidRPr="002F0BBD">
      <w:rPr>
        <w:sz w:val="16"/>
        <w:szCs w:val="20"/>
      </w:rPr>
      <w:t xml:space="preserve">Oranga Mahi – </w:t>
    </w:r>
    <w:r>
      <w:rPr>
        <w:sz w:val="16"/>
        <w:szCs w:val="20"/>
      </w:rPr>
      <w:t>Here Toitū</w:t>
    </w:r>
    <w:r w:rsidRPr="002F0BBD">
      <w:rPr>
        <w:sz w:val="16"/>
        <w:szCs w:val="20"/>
      </w:rPr>
      <w:t xml:space="preserve"> monitoring data analysis</w:t>
    </w:r>
    <w:r>
      <w:rPr>
        <w:sz w:val="16"/>
        <w:szCs w:val="20"/>
      </w:rPr>
      <w:t xml:space="preserve"> (</w:t>
    </w:r>
    <w:r w:rsidR="00572F42">
      <w:rPr>
        <w:sz w:val="16"/>
        <w:szCs w:val="20"/>
      </w:rPr>
      <w:t>November</w:t>
    </w:r>
    <w:r>
      <w:rPr>
        <w:sz w:val="16"/>
        <w:szCs w:val="20"/>
      </w:rPr>
      <w:t xml:space="preserve"> 2019 – December 2021)</w:t>
    </w:r>
    <w:r w:rsidRPr="002F0BBD">
      <w:rPr>
        <w:sz w:val="16"/>
        <w:szCs w:val="20"/>
      </w:rPr>
      <w:tab/>
    </w:r>
    <w:r w:rsidRPr="002F0BBD">
      <w:rPr>
        <w:sz w:val="16"/>
        <w:szCs w:val="20"/>
      </w:rPr>
      <w:fldChar w:fldCharType="begin"/>
    </w:r>
    <w:r w:rsidRPr="002F0BBD">
      <w:rPr>
        <w:sz w:val="16"/>
        <w:szCs w:val="20"/>
      </w:rPr>
      <w:instrText xml:space="preserve"> PAGE   \* MERGEFORMAT </w:instrText>
    </w:r>
    <w:r w:rsidRPr="002F0BBD">
      <w:rPr>
        <w:sz w:val="16"/>
        <w:szCs w:val="20"/>
      </w:rPr>
      <w:fldChar w:fldCharType="separate"/>
    </w:r>
    <w:r w:rsidRPr="002F0BBD">
      <w:rPr>
        <w:noProof/>
        <w:sz w:val="16"/>
        <w:szCs w:val="20"/>
      </w:rPr>
      <w:t>1</w:t>
    </w:r>
    <w:r w:rsidRPr="002F0BBD">
      <w:rPr>
        <w:noProof/>
        <w:sz w:val="16"/>
        <w:szCs w:val="20"/>
      </w:rPr>
      <w:fldChar w:fldCharType="end"/>
    </w:r>
    <w:r w:rsidRPr="002F0BBD">
      <w:rPr>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0B0C" w14:textId="77777777" w:rsidR="00CB464E" w:rsidRDefault="00CB464E" w:rsidP="00FC6821">
      <w:pPr>
        <w:spacing w:after="0" w:line="240" w:lineRule="auto"/>
      </w:pPr>
      <w:r>
        <w:separator/>
      </w:r>
    </w:p>
  </w:footnote>
  <w:footnote w:type="continuationSeparator" w:id="0">
    <w:p w14:paraId="2BDE176C" w14:textId="77777777" w:rsidR="00CB464E" w:rsidRDefault="00CB464E" w:rsidP="00FC6821">
      <w:pPr>
        <w:spacing w:after="0" w:line="240" w:lineRule="auto"/>
      </w:pPr>
      <w:r>
        <w:continuationSeparator/>
      </w:r>
    </w:p>
  </w:footnote>
  <w:footnote w:id="1">
    <w:p w14:paraId="57EF0DFF" w14:textId="77777777" w:rsidR="00C5644C" w:rsidRDefault="00C5644C" w:rsidP="00C5644C">
      <w:pPr>
        <w:pStyle w:val="FootnoteText"/>
      </w:pPr>
      <w:r>
        <w:rPr>
          <w:rStyle w:val="FootnoteReference"/>
        </w:rPr>
        <w:footnoteRef/>
      </w:r>
      <w:r>
        <w:t xml:space="preserve"> </w:t>
      </w:r>
      <w:r w:rsidRPr="00133C1D">
        <w:rPr>
          <w:sz w:val="16"/>
          <w:szCs w:val="18"/>
        </w:rPr>
        <w:t xml:space="preserve">This role is more commonly referred to as a Dedicated Case Coordinator in Canterbury, and functions slightly differently to the other </w:t>
      </w:r>
      <w:r>
        <w:rPr>
          <w:sz w:val="16"/>
          <w:szCs w:val="18"/>
        </w:rPr>
        <w:t xml:space="preserve">providers and </w:t>
      </w:r>
      <w:r w:rsidRPr="00133C1D">
        <w:rPr>
          <w:sz w:val="16"/>
          <w:szCs w:val="18"/>
        </w:rPr>
        <w:t>regions involved in Here Toitū.</w:t>
      </w:r>
    </w:p>
  </w:footnote>
  <w:footnote w:id="2">
    <w:p w14:paraId="644CD850" w14:textId="77777777" w:rsidR="00D1282B" w:rsidRDefault="00D1282B" w:rsidP="00D1282B">
      <w:pPr>
        <w:pStyle w:val="FootnoteText"/>
      </w:pPr>
      <w:r>
        <w:rPr>
          <w:rStyle w:val="FootnoteReference"/>
        </w:rPr>
        <w:footnoteRef/>
      </w:r>
      <w:r>
        <w:t xml:space="preserve"> </w:t>
      </w:r>
      <w:r w:rsidRPr="00B44782">
        <w:rPr>
          <w:sz w:val="16"/>
          <w:szCs w:val="18"/>
        </w:rPr>
        <w:t xml:space="preserve">Further information about what </w:t>
      </w:r>
      <w:r>
        <w:rPr>
          <w:sz w:val="16"/>
          <w:szCs w:val="18"/>
        </w:rPr>
        <w:t>Flexi-</w:t>
      </w:r>
      <w:r w:rsidRPr="00B44782">
        <w:rPr>
          <w:sz w:val="16"/>
          <w:szCs w:val="18"/>
        </w:rPr>
        <w:t xml:space="preserve">fund grants </w:t>
      </w:r>
      <w:r>
        <w:rPr>
          <w:sz w:val="16"/>
          <w:szCs w:val="18"/>
        </w:rPr>
        <w:t>were</w:t>
      </w:r>
      <w:r w:rsidRPr="00B44782">
        <w:rPr>
          <w:sz w:val="16"/>
          <w:szCs w:val="18"/>
        </w:rPr>
        <w:t xml:space="preserve"> spent on is not available for this report.</w:t>
      </w:r>
    </w:p>
  </w:footnote>
  <w:footnote w:id="3">
    <w:p w14:paraId="25ACB632" w14:textId="66095DD6" w:rsidR="00E10782" w:rsidRPr="006A2571" w:rsidRDefault="00E10782">
      <w:pPr>
        <w:pStyle w:val="FootnoteText"/>
        <w:rPr>
          <w:sz w:val="16"/>
          <w:szCs w:val="16"/>
        </w:rPr>
      </w:pPr>
      <w:r>
        <w:rPr>
          <w:rStyle w:val="FootnoteReference"/>
        </w:rPr>
        <w:footnoteRef/>
      </w:r>
      <w:r>
        <w:t xml:space="preserve"> </w:t>
      </w:r>
      <w:r w:rsidRPr="006A2571">
        <w:rPr>
          <w:sz w:val="16"/>
          <w:szCs w:val="16"/>
        </w:rPr>
        <w:t xml:space="preserve">See </w:t>
      </w:r>
      <w:hyperlink r:id="rId1" w:history="1">
        <w:r w:rsidRPr="006A2571">
          <w:rPr>
            <w:rStyle w:val="Hyperlink"/>
            <w:sz w:val="16"/>
            <w:szCs w:val="16"/>
          </w:rPr>
          <w:t>Jobseeker Support – Health Condition and Disability age profile</w:t>
        </w:r>
      </w:hyperlink>
      <w:r w:rsidRPr="006A2571">
        <w:rPr>
          <w:sz w:val="16"/>
          <w:szCs w:val="16"/>
        </w:rPr>
        <w:t xml:space="preserve"> and </w:t>
      </w:r>
    </w:p>
    <w:p w14:paraId="05904689" w14:textId="4FFECC76" w:rsidR="00E10782" w:rsidRDefault="00C10E25">
      <w:pPr>
        <w:pStyle w:val="FootnoteText"/>
      </w:pPr>
      <w:hyperlink r:id="rId2" w:history="1">
        <w:r w:rsidR="00E10782" w:rsidRPr="006A2571">
          <w:rPr>
            <w:rStyle w:val="Hyperlink"/>
            <w:sz w:val="16"/>
            <w:szCs w:val="16"/>
          </w:rPr>
          <w:t>Supported Living Payment – Health Condition and Disability age profile</w:t>
        </w:r>
      </w:hyperlink>
    </w:p>
  </w:footnote>
  <w:footnote w:id="4">
    <w:p w14:paraId="291F1CAA" w14:textId="7C365764" w:rsidR="00E10782" w:rsidRDefault="00E10782">
      <w:pPr>
        <w:pStyle w:val="FootnoteText"/>
      </w:pPr>
      <w:r>
        <w:rPr>
          <w:rStyle w:val="FootnoteReference"/>
        </w:rPr>
        <w:footnoteRef/>
      </w:r>
      <w:r>
        <w:t xml:space="preserve"> </w:t>
      </w:r>
      <w:r w:rsidRPr="000F623E">
        <w:rPr>
          <w:sz w:val="16"/>
          <w:szCs w:val="18"/>
        </w:rPr>
        <w:t xml:space="preserve">See </w:t>
      </w:r>
      <w:hyperlink r:id="rId3" w:history="1">
        <w:r w:rsidRPr="000F623E">
          <w:rPr>
            <w:rStyle w:val="Hyperlink"/>
            <w:sz w:val="16"/>
            <w:szCs w:val="18"/>
          </w:rPr>
          <w:t>Jobseeker Support – Health Condition and Disability ethnicity profile</w:t>
        </w:r>
      </w:hyperlink>
      <w:r w:rsidRPr="000F623E">
        <w:rPr>
          <w:sz w:val="16"/>
          <w:szCs w:val="18"/>
        </w:rPr>
        <w:t xml:space="preserve"> and </w:t>
      </w:r>
      <w:hyperlink r:id="rId4" w:history="1">
        <w:r w:rsidRPr="000F623E">
          <w:rPr>
            <w:rStyle w:val="Hyperlink"/>
            <w:sz w:val="16"/>
            <w:szCs w:val="18"/>
          </w:rPr>
          <w:t>Supported Living Payment – Health Condition and Disability ethnicity profile</w:t>
        </w:r>
      </w:hyperlink>
    </w:p>
  </w:footnote>
  <w:footnote w:id="5">
    <w:p w14:paraId="4436F33F" w14:textId="77777777" w:rsidR="00E10782" w:rsidRPr="00AD7244" w:rsidRDefault="00E10782" w:rsidP="00902AA3">
      <w:pPr>
        <w:pStyle w:val="FootnoteText"/>
        <w:rPr>
          <w:sz w:val="16"/>
          <w:szCs w:val="18"/>
        </w:rPr>
      </w:pPr>
      <w:r>
        <w:rPr>
          <w:rStyle w:val="FootnoteReference"/>
        </w:rPr>
        <w:footnoteRef/>
      </w:r>
      <w:r>
        <w:t xml:space="preserve"> </w:t>
      </w:r>
      <w:r w:rsidRPr="00AD7244">
        <w:rPr>
          <w:sz w:val="16"/>
          <w:szCs w:val="18"/>
        </w:rPr>
        <w:t>Total response ethnicity means that if a person identifies with more than one ethnic group, they are counted</w:t>
      </w:r>
    </w:p>
    <w:p w14:paraId="0B1EA01E" w14:textId="77777777" w:rsidR="00E10782" w:rsidRDefault="00E10782" w:rsidP="00902AA3">
      <w:pPr>
        <w:pStyle w:val="FootnoteText"/>
      </w:pPr>
      <w:r w:rsidRPr="00AD7244">
        <w:rPr>
          <w:sz w:val="16"/>
          <w:szCs w:val="18"/>
        </w:rPr>
        <w:t>in each applicable group.</w:t>
      </w:r>
    </w:p>
  </w:footnote>
  <w:footnote w:id="6">
    <w:p w14:paraId="45D26F91" w14:textId="41D06EF6" w:rsidR="00E10782" w:rsidRPr="00902AA3" w:rsidRDefault="00E10782">
      <w:pPr>
        <w:pStyle w:val="FootnoteText"/>
        <w:rPr>
          <w:sz w:val="16"/>
          <w:szCs w:val="18"/>
        </w:rPr>
      </w:pPr>
      <w:r>
        <w:rPr>
          <w:rStyle w:val="FootnoteReference"/>
        </w:rPr>
        <w:footnoteRef/>
      </w:r>
      <w:r>
        <w:t xml:space="preserve"> </w:t>
      </w:r>
      <w:r w:rsidRPr="00B73F04">
        <w:rPr>
          <w:sz w:val="16"/>
          <w:szCs w:val="18"/>
        </w:rPr>
        <w:t>Middle Eastern/Latin American/African (</w:t>
      </w:r>
      <w:r w:rsidRPr="00902AA3">
        <w:rPr>
          <w:sz w:val="16"/>
          <w:szCs w:val="18"/>
        </w:rPr>
        <w:t>MELAA</w:t>
      </w:r>
      <w:r>
        <w:rPr>
          <w:sz w:val="16"/>
          <w:szCs w:val="18"/>
        </w:rPr>
        <w:t>)</w:t>
      </w:r>
      <w:r w:rsidRPr="00902AA3">
        <w:rPr>
          <w:sz w:val="16"/>
          <w:szCs w:val="18"/>
        </w:rPr>
        <w:t xml:space="preserve"> is excluded from this plot as there were </w:t>
      </w:r>
      <w:r w:rsidR="00DD2DD4">
        <w:rPr>
          <w:sz w:val="16"/>
          <w:szCs w:val="18"/>
        </w:rPr>
        <w:t>very few</w:t>
      </w:r>
      <w:r w:rsidRPr="00902AA3">
        <w:rPr>
          <w:sz w:val="16"/>
          <w:szCs w:val="18"/>
        </w:rPr>
        <w:t xml:space="preserve"> participants in this ethnic group</w:t>
      </w:r>
      <w:r w:rsidR="00357A2C">
        <w:rPr>
          <w:sz w:val="16"/>
          <w:szCs w:val="18"/>
        </w:rPr>
        <w:t>.</w:t>
      </w:r>
    </w:p>
  </w:footnote>
  <w:footnote w:id="7">
    <w:p w14:paraId="68E3B7C1" w14:textId="4FC632E2" w:rsidR="00E10782" w:rsidRDefault="00E10782">
      <w:pPr>
        <w:pStyle w:val="FootnoteText"/>
      </w:pPr>
      <w:r>
        <w:rPr>
          <w:rStyle w:val="FootnoteReference"/>
        </w:rPr>
        <w:footnoteRef/>
      </w:r>
      <w:r>
        <w:t xml:space="preserve"> </w:t>
      </w:r>
      <w:r w:rsidRPr="000F623E">
        <w:rPr>
          <w:sz w:val="16"/>
          <w:szCs w:val="18"/>
        </w:rPr>
        <w:t xml:space="preserve">See </w:t>
      </w:r>
      <w:hyperlink r:id="rId5" w:history="1">
        <w:r w:rsidRPr="000F623E">
          <w:rPr>
            <w:rStyle w:val="Hyperlink"/>
            <w:sz w:val="16"/>
            <w:szCs w:val="18"/>
          </w:rPr>
          <w:t>Jobseeker Support – Health Condition and Disability gender profile</w:t>
        </w:r>
      </w:hyperlink>
      <w:r w:rsidRPr="000F623E">
        <w:rPr>
          <w:sz w:val="16"/>
          <w:szCs w:val="18"/>
        </w:rPr>
        <w:t xml:space="preserve"> and </w:t>
      </w:r>
      <w:hyperlink r:id="rId6" w:history="1">
        <w:r w:rsidRPr="000F623E">
          <w:rPr>
            <w:rStyle w:val="Hyperlink"/>
            <w:sz w:val="16"/>
            <w:szCs w:val="18"/>
          </w:rPr>
          <w:t>Supported Living Payment – Health Condition and Disability gender profile</w:t>
        </w:r>
      </w:hyperlink>
    </w:p>
  </w:footnote>
  <w:footnote w:id="8">
    <w:p w14:paraId="0D4B5647" w14:textId="3B5B2EFB" w:rsidR="00E10782" w:rsidRDefault="00E10782">
      <w:pPr>
        <w:pStyle w:val="FootnoteText"/>
      </w:pPr>
      <w:r w:rsidRPr="002834EA">
        <w:rPr>
          <w:rStyle w:val="FootnoteReference"/>
          <w:sz w:val="16"/>
          <w:szCs w:val="18"/>
        </w:rPr>
        <w:footnoteRef/>
      </w:r>
      <w:r w:rsidRPr="002834EA">
        <w:rPr>
          <w:sz w:val="16"/>
          <w:szCs w:val="18"/>
        </w:rPr>
        <w:t xml:space="preserve"> </w:t>
      </w:r>
      <w:r>
        <w:rPr>
          <w:sz w:val="16"/>
          <w:szCs w:val="18"/>
        </w:rPr>
        <w:t xml:space="preserve">This measure uses </w:t>
      </w:r>
      <w:r w:rsidRPr="002834EA">
        <w:rPr>
          <w:sz w:val="16"/>
          <w:szCs w:val="18"/>
        </w:rPr>
        <w:t xml:space="preserve">MSD </w:t>
      </w:r>
      <w:r>
        <w:rPr>
          <w:sz w:val="16"/>
          <w:szCs w:val="18"/>
        </w:rPr>
        <w:t>relationship</w:t>
      </w:r>
      <w:r w:rsidRPr="002834EA">
        <w:rPr>
          <w:sz w:val="16"/>
          <w:szCs w:val="18"/>
        </w:rPr>
        <w:t xml:space="preserve"> data</w:t>
      </w:r>
      <w:r>
        <w:rPr>
          <w:sz w:val="16"/>
          <w:szCs w:val="18"/>
        </w:rPr>
        <w:t>.</w:t>
      </w:r>
    </w:p>
  </w:footnote>
  <w:footnote w:id="9">
    <w:p w14:paraId="751D1F4D" w14:textId="77777777" w:rsidR="00E10782" w:rsidRDefault="00E10782" w:rsidP="005A1B10">
      <w:pPr>
        <w:pStyle w:val="FootnoteText"/>
      </w:pPr>
      <w:r>
        <w:rPr>
          <w:rStyle w:val="FootnoteReference"/>
        </w:rPr>
        <w:footnoteRef/>
      </w:r>
      <w:r>
        <w:t xml:space="preserve"> </w:t>
      </w:r>
      <w:r w:rsidRPr="00983083">
        <w:rPr>
          <w:sz w:val="16"/>
          <w:szCs w:val="18"/>
        </w:rPr>
        <w:t xml:space="preserve">See page 12 of: </w:t>
      </w:r>
      <w:hyperlink r:id="rId7" w:history="1">
        <w:r w:rsidRPr="00983083">
          <w:rPr>
            <w:rStyle w:val="Hyperlink"/>
            <w:sz w:val="16"/>
            <w:szCs w:val="18"/>
          </w:rPr>
          <w:t>https://www.msd.govt.nz/documents/about-msd-and-our-work/publications-resources/evaluation/family-packages/2021/monitoring-the-families-package-and-changes-to-income-support-from-2018-to-2021.pdf</w:t>
        </w:r>
      </w:hyperlink>
      <w:r w:rsidRPr="00983083">
        <w:rPr>
          <w:sz w:val="16"/>
          <w:szCs w:val="18"/>
        </w:rPr>
        <w:t xml:space="preserve"> </w:t>
      </w:r>
    </w:p>
  </w:footnote>
  <w:footnote w:id="10">
    <w:p w14:paraId="71D50756" w14:textId="27FEE13E" w:rsidR="00E10782" w:rsidRDefault="00E10782">
      <w:pPr>
        <w:pStyle w:val="FootnoteText"/>
      </w:pPr>
      <w:r>
        <w:rPr>
          <w:rStyle w:val="FootnoteReference"/>
        </w:rPr>
        <w:footnoteRef/>
      </w:r>
      <w:r>
        <w:t xml:space="preserve"> </w:t>
      </w:r>
      <w:r w:rsidRPr="001A1E7E">
        <w:rPr>
          <w:sz w:val="16"/>
          <w:szCs w:val="18"/>
        </w:rPr>
        <w:t xml:space="preserve">We are unable to determine the family type when the participant is not on a main benefit as of a given date. </w:t>
      </w:r>
    </w:p>
  </w:footnote>
  <w:footnote w:id="11">
    <w:p w14:paraId="4B0071DA" w14:textId="362CBDE1" w:rsidR="00E10782" w:rsidRDefault="00E10782">
      <w:pPr>
        <w:pStyle w:val="FootnoteText"/>
      </w:pPr>
      <w:r>
        <w:rPr>
          <w:rStyle w:val="FootnoteReference"/>
        </w:rPr>
        <w:footnoteRef/>
      </w:r>
      <w:r>
        <w:t xml:space="preserve"> </w:t>
      </w:r>
      <w:r w:rsidRPr="00D51D5D">
        <w:rPr>
          <w:sz w:val="16"/>
          <w:szCs w:val="18"/>
        </w:rPr>
        <w:t>In this section, the health conditions presented are based on the READ or SNOWMED codes provided to MSD by a General Practitioner on a Work Capacity Medical Certificate</w:t>
      </w:r>
      <w:r>
        <w:rPr>
          <w:sz w:val="16"/>
          <w:szCs w:val="18"/>
        </w:rPr>
        <w:t xml:space="preserve"> and stored in the SINC (SWIFTT Incapacity) dataset in MSD’s Integrated Analysis Platform. These counts are total response, and so therefore the totals and percentages may not add up to the total number of participants and 100 percent respectively. Some participants may have medical conditions recorded in other parts of MSD’s data systems that are not captured here or did not have a current medical certificate loaded into the system.</w:t>
      </w:r>
    </w:p>
  </w:footnote>
  <w:footnote w:id="12">
    <w:p w14:paraId="0B3AE6F0" w14:textId="6609A57B" w:rsidR="00F3195E" w:rsidRDefault="00F3195E" w:rsidP="00F3195E">
      <w:pPr>
        <w:pStyle w:val="FootnoteText"/>
      </w:pPr>
      <w:r>
        <w:rPr>
          <w:rStyle w:val="FootnoteReference"/>
        </w:rPr>
        <w:footnoteRef/>
      </w:r>
      <w:r>
        <w:t xml:space="preserve"> </w:t>
      </w:r>
      <w:r w:rsidRPr="00F3195E">
        <w:rPr>
          <w:sz w:val="16"/>
          <w:szCs w:val="18"/>
        </w:rPr>
        <w:t>Due to how exit reasons are coded, no further information on this exit reason is available</w:t>
      </w:r>
    </w:p>
  </w:footnote>
  <w:footnote w:id="13">
    <w:p w14:paraId="1EA36EFE" w14:textId="1B8D4E87" w:rsidR="00E10782" w:rsidRDefault="00E10782">
      <w:pPr>
        <w:pStyle w:val="FootnoteText"/>
      </w:pPr>
      <w:r>
        <w:rPr>
          <w:rStyle w:val="FootnoteReference"/>
        </w:rPr>
        <w:footnoteRef/>
      </w:r>
      <w:r>
        <w:t xml:space="preserve"> </w:t>
      </w:r>
      <w:r w:rsidRPr="00CC5042">
        <w:rPr>
          <w:sz w:val="16"/>
          <w:szCs w:val="16"/>
        </w:rPr>
        <w:t xml:space="preserve">A “completed” exit in this section includes the exit reasons: </w:t>
      </w:r>
      <w:r w:rsidRPr="00CC5042">
        <w:rPr>
          <w:iCs/>
          <w:sz w:val="16"/>
          <w:szCs w:val="16"/>
        </w:rPr>
        <w:t>“completed service duration” and “achieved desired outcomes”. A “not completed” or “early exit” includes all of the other exit reasons listed in Table 2 on the previous page.</w:t>
      </w:r>
    </w:p>
  </w:footnote>
  <w:footnote w:id="14">
    <w:p w14:paraId="7226ED88" w14:textId="3B5D0E8A" w:rsidR="00E10782" w:rsidRDefault="00E10782">
      <w:pPr>
        <w:pStyle w:val="FootnoteText"/>
      </w:pPr>
      <w:r>
        <w:rPr>
          <w:rStyle w:val="FootnoteReference"/>
        </w:rPr>
        <w:footnoteRef/>
      </w:r>
      <w:r>
        <w:t xml:space="preserve"> </w:t>
      </w:r>
      <w:r w:rsidRPr="0037277C">
        <w:rPr>
          <w:sz w:val="16"/>
          <w:szCs w:val="18"/>
        </w:rPr>
        <w:t xml:space="preserve">The “comparison” group for each ethnic group </w:t>
      </w:r>
      <w:r>
        <w:rPr>
          <w:sz w:val="16"/>
          <w:szCs w:val="18"/>
        </w:rPr>
        <w:t xml:space="preserve">shown here </w:t>
      </w:r>
      <w:r w:rsidRPr="0037277C">
        <w:rPr>
          <w:sz w:val="16"/>
          <w:szCs w:val="18"/>
        </w:rPr>
        <w:t>is those who are not that ethnic group.</w:t>
      </w:r>
    </w:p>
  </w:footnote>
  <w:footnote w:id="15">
    <w:p w14:paraId="1C69745A" w14:textId="45649FF5" w:rsidR="00E10782" w:rsidRPr="001172A8" w:rsidRDefault="00E10782" w:rsidP="00BD0CB9">
      <w:pPr>
        <w:pStyle w:val="FootnoteText"/>
        <w:rPr>
          <w:highlight w:val="yellow"/>
        </w:rPr>
      </w:pPr>
      <w:r w:rsidRPr="001172A8">
        <w:rPr>
          <w:rStyle w:val="FootnoteReference"/>
        </w:rPr>
        <w:footnoteRef/>
      </w:r>
      <w:r w:rsidRPr="001172A8">
        <w:t xml:space="preserve"> </w:t>
      </w:r>
      <w:r w:rsidRPr="001172A8">
        <w:rPr>
          <w:i/>
          <w:iCs/>
          <w:sz w:val="16"/>
          <w:szCs w:val="18"/>
        </w:rPr>
        <w:t>X</w:t>
      </w:r>
      <w:r w:rsidRPr="001172A8">
        <w:rPr>
          <w:i/>
          <w:iCs/>
          <w:sz w:val="16"/>
          <w:szCs w:val="18"/>
          <w:vertAlign w:val="superscript"/>
        </w:rPr>
        <w:t>2</w:t>
      </w:r>
      <w:r w:rsidRPr="001172A8">
        <w:rPr>
          <w:sz w:val="16"/>
          <w:szCs w:val="18"/>
        </w:rPr>
        <w:t xml:space="preserve"> (1, </w:t>
      </w:r>
      <w:r w:rsidRPr="001172A8">
        <w:rPr>
          <w:i/>
          <w:iCs/>
          <w:sz w:val="16"/>
          <w:szCs w:val="18"/>
        </w:rPr>
        <w:t>N</w:t>
      </w:r>
      <w:r w:rsidRPr="001172A8">
        <w:rPr>
          <w:sz w:val="16"/>
          <w:szCs w:val="18"/>
        </w:rPr>
        <w:t xml:space="preserve"> = </w:t>
      </w:r>
      <w:r>
        <w:rPr>
          <w:sz w:val="16"/>
          <w:szCs w:val="18"/>
        </w:rPr>
        <w:t>231</w:t>
      </w:r>
      <w:r w:rsidRPr="001172A8">
        <w:rPr>
          <w:sz w:val="16"/>
          <w:szCs w:val="18"/>
        </w:rPr>
        <w:t>) =</w:t>
      </w:r>
      <w:r>
        <w:rPr>
          <w:sz w:val="16"/>
          <w:szCs w:val="18"/>
        </w:rPr>
        <w:t xml:space="preserve"> 9.5616</w:t>
      </w:r>
      <w:r w:rsidRPr="001172A8">
        <w:rPr>
          <w:sz w:val="16"/>
          <w:szCs w:val="18"/>
        </w:rPr>
        <w:t xml:space="preserve">, </w:t>
      </w:r>
      <w:r w:rsidRPr="001172A8">
        <w:rPr>
          <w:i/>
          <w:iCs/>
          <w:sz w:val="16"/>
          <w:szCs w:val="18"/>
        </w:rPr>
        <w:t>p</w:t>
      </w:r>
      <w:r w:rsidRPr="001172A8">
        <w:rPr>
          <w:sz w:val="16"/>
          <w:szCs w:val="18"/>
        </w:rPr>
        <w:t xml:space="preserve"> = 0.00</w:t>
      </w:r>
      <w:r>
        <w:rPr>
          <w:sz w:val="16"/>
          <w:szCs w:val="18"/>
        </w:rPr>
        <w:t>2 – based on non-randomly rounded figures. Comparison group is people who do not have a mental health condition.</w:t>
      </w:r>
    </w:p>
  </w:footnote>
  <w:footnote w:id="16">
    <w:p w14:paraId="22390BD7" w14:textId="6339CAA6" w:rsidR="00E10782" w:rsidRDefault="00E10782">
      <w:pPr>
        <w:pStyle w:val="FootnoteText"/>
      </w:pPr>
      <w:r>
        <w:rPr>
          <w:rStyle w:val="FootnoteReference"/>
        </w:rPr>
        <w:footnoteRef/>
      </w:r>
      <w:r>
        <w:t xml:space="preserve"> </w:t>
      </w:r>
      <w:r w:rsidRPr="00304BE0">
        <w:rPr>
          <w:sz w:val="16"/>
          <w:szCs w:val="18"/>
        </w:rPr>
        <w:t xml:space="preserve">This role is known as a </w:t>
      </w:r>
      <w:bookmarkStart w:id="24" w:name="_Hlk114146874"/>
      <w:r w:rsidRPr="00304BE0">
        <w:rPr>
          <w:sz w:val="16"/>
          <w:szCs w:val="18"/>
        </w:rPr>
        <w:t>Dedicated Case Coordinator in Canterbury</w:t>
      </w:r>
      <w:bookmarkEnd w:id="24"/>
      <w:r w:rsidRPr="00304BE0">
        <w:rPr>
          <w:sz w:val="16"/>
          <w:szCs w:val="18"/>
        </w:rPr>
        <w:t xml:space="preserve">, </w:t>
      </w:r>
      <w:bookmarkStart w:id="25" w:name="_Hlk114146900"/>
      <w:r w:rsidRPr="00304BE0">
        <w:rPr>
          <w:sz w:val="16"/>
          <w:szCs w:val="18"/>
        </w:rPr>
        <w:t xml:space="preserve">and functions slightly differently to the other regions involved in Here </w:t>
      </w:r>
      <w:r>
        <w:rPr>
          <w:sz w:val="16"/>
          <w:szCs w:val="18"/>
        </w:rPr>
        <w:t>Toitū</w:t>
      </w:r>
      <w:r w:rsidRPr="00304BE0">
        <w:rPr>
          <w:sz w:val="16"/>
          <w:szCs w:val="18"/>
        </w:rPr>
        <w:t>.</w:t>
      </w:r>
      <w:bookmarkEnd w:id="25"/>
    </w:p>
  </w:footnote>
  <w:footnote w:id="17">
    <w:p w14:paraId="03D86D9A" w14:textId="263E8FD6" w:rsidR="00E10782" w:rsidRDefault="00E10782">
      <w:pPr>
        <w:pStyle w:val="FootnoteText"/>
      </w:pPr>
      <w:r>
        <w:rPr>
          <w:rStyle w:val="FootnoteReference"/>
        </w:rPr>
        <w:footnoteRef/>
      </w:r>
      <w:r>
        <w:t xml:space="preserve"> </w:t>
      </w:r>
      <w:r w:rsidRPr="00C9626C">
        <w:rPr>
          <w:sz w:val="16"/>
          <w:szCs w:val="18"/>
        </w:rPr>
        <w:t xml:space="preserve">Due to the small number of participants that had not been assigned to their support teams, further information about </w:t>
      </w:r>
      <w:r>
        <w:rPr>
          <w:sz w:val="16"/>
          <w:szCs w:val="18"/>
        </w:rPr>
        <w:t>why that might be</w:t>
      </w:r>
      <w:r w:rsidRPr="00C9626C">
        <w:rPr>
          <w:sz w:val="16"/>
          <w:szCs w:val="18"/>
        </w:rPr>
        <w:t xml:space="preserve"> is unavailable</w:t>
      </w:r>
      <w:r>
        <w:rPr>
          <w:sz w:val="16"/>
          <w:szCs w:val="18"/>
        </w:rPr>
        <w:t xml:space="preserve"> to protect participant confidentiality</w:t>
      </w:r>
      <w:r w:rsidRPr="00C9626C">
        <w:rPr>
          <w:sz w:val="16"/>
          <w:szCs w:val="18"/>
        </w:rPr>
        <w:t>.</w:t>
      </w:r>
    </w:p>
  </w:footnote>
  <w:footnote w:id="18">
    <w:p w14:paraId="32E5B2FC" w14:textId="2C6CB47A" w:rsidR="00E10782" w:rsidRDefault="00E10782">
      <w:pPr>
        <w:pStyle w:val="FootnoteText"/>
      </w:pPr>
      <w:r>
        <w:rPr>
          <w:rStyle w:val="FootnoteReference"/>
        </w:rPr>
        <w:footnoteRef/>
      </w:r>
      <w:r>
        <w:t xml:space="preserve"> </w:t>
      </w:r>
      <w:r w:rsidRPr="001D440B">
        <w:rPr>
          <w:sz w:val="16"/>
          <w:szCs w:val="18"/>
        </w:rPr>
        <w:t xml:space="preserve">More information about the Wellbeing Star can be found here: </w:t>
      </w:r>
      <w:hyperlink r:id="rId8" w:history="1">
        <w:r w:rsidRPr="001D440B">
          <w:rPr>
            <w:rStyle w:val="Hyperlink"/>
            <w:sz w:val="16"/>
            <w:szCs w:val="18"/>
          </w:rPr>
          <w:t>https://www.outcomesstar.org.uk/using-the-star/see-the-stars/well-being-star/</w:t>
        </w:r>
      </w:hyperlink>
      <w:r w:rsidRPr="001D440B">
        <w:rPr>
          <w:sz w:val="16"/>
          <w:szCs w:val="18"/>
        </w:rPr>
        <w:t xml:space="preserve"> </w:t>
      </w:r>
    </w:p>
  </w:footnote>
  <w:footnote w:id="19">
    <w:p w14:paraId="2B9B7101" w14:textId="5916731B" w:rsidR="00E10782" w:rsidRDefault="00E10782" w:rsidP="00AE2A75">
      <w:pPr>
        <w:pStyle w:val="FootnoteText"/>
      </w:pPr>
      <w:r w:rsidRPr="0008130B">
        <w:rPr>
          <w:rStyle w:val="FootnoteReference"/>
        </w:rPr>
        <w:footnoteRef/>
      </w:r>
      <w:r w:rsidRPr="0008130B">
        <w:t xml:space="preserve"> </w:t>
      </w:r>
      <w:r w:rsidRPr="0008130B">
        <w:rPr>
          <w:sz w:val="16"/>
          <w:szCs w:val="18"/>
        </w:rPr>
        <w:t>There was a standard deviation of 69.7 days for this measurement.</w:t>
      </w:r>
    </w:p>
  </w:footnote>
  <w:footnote w:id="20">
    <w:p w14:paraId="255793E6" w14:textId="50E2212C" w:rsidR="00E10782" w:rsidRDefault="00E10782">
      <w:pPr>
        <w:pStyle w:val="FootnoteText"/>
      </w:pPr>
      <w:r>
        <w:rPr>
          <w:rStyle w:val="FootnoteReference"/>
        </w:rPr>
        <w:footnoteRef/>
      </w:r>
      <w:r>
        <w:t xml:space="preserve"> </w:t>
      </w:r>
      <w:r w:rsidRPr="00AB160B">
        <w:rPr>
          <w:sz w:val="16"/>
          <w:szCs w:val="18"/>
        </w:rPr>
        <w:t xml:space="preserve">There was a standard deviation of 74.7 and 66.7 days for these measurements respectively. </w:t>
      </w:r>
    </w:p>
  </w:footnote>
  <w:footnote w:id="21">
    <w:p w14:paraId="0A484672" w14:textId="418303DD" w:rsidR="00E10782" w:rsidRDefault="00E10782">
      <w:pPr>
        <w:pStyle w:val="FootnoteText"/>
      </w:pPr>
      <w:r>
        <w:rPr>
          <w:rStyle w:val="FootnoteReference"/>
        </w:rPr>
        <w:footnoteRef/>
      </w:r>
      <w:r>
        <w:t xml:space="preserve"> </w:t>
      </w:r>
      <w:r w:rsidRPr="0046532A">
        <w:rPr>
          <w:sz w:val="16"/>
          <w:szCs w:val="18"/>
        </w:rPr>
        <w:t>This category includes work experience and caring outcomes, in addition to “other”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A5321"/>
    <w:multiLevelType w:val="hybridMultilevel"/>
    <w:tmpl w:val="D3A2A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A631F1A"/>
    <w:multiLevelType w:val="hybridMultilevel"/>
    <w:tmpl w:val="C6D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9811ADF"/>
    <w:multiLevelType w:val="hybridMultilevel"/>
    <w:tmpl w:val="5EECE1DE"/>
    <w:lvl w:ilvl="0" w:tplc="E8D4BD44">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FDD06C1"/>
    <w:multiLevelType w:val="hybridMultilevel"/>
    <w:tmpl w:val="88E4FB9C"/>
    <w:lvl w:ilvl="0" w:tplc="30F23F8E">
      <w:start w:val="2"/>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3B2190A"/>
    <w:multiLevelType w:val="hybridMultilevel"/>
    <w:tmpl w:val="9BFEFEF4"/>
    <w:lvl w:ilvl="0" w:tplc="1BA8636C">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C71ADD"/>
    <w:multiLevelType w:val="hybridMultilevel"/>
    <w:tmpl w:val="78028B0E"/>
    <w:lvl w:ilvl="0" w:tplc="9CE44FF2">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94213AC"/>
    <w:multiLevelType w:val="hybridMultilevel"/>
    <w:tmpl w:val="AB906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4"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86638E"/>
    <w:multiLevelType w:val="hybridMultilevel"/>
    <w:tmpl w:val="F5FA4368"/>
    <w:lvl w:ilvl="0" w:tplc="9CE44FF2">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3A7419"/>
    <w:multiLevelType w:val="hybridMultilevel"/>
    <w:tmpl w:val="6A1AB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9970E8"/>
    <w:multiLevelType w:val="hybridMultilevel"/>
    <w:tmpl w:val="9DBE16B6"/>
    <w:lvl w:ilvl="0" w:tplc="98CC5E3C">
      <w:start w:val="8"/>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5A1D60"/>
    <w:multiLevelType w:val="hybridMultilevel"/>
    <w:tmpl w:val="56661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F46606"/>
    <w:multiLevelType w:val="hybridMultilevel"/>
    <w:tmpl w:val="A7D88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C893B51"/>
    <w:multiLevelType w:val="hybridMultilevel"/>
    <w:tmpl w:val="871A5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C93A2D"/>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C9366D2"/>
    <w:multiLevelType w:val="hybridMultilevel"/>
    <w:tmpl w:val="90A80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34"/>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7"/>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38"/>
  </w:num>
  <w:num w:numId="26">
    <w:abstractNumId w:val="39"/>
  </w:num>
  <w:num w:numId="27">
    <w:abstractNumId w:val="35"/>
  </w:num>
  <w:num w:numId="28">
    <w:abstractNumId w:val="24"/>
  </w:num>
  <w:num w:numId="29">
    <w:abstractNumId w:val="13"/>
  </w:num>
  <w:num w:numId="30">
    <w:abstractNumId w:val="26"/>
  </w:num>
  <w:num w:numId="31">
    <w:abstractNumId w:val="40"/>
  </w:num>
  <w:num w:numId="32">
    <w:abstractNumId w:val="32"/>
  </w:num>
  <w:num w:numId="33">
    <w:abstractNumId w:val="28"/>
  </w:num>
  <w:num w:numId="34">
    <w:abstractNumId w:val="19"/>
  </w:num>
  <w:num w:numId="35">
    <w:abstractNumId w:val="17"/>
  </w:num>
  <w:num w:numId="36">
    <w:abstractNumId w:val="18"/>
  </w:num>
  <w:num w:numId="37">
    <w:abstractNumId w:val="30"/>
  </w:num>
  <w:num w:numId="38">
    <w:abstractNumId w:val="12"/>
  </w:num>
  <w:num w:numId="39">
    <w:abstractNumId w:val="21"/>
  </w:num>
  <w:num w:numId="40">
    <w:abstractNumId w:val="11"/>
  </w:num>
  <w:num w:numId="41">
    <w:abstractNumId w:val="20"/>
  </w:num>
  <w:num w:numId="42">
    <w:abstractNumId w:val="25"/>
  </w:num>
  <w:num w:numId="43">
    <w:abstractNumId w:val="31"/>
  </w:num>
  <w:num w:numId="44">
    <w:abstractNumId w:val="37"/>
  </w:num>
  <w:num w:numId="45">
    <w:abstractNumId w:val="29"/>
  </w:num>
  <w:num w:numId="46">
    <w:abstractNumId w:val="4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8"/>
    <w:rsid w:val="00000B4C"/>
    <w:rsid w:val="00004829"/>
    <w:rsid w:val="00005BBE"/>
    <w:rsid w:val="000106D0"/>
    <w:rsid w:val="00012EA4"/>
    <w:rsid w:val="00034336"/>
    <w:rsid w:val="00037CB0"/>
    <w:rsid w:val="000541A5"/>
    <w:rsid w:val="00062252"/>
    <w:rsid w:val="00066DD6"/>
    <w:rsid w:val="00066F91"/>
    <w:rsid w:val="00073832"/>
    <w:rsid w:val="00080035"/>
    <w:rsid w:val="0008130B"/>
    <w:rsid w:val="000822AC"/>
    <w:rsid w:val="0008509F"/>
    <w:rsid w:val="000A4D15"/>
    <w:rsid w:val="000A576B"/>
    <w:rsid w:val="000B1CCC"/>
    <w:rsid w:val="000B77D4"/>
    <w:rsid w:val="000C14D4"/>
    <w:rsid w:val="000C2845"/>
    <w:rsid w:val="000D0A6A"/>
    <w:rsid w:val="000D1627"/>
    <w:rsid w:val="000D1B7E"/>
    <w:rsid w:val="000D30A1"/>
    <w:rsid w:val="000D3938"/>
    <w:rsid w:val="000E3BB9"/>
    <w:rsid w:val="000E53F6"/>
    <w:rsid w:val="000F12CC"/>
    <w:rsid w:val="000F623E"/>
    <w:rsid w:val="000F76CD"/>
    <w:rsid w:val="00100547"/>
    <w:rsid w:val="00106AED"/>
    <w:rsid w:val="00107855"/>
    <w:rsid w:val="00107A77"/>
    <w:rsid w:val="001172A8"/>
    <w:rsid w:val="00117BE2"/>
    <w:rsid w:val="00126215"/>
    <w:rsid w:val="00131F1D"/>
    <w:rsid w:val="001425F8"/>
    <w:rsid w:val="00152BC7"/>
    <w:rsid w:val="00152C76"/>
    <w:rsid w:val="00164412"/>
    <w:rsid w:val="00165B6E"/>
    <w:rsid w:val="00166F92"/>
    <w:rsid w:val="00172E94"/>
    <w:rsid w:val="00173D98"/>
    <w:rsid w:val="00184456"/>
    <w:rsid w:val="00184561"/>
    <w:rsid w:val="00191DE6"/>
    <w:rsid w:val="00194213"/>
    <w:rsid w:val="00196503"/>
    <w:rsid w:val="00197B0E"/>
    <w:rsid w:val="001A1650"/>
    <w:rsid w:val="001A1E7E"/>
    <w:rsid w:val="001A2237"/>
    <w:rsid w:val="001A2B2F"/>
    <w:rsid w:val="001A5F99"/>
    <w:rsid w:val="001A60EB"/>
    <w:rsid w:val="001A73F3"/>
    <w:rsid w:val="001A7ABD"/>
    <w:rsid w:val="001B04EF"/>
    <w:rsid w:val="001B0936"/>
    <w:rsid w:val="001B22A8"/>
    <w:rsid w:val="001B2AFC"/>
    <w:rsid w:val="001C3571"/>
    <w:rsid w:val="001C78D6"/>
    <w:rsid w:val="001D1AE5"/>
    <w:rsid w:val="001D34D5"/>
    <w:rsid w:val="001D3744"/>
    <w:rsid w:val="001D3EA8"/>
    <w:rsid w:val="001D440B"/>
    <w:rsid w:val="001E01A1"/>
    <w:rsid w:val="001F312B"/>
    <w:rsid w:val="001F58E5"/>
    <w:rsid w:val="001F7D22"/>
    <w:rsid w:val="00200336"/>
    <w:rsid w:val="002018EA"/>
    <w:rsid w:val="002020C4"/>
    <w:rsid w:val="00205501"/>
    <w:rsid w:val="00206AE3"/>
    <w:rsid w:val="0021117A"/>
    <w:rsid w:val="002113C1"/>
    <w:rsid w:val="002124B9"/>
    <w:rsid w:val="00213DA6"/>
    <w:rsid w:val="00216302"/>
    <w:rsid w:val="00236D2D"/>
    <w:rsid w:val="00240F41"/>
    <w:rsid w:val="0024487D"/>
    <w:rsid w:val="00245A2B"/>
    <w:rsid w:val="00255176"/>
    <w:rsid w:val="002559DB"/>
    <w:rsid w:val="00264439"/>
    <w:rsid w:val="00266EA3"/>
    <w:rsid w:val="00267E5F"/>
    <w:rsid w:val="002834EA"/>
    <w:rsid w:val="002873EF"/>
    <w:rsid w:val="00292117"/>
    <w:rsid w:val="00295EF7"/>
    <w:rsid w:val="002A302A"/>
    <w:rsid w:val="002A5641"/>
    <w:rsid w:val="002B02FC"/>
    <w:rsid w:val="002B5F98"/>
    <w:rsid w:val="002C0589"/>
    <w:rsid w:val="002C13F5"/>
    <w:rsid w:val="002C3EB2"/>
    <w:rsid w:val="002C495C"/>
    <w:rsid w:val="002C5D53"/>
    <w:rsid w:val="002D1C62"/>
    <w:rsid w:val="002D367B"/>
    <w:rsid w:val="002D551C"/>
    <w:rsid w:val="002D6677"/>
    <w:rsid w:val="002E18DD"/>
    <w:rsid w:val="002F0BBD"/>
    <w:rsid w:val="002F2582"/>
    <w:rsid w:val="0030283C"/>
    <w:rsid w:val="00304BE0"/>
    <w:rsid w:val="0030597C"/>
    <w:rsid w:val="00306A27"/>
    <w:rsid w:val="00317B19"/>
    <w:rsid w:val="003216FA"/>
    <w:rsid w:val="003242CE"/>
    <w:rsid w:val="00324920"/>
    <w:rsid w:val="003263A5"/>
    <w:rsid w:val="003423DA"/>
    <w:rsid w:val="0034369B"/>
    <w:rsid w:val="00343CBF"/>
    <w:rsid w:val="003440CE"/>
    <w:rsid w:val="00347805"/>
    <w:rsid w:val="003537D5"/>
    <w:rsid w:val="00354EC2"/>
    <w:rsid w:val="00357A2C"/>
    <w:rsid w:val="0036003A"/>
    <w:rsid w:val="0037277C"/>
    <w:rsid w:val="00373C54"/>
    <w:rsid w:val="00375C2A"/>
    <w:rsid w:val="00375FF7"/>
    <w:rsid w:val="00377994"/>
    <w:rsid w:val="0038165B"/>
    <w:rsid w:val="00383F5C"/>
    <w:rsid w:val="003912B5"/>
    <w:rsid w:val="0039432B"/>
    <w:rsid w:val="00397220"/>
    <w:rsid w:val="003979EC"/>
    <w:rsid w:val="003A3445"/>
    <w:rsid w:val="003A5E35"/>
    <w:rsid w:val="003B0A38"/>
    <w:rsid w:val="003B46E6"/>
    <w:rsid w:val="003B5C39"/>
    <w:rsid w:val="003C053D"/>
    <w:rsid w:val="003D3F9B"/>
    <w:rsid w:val="003D4073"/>
    <w:rsid w:val="003D7606"/>
    <w:rsid w:val="003E0279"/>
    <w:rsid w:val="003E2869"/>
    <w:rsid w:val="003E3722"/>
    <w:rsid w:val="003E686D"/>
    <w:rsid w:val="003E7647"/>
    <w:rsid w:val="00405D49"/>
    <w:rsid w:val="00406485"/>
    <w:rsid w:val="00406AF4"/>
    <w:rsid w:val="00407222"/>
    <w:rsid w:val="004225F0"/>
    <w:rsid w:val="004227ED"/>
    <w:rsid w:val="0043016C"/>
    <w:rsid w:val="004306EE"/>
    <w:rsid w:val="00430D97"/>
    <w:rsid w:val="00431899"/>
    <w:rsid w:val="00443086"/>
    <w:rsid w:val="00443840"/>
    <w:rsid w:val="00445BCE"/>
    <w:rsid w:val="00446A41"/>
    <w:rsid w:val="00454AF4"/>
    <w:rsid w:val="00454F25"/>
    <w:rsid w:val="0045698D"/>
    <w:rsid w:val="0046532A"/>
    <w:rsid w:val="00465C3E"/>
    <w:rsid w:val="00465DBE"/>
    <w:rsid w:val="00471075"/>
    <w:rsid w:val="004710B8"/>
    <w:rsid w:val="00477CD7"/>
    <w:rsid w:val="0048156B"/>
    <w:rsid w:val="004819D8"/>
    <w:rsid w:val="00482393"/>
    <w:rsid w:val="0048264E"/>
    <w:rsid w:val="004828EF"/>
    <w:rsid w:val="00484CF6"/>
    <w:rsid w:val="00490001"/>
    <w:rsid w:val="00495E84"/>
    <w:rsid w:val="004971C5"/>
    <w:rsid w:val="004A019A"/>
    <w:rsid w:val="004B0E50"/>
    <w:rsid w:val="004B22B6"/>
    <w:rsid w:val="004B45CA"/>
    <w:rsid w:val="004B688B"/>
    <w:rsid w:val="004B7CF4"/>
    <w:rsid w:val="004C1722"/>
    <w:rsid w:val="004C1E00"/>
    <w:rsid w:val="004C2ED1"/>
    <w:rsid w:val="004D4AAC"/>
    <w:rsid w:val="004D556B"/>
    <w:rsid w:val="004E1D43"/>
    <w:rsid w:val="004E2BED"/>
    <w:rsid w:val="004F3F7F"/>
    <w:rsid w:val="004F630B"/>
    <w:rsid w:val="00516CF1"/>
    <w:rsid w:val="00521359"/>
    <w:rsid w:val="00521400"/>
    <w:rsid w:val="00523EA8"/>
    <w:rsid w:val="00524183"/>
    <w:rsid w:val="00526234"/>
    <w:rsid w:val="00533E65"/>
    <w:rsid w:val="00543095"/>
    <w:rsid w:val="00544D11"/>
    <w:rsid w:val="00554271"/>
    <w:rsid w:val="00555C6C"/>
    <w:rsid w:val="00561E10"/>
    <w:rsid w:val="005628EA"/>
    <w:rsid w:val="00563FAB"/>
    <w:rsid w:val="0056681E"/>
    <w:rsid w:val="00572119"/>
    <w:rsid w:val="00572AA9"/>
    <w:rsid w:val="00572F42"/>
    <w:rsid w:val="00574D23"/>
    <w:rsid w:val="00577518"/>
    <w:rsid w:val="00577E0E"/>
    <w:rsid w:val="005809D8"/>
    <w:rsid w:val="00581C0D"/>
    <w:rsid w:val="00586D09"/>
    <w:rsid w:val="0059449F"/>
    <w:rsid w:val="00595906"/>
    <w:rsid w:val="005A1B10"/>
    <w:rsid w:val="005A7ECF"/>
    <w:rsid w:val="005B11F9"/>
    <w:rsid w:val="005B75AF"/>
    <w:rsid w:val="005C436A"/>
    <w:rsid w:val="005C6713"/>
    <w:rsid w:val="005E1D9E"/>
    <w:rsid w:val="005E5B6C"/>
    <w:rsid w:val="005F308A"/>
    <w:rsid w:val="0060619E"/>
    <w:rsid w:val="00617EE0"/>
    <w:rsid w:val="006210BE"/>
    <w:rsid w:val="00622C37"/>
    <w:rsid w:val="00631036"/>
    <w:rsid w:val="00631D73"/>
    <w:rsid w:val="00641611"/>
    <w:rsid w:val="006431B9"/>
    <w:rsid w:val="00643E24"/>
    <w:rsid w:val="0065058C"/>
    <w:rsid w:val="0065202B"/>
    <w:rsid w:val="00652E45"/>
    <w:rsid w:val="00655CB3"/>
    <w:rsid w:val="00661411"/>
    <w:rsid w:val="00680E27"/>
    <w:rsid w:val="00682146"/>
    <w:rsid w:val="006841E7"/>
    <w:rsid w:val="00696C1B"/>
    <w:rsid w:val="006A2571"/>
    <w:rsid w:val="006A4F20"/>
    <w:rsid w:val="006B19BD"/>
    <w:rsid w:val="006B20F6"/>
    <w:rsid w:val="006E0CB8"/>
    <w:rsid w:val="006E1B03"/>
    <w:rsid w:val="006F0D38"/>
    <w:rsid w:val="006F1430"/>
    <w:rsid w:val="006F2856"/>
    <w:rsid w:val="00710B27"/>
    <w:rsid w:val="00717464"/>
    <w:rsid w:val="00724419"/>
    <w:rsid w:val="0073191D"/>
    <w:rsid w:val="00732BEF"/>
    <w:rsid w:val="00733C97"/>
    <w:rsid w:val="007377BC"/>
    <w:rsid w:val="0074215F"/>
    <w:rsid w:val="007453E9"/>
    <w:rsid w:val="007520E6"/>
    <w:rsid w:val="00756BEA"/>
    <w:rsid w:val="00791448"/>
    <w:rsid w:val="00792F49"/>
    <w:rsid w:val="007B1F0C"/>
    <w:rsid w:val="007B201A"/>
    <w:rsid w:val="007B3944"/>
    <w:rsid w:val="007C2143"/>
    <w:rsid w:val="007D663A"/>
    <w:rsid w:val="007E0391"/>
    <w:rsid w:val="007E07CD"/>
    <w:rsid w:val="007F1CB9"/>
    <w:rsid w:val="007F3ACD"/>
    <w:rsid w:val="007F6FED"/>
    <w:rsid w:val="007F7045"/>
    <w:rsid w:val="0080133F"/>
    <w:rsid w:val="0080498F"/>
    <w:rsid w:val="00811157"/>
    <w:rsid w:val="008120FD"/>
    <w:rsid w:val="008209CD"/>
    <w:rsid w:val="0082464B"/>
    <w:rsid w:val="00826C2A"/>
    <w:rsid w:val="0085055E"/>
    <w:rsid w:val="00860654"/>
    <w:rsid w:val="00866ACB"/>
    <w:rsid w:val="0087150A"/>
    <w:rsid w:val="00873363"/>
    <w:rsid w:val="00873467"/>
    <w:rsid w:val="00873D65"/>
    <w:rsid w:val="0089235F"/>
    <w:rsid w:val="008975A5"/>
    <w:rsid w:val="008A35B1"/>
    <w:rsid w:val="008A3A19"/>
    <w:rsid w:val="008B24CC"/>
    <w:rsid w:val="008B27A5"/>
    <w:rsid w:val="008B4551"/>
    <w:rsid w:val="008B51DD"/>
    <w:rsid w:val="008B7E33"/>
    <w:rsid w:val="008C369D"/>
    <w:rsid w:val="008C4590"/>
    <w:rsid w:val="008C47A8"/>
    <w:rsid w:val="008C71C4"/>
    <w:rsid w:val="008D1A6F"/>
    <w:rsid w:val="008D5A7D"/>
    <w:rsid w:val="008D6803"/>
    <w:rsid w:val="008E0714"/>
    <w:rsid w:val="008E1E12"/>
    <w:rsid w:val="008F1921"/>
    <w:rsid w:val="008F2E37"/>
    <w:rsid w:val="00902AA3"/>
    <w:rsid w:val="00903467"/>
    <w:rsid w:val="0090378E"/>
    <w:rsid w:val="00906EAA"/>
    <w:rsid w:val="009211DA"/>
    <w:rsid w:val="00922BDC"/>
    <w:rsid w:val="00926CB2"/>
    <w:rsid w:val="00933F19"/>
    <w:rsid w:val="00937747"/>
    <w:rsid w:val="0094223B"/>
    <w:rsid w:val="0094339C"/>
    <w:rsid w:val="00945446"/>
    <w:rsid w:val="00951008"/>
    <w:rsid w:val="009606C1"/>
    <w:rsid w:val="009617DD"/>
    <w:rsid w:val="00962E0B"/>
    <w:rsid w:val="009659B6"/>
    <w:rsid w:val="009674F1"/>
    <w:rsid w:val="00970DD2"/>
    <w:rsid w:val="0097168E"/>
    <w:rsid w:val="0098026F"/>
    <w:rsid w:val="009818C6"/>
    <w:rsid w:val="00981A6D"/>
    <w:rsid w:val="009845CF"/>
    <w:rsid w:val="009879AF"/>
    <w:rsid w:val="009879F2"/>
    <w:rsid w:val="00994B8E"/>
    <w:rsid w:val="009A3D72"/>
    <w:rsid w:val="009A5FAE"/>
    <w:rsid w:val="009B0817"/>
    <w:rsid w:val="009B2CB6"/>
    <w:rsid w:val="009C0EBC"/>
    <w:rsid w:val="009C3BA1"/>
    <w:rsid w:val="009D15F1"/>
    <w:rsid w:val="009D2B10"/>
    <w:rsid w:val="009D52BC"/>
    <w:rsid w:val="009D7EEB"/>
    <w:rsid w:val="009F40E8"/>
    <w:rsid w:val="00A115AE"/>
    <w:rsid w:val="00A1309F"/>
    <w:rsid w:val="00A2199C"/>
    <w:rsid w:val="00A26037"/>
    <w:rsid w:val="00A33D42"/>
    <w:rsid w:val="00A43858"/>
    <w:rsid w:val="00A43896"/>
    <w:rsid w:val="00A50B17"/>
    <w:rsid w:val="00A51B94"/>
    <w:rsid w:val="00A52791"/>
    <w:rsid w:val="00A57D04"/>
    <w:rsid w:val="00A60999"/>
    <w:rsid w:val="00A6244E"/>
    <w:rsid w:val="00A64984"/>
    <w:rsid w:val="00A679CC"/>
    <w:rsid w:val="00A73D46"/>
    <w:rsid w:val="00A74321"/>
    <w:rsid w:val="00A7471A"/>
    <w:rsid w:val="00A77C53"/>
    <w:rsid w:val="00A80A1B"/>
    <w:rsid w:val="00A81B58"/>
    <w:rsid w:val="00A90764"/>
    <w:rsid w:val="00A96AD1"/>
    <w:rsid w:val="00A96E4C"/>
    <w:rsid w:val="00A973C4"/>
    <w:rsid w:val="00AA2391"/>
    <w:rsid w:val="00AA2D36"/>
    <w:rsid w:val="00AA6590"/>
    <w:rsid w:val="00AB160B"/>
    <w:rsid w:val="00AC16A6"/>
    <w:rsid w:val="00AC2988"/>
    <w:rsid w:val="00AD0AE4"/>
    <w:rsid w:val="00AD0CA2"/>
    <w:rsid w:val="00AE03E2"/>
    <w:rsid w:val="00AE2A75"/>
    <w:rsid w:val="00AE4647"/>
    <w:rsid w:val="00AE744E"/>
    <w:rsid w:val="00AE7C71"/>
    <w:rsid w:val="00AF10F6"/>
    <w:rsid w:val="00B01227"/>
    <w:rsid w:val="00B01235"/>
    <w:rsid w:val="00B0204E"/>
    <w:rsid w:val="00B02844"/>
    <w:rsid w:val="00B02EF4"/>
    <w:rsid w:val="00B04CC7"/>
    <w:rsid w:val="00B04DCF"/>
    <w:rsid w:val="00B1464A"/>
    <w:rsid w:val="00B2417F"/>
    <w:rsid w:val="00B412DD"/>
    <w:rsid w:val="00B415A0"/>
    <w:rsid w:val="00B41635"/>
    <w:rsid w:val="00B44782"/>
    <w:rsid w:val="00B477EB"/>
    <w:rsid w:val="00B503BD"/>
    <w:rsid w:val="00B5357A"/>
    <w:rsid w:val="00B53A73"/>
    <w:rsid w:val="00B55F18"/>
    <w:rsid w:val="00B73F04"/>
    <w:rsid w:val="00B73F1C"/>
    <w:rsid w:val="00B74886"/>
    <w:rsid w:val="00B8221B"/>
    <w:rsid w:val="00BA7637"/>
    <w:rsid w:val="00BB10BA"/>
    <w:rsid w:val="00BB3D07"/>
    <w:rsid w:val="00BC2B7C"/>
    <w:rsid w:val="00BC34B2"/>
    <w:rsid w:val="00BC4C29"/>
    <w:rsid w:val="00BC6FBB"/>
    <w:rsid w:val="00BD0CB9"/>
    <w:rsid w:val="00BD200A"/>
    <w:rsid w:val="00BD47B3"/>
    <w:rsid w:val="00BE175A"/>
    <w:rsid w:val="00BE1A5A"/>
    <w:rsid w:val="00BE7219"/>
    <w:rsid w:val="00BF0BB7"/>
    <w:rsid w:val="00BF17BA"/>
    <w:rsid w:val="00BF5B2E"/>
    <w:rsid w:val="00C10E25"/>
    <w:rsid w:val="00C3014D"/>
    <w:rsid w:val="00C30ECE"/>
    <w:rsid w:val="00C33E85"/>
    <w:rsid w:val="00C47E9D"/>
    <w:rsid w:val="00C503A7"/>
    <w:rsid w:val="00C5215F"/>
    <w:rsid w:val="00C536F4"/>
    <w:rsid w:val="00C5644C"/>
    <w:rsid w:val="00C571C3"/>
    <w:rsid w:val="00C93F90"/>
    <w:rsid w:val="00C9626C"/>
    <w:rsid w:val="00CA27DF"/>
    <w:rsid w:val="00CB1AB5"/>
    <w:rsid w:val="00CB233C"/>
    <w:rsid w:val="00CB31D8"/>
    <w:rsid w:val="00CB32A9"/>
    <w:rsid w:val="00CB464E"/>
    <w:rsid w:val="00CB4A28"/>
    <w:rsid w:val="00CC0890"/>
    <w:rsid w:val="00CC5042"/>
    <w:rsid w:val="00CE0C66"/>
    <w:rsid w:val="00CF2640"/>
    <w:rsid w:val="00CF4CE0"/>
    <w:rsid w:val="00CF674F"/>
    <w:rsid w:val="00D00390"/>
    <w:rsid w:val="00D00437"/>
    <w:rsid w:val="00D01ADA"/>
    <w:rsid w:val="00D06541"/>
    <w:rsid w:val="00D104C1"/>
    <w:rsid w:val="00D11298"/>
    <w:rsid w:val="00D12381"/>
    <w:rsid w:val="00D125FB"/>
    <w:rsid w:val="00D1282B"/>
    <w:rsid w:val="00D13743"/>
    <w:rsid w:val="00D22230"/>
    <w:rsid w:val="00D22F37"/>
    <w:rsid w:val="00D24350"/>
    <w:rsid w:val="00D32019"/>
    <w:rsid w:val="00D34EA0"/>
    <w:rsid w:val="00D36017"/>
    <w:rsid w:val="00D37C4B"/>
    <w:rsid w:val="00D4087B"/>
    <w:rsid w:val="00D478DE"/>
    <w:rsid w:val="00D51D5D"/>
    <w:rsid w:val="00D52F54"/>
    <w:rsid w:val="00D53BC0"/>
    <w:rsid w:val="00D61BAB"/>
    <w:rsid w:val="00D66AC5"/>
    <w:rsid w:val="00D70FB0"/>
    <w:rsid w:val="00D75312"/>
    <w:rsid w:val="00D8016D"/>
    <w:rsid w:val="00D81749"/>
    <w:rsid w:val="00D85EF3"/>
    <w:rsid w:val="00D94292"/>
    <w:rsid w:val="00DA2B1A"/>
    <w:rsid w:val="00DA34B8"/>
    <w:rsid w:val="00DA6878"/>
    <w:rsid w:val="00DB24A4"/>
    <w:rsid w:val="00DB353D"/>
    <w:rsid w:val="00DC425C"/>
    <w:rsid w:val="00DD20B7"/>
    <w:rsid w:val="00DD2DD4"/>
    <w:rsid w:val="00DD63F8"/>
    <w:rsid w:val="00DD6907"/>
    <w:rsid w:val="00DD7526"/>
    <w:rsid w:val="00DE051C"/>
    <w:rsid w:val="00DE3816"/>
    <w:rsid w:val="00DF1954"/>
    <w:rsid w:val="00DF3EA7"/>
    <w:rsid w:val="00DF4F47"/>
    <w:rsid w:val="00DF4FD0"/>
    <w:rsid w:val="00DF5462"/>
    <w:rsid w:val="00DF6C8B"/>
    <w:rsid w:val="00E00490"/>
    <w:rsid w:val="00E101C7"/>
    <w:rsid w:val="00E10782"/>
    <w:rsid w:val="00E12962"/>
    <w:rsid w:val="00E21EA5"/>
    <w:rsid w:val="00E34E21"/>
    <w:rsid w:val="00E35C61"/>
    <w:rsid w:val="00E36CCC"/>
    <w:rsid w:val="00E419C8"/>
    <w:rsid w:val="00E43438"/>
    <w:rsid w:val="00E52423"/>
    <w:rsid w:val="00E54BEF"/>
    <w:rsid w:val="00E671C3"/>
    <w:rsid w:val="00E745CD"/>
    <w:rsid w:val="00E816C4"/>
    <w:rsid w:val="00E90142"/>
    <w:rsid w:val="00E9269E"/>
    <w:rsid w:val="00EA0281"/>
    <w:rsid w:val="00EA3FCF"/>
    <w:rsid w:val="00EB4322"/>
    <w:rsid w:val="00EC024A"/>
    <w:rsid w:val="00EC58DE"/>
    <w:rsid w:val="00EC5C2A"/>
    <w:rsid w:val="00EE36B2"/>
    <w:rsid w:val="00EE5288"/>
    <w:rsid w:val="00EF0251"/>
    <w:rsid w:val="00EF1191"/>
    <w:rsid w:val="00EF7C96"/>
    <w:rsid w:val="00F05F64"/>
    <w:rsid w:val="00F06EE8"/>
    <w:rsid w:val="00F07349"/>
    <w:rsid w:val="00F113EF"/>
    <w:rsid w:val="00F126F3"/>
    <w:rsid w:val="00F21209"/>
    <w:rsid w:val="00F22AE5"/>
    <w:rsid w:val="00F26729"/>
    <w:rsid w:val="00F271F8"/>
    <w:rsid w:val="00F271FF"/>
    <w:rsid w:val="00F314AF"/>
    <w:rsid w:val="00F3192C"/>
    <w:rsid w:val="00F3195E"/>
    <w:rsid w:val="00F461CB"/>
    <w:rsid w:val="00F464B1"/>
    <w:rsid w:val="00F530DC"/>
    <w:rsid w:val="00F5681C"/>
    <w:rsid w:val="00F656F8"/>
    <w:rsid w:val="00F72B8B"/>
    <w:rsid w:val="00F75DF1"/>
    <w:rsid w:val="00F77A3B"/>
    <w:rsid w:val="00F77BE0"/>
    <w:rsid w:val="00F813FE"/>
    <w:rsid w:val="00F829C0"/>
    <w:rsid w:val="00F829F6"/>
    <w:rsid w:val="00F83D85"/>
    <w:rsid w:val="00FA5362"/>
    <w:rsid w:val="00FA5CC1"/>
    <w:rsid w:val="00FB3EA6"/>
    <w:rsid w:val="00FB3FD4"/>
    <w:rsid w:val="00FC4248"/>
    <w:rsid w:val="00FC6821"/>
    <w:rsid w:val="00FD325A"/>
    <w:rsid w:val="00FD3B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A10DC"/>
  <w15:chartTrackingRefBased/>
  <w15:docId w15:val="{477C5E71-7FF8-4CCD-A118-BB77B51B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C4"/>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EC5C2A"/>
    <w:pPr>
      <w:keepNext/>
      <w:keepLines/>
      <w:spacing w:before="360" w:after="240"/>
      <w:outlineLvl w:val="0"/>
    </w:pPr>
    <w:rPr>
      <w:rFonts w:ascii="Georgia" w:eastAsiaTheme="majorEastAsia" w:hAnsi="Georgia"/>
      <w:b/>
      <w:bCs/>
      <w:color w:val="121F6B"/>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1B2AFC"/>
    <w:pPr>
      <w:outlineLvl w:val="3"/>
    </w:pPr>
    <w:rPr>
      <w:b w:val="0"/>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C2A"/>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1B2AFC"/>
    <w:rPr>
      <w:rFonts w:ascii="Verdana" w:hAnsi="Verdana" w:cs="Arial"/>
      <w:sz w:val="24"/>
      <w:szCs w:val="24"/>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ody,lp1"/>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val="0"/>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val="0"/>
      <w:sz w:val="20"/>
      <w:szCs w:val="24"/>
    </w:rPr>
  </w:style>
  <w:style w:type="paragraph" w:styleId="TOCHeading">
    <w:name w:val="TOC Heading"/>
    <w:basedOn w:val="Heading1"/>
    <w:next w:val="Normal"/>
    <w:uiPriority w:val="39"/>
    <w:unhideWhenUsed/>
    <w:qFormat/>
    <w:rsid w:val="00EC5C2A"/>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semiHidden/>
    <w:unhideWhenUsed/>
    <w:rsid w:val="00FC6821"/>
    <w:rPr>
      <w:vertAlign w:val="superscript"/>
    </w:rPr>
  </w:style>
  <w:style w:type="paragraph" w:styleId="Header">
    <w:name w:val="header"/>
    <w:basedOn w:val="Normal"/>
    <w:link w:val="HeaderChar"/>
    <w:uiPriority w:val="99"/>
    <w:unhideWhenUsed/>
    <w:rsid w:val="001D3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4D5"/>
    <w:rPr>
      <w:rFonts w:ascii="Verdana" w:hAnsi="Verdana" w:cs="Arial"/>
      <w:szCs w:val="22"/>
    </w:rPr>
  </w:style>
  <w:style w:type="character" w:styleId="Hyperlink">
    <w:name w:val="Hyperlink"/>
    <w:basedOn w:val="DefaultParagraphFont"/>
    <w:uiPriority w:val="99"/>
    <w:unhideWhenUsed/>
    <w:rsid w:val="001D34D5"/>
    <w:rPr>
      <w:color w:val="0000FF" w:themeColor="hyperlink"/>
      <w:u w:val="single"/>
    </w:rPr>
  </w:style>
  <w:style w:type="paragraph" w:styleId="Caption">
    <w:name w:val="caption"/>
    <w:basedOn w:val="Normal"/>
    <w:next w:val="Normal"/>
    <w:uiPriority w:val="35"/>
    <w:unhideWhenUsed/>
    <w:qFormat/>
    <w:rsid w:val="008B24CC"/>
    <w:pPr>
      <w:spacing w:after="200" w:line="240" w:lineRule="auto"/>
    </w:pPr>
    <w:rPr>
      <w:b/>
      <w:iCs/>
      <w:sz w:val="18"/>
      <w:szCs w:val="18"/>
    </w:rPr>
  </w:style>
  <w:style w:type="paragraph" w:styleId="CommentSubject">
    <w:name w:val="annotation subject"/>
    <w:basedOn w:val="CommentText"/>
    <w:next w:val="CommentText"/>
    <w:link w:val="CommentSubjectChar"/>
    <w:uiPriority w:val="99"/>
    <w:semiHidden/>
    <w:unhideWhenUsed/>
    <w:rsid w:val="006F2856"/>
    <w:rPr>
      <w:b/>
      <w:bCs/>
    </w:rPr>
  </w:style>
  <w:style w:type="character" w:customStyle="1" w:styleId="CommentSubjectChar">
    <w:name w:val="Comment Subject Char"/>
    <w:basedOn w:val="CommentTextChar"/>
    <w:link w:val="CommentSubject"/>
    <w:uiPriority w:val="99"/>
    <w:semiHidden/>
    <w:rsid w:val="006F2856"/>
    <w:rPr>
      <w:rFonts w:ascii="Verdana" w:hAnsi="Verdana" w:cs="Arial"/>
      <w:b/>
      <w:bCs/>
    </w:rPr>
  </w:style>
  <w:style w:type="character" w:styleId="UnresolvedMention">
    <w:name w:val="Unresolved Mention"/>
    <w:basedOn w:val="DefaultParagraphFont"/>
    <w:uiPriority w:val="99"/>
    <w:semiHidden/>
    <w:unhideWhenUsed/>
    <w:rsid w:val="00324920"/>
    <w:rPr>
      <w:color w:val="605E5C"/>
      <w:shd w:val="clear" w:color="auto" w:fill="E1DFDD"/>
    </w:rPr>
  </w:style>
  <w:style w:type="paragraph" w:styleId="Revision">
    <w:name w:val="Revision"/>
    <w:hidden/>
    <w:uiPriority w:val="99"/>
    <w:semiHidden/>
    <w:rsid w:val="004B0E50"/>
    <w:rPr>
      <w:rFonts w:ascii="Verdana" w:hAnsi="Verdana" w:cs="Arial"/>
      <w:szCs w:val="22"/>
    </w:rPr>
  </w:style>
  <w:style w:type="character" w:styleId="FollowedHyperlink">
    <w:name w:val="FollowedHyperlink"/>
    <w:basedOn w:val="DefaultParagraphFont"/>
    <w:uiPriority w:val="99"/>
    <w:semiHidden/>
    <w:unhideWhenUsed/>
    <w:rsid w:val="00DB353D"/>
    <w:rPr>
      <w:color w:val="800080" w:themeColor="followedHyperlink"/>
      <w:u w:val="single"/>
    </w:rPr>
  </w:style>
  <w:style w:type="paragraph" w:customStyle="1" w:styleId="ReportBody">
    <w:name w:val="Report Body"/>
    <w:basedOn w:val="Normal"/>
    <w:link w:val="ReportBodyChar"/>
    <w:qFormat/>
    <w:rsid w:val="00F21209"/>
    <w:pPr>
      <w:numPr>
        <w:numId w:val="44"/>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F21209"/>
    <w:pPr>
      <w:numPr>
        <w:ilvl w:val="1"/>
      </w:numPr>
      <w:tabs>
        <w:tab w:val="clear" w:pos="493"/>
        <w:tab w:val="num" w:pos="360"/>
      </w:tabs>
      <w:ind w:left="720" w:hanging="360"/>
    </w:pPr>
  </w:style>
  <w:style w:type="character" w:customStyle="1" w:styleId="ReportBodyChar">
    <w:name w:val="Report Body Char"/>
    <w:basedOn w:val="DefaultParagraphFont"/>
    <w:link w:val="ReportBody"/>
    <w:rsid w:val="00F21209"/>
    <w:rPr>
      <w:rFonts w:ascii="Verdana" w:eastAsia="Times New Roman" w:hAnsi="Verdana" w:cs="Arial"/>
      <w:color w:val="000000"/>
      <w:kern w:val="22"/>
      <w:lang w:eastAsia="en-NZ"/>
    </w:rPr>
  </w:style>
  <w:style w:type="paragraph" w:customStyle="1" w:styleId="Report2">
    <w:name w:val="Report2"/>
    <w:qFormat/>
    <w:rsid w:val="00EC5C2A"/>
    <w:pPr>
      <w:spacing w:before="240"/>
    </w:pPr>
    <w:rPr>
      <w:rFonts w:ascii="Georgia" w:hAnsi="Georgia" w:cs="Arial"/>
      <w:b/>
      <w:color w:val="121F6B"/>
      <w:kern w:val="28"/>
      <w:sz w:val="40"/>
      <w:szCs w:val="40"/>
      <w:lang w:val="en-US"/>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basedOn w:val="DefaultParagraphFont"/>
    <w:link w:val="ListParagraph"/>
    <w:uiPriority w:val="34"/>
    <w:locked/>
    <w:rsid w:val="004C1722"/>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11240">
      <w:bodyDiv w:val="1"/>
      <w:marLeft w:val="0"/>
      <w:marRight w:val="0"/>
      <w:marTop w:val="0"/>
      <w:marBottom w:val="0"/>
      <w:divBdr>
        <w:top w:val="none" w:sz="0" w:space="0" w:color="auto"/>
        <w:left w:val="none" w:sz="0" w:space="0" w:color="auto"/>
        <w:bottom w:val="none" w:sz="0" w:space="0" w:color="auto"/>
        <w:right w:val="none" w:sz="0" w:space="0" w:color="auto"/>
      </w:divBdr>
    </w:div>
    <w:div w:id="1429542952">
      <w:bodyDiv w:val="1"/>
      <w:marLeft w:val="0"/>
      <w:marRight w:val="0"/>
      <w:marTop w:val="0"/>
      <w:marBottom w:val="0"/>
      <w:divBdr>
        <w:top w:val="none" w:sz="0" w:space="0" w:color="auto"/>
        <w:left w:val="none" w:sz="0" w:space="0" w:color="auto"/>
        <w:bottom w:val="none" w:sz="0" w:space="0" w:color="auto"/>
        <w:right w:val="none" w:sz="0" w:space="0" w:color="auto"/>
      </w:divBdr>
    </w:div>
    <w:div w:id="2099910372">
      <w:bodyDiv w:val="1"/>
      <w:marLeft w:val="0"/>
      <w:marRight w:val="0"/>
      <w:marTop w:val="0"/>
      <w:marBottom w:val="0"/>
      <w:divBdr>
        <w:top w:val="none" w:sz="0" w:space="0" w:color="auto"/>
        <w:left w:val="none" w:sz="0" w:space="0" w:color="auto"/>
        <w:bottom w:val="none" w:sz="0" w:space="0" w:color="auto"/>
        <w:right w:val="none" w:sz="0" w:space="0" w:color="auto"/>
      </w:divBdr>
    </w:div>
    <w:div w:id="2104065595">
      <w:bodyDiv w:val="1"/>
      <w:marLeft w:val="0"/>
      <w:marRight w:val="0"/>
      <w:marTop w:val="0"/>
      <w:marBottom w:val="0"/>
      <w:divBdr>
        <w:top w:val="none" w:sz="0" w:space="0" w:color="auto"/>
        <w:left w:val="none" w:sz="0" w:space="0" w:color="auto"/>
        <w:bottom w:val="none" w:sz="0" w:space="0" w:color="auto"/>
        <w:right w:val="none" w:sz="0" w:space="0" w:color="auto"/>
      </w:divBdr>
    </w:div>
    <w:div w:id="21222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d.govt.nz/about-msd-and-our-work/work-programmes/research/evaluation-of-oranga-mahi-trial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hyperlink" Target="https://www.msd.govt.nz/about-msd-and-our-work/tools/how-we-keep-data-private.html"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1.xml"/></Relationships>
</file>

<file path=word/_rels/footnotes.xml.rels><?xml version="1.0" encoding="UTF-8" standalone="yes"?>
<Relationships xmlns="http://schemas.openxmlformats.org/package/2006/relationships"><Relationship Id="rId8" Type="http://schemas.openxmlformats.org/officeDocument/2006/relationships/hyperlink" Target="https://www.outcomesstar.org.uk/using-the-star/see-the-stars/well-being-star/" TargetMode="External"/><Relationship Id="rId3" Type="http://schemas.openxmlformats.org/officeDocument/2006/relationships/hyperlink" Target="https://www.data.msd.govt.nz/?_inputs_&amp;benefits-name=%22Jobseeker%20Support%20Health%20Condition%20%26%20Disability%22&amp;benefits-tabset=%22profile%22&amp;benefits-is_ben_profile.demtypslct=%22Ethnicity%22" TargetMode="External"/><Relationship Id="rId7" Type="http://schemas.openxmlformats.org/officeDocument/2006/relationships/hyperlink" Target="https://www.msd.govt.nz/documents/about-msd-and-our-work/publications-resources/evaluation/family-packages/2021/monitoring-the-families-package-and-changes-to-income-support-from-2018-to-2021.pdf" TargetMode="External"/><Relationship Id="rId2" Type="http://schemas.openxmlformats.org/officeDocument/2006/relationships/hyperlink" Target="https://www.data.msd.govt.nz/?_inputs_&amp;benefits-name=%22Health%20Condition%20and%20Disability%22&amp;benefits-tabset=%22profile%22&amp;benefits-group=%22Main%20benefit%3ASupported%20Living%20Payments%22" TargetMode="External"/><Relationship Id="rId1" Type="http://schemas.openxmlformats.org/officeDocument/2006/relationships/hyperlink" Target="https://www.data.msd.govt.nz/?_inputs_&amp;benefits-name=%22Jobseeker%20Support%20Health%20Condition%20%26%20Disability%22&amp;benefits-tabset=%22profile%22" TargetMode="External"/><Relationship Id="rId6" Type="http://schemas.openxmlformats.org/officeDocument/2006/relationships/hyperlink" Target="https://www.data.msd.govt.nz/?_inputs_&amp;benefits-name=%22Health%20Condition%20and%20Disability%22&amp;benefits-tabset=%22profile%22&amp;benefits-is_ben_profile.demtypslct=%22Gender%22&amp;benefits-group=%22Main%20benefit%3ASupported%20Living%20Payments%22" TargetMode="External"/><Relationship Id="rId5" Type="http://schemas.openxmlformats.org/officeDocument/2006/relationships/hyperlink" Target="https://www.data.msd.govt.nz/?_inputs_&amp;benefits-name=%22Jobseeker%20Support%20Health%20Condition%20%26%20Disability%22&amp;benefits-tabset=%22profile%22&amp;benefits-is_ben_profile.demtypslct=%22Gender%22" TargetMode="External"/><Relationship Id="rId4" Type="http://schemas.openxmlformats.org/officeDocument/2006/relationships/hyperlink" Target="https://www.data.msd.govt.nz/?_inputs_&amp;benefits-name=%22Health%20Condition%20and%20Disability%22&amp;benefits-tabset=%22profile%22&amp;benefits-is_ben_profile.demtypslct=%22Ethnicity%22&amp;benefits-group=%22Main%20benefit%3ASupported%20Living%20Payments%2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orp.ssi.govt.nz\usersl\larne001\Desktop\iMSD%20stuff\oranga%20mahi\here%20toitu\main%20report\analysis_HT_Mar22.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orp.ssi.govt.nz\usersl\larne001\Desktop\iMSD%20stuff\oranga%20mahi\here%20toitu\main%20report\analysis_HT_Mar22.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orp.ssi.govt.nz\usersl\larne001\Desktop\iMSD%20stuff\oranga%20mahi\here%20toitu\main%20report\analysis_HT_Mar22.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orp.ssi.govt.nz\usersl\larne001\Desktop\iMSD%20stuff\oranga%20mahi\here%20toitu\main%20report\analysis_HT_Mar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orp.ssi.govt.nz\usersl\larne001\Desktop\iMSD%20stuff\oranga%20mahi\here%20toitu\main%20report\analysis_HT_Mar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orp.ssi.govt.nz\usersl\larne001\Desktop\iMSD%20stuff\oranga%20mahi\here%20toitu\main%20report\analysis_HT_Mar2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arne001.CORP\Director\Cache\objective.ssi.govt.nz%20uA9694\A14407486\analysis_HT_Mar2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orp.ssi.govt.nz\usersl\larne001\Desktop\iMSD%20stuff\oranga%20mahi\here%20toitu\main%20report\analysis_HT_Mar2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orp.ssi.govt.nz\usersl\larne001\Desktop\iMSD%20stuff\oranga%20mahi\here%20toitu\main%20report\analysis_HT_Mar22.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orp.ssi.govt.nz\usersl\larne001\Desktop\iMSD%20stuff\oranga%20mahi\here%20toitu\main%20report\analysis_HT_Mar22.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orp.ssi.govt.nz\usersl\larne001\Desktop\iMSD%20stuff\oranga%20mahi\here%20toitu\main%20report\analysis_HT_Mar2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orp.ssi.govt.nz\usersl\larne001\Desktop\iMSD%20stuff\oranga%20mahi\here%20toitu\main%20report\analysis_HT_Mar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374912510936131"/>
          <c:y val="5.0925925925925923E-2"/>
          <c:w val="0.6545842082239719"/>
          <c:h val="0.89814814814814814"/>
        </c:manualLayout>
      </c:layout>
      <c:barChart>
        <c:barDir val="bar"/>
        <c:grouping val="clustered"/>
        <c:varyColors val="0"/>
        <c:ser>
          <c:idx val="0"/>
          <c:order val="0"/>
          <c:spPr>
            <a:solidFill>
              <a:srgbClr val="0095F8"/>
            </a:solidFill>
            <a:ln>
              <a:noFill/>
            </a:ln>
            <a:effectLst/>
          </c:spPr>
          <c:invertIfNegative val="0"/>
          <c:dLbls>
            <c:dLbl>
              <c:idx val="0"/>
              <c:tx>
                <c:rich>
                  <a:bodyPr/>
                  <a:lstStyle/>
                  <a:p>
                    <a:fld id="{F4A05EE0-06D6-4EE1-860E-214467445682}"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2F6-48A5-988B-7AFD54C6DC78}"/>
                </c:ext>
              </c:extLst>
            </c:dLbl>
            <c:dLbl>
              <c:idx val="1"/>
              <c:tx>
                <c:rich>
                  <a:bodyPr/>
                  <a:lstStyle/>
                  <a:p>
                    <a:fld id="{58CEA1F0-82B8-46E9-BD15-3AD02F79EDB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2F6-48A5-988B-7AFD54C6DC78}"/>
                </c:ext>
              </c:extLst>
            </c:dLbl>
            <c:dLbl>
              <c:idx val="2"/>
              <c:tx>
                <c:rich>
                  <a:bodyPr/>
                  <a:lstStyle/>
                  <a:p>
                    <a:fld id="{01913BF9-487C-448F-9F64-70B62EBE1551}"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2F6-48A5-988B-7AFD54C6DC78}"/>
                </c:ext>
              </c:extLst>
            </c:dLbl>
            <c:dLbl>
              <c:idx val="3"/>
              <c:tx>
                <c:rich>
                  <a:bodyPr/>
                  <a:lstStyle/>
                  <a:p>
                    <a:fld id="{B77746D4-AB93-41FF-B403-E2D40623E56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2F6-48A5-988B-7AFD54C6DC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Sheet1!$R$14:$R$17</c:f>
              <c:strCache>
                <c:ptCount val="4"/>
                <c:pt idx="0">
                  <c:v>Pegasus Health</c:v>
                </c:pt>
                <c:pt idx="1">
                  <c:v>ProCare Health</c:v>
                </c:pt>
                <c:pt idx="2">
                  <c:v>National Hauora Coalition</c:v>
                </c:pt>
                <c:pt idx="3">
                  <c:v>THINK Hauora</c:v>
                </c:pt>
              </c:strCache>
            </c:strRef>
          </c:cat>
          <c:val>
            <c:numRef>
              <c:f>Sheet1!$V$14:$V$17</c:f>
              <c:numCache>
                <c:formatCode>0.0%</c:formatCode>
                <c:ptCount val="4"/>
                <c:pt idx="0">
                  <c:v>0.627</c:v>
                </c:pt>
                <c:pt idx="1">
                  <c:v>0.23400000000000001</c:v>
                </c:pt>
                <c:pt idx="2">
                  <c:v>7.1999999999999995E-2</c:v>
                </c:pt>
                <c:pt idx="3">
                  <c:v>6.7000000000000004E-2</c:v>
                </c:pt>
              </c:numCache>
            </c:numRef>
          </c:val>
          <c:extLst>
            <c:ext xmlns:c15="http://schemas.microsoft.com/office/drawing/2012/chart" uri="{02D57815-91ED-43cb-92C2-25804820EDAC}">
              <c15:datalabelsRange>
                <c15:f>Sheet1!$W$14:$W$17</c15:f>
                <c15:dlblRangeCache>
                  <c:ptCount val="4"/>
                  <c:pt idx="0">
                    <c:v>62.7% (732)</c:v>
                  </c:pt>
                  <c:pt idx="1">
                    <c:v>23.4% (273)</c:v>
                  </c:pt>
                  <c:pt idx="2">
                    <c:v>7.2% (84)</c:v>
                  </c:pt>
                  <c:pt idx="3">
                    <c:v>6.7% (78)</c:v>
                  </c:pt>
                </c15:dlblRangeCache>
              </c15:datalabelsRange>
            </c:ext>
            <c:ext xmlns:c16="http://schemas.microsoft.com/office/drawing/2014/chart" uri="{C3380CC4-5D6E-409C-BE32-E72D297353CC}">
              <c16:uniqueId val="{00000004-62F6-48A5-988B-7AFD54C6DC78}"/>
            </c:ext>
          </c:extLst>
        </c:ser>
        <c:dLbls>
          <c:showLegendKey val="0"/>
          <c:showVal val="0"/>
          <c:showCatName val="0"/>
          <c:showSerName val="0"/>
          <c:showPercent val="0"/>
          <c:showBubbleSize val="0"/>
        </c:dLbls>
        <c:gapWidth val="50"/>
        <c:axId val="768419032"/>
        <c:axId val="768419360"/>
      </c:barChart>
      <c:catAx>
        <c:axId val="768419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419360"/>
        <c:crosses val="autoZero"/>
        <c:auto val="1"/>
        <c:lblAlgn val="ctr"/>
        <c:lblOffset val="100"/>
        <c:noMultiLvlLbl val="0"/>
      </c:catAx>
      <c:valAx>
        <c:axId val="768419360"/>
        <c:scaling>
          <c:orientation val="minMax"/>
        </c:scaling>
        <c:delete val="1"/>
        <c:axPos val="t"/>
        <c:numFmt formatCode="0.0%" sourceLinked="1"/>
        <c:majorTickMark val="none"/>
        <c:minorTickMark val="none"/>
        <c:tickLblPos val="nextTo"/>
        <c:crossAx val="768419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95F8"/>
              </a:solidFill>
              <a:ln>
                <a:noFill/>
              </a:ln>
              <a:effectLst/>
            </c:spPr>
            <c:extLst>
              <c:ext xmlns:c16="http://schemas.microsoft.com/office/drawing/2014/chart" uri="{C3380CC4-5D6E-409C-BE32-E72D297353CC}">
                <c16:uniqueId val="{00000001-85D4-4AB8-863D-BC8525BBEAC0}"/>
              </c:ext>
            </c:extLst>
          </c:dPt>
          <c:dPt>
            <c:idx val="1"/>
            <c:invertIfNegative val="0"/>
            <c:bubble3D val="0"/>
            <c:spPr>
              <a:solidFill>
                <a:srgbClr val="0095F8"/>
              </a:solidFill>
              <a:ln>
                <a:noFill/>
              </a:ln>
              <a:effectLst/>
            </c:spPr>
            <c:extLst>
              <c:ext xmlns:c16="http://schemas.microsoft.com/office/drawing/2014/chart" uri="{C3380CC4-5D6E-409C-BE32-E72D297353CC}">
                <c16:uniqueId val="{00000003-85D4-4AB8-863D-BC8525BBEAC0}"/>
              </c:ext>
            </c:extLst>
          </c:dPt>
          <c:dLbls>
            <c:dLbl>
              <c:idx val="0"/>
              <c:tx>
                <c:rich>
                  <a:bodyPr/>
                  <a:lstStyle/>
                  <a:p>
                    <a:fld id="{EA31D6B0-9D11-414B-89E7-C0108F5E9AA6}"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5D4-4AB8-863D-BC8525BBEAC0}"/>
                </c:ext>
              </c:extLst>
            </c:dLbl>
            <c:dLbl>
              <c:idx val="1"/>
              <c:tx>
                <c:rich>
                  <a:bodyPr/>
                  <a:lstStyle/>
                  <a:p>
                    <a:fld id="{DCFDA379-0D89-4D7A-87AE-04655113886D}"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5D4-4AB8-863D-BC8525BBEAC0}"/>
                </c:ext>
              </c:extLst>
            </c:dLbl>
            <c:dLbl>
              <c:idx val="2"/>
              <c:tx>
                <c:rich>
                  <a:bodyPr/>
                  <a:lstStyle/>
                  <a:p>
                    <a:fld id="{F24E4355-3D99-4698-B9C0-9555C9E1B03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5D4-4AB8-863D-BC8525BBEAC0}"/>
                </c:ext>
              </c:extLst>
            </c:dLbl>
            <c:dLbl>
              <c:idx val="3"/>
              <c:tx>
                <c:rich>
                  <a:bodyPr/>
                  <a:lstStyle/>
                  <a:p>
                    <a:fld id="{711F0938-85A4-4866-BEFF-DF1525E73B04}"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5D4-4AB8-863D-BC8525BBEAC0}"/>
                </c:ext>
              </c:extLst>
            </c:dLbl>
            <c:dLbl>
              <c:idx val="4"/>
              <c:tx>
                <c:rich>
                  <a:bodyPr/>
                  <a:lstStyle/>
                  <a:p>
                    <a:fld id="{168F896A-6222-479B-BF8B-B5226002D766}"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5D4-4AB8-863D-BC8525BBEAC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Sheet1!$B$240:$B$244</c:f>
              <c:strCache>
                <c:ptCount val="5"/>
                <c:pt idx="0">
                  <c:v>Less than 135 days</c:v>
                </c:pt>
                <c:pt idx="1">
                  <c:v>135 to 224 days</c:v>
                </c:pt>
                <c:pt idx="2">
                  <c:v>225 to 314 days</c:v>
                </c:pt>
                <c:pt idx="3">
                  <c:v>315 to 404 days</c:v>
                </c:pt>
                <c:pt idx="4">
                  <c:v>405 days or more</c:v>
                </c:pt>
              </c:strCache>
            </c:strRef>
          </c:cat>
          <c:val>
            <c:numRef>
              <c:f>Sheet1!$F$240:$F$244</c:f>
              <c:numCache>
                <c:formatCode>0.00%</c:formatCode>
                <c:ptCount val="5"/>
                <c:pt idx="0">
                  <c:v>0.32500000000000001</c:v>
                </c:pt>
                <c:pt idx="1">
                  <c:v>0.20799999999999999</c:v>
                </c:pt>
                <c:pt idx="2">
                  <c:v>0.182</c:v>
                </c:pt>
                <c:pt idx="3">
                  <c:v>0.19500000000000001</c:v>
                </c:pt>
                <c:pt idx="4">
                  <c:v>9.0999999999999998E-2</c:v>
                </c:pt>
              </c:numCache>
            </c:numRef>
          </c:val>
          <c:extLst>
            <c:ext xmlns:c15="http://schemas.microsoft.com/office/drawing/2012/chart" uri="{02D57815-91ED-43cb-92C2-25804820EDAC}">
              <c15:datalabelsRange>
                <c15:f>Sheet1!$G$240:$G$244</c15:f>
                <c15:dlblRangeCache>
                  <c:ptCount val="5"/>
                  <c:pt idx="0">
                    <c:v>32.5% (75)</c:v>
                  </c:pt>
                  <c:pt idx="1">
                    <c:v>20.8% (48)</c:v>
                  </c:pt>
                  <c:pt idx="2">
                    <c:v>18.2% (42)</c:v>
                  </c:pt>
                  <c:pt idx="3">
                    <c:v>19.5% (45)</c:v>
                  </c:pt>
                  <c:pt idx="4">
                    <c:v>9.1% (21)</c:v>
                  </c:pt>
                </c15:dlblRangeCache>
              </c15:datalabelsRange>
            </c:ext>
            <c:ext xmlns:c16="http://schemas.microsoft.com/office/drawing/2014/chart" uri="{C3380CC4-5D6E-409C-BE32-E72D297353CC}">
              <c16:uniqueId val="{00000007-85D4-4AB8-863D-BC8525BBEAC0}"/>
            </c:ext>
          </c:extLst>
        </c:ser>
        <c:dLbls>
          <c:showLegendKey val="0"/>
          <c:showVal val="0"/>
          <c:showCatName val="0"/>
          <c:showSerName val="0"/>
          <c:showPercent val="0"/>
          <c:showBubbleSize val="0"/>
        </c:dLbls>
        <c:gapWidth val="50"/>
        <c:overlap val="-27"/>
        <c:axId val="704719856"/>
        <c:axId val="704723464"/>
      </c:barChart>
      <c:catAx>
        <c:axId val="70471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04723464"/>
        <c:crosses val="autoZero"/>
        <c:auto val="1"/>
        <c:lblAlgn val="ctr"/>
        <c:lblOffset val="100"/>
        <c:noMultiLvlLbl val="0"/>
      </c:catAx>
      <c:valAx>
        <c:axId val="704723464"/>
        <c:scaling>
          <c:orientation val="minMax"/>
        </c:scaling>
        <c:delete val="1"/>
        <c:axPos val="l"/>
        <c:numFmt formatCode="0.00%" sourceLinked="1"/>
        <c:majorTickMark val="none"/>
        <c:minorTickMark val="none"/>
        <c:tickLblPos val="nextTo"/>
        <c:crossAx val="704719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20841180163214E-2"/>
          <c:y val="2.7210884353741496E-2"/>
          <c:w val="0.94475831763967355"/>
          <c:h val="0.85664363383148523"/>
        </c:manualLayout>
      </c:layout>
      <c:barChart>
        <c:barDir val="col"/>
        <c:grouping val="clustered"/>
        <c:varyColors val="0"/>
        <c:ser>
          <c:idx val="0"/>
          <c:order val="0"/>
          <c:spPr>
            <a:solidFill>
              <a:schemeClr val="bg1">
                <a:lumMod val="75000"/>
              </a:schemeClr>
            </a:solidFill>
            <a:ln>
              <a:noFill/>
            </a:ln>
            <a:effectLst/>
          </c:spPr>
          <c:invertIfNegative val="0"/>
          <c:dPt>
            <c:idx val="2"/>
            <c:invertIfNegative val="0"/>
            <c:bubble3D val="0"/>
            <c:spPr>
              <a:solidFill>
                <a:srgbClr val="0095F8"/>
              </a:solidFill>
              <a:ln>
                <a:noFill/>
              </a:ln>
              <a:effectLst/>
            </c:spPr>
            <c:extLst>
              <c:ext xmlns:c16="http://schemas.microsoft.com/office/drawing/2014/chart" uri="{C3380CC4-5D6E-409C-BE32-E72D297353CC}">
                <c16:uniqueId val="{00000001-78D4-4E1F-AE25-B8FC31941816}"/>
              </c:ext>
            </c:extLst>
          </c:dPt>
          <c:dLbls>
            <c:dLbl>
              <c:idx val="0"/>
              <c:tx>
                <c:rich>
                  <a:bodyPr/>
                  <a:lstStyle/>
                  <a:p>
                    <a:fld id="{1914714C-81B9-4514-8617-AC8BDC1145AB}"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78D4-4E1F-AE25-B8FC31941816}"/>
                </c:ext>
              </c:extLst>
            </c:dLbl>
            <c:dLbl>
              <c:idx val="1"/>
              <c:tx>
                <c:rich>
                  <a:bodyPr/>
                  <a:lstStyle/>
                  <a:p>
                    <a:fld id="{EB6626D4-7AD0-4F4E-AF23-80BC88059AF3}"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8D4-4E1F-AE25-B8FC31941816}"/>
                </c:ext>
              </c:extLst>
            </c:dLbl>
            <c:dLbl>
              <c:idx val="2"/>
              <c:tx>
                <c:rich>
                  <a:bodyPr/>
                  <a:lstStyle/>
                  <a:p>
                    <a:fld id="{AC65FEAB-215B-408F-B08D-54907380E4E1}"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8D4-4E1F-AE25-B8FC319418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Sheet1!$B$364:$B$366</c:f>
              <c:strCache>
                <c:ptCount val="3"/>
                <c:pt idx="0">
                  <c:v>As at enrolment</c:v>
                </c:pt>
                <c:pt idx="1">
                  <c:v>As at exit</c:v>
                </c:pt>
                <c:pt idx="2">
                  <c:v>6 months after exit</c:v>
                </c:pt>
              </c:strCache>
            </c:strRef>
          </c:cat>
          <c:val>
            <c:numRef>
              <c:f>Sheet1!$J$364:$J$366</c:f>
              <c:numCache>
                <c:formatCode>0.0%</c:formatCode>
                <c:ptCount val="3"/>
                <c:pt idx="0">
                  <c:v>6.4935064935064929E-2</c:v>
                </c:pt>
                <c:pt idx="1">
                  <c:v>0.19480519480519481</c:v>
                </c:pt>
                <c:pt idx="2">
                  <c:v>0.25108225108225107</c:v>
                </c:pt>
              </c:numCache>
            </c:numRef>
          </c:val>
          <c:extLst>
            <c:ext xmlns:c15="http://schemas.microsoft.com/office/drawing/2012/chart" uri="{02D57815-91ED-43cb-92C2-25804820EDAC}">
              <c15:datalabelsRange>
                <c15:f>Sheet1!$K$364:$K$366</c15:f>
                <c15:dlblRangeCache>
                  <c:ptCount val="3"/>
                  <c:pt idx="0">
                    <c:v>6.5% (15)</c:v>
                  </c:pt>
                  <c:pt idx="1">
                    <c:v>19.5% (45)</c:v>
                  </c:pt>
                  <c:pt idx="2">
                    <c:v>25.1% (58)</c:v>
                  </c:pt>
                </c15:dlblRangeCache>
              </c15:datalabelsRange>
            </c:ext>
            <c:ext xmlns:c16="http://schemas.microsoft.com/office/drawing/2014/chart" uri="{C3380CC4-5D6E-409C-BE32-E72D297353CC}">
              <c16:uniqueId val="{00000004-78D4-4E1F-AE25-B8FC31941816}"/>
            </c:ext>
          </c:extLst>
        </c:ser>
        <c:dLbls>
          <c:showLegendKey val="0"/>
          <c:showVal val="0"/>
          <c:showCatName val="0"/>
          <c:showSerName val="0"/>
          <c:showPercent val="0"/>
          <c:showBubbleSize val="0"/>
        </c:dLbls>
        <c:gapWidth val="50"/>
        <c:axId val="920861184"/>
        <c:axId val="920858560"/>
      </c:barChart>
      <c:catAx>
        <c:axId val="92086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858560"/>
        <c:crosses val="autoZero"/>
        <c:auto val="1"/>
        <c:lblAlgn val="ctr"/>
        <c:lblOffset val="100"/>
        <c:noMultiLvlLbl val="0"/>
      </c:catAx>
      <c:valAx>
        <c:axId val="920858560"/>
        <c:scaling>
          <c:orientation val="minMax"/>
        </c:scaling>
        <c:delete val="1"/>
        <c:axPos val="l"/>
        <c:numFmt formatCode="0.0%" sourceLinked="1"/>
        <c:majorTickMark val="none"/>
        <c:minorTickMark val="none"/>
        <c:tickLblPos val="nextTo"/>
        <c:crossAx val="92086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75000"/>
              </a:schemeClr>
            </a:solidFill>
            <a:ln>
              <a:noFill/>
            </a:ln>
            <a:effectLst/>
          </c:spPr>
          <c:invertIfNegative val="0"/>
          <c:dPt>
            <c:idx val="2"/>
            <c:invertIfNegative val="0"/>
            <c:bubble3D val="0"/>
            <c:spPr>
              <a:solidFill>
                <a:srgbClr val="0095F8"/>
              </a:solidFill>
              <a:ln>
                <a:noFill/>
              </a:ln>
              <a:effectLst/>
            </c:spPr>
            <c:extLst>
              <c:ext xmlns:c16="http://schemas.microsoft.com/office/drawing/2014/chart" uri="{C3380CC4-5D6E-409C-BE32-E72D297353CC}">
                <c16:uniqueId val="{00000001-043A-48F9-8DE6-F6E83763B543}"/>
              </c:ext>
            </c:extLst>
          </c:dPt>
          <c:dPt>
            <c:idx val="3"/>
            <c:invertIfNegative val="0"/>
            <c:bubble3D val="0"/>
            <c:spPr>
              <a:solidFill>
                <a:srgbClr val="0095F8"/>
              </a:solidFill>
              <a:ln>
                <a:noFill/>
              </a:ln>
              <a:effectLst/>
            </c:spPr>
            <c:extLst>
              <c:ext xmlns:c16="http://schemas.microsoft.com/office/drawing/2014/chart" uri="{C3380CC4-5D6E-409C-BE32-E72D297353CC}">
                <c16:uniqueId val="{00000003-043A-48F9-8DE6-F6E83763B543}"/>
              </c:ext>
            </c:extLst>
          </c:dPt>
          <c:dLbls>
            <c:dLbl>
              <c:idx val="0"/>
              <c:tx>
                <c:rich>
                  <a:bodyPr/>
                  <a:lstStyle/>
                  <a:p>
                    <a:fld id="{C51A46D7-3FFC-40B9-8E4B-980C65F9F1F5}"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43A-48F9-8DE6-F6E83763B543}"/>
                </c:ext>
              </c:extLst>
            </c:dLbl>
            <c:dLbl>
              <c:idx val="1"/>
              <c:tx>
                <c:rich>
                  <a:bodyPr/>
                  <a:lstStyle/>
                  <a:p>
                    <a:fld id="{46AA445C-F26D-485A-A187-CB2BA1570863}"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43A-48F9-8DE6-F6E83763B543}"/>
                </c:ext>
              </c:extLst>
            </c:dLbl>
            <c:dLbl>
              <c:idx val="2"/>
              <c:tx>
                <c:rich>
                  <a:bodyPr/>
                  <a:lstStyle/>
                  <a:p>
                    <a:fld id="{EF1768A4-662A-4C17-8A49-60F398470C0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43A-48F9-8DE6-F6E83763B543}"/>
                </c:ext>
              </c:extLst>
            </c:dLbl>
            <c:dLbl>
              <c:idx val="3"/>
              <c:tx>
                <c:rich>
                  <a:bodyPr/>
                  <a:lstStyle/>
                  <a:p>
                    <a:fld id="{F90CF58F-0B19-4455-BE9F-D2B5D2F76CA3}"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43A-48F9-8DE6-F6E83763B5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Sheet1!$B$370:$B$373</c:f>
              <c:strCache>
                <c:ptCount val="4"/>
                <c:pt idx="0">
                  <c:v>As at enrolment</c:v>
                </c:pt>
                <c:pt idx="1">
                  <c:v>As at exit</c:v>
                </c:pt>
                <c:pt idx="2">
                  <c:v>6 months after exit</c:v>
                </c:pt>
                <c:pt idx="3">
                  <c:v>12 months after exit</c:v>
                </c:pt>
              </c:strCache>
            </c:strRef>
          </c:cat>
          <c:val>
            <c:numRef>
              <c:f>Sheet1!$J$370:$J$373</c:f>
              <c:numCache>
                <c:formatCode>0.0%</c:formatCode>
                <c:ptCount val="4"/>
                <c:pt idx="0">
                  <c:v>4.6511627906976744E-2</c:v>
                </c:pt>
                <c:pt idx="1">
                  <c:v>0.19379844961240311</c:v>
                </c:pt>
                <c:pt idx="2">
                  <c:v>0.2558139534883721</c:v>
                </c:pt>
                <c:pt idx="3">
                  <c:v>0.2558139534883721</c:v>
                </c:pt>
              </c:numCache>
            </c:numRef>
          </c:val>
          <c:extLst>
            <c:ext xmlns:c15="http://schemas.microsoft.com/office/drawing/2012/chart" uri="{02D57815-91ED-43cb-92C2-25804820EDAC}">
              <c15:datalabelsRange>
                <c15:f>Sheet1!$K$370:$K$373</c15:f>
                <c15:dlblRangeCache>
                  <c:ptCount val="4"/>
                  <c:pt idx="0">
                    <c:v>4.7% (6)</c:v>
                  </c:pt>
                  <c:pt idx="1">
                    <c:v>19.4% (25)</c:v>
                  </c:pt>
                  <c:pt idx="2">
                    <c:v>25.6% (33)</c:v>
                  </c:pt>
                  <c:pt idx="3">
                    <c:v>25.6% (33)</c:v>
                  </c:pt>
                </c15:dlblRangeCache>
              </c15:datalabelsRange>
            </c:ext>
            <c:ext xmlns:c16="http://schemas.microsoft.com/office/drawing/2014/chart" uri="{C3380CC4-5D6E-409C-BE32-E72D297353CC}">
              <c16:uniqueId val="{00000006-043A-48F9-8DE6-F6E83763B543}"/>
            </c:ext>
          </c:extLst>
        </c:ser>
        <c:dLbls>
          <c:showLegendKey val="0"/>
          <c:showVal val="0"/>
          <c:showCatName val="0"/>
          <c:showSerName val="0"/>
          <c:showPercent val="0"/>
          <c:showBubbleSize val="0"/>
        </c:dLbls>
        <c:gapWidth val="50"/>
        <c:axId val="920861184"/>
        <c:axId val="920858560"/>
      </c:barChart>
      <c:catAx>
        <c:axId val="92086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858560"/>
        <c:crosses val="autoZero"/>
        <c:auto val="1"/>
        <c:lblAlgn val="ctr"/>
        <c:lblOffset val="100"/>
        <c:noMultiLvlLbl val="0"/>
      </c:catAx>
      <c:valAx>
        <c:axId val="920858560"/>
        <c:scaling>
          <c:orientation val="minMax"/>
        </c:scaling>
        <c:delete val="1"/>
        <c:axPos val="l"/>
        <c:numFmt formatCode="0.0%" sourceLinked="1"/>
        <c:majorTickMark val="none"/>
        <c:minorTickMark val="none"/>
        <c:tickLblPos val="nextTo"/>
        <c:crossAx val="92086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374912510936131"/>
          <c:y val="5.0925925925925923E-2"/>
          <c:w val="0.66905517049889707"/>
          <c:h val="0.89814814814814814"/>
        </c:manualLayout>
      </c:layout>
      <c:barChart>
        <c:barDir val="bar"/>
        <c:grouping val="clustered"/>
        <c:varyColors val="0"/>
        <c:ser>
          <c:idx val="0"/>
          <c:order val="0"/>
          <c:spPr>
            <a:solidFill>
              <a:srgbClr val="0095F8"/>
            </a:solidFill>
            <a:ln>
              <a:noFill/>
            </a:ln>
            <a:effectLst/>
          </c:spPr>
          <c:invertIfNegative val="0"/>
          <c:dLbls>
            <c:dLbl>
              <c:idx val="0"/>
              <c:tx>
                <c:rich>
                  <a:bodyPr/>
                  <a:lstStyle/>
                  <a:p>
                    <a:fld id="{354EC21F-0DD4-4782-9E53-E9716DDACB0B}"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8BF-4666-9CBC-090A62110F6A}"/>
                </c:ext>
              </c:extLst>
            </c:dLbl>
            <c:dLbl>
              <c:idx val="1"/>
              <c:tx>
                <c:rich>
                  <a:bodyPr/>
                  <a:lstStyle/>
                  <a:p>
                    <a:fld id="{F8D25755-DA1C-4A10-9D71-89E6653A0E7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8BF-4666-9CBC-090A62110F6A}"/>
                </c:ext>
              </c:extLst>
            </c:dLbl>
            <c:dLbl>
              <c:idx val="2"/>
              <c:tx>
                <c:rich>
                  <a:bodyPr/>
                  <a:lstStyle/>
                  <a:p>
                    <a:fld id="{0094C5D8-B600-43F0-89D5-851F0FFFABD0}"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8BF-4666-9CBC-090A62110F6A}"/>
                </c:ext>
              </c:extLst>
            </c:dLbl>
            <c:dLbl>
              <c:idx val="3"/>
              <c:tx>
                <c:rich>
                  <a:bodyPr/>
                  <a:lstStyle/>
                  <a:p>
                    <a:fld id="{12AEC7BC-B0A5-45CF-9DD6-60C0CBAA4DB0}"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8BF-4666-9CBC-090A62110F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'tables for report'!$R$24:$R$27</c:f>
              <c:strCache>
                <c:ptCount val="4"/>
                <c:pt idx="0">
                  <c:v>Pegasus Health</c:v>
                </c:pt>
                <c:pt idx="1">
                  <c:v>ProCare Health</c:v>
                </c:pt>
                <c:pt idx="2">
                  <c:v>National Hauora Coalition</c:v>
                </c:pt>
                <c:pt idx="3">
                  <c:v>THINK Hauora</c:v>
                </c:pt>
              </c:strCache>
            </c:strRef>
          </c:cat>
          <c:val>
            <c:numRef>
              <c:f>'tables for report'!$V$24:$V$27</c:f>
              <c:numCache>
                <c:formatCode>0.0%</c:formatCode>
                <c:ptCount val="4"/>
                <c:pt idx="0">
                  <c:v>0.58199999999999996</c:v>
                </c:pt>
                <c:pt idx="1">
                  <c:v>0.23499999999999999</c:v>
                </c:pt>
                <c:pt idx="2">
                  <c:v>0.111</c:v>
                </c:pt>
                <c:pt idx="3">
                  <c:v>7.1999999999999995E-2</c:v>
                </c:pt>
              </c:numCache>
            </c:numRef>
          </c:val>
          <c:extLst>
            <c:ext xmlns:c15="http://schemas.microsoft.com/office/drawing/2012/chart" uri="{02D57815-91ED-43cb-92C2-25804820EDAC}">
              <c15:datalabelsRange>
                <c15:f>'tables for report'!$W$24:$W$27</c15:f>
                <c15:dlblRangeCache>
                  <c:ptCount val="4"/>
                  <c:pt idx="0">
                    <c:v>58.2% (267)</c:v>
                  </c:pt>
                  <c:pt idx="1">
                    <c:v>23.5% (108)</c:v>
                  </c:pt>
                  <c:pt idx="2">
                    <c:v>11.1% (51)</c:v>
                  </c:pt>
                  <c:pt idx="3">
                    <c:v>7.2% (33)</c:v>
                  </c:pt>
                </c15:dlblRangeCache>
              </c15:datalabelsRange>
            </c:ext>
            <c:ext xmlns:c16="http://schemas.microsoft.com/office/drawing/2014/chart" uri="{C3380CC4-5D6E-409C-BE32-E72D297353CC}">
              <c16:uniqueId val="{00000004-F8BF-4666-9CBC-090A62110F6A}"/>
            </c:ext>
          </c:extLst>
        </c:ser>
        <c:dLbls>
          <c:showLegendKey val="0"/>
          <c:showVal val="0"/>
          <c:showCatName val="0"/>
          <c:showSerName val="0"/>
          <c:showPercent val="0"/>
          <c:showBubbleSize val="0"/>
        </c:dLbls>
        <c:gapWidth val="50"/>
        <c:axId val="768419032"/>
        <c:axId val="768419360"/>
      </c:barChart>
      <c:catAx>
        <c:axId val="768419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419360"/>
        <c:crosses val="autoZero"/>
        <c:auto val="1"/>
        <c:lblAlgn val="ctr"/>
        <c:lblOffset val="100"/>
        <c:noMultiLvlLbl val="0"/>
      </c:catAx>
      <c:valAx>
        <c:axId val="768419360"/>
        <c:scaling>
          <c:orientation val="minMax"/>
        </c:scaling>
        <c:delete val="1"/>
        <c:axPos val="t"/>
        <c:numFmt formatCode="0.0%" sourceLinked="1"/>
        <c:majorTickMark val="none"/>
        <c:minorTickMark val="none"/>
        <c:tickLblPos val="nextTo"/>
        <c:crossAx val="768419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5.0314465408805034E-2"/>
          <c:w val="0.93888888888888888"/>
          <c:h val="0.81546080324865045"/>
        </c:manualLayout>
      </c:layout>
      <c:barChart>
        <c:barDir val="col"/>
        <c:grouping val="clustered"/>
        <c:varyColors val="0"/>
        <c:ser>
          <c:idx val="0"/>
          <c:order val="0"/>
          <c:spPr>
            <a:solidFill>
              <a:srgbClr val="0095F8"/>
            </a:solidFill>
            <a:ln>
              <a:noFill/>
            </a:ln>
            <a:effectLst/>
          </c:spPr>
          <c:invertIfNegative val="0"/>
          <c:dLbls>
            <c:dLbl>
              <c:idx val="0"/>
              <c:tx>
                <c:rich>
                  <a:bodyPr/>
                  <a:lstStyle/>
                  <a:p>
                    <a:fld id="{EAFED610-A72C-484A-A279-D2873734B6C0}"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216-4288-A516-73E0FF75FA0E}"/>
                </c:ext>
              </c:extLst>
            </c:dLbl>
            <c:dLbl>
              <c:idx val="1"/>
              <c:tx>
                <c:rich>
                  <a:bodyPr/>
                  <a:lstStyle/>
                  <a:p>
                    <a:fld id="{2F9213DB-CB31-4F99-A2D4-3B5779597383}"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216-4288-A516-73E0FF75FA0E}"/>
                </c:ext>
              </c:extLst>
            </c:dLbl>
            <c:dLbl>
              <c:idx val="2"/>
              <c:tx>
                <c:rich>
                  <a:bodyPr/>
                  <a:lstStyle/>
                  <a:p>
                    <a:fld id="{874879F1-3F67-4208-930C-9AC1982A4B5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216-4288-A516-73E0FF75FA0E}"/>
                </c:ext>
              </c:extLst>
            </c:dLbl>
            <c:dLbl>
              <c:idx val="3"/>
              <c:tx>
                <c:rich>
                  <a:bodyPr/>
                  <a:lstStyle/>
                  <a:p>
                    <a:fld id="{C4F6A3CA-A04A-48DF-B722-FE679CBFCC46}"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216-4288-A516-73E0FF75FA0E}"/>
                </c:ext>
              </c:extLst>
            </c:dLbl>
            <c:dLbl>
              <c:idx val="4"/>
              <c:tx>
                <c:rich>
                  <a:bodyPr/>
                  <a:lstStyle/>
                  <a:p>
                    <a:fld id="{8B214E0B-F208-4F1B-B163-34064450A68A}"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216-4288-A516-73E0FF75FA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Sheet1!$B$14:$B$18</c:f>
              <c:strCache>
                <c:ptCount val="5"/>
                <c:pt idx="0">
                  <c:v>24 and under</c:v>
                </c:pt>
                <c:pt idx="1">
                  <c:v>25 - 34</c:v>
                </c:pt>
                <c:pt idx="2">
                  <c:v>35 - 44</c:v>
                </c:pt>
                <c:pt idx="3">
                  <c:v>45 - 54</c:v>
                </c:pt>
                <c:pt idx="4">
                  <c:v>55 - 64</c:v>
                </c:pt>
              </c:strCache>
            </c:strRef>
          </c:cat>
          <c:val>
            <c:numRef>
              <c:f>Sheet1!$F$14:$F$18</c:f>
              <c:numCache>
                <c:formatCode>0.0%</c:formatCode>
                <c:ptCount val="5"/>
                <c:pt idx="0">
                  <c:v>0.17</c:v>
                </c:pt>
                <c:pt idx="1">
                  <c:v>0.26100000000000001</c:v>
                </c:pt>
                <c:pt idx="2">
                  <c:v>0.157</c:v>
                </c:pt>
                <c:pt idx="3">
                  <c:v>0.255</c:v>
                </c:pt>
                <c:pt idx="4">
                  <c:v>0.157</c:v>
                </c:pt>
              </c:numCache>
            </c:numRef>
          </c:val>
          <c:extLst>
            <c:ext xmlns:c15="http://schemas.microsoft.com/office/drawing/2012/chart" uri="{02D57815-91ED-43cb-92C2-25804820EDAC}">
              <c15:datalabelsRange>
                <c15:f>Sheet1!$G$14:$G$18</c15:f>
                <c15:dlblRangeCache>
                  <c:ptCount val="5"/>
                  <c:pt idx="0">
                    <c:v>17.0% (78)</c:v>
                  </c:pt>
                  <c:pt idx="1">
                    <c:v>26.1% (120)</c:v>
                  </c:pt>
                  <c:pt idx="2">
                    <c:v>15.7% (72)</c:v>
                  </c:pt>
                  <c:pt idx="3">
                    <c:v>25.5% (117)</c:v>
                  </c:pt>
                  <c:pt idx="4">
                    <c:v>15.7% (72)</c:v>
                  </c:pt>
                </c15:dlblRangeCache>
              </c15:datalabelsRange>
            </c:ext>
            <c:ext xmlns:c16="http://schemas.microsoft.com/office/drawing/2014/chart" uri="{C3380CC4-5D6E-409C-BE32-E72D297353CC}">
              <c16:uniqueId val="{00000005-7216-4288-A516-73E0FF75FA0E}"/>
            </c:ext>
          </c:extLst>
        </c:ser>
        <c:dLbls>
          <c:showLegendKey val="0"/>
          <c:showVal val="0"/>
          <c:showCatName val="0"/>
          <c:showSerName val="0"/>
          <c:showPercent val="0"/>
          <c:showBubbleSize val="0"/>
        </c:dLbls>
        <c:gapWidth val="50"/>
        <c:overlap val="-27"/>
        <c:axId val="741244264"/>
        <c:axId val="741236392"/>
      </c:barChart>
      <c:catAx>
        <c:axId val="74124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236392"/>
        <c:crosses val="autoZero"/>
        <c:auto val="1"/>
        <c:lblAlgn val="ctr"/>
        <c:lblOffset val="100"/>
        <c:noMultiLvlLbl val="0"/>
      </c:catAx>
      <c:valAx>
        <c:axId val="741236392"/>
        <c:scaling>
          <c:orientation val="minMax"/>
        </c:scaling>
        <c:delete val="1"/>
        <c:axPos val="l"/>
        <c:numFmt formatCode="0.0%" sourceLinked="1"/>
        <c:majorTickMark val="none"/>
        <c:minorTickMark val="none"/>
        <c:tickLblPos val="nextTo"/>
        <c:crossAx val="741244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831911660278"/>
          <c:y val="3.7037037037037035E-2"/>
          <c:w val="0.83579405776139271"/>
          <c:h val="0.93333333333333335"/>
        </c:manualLayout>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95F8"/>
              </a:solidFill>
              <a:ln>
                <a:noFill/>
              </a:ln>
              <a:effectLst/>
            </c:spPr>
            <c:extLst>
              <c:ext xmlns:c16="http://schemas.microsoft.com/office/drawing/2014/chart" uri="{C3380CC4-5D6E-409C-BE32-E72D297353CC}">
                <c16:uniqueId val="{00000001-73EB-4F13-92BF-60C0417834D7}"/>
              </c:ext>
            </c:extLst>
          </c:dPt>
          <c:dLbls>
            <c:dLbl>
              <c:idx val="0"/>
              <c:tx>
                <c:rich>
                  <a:bodyPr/>
                  <a:lstStyle/>
                  <a:p>
                    <a:fld id="{255AA438-17F9-4E12-8F96-323854FE61ED}"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3EB-4F13-92BF-60C0417834D7}"/>
                </c:ext>
              </c:extLst>
            </c:dLbl>
            <c:dLbl>
              <c:idx val="1"/>
              <c:tx>
                <c:rich>
                  <a:bodyPr/>
                  <a:lstStyle/>
                  <a:p>
                    <a:fld id="{BC80C3A3-0C4D-4B10-8DAC-9027E5C4E46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3EB-4F13-92BF-60C0417834D7}"/>
                </c:ext>
              </c:extLst>
            </c:dLbl>
            <c:dLbl>
              <c:idx val="2"/>
              <c:tx>
                <c:rich>
                  <a:bodyPr/>
                  <a:lstStyle/>
                  <a:p>
                    <a:fld id="{3B433C51-EB20-4BE6-B61B-FFAB12CB5332}"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3EB-4F13-92BF-60C0417834D7}"/>
                </c:ext>
              </c:extLst>
            </c:dLbl>
            <c:dLbl>
              <c:idx val="3"/>
              <c:tx>
                <c:rich>
                  <a:bodyPr/>
                  <a:lstStyle/>
                  <a:p>
                    <a:fld id="{8A7523F5-0D0D-4BD9-89BC-499131FE4FA0}"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3EB-4F13-92BF-60C0417834D7}"/>
                </c:ext>
              </c:extLst>
            </c:dLbl>
            <c:dLbl>
              <c:idx val="4"/>
              <c:tx>
                <c:rich>
                  <a:bodyPr/>
                  <a:lstStyle/>
                  <a:p>
                    <a:fld id="{F3E3B075-BC98-4DA0-AAF1-70109F0F608B}"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3EB-4F13-92BF-60C041783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'tables for report'!$B$25:$B$29</c:f>
              <c:strCache>
                <c:ptCount val="5"/>
                <c:pt idx="0">
                  <c:v>European</c:v>
                </c:pt>
                <c:pt idx="1">
                  <c:v>Māori</c:v>
                </c:pt>
                <c:pt idx="2">
                  <c:v>Pacific Peoples</c:v>
                </c:pt>
                <c:pt idx="3">
                  <c:v>Asian</c:v>
                </c:pt>
                <c:pt idx="4">
                  <c:v>Other ethnicity</c:v>
                </c:pt>
              </c:strCache>
            </c:strRef>
          </c:cat>
          <c:val>
            <c:numRef>
              <c:f>'tables for report'!$D$25:$D$29</c:f>
              <c:numCache>
                <c:formatCode>0.0%</c:formatCode>
                <c:ptCount val="5"/>
                <c:pt idx="0">
                  <c:v>0.67567567567567566</c:v>
                </c:pt>
                <c:pt idx="1">
                  <c:v>0.23648648648648649</c:v>
                </c:pt>
                <c:pt idx="2">
                  <c:v>0.14189189189189189</c:v>
                </c:pt>
                <c:pt idx="3">
                  <c:v>3.3783783783783786E-2</c:v>
                </c:pt>
                <c:pt idx="4">
                  <c:v>2.0270270270270271E-2</c:v>
                </c:pt>
              </c:numCache>
            </c:numRef>
          </c:val>
          <c:extLst>
            <c:ext xmlns:c15="http://schemas.microsoft.com/office/drawing/2012/chart" uri="{02D57815-91ED-43cb-92C2-25804820EDAC}">
              <c15:datalabelsRange>
                <c15:f>'tables for report'!$E$25:$E$29</c15:f>
                <c15:dlblRangeCache>
                  <c:ptCount val="5"/>
                  <c:pt idx="0">
                    <c:v>67.6% (300)</c:v>
                  </c:pt>
                  <c:pt idx="1">
                    <c:v>23.6% (105)</c:v>
                  </c:pt>
                  <c:pt idx="2">
                    <c:v>14.2% (63)</c:v>
                  </c:pt>
                  <c:pt idx="3">
                    <c:v>3.4% (15)</c:v>
                  </c:pt>
                  <c:pt idx="4">
                    <c:v>2.0% (9)</c:v>
                  </c:pt>
                </c15:dlblRangeCache>
              </c15:datalabelsRange>
            </c:ext>
            <c:ext xmlns:c16="http://schemas.microsoft.com/office/drawing/2014/chart" uri="{C3380CC4-5D6E-409C-BE32-E72D297353CC}">
              <c16:uniqueId val="{00000006-73EB-4F13-92BF-60C0417834D7}"/>
            </c:ext>
          </c:extLst>
        </c:ser>
        <c:dLbls>
          <c:showLegendKey val="0"/>
          <c:showVal val="0"/>
          <c:showCatName val="0"/>
          <c:showSerName val="0"/>
          <c:showPercent val="0"/>
          <c:showBubbleSize val="0"/>
        </c:dLbls>
        <c:gapWidth val="50"/>
        <c:axId val="424935320"/>
        <c:axId val="424933352"/>
      </c:barChart>
      <c:catAx>
        <c:axId val="424935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33352"/>
        <c:crosses val="autoZero"/>
        <c:auto val="1"/>
        <c:lblAlgn val="ctr"/>
        <c:lblOffset val="100"/>
        <c:noMultiLvlLbl val="0"/>
      </c:catAx>
      <c:valAx>
        <c:axId val="424933352"/>
        <c:scaling>
          <c:orientation val="minMax"/>
        </c:scaling>
        <c:delete val="1"/>
        <c:axPos val="t"/>
        <c:numFmt formatCode="0.0%" sourceLinked="1"/>
        <c:majorTickMark val="none"/>
        <c:minorTickMark val="none"/>
        <c:tickLblPos val="nextTo"/>
        <c:crossAx val="424935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Sheet1!$B$38</c:f>
              <c:strCache>
                <c:ptCount val="1"/>
                <c:pt idx="0">
                  <c:v>Female</c:v>
                </c:pt>
              </c:strCache>
            </c:strRef>
          </c:tx>
          <c:spPr>
            <a:solidFill>
              <a:srgbClr val="0095F8"/>
            </a:solidFill>
            <a:ln>
              <a:noFill/>
            </a:ln>
            <a:effectLst/>
          </c:spPr>
          <c:invertIfNegative val="0"/>
          <c:dLbls>
            <c:dLbl>
              <c:idx val="0"/>
              <c:tx>
                <c:rich>
                  <a:bodyPr/>
                  <a:lstStyle/>
                  <a:p>
                    <a:fld id="{335451D6-55D4-4B42-9549-6A8EA7D41CB3}"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844-424D-ADB8-94A4436887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Sheet1!$F$38</c:f>
              <c:numCache>
                <c:formatCode>0.0%</c:formatCode>
                <c:ptCount val="1"/>
                <c:pt idx="0">
                  <c:v>0.503</c:v>
                </c:pt>
              </c:numCache>
            </c:numRef>
          </c:val>
          <c:extLst>
            <c:ext xmlns:c15="http://schemas.microsoft.com/office/drawing/2012/chart" uri="{02D57815-91ED-43cb-92C2-25804820EDAC}">
              <c15:datalabelsRange>
                <c15:f>Sheet1!$G$38</c15:f>
                <c15:dlblRangeCache>
                  <c:ptCount val="1"/>
                  <c:pt idx="0">
                    <c:v>50.3% (231)</c:v>
                  </c:pt>
                </c15:dlblRangeCache>
              </c15:datalabelsRange>
            </c:ext>
            <c:ext xmlns:c16="http://schemas.microsoft.com/office/drawing/2014/chart" uri="{C3380CC4-5D6E-409C-BE32-E72D297353CC}">
              <c16:uniqueId val="{00000001-6844-424D-ADB8-94A4436887E5}"/>
            </c:ext>
          </c:extLst>
        </c:ser>
        <c:ser>
          <c:idx val="1"/>
          <c:order val="1"/>
          <c:tx>
            <c:strRef>
              <c:f>Sheet1!$B$40</c:f>
              <c:strCache>
                <c:ptCount val="1"/>
                <c:pt idx="0">
                  <c:v>Male</c:v>
                </c:pt>
              </c:strCache>
            </c:strRef>
          </c:tx>
          <c:spPr>
            <a:solidFill>
              <a:srgbClr val="F99E49"/>
            </a:solidFill>
            <a:ln>
              <a:noFill/>
            </a:ln>
            <a:effectLst/>
          </c:spPr>
          <c:invertIfNegative val="0"/>
          <c:dLbls>
            <c:dLbl>
              <c:idx val="0"/>
              <c:tx>
                <c:rich>
                  <a:bodyPr/>
                  <a:lstStyle/>
                  <a:p>
                    <a:fld id="{B5536A55-247F-43FC-B74C-BD86A2AEFB32}"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6844-424D-ADB8-94A4436887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Sheet1!$F$40</c:f>
              <c:numCache>
                <c:formatCode>0.0%</c:formatCode>
                <c:ptCount val="1"/>
                <c:pt idx="0">
                  <c:v>0.497</c:v>
                </c:pt>
              </c:numCache>
            </c:numRef>
          </c:val>
          <c:extLst>
            <c:ext xmlns:c15="http://schemas.microsoft.com/office/drawing/2012/chart" uri="{02D57815-91ED-43cb-92C2-25804820EDAC}">
              <c15:datalabelsRange>
                <c15:f>Sheet1!$G$40</c15:f>
                <c15:dlblRangeCache>
                  <c:ptCount val="1"/>
                  <c:pt idx="0">
                    <c:v>49.7% (228)</c:v>
                  </c:pt>
                </c15:dlblRangeCache>
              </c15:datalabelsRange>
            </c:ext>
            <c:ext xmlns:c16="http://schemas.microsoft.com/office/drawing/2014/chart" uri="{C3380CC4-5D6E-409C-BE32-E72D297353CC}">
              <c16:uniqueId val="{00000003-6844-424D-ADB8-94A4436887E5}"/>
            </c:ext>
          </c:extLst>
        </c:ser>
        <c:dLbls>
          <c:showLegendKey val="0"/>
          <c:showVal val="0"/>
          <c:showCatName val="0"/>
          <c:showSerName val="0"/>
          <c:showPercent val="0"/>
          <c:showBubbleSize val="0"/>
        </c:dLbls>
        <c:gapWidth val="50"/>
        <c:overlap val="100"/>
        <c:axId val="855083656"/>
        <c:axId val="855079392"/>
      </c:barChart>
      <c:catAx>
        <c:axId val="855083656"/>
        <c:scaling>
          <c:orientation val="minMax"/>
        </c:scaling>
        <c:delete val="1"/>
        <c:axPos val="l"/>
        <c:numFmt formatCode="General" sourceLinked="1"/>
        <c:majorTickMark val="none"/>
        <c:minorTickMark val="none"/>
        <c:tickLblPos val="nextTo"/>
        <c:crossAx val="855079392"/>
        <c:crosses val="autoZero"/>
        <c:auto val="1"/>
        <c:lblAlgn val="ctr"/>
        <c:lblOffset val="100"/>
        <c:noMultiLvlLbl val="0"/>
      </c:catAx>
      <c:valAx>
        <c:axId val="85507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083656"/>
        <c:crosses val="autoZero"/>
        <c:crossBetween val="between"/>
        <c:majorUnit val="0.25"/>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36662739992144"/>
          <c:y val="6.3492063492063489E-2"/>
          <c:w val="0.63238927811188961"/>
          <c:h val="0.87301587301587302"/>
        </c:manualLayout>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95F8"/>
              </a:solidFill>
              <a:ln>
                <a:noFill/>
              </a:ln>
              <a:effectLst/>
            </c:spPr>
            <c:extLst>
              <c:ext xmlns:c16="http://schemas.microsoft.com/office/drawing/2014/chart" uri="{C3380CC4-5D6E-409C-BE32-E72D297353CC}">
                <c16:uniqueId val="{00000001-7935-4338-9659-C8959AF0278F}"/>
              </c:ext>
            </c:extLst>
          </c:dPt>
          <c:dLbls>
            <c:dLbl>
              <c:idx val="0"/>
              <c:tx>
                <c:rich>
                  <a:bodyPr/>
                  <a:lstStyle/>
                  <a:p>
                    <a:fld id="{0984082F-A41D-4FCE-8EE2-4BC8DA2D8936}"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935-4338-9659-C8959AF0278F}"/>
                </c:ext>
              </c:extLst>
            </c:dLbl>
            <c:dLbl>
              <c:idx val="1"/>
              <c:tx>
                <c:rich>
                  <a:bodyPr/>
                  <a:lstStyle/>
                  <a:p>
                    <a:fld id="{FC0D140A-51F1-45D4-9009-8B47BBAFF48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935-4338-9659-C8959AF0278F}"/>
                </c:ext>
              </c:extLst>
            </c:dLbl>
            <c:dLbl>
              <c:idx val="2"/>
              <c:tx>
                <c:rich>
                  <a:bodyPr/>
                  <a:lstStyle/>
                  <a:p>
                    <a:fld id="{FD22E280-F708-4838-B707-4D49528F5BD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935-4338-9659-C8959AF0278F}"/>
                </c:ext>
              </c:extLst>
            </c:dLbl>
            <c:dLbl>
              <c:idx val="3"/>
              <c:tx>
                <c:rich>
                  <a:bodyPr/>
                  <a:lstStyle/>
                  <a:p>
                    <a:fld id="{41387221-8476-41CA-A851-D64528F24F5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935-4338-9659-C8959AF0278F}"/>
                </c:ext>
              </c:extLst>
            </c:dLbl>
            <c:dLbl>
              <c:idx val="4"/>
              <c:tx>
                <c:rich>
                  <a:bodyPr/>
                  <a:lstStyle/>
                  <a:p>
                    <a:fld id="{C36FEAE4-0433-4E2F-9699-616E9599EFC2}"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935-4338-9659-C8959AF027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Sheet1!$B$46:$B$50</c:f>
              <c:strCache>
                <c:ptCount val="5"/>
                <c:pt idx="0">
                  <c:v>Not partnered - no children</c:v>
                </c:pt>
                <c:pt idx="1">
                  <c:v>Not partnered - with children</c:v>
                </c:pt>
                <c:pt idx="2">
                  <c:v>Partnered - no children</c:v>
                </c:pt>
                <c:pt idx="3">
                  <c:v>Partnered - with children</c:v>
                </c:pt>
                <c:pt idx="4">
                  <c:v>Unable to be determined</c:v>
                </c:pt>
              </c:strCache>
            </c:strRef>
          </c:cat>
          <c:val>
            <c:numRef>
              <c:f>Sheet1!$F$46:$F$50</c:f>
              <c:numCache>
                <c:formatCode>0.00%</c:formatCode>
                <c:ptCount val="5"/>
                <c:pt idx="0">
                  <c:v>0.77100000000000002</c:v>
                </c:pt>
                <c:pt idx="1">
                  <c:v>9.8000000000000004E-2</c:v>
                </c:pt>
                <c:pt idx="2">
                  <c:v>4.5999999999999999E-2</c:v>
                </c:pt>
                <c:pt idx="3">
                  <c:v>0.02</c:v>
                </c:pt>
                <c:pt idx="4">
                  <c:v>6.5000000000000002E-2</c:v>
                </c:pt>
              </c:numCache>
            </c:numRef>
          </c:val>
          <c:extLst>
            <c:ext xmlns:c15="http://schemas.microsoft.com/office/drawing/2012/chart" uri="{02D57815-91ED-43cb-92C2-25804820EDAC}">
              <c15:datalabelsRange>
                <c15:f>Sheet1!$G$46:$G$50</c15:f>
                <c15:dlblRangeCache>
                  <c:ptCount val="5"/>
                  <c:pt idx="0">
                    <c:v>77.1% (354)</c:v>
                  </c:pt>
                  <c:pt idx="1">
                    <c:v>9.8% (45)</c:v>
                  </c:pt>
                  <c:pt idx="2">
                    <c:v>4.6% (21)</c:v>
                  </c:pt>
                  <c:pt idx="3">
                    <c:v>2.0% (9)</c:v>
                  </c:pt>
                  <c:pt idx="4">
                    <c:v>6.5% (30)</c:v>
                  </c:pt>
                </c15:dlblRangeCache>
              </c15:datalabelsRange>
            </c:ext>
            <c:ext xmlns:c16="http://schemas.microsoft.com/office/drawing/2014/chart" uri="{C3380CC4-5D6E-409C-BE32-E72D297353CC}">
              <c16:uniqueId val="{00000006-7935-4338-9659-C8959AF0278F}"/>
            </c:ext>
          </c:extLst>
        </c:ser>
        <c:dLbls>
          <c:showLegendKey val="0"/>
          <c:showVal val="0"/>
          <c:showCatName val="0"/>
          <c:showSerName val="0"/>
          <c:showPercent val="0"/>
          <c:showBubbleSize val="0"/>
        </c:dLbls>
        <c:gapWidth val="50"/>
        <c:axId val="424935320"/>
        <c:axId val="424933352"/>
      </c:barChart>
      <c:catAx>
        <c:axId val="424935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33352"/>
        <c:crosses val="autoZero"/>
        <c:auto val="1"/>
        <c:lblAlgn val="ctr"/>
        <c:lblOffset val="100"/>
        <c:noMultiLvlLbl val="0"/>
      </c:catAx>
      <c:valAx>
        <c:axId val="424933352"/>
        <c:scaling>
          <c:orientation val="minMax"/>
        </c:scaling>
        <c:delete val="1"/>
        <c:axPos val="t"/>
        <c:numFmt formatCode="0.00%" sourceLinked="1"/>
        <c:majorTickMark val="none"/>
        <c:minorTickMark val="none"/>
        <c:tickLblPos val="nextTo"/>
        <c:crossAx val="424935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729549431321083"/>
          <c:y val="4.4715447154471545E-2"/>
          <c:w val="0.66548228346456695"/>
          <c:h val="0.91056910569105687"/>
        </c:manualLayout>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95F8"/>
              </a:solidFill>
              <a:ln>
                <a:noFill/>
              </a:ln>
              <a:effectLst/>
            </c:spPr>
            <c:extLst>
              <c:ext xmlns:c16="http://schemas.microsoft.com/office/drawing/2014/chart" uri="{C3380CC4-5D6E-409C-BE32-E72D297353CC}">
                <c16:uniqueId val="{00000001-136C-466D-9911-DEC299E46C39}"/>
              </c:ext>
            </c:extLst>
          </c:dPt>
          <c:dLbls>
            <c:dLbl>
              <c:idx val="0"/>
              <c:tx>
                <c:rich>
                  <a:bodyPr/>
                  <a:lstStyle/>
                  <a:p>
                    <a:fld id="{1FC7D378-00DA-49B6-8940-587D270FB46C}" type="CELLRANGE">
                      <a:rPr lang="en-US"/>
                      <a:pPr/>
                      <a:t>[CELLRANGE]</a:t>
                    </a:fld>
                    <a:endParaRPr lang="en-NZ"/>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136C-466D-9911-DEC299E46C39}"/>
                </c:ext>
              </c:extLst>
            </c:dLbl>
            <c:dLbl>
              <c:idx val="1"/>
              <c:tx>
                <c:rich>
                  <a:bodyPr/>
                  <a:lstStyle/>
                  <a:p>
                    <a:fld id="{A8E4A02F-9EC9-4382-BBDA-42319E7892AF}" type="CELLRANGE">
                      <a:rPr lang="en-NZ"/>
                      <a:pPr/>
                      <a:t>[CELLRANGE]</a:t>
                    </a:fld>
                    <a:endParaRPr lang="en-NZ"/>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36C-466D-9911-DEC299E46C39}"/>
                </c:ext>
              </c:extLst>
            </c:dLbl>
            <c:dLbl>
              <c:idx val="2"/>
              <c:tx>
                <c:rich>
                  <a:bodyPr/>
                  <a:lstStyle/>
                  <a:p>
                    <a:fld id="{8F1F052A-9513-4151-A8E8-F6D7D2DDEC46}" type="CELLRANGE">
                      <a:rPr lang="en-NZ"/>
                      <a:pPr/>
                      <a:t>[CELLRANGE]</a:t>
                    </a:fld>
                    <a:endParaRPr lang="en-NZ"/>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36C-466D-9911-DEC299E46C39}"/>
                </c:ext>
              </c:extLst>
            </c:dLbl>
            <c:dLbl>
              <c:idx val="3"/>
              <c:tx>
                <c:rich>
                  <a:bodyPr/>
                  <a:lstStyle/>
                  <a:p>
                    <a:fld id="{E8023608-1D69-4F66-AE1D-F3BD199518CD}" type="CELLRANGE">
                      <a:rPr lang="en-NZ"/>
                      <a:pPr/>
                      <a:t>[CELLRANGE]</a:t>
                    </a:fld>
                    <a:endParaRPr lang="en-NZ"/>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36C-466D-9911-DEC299E46C39}"/>
                </c:ext>
              </c:extLst>
            </c:dLbl>
            <c:dLbl>
              <c:idx val="4"/>
              <c:tx>
                <c:rich>
                  <a:bodyPr/>
                  <a:lstStyle/>
                  <a:p>
                    <a:fld id="{EB6DBA05-6AC4-4AB2-AE61-8BE955277C7C}" type="CELLRANGE">
                      <a:rPr lang="en-NZ"/>
                      <a:pPr/>
                      <a:t>[CELLRANGE]</a:t>
                    </a:fld>
                    <a:endParaRPr lang="en-NZ"/>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36C-466D-9911-DEC299E46C39}"/>
                </c:ext>
              </c:extLst>
            </c:dLbl>
            <c:dLbl>
              <c:idx val="5"/>
              <c:tx>
                <c:rich>
                  <a:bodyPr/>
                  <a:lstStyle/>
                  <a:p>
                    <a:fld id="{B510374D-9D38-4206-93C1-9D23BB99695C}" type="CELLRANGE">
                      <a:rPr lang="en-NZ"/>
                      <a:pPr/>
                      <a:t>[CELLRANGE]</a:t>
                    </a:fld>
                    <a:endParaRPr lang="en-NZ"/>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36C-466D-9911-DEC299E46C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Sheet1!$B$56:$B$61</c:f>
              <c:strCache>
                <c:ptCount val="6"/>
                <c:pt idx="0">
                  <c:v>Jobseeker Support - Health 
Conditions and Disabilities</c:v>
                </c:pt>
                <c:pt idx="1">
                  <c:v>Supported Living Payment - 
Health Conditions and 
Disabilities</c:v>
                </c:pt>
                <c:pt idx="2">
                  <c:v>Jobseeker Support - 
Work Ready</c:v>
                </c:pt>
                <c:pt idx="3">
                  <c:v>Sole Parent Support</c:v>
                </c:pt>
                <c:pt idx="4">
                  <c:v>Other main benefits/
Superannuation</c:v>
                </c:pt>
                <c:pt idx="5">
                  <c:v>Not on a main benefit</c:v>
                </c:pt>
              </c:strCache>
            </c:strRef>
          </c:cat>
          <c:val>
            <c:numRef>
              <c:f>Sheet1!$F$56:$F$61</c:f>
              <c:numCache>
                <c:formatCode>0.00%</c:formatCode>
                <c:ptCount val="6"/>
                <c:pt idx="0">
                  <c:v>0.621</c:v>
                </c:pt>
                <c:pt idx="1">
                  <c:v>0.183</c:v>
                </c:pt>
                <c:pt idx="2">
                  <c:v>6.5000000000000002E-2</c:v>
                </c:pt>
                <c:pt idx="3">
                  <c:v>5.1999999999999998E-2</c:v>
                </c:pt>
                <c:pt idx="4">
                  <c:v>1.2999999999999999E-2</c:v>
                </c:pt>
                <c:pt idx="5">
                  <c:v>6.5000000000000002E-2</c:v>
                </c:pt>
              </c:numCache>
            </c:numRef>
          </c:val>
          <c:extLst>
            <c:ext xmlns:c15="http://schemas.microsoft.com/office/drawing/2012/chart" uri="{02D57815-91ED-43cb-92C2-25804820EDAC}">
              <c15:datalabelsRange>
                <c15:f>Sheet1!$G$56:$G$61</c15:f>
                <c15:dlblRangeCache>
                  <c:ptCount val="6"/>
                  <c:pt idx="0">
                    <c:v>62.1% (285)</c:v>
                  </c:pt>
                  <c:pt idx="1">
                    <c:v>18.3% (84)</c:v>
                  </c:pt>
                  <c:pt idx="2">
                    <c:v>6.5% (30)</c:v>
                  </c:pt>
                  <c:pt idx="3">
                    <c:v>5.2% (24)</c:v>
                  </c:pt>
                  <c:pt idx="4">
                    <c:v>1.3% (6)</c:v>
                  </c:pt>
                  <c:pt idx="5">
                    <c:v>6.5% (30)</c:v>
                  </c:pt>
                </c15:dlblRangeCache>
              </c15:datalabelsRange>
            </c:ext>
            <c:ext xmlns:c16="http://schemas.microsoft.com/office/drawing/2014/chart" uri="{C3380CC4-5D6E-409C-BE32-E72D297353CC}">
              <c16:uniqueId val="{00000007-136C-466D-9911-DEC299E46C39}"/>
            </c:ext>
          </c:extLst>
        </c:ser>
        <c:dLbls>
          <c:dLblPos val="outEnd"/>
          <c:showLegendKey val="0"/>
          <c:showVal val="1"/>
          <c:showCatName val="0"/>
          <c:showSerName val="0"/>
          <c:showPercent val="0"/>
          <c:showBubbleSize val="0"/>
        </c:dLbls>
        <c:gapWidth val="50"/>
        <c:axId val="424935320"/>
        <c:axId val="424933352"/>
      </c:barChart>
      <c:catAx>
        <c:axId val="424935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33352"/>
        <c:crosses val="autoZero"/>
        <c:auto val="1"/>
        <c:lblAlgn val="ctr"/>
        <c:lblOffset val="100"/>
        <c:noMultiLvlLbl val="0"/>
      </c:catAx>
      <c:valAx>
        <c:axId val="424933352"/>
        <c:scaling>
          <c:orientation val="minMax"/>
        </c:scaling>
        <c:delete val="1"/>
        <c:axPos val="t"/>
        <c:numFmt formatCode="0.00%" sourceLinked="1"/>
        <c:majorTickMark val="none"/>
        <c:minorTickMark val="none"/>
        <c:tickLblPos val="nextTo"/>
        <c:crossAx val="424935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944335083114618"/>
          <c:y val="1.2790716949854957E-2"/>
          <c:w val="0.59465944392884873"/>
          <c:h val="0.96840337063130255"/>
        </c:manualLayout>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95F8"/>
              </a:solidFill>
              <a:ln>
                <a:noFill/>
              </a:ln>
              <a:effectLst/>
            </c:spPr>
            <c:extLst>
              <c:ext xmlns:c16="http://schemas.microsoft.com/office/drawing/2014/chart" uri="{C3380CC4-5D6E-409C-BE32-E72D297353CC}">
                <c16:uniqueId val="{00000001-8F55-451D-AB0A-DB8E37067BBA}"/>
              </c:ext>
            </c:extLst>
          </c:dPt>
          <c:dLbls>
            <c:dLbl>
              <c:idx val="0"/>
              <c:tx>
                <c:rich>
                  <a:bodyPr/>
                  <a:lstStyle/>
                  <a:p>
                    <a:fld id="{2EDCC483-4ED7-4D26-9785-F1B2FD2281D6}"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F55-451D-AB0A-DB8E37067BBA}"/>
                </c:ext>
              </c:extLst>
            </c:dLbl>
            <c:dLbl>
              <c:idx val="1"/>
              <c:tx>
                <c:rich>
                  <a:bodyPr/>
                  <a:lstStyle/>
                  <a:p>
                    <a:fld id="{68758C90-E983-4966-85B0-9983276F818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F55-451D-AB0A-DB8E37067BBA}"/>
                </c:ext>
              </c:extLst>
            </c:dLbl>
            <c:dLbl>
              <c:idx val="2"/>
              <c:tx>
                <c:rich>
                  <a:bodyPr/>
                  <a:lstStyle/>
                  <a:p>
                    <a:fld id="{5A4F8B52-E6E5-4C16-918B-E5A5CBFDACE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F55-451D-AB0A-DB8E37067BBA}"/>
                </c:ext>
              </c:extLst>
            </c:dLbl>
            <c:dLbl>
              <c:idx val="3"/>
              <c:tx>
                <c:rich>
                  <a:bodyPr/>
                  <a:lstStyle/>
                  <a:p>
                    <a:fld id="{8E20F265-452F-406F-BC48-612A5F88BFF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F55-451D-AB0A-DB8E37067BBA}"/>
                </c:ext>
              </c:extLst>
            </c:dLbl>
            <c:dLbl>
              <c:idx val="4"/>
              <c:tx>
                <c:rich>
                  <a:bodyPr/>
                  <a:lstStyle/>
                  <a:p>
                    <a:fld id="{2A7AE667-1109-439C-AC79-8A8668EA512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F55-451D-AB0A-DB8E37067BBA}"/>
                </c:ext>
              </c:extLst>
            </c:dLbl>
            <c:dLbl>
              <c:idx val="5"/>
              <c:tx>
                <c:rich>
                  <a:bodyPr/>
                  <a:lstStyle/>
                  <a:p>
                    <a:fld id="{F145F1DA-5099-42E7-B0D9-79C9E2078EC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F55-451D-AB0A-DB8E37067BBA}"/>
                </c:ext>
              </c:extLst>
            </c:dLbl>
            <c:dLbl>
              <c:idx val="6"/>
              <c:tx>
                <c:rich>
                  <a:bodyPr/>
                  <a:lstStyle/>
                  <a:p>
                    <a:fld id="{A6C7A236-C4CE-4789-93BA-CF5A30195A11}"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F55-451D-AB0A-DB8E37067BBA}"/>
                </c:ext>
              </c:extLst>
            </c:dLbl>
            <c:dLbl>
              <c:idx val="7"/>
              <c:tx>
                <c:rich>
                  <a:bodyPr/>
                  <a:lstStyle/>
                  <a:p>
                    <a:fld id="{E1B2D718-0358-4EF4-8126-292BD800AE9B}"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F55-451D-AB0A-DB8E37067BBA}"/>
                </c:ext>
              </c:extLst>
            </c:dLbl>
            <c:dLbl>
              <c:idx val="8"/>
              <c:tx>
                <c:rich>
                  <a:bodyPr/>
                  <a:lstStyle/>
                  <a:p>
                    <a:fld id="{54E5501B-2F1A-4874-B8E6-B668FA1B14A3}"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F55-451D-AB0A-DB8E37067BBA}"/>
                </c:ext>
              </c:extLst>
            </c:dLbl>
            <c:dLbl>
              <c:idx val="9"/>
              <c:tx>
                <c:rich>
                  <a:bodyPr/>
                  <a:lstStyle/>
                  <a:p>
                    <a:fld id="{2BD0D029-3BA9-4643-9AA9-2DF4B4ED3F1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F55-451D-AB0A-DB8E37067BBA}"/>
                </c:ext>
              </c:extLst>
            </c:dLbl>
            <c:dLbl>
              <c:idx val="10"/>
              <c:tx>
                <c:rich>
                  <a:bodyPr/>
                  <a:lstStyle/>
                  <a:p>
                    <a:fld id="{373B4044-4462-48FB-BC34-4589A13861FD}"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F55-451D-AB0A-DB8E37067BBA}"/>
                </c:ext>
              </c:extLst>
            </c:dLbl>
            <c:dLbl>
              <c:idx val="11"/>
              <c:tx>
                <c:rich>
                  <a:bodyPr/>
                  <a:lstStyle/>
                  <a:p>
                    <a:fld id="{D32EF670-7DC4-4C4B-9572-FC5F650B5D4C}"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F55-451D-AB0A-DB8E37067BBA}"/>
                </c:ext>
              </c:extLst>
            </c:dLbl>
            <c:dLbl>
              <c:idx val="12"/>
              <c:tx>
                <c:rich>
                  <a:bodyPr/>
                  <a:lstStyle/>
                  <a:p>
                    <a:fld id="{0A838FCD-A2A8-46C7-A108-2E8A040C636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F55-451D-AB0A-DB8E37067B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Sheet1!$B$67:$B$79</c:f>
              <c:strCache>
                <c:ptCount val="13"/>
                <c:pt idx="0">
                  <c:v>Mental health conditions</c:v>
                </c:pt>
                <c:pt idx="1">
                  <c:v>No conditions recorded - 
on main benefit</c:v>
                </c:pt>
                <c:pt idx="2">
                  <c:v>Musculoskeletal and connective
tissue diseases</c:v>
                </c:pt>
                <c:pt idx="3">
                  <c:v>Endocrine, nutritional, metabolic 
and immunity disorders</c:v>
                </c:pt>
                <c:pt idx="4">
                  <c:v>Nervous system and 
sense organ diseases</c:v>
                </c:pt>
                <c:pt idx="5">
                  <c:v>No conditions recorded - 
off main benefit</c:v>
                </c:pt>
                <c:pt idx="6">
                  <c:v>General symptoms</c:v>
                </c:pt>
                <c:pt idx="7">
                  <c:v>Circulatory system diseases</c:v>
                </c:pt>
                <c:pt idx="8">
                  <c:v>Respiratory system diseases</c:v>
                </c:pt>
                <c:pt idx="9">
                  <c:v>Injury and poisoning</c:v>
                </c:pt>
                <c:pt idx="10">
                  <c:v>Symptoms, signs &amp; 
ill defined conditions</c:v>
                </c:pt>
                <c:pt idx="11">
                  <c:v>Neoplasms</c:v>
                </c:pt>
                <c:pt idx="12">
                  <c:v>Genitourinary system diseases</c:v>
                </c:pt>
              </c:strCache>
            </c:strRef>
          </c:cat>
          <c:val>
            <c:numRef>
              <c:f>Sheet1!$E$67:$E$79</c:f>
              <c:numCache>
                <c:formatCode>0.0%</c:formatCode>
                <c:ptCount val="13"/>
                <c:pt idx="0">
                  <c:v>0.56209150326797386</c:v>
                </c:pt>
                <c:pt idx="1">
                  <c:v>0.13071895424836602</c:v>
                </c:pt>
                <c:pt idx="2">
                  <c:v>0.1111111111111111</c:v>
                </c:pt>
                <c:pt idx="3">
                  <c:v>8.4967320261437912E-2</c:v>
                </c:pt>
                <c:pt idx="4">
                  <c:v>6.535947712418301E-2</c:v>
                </c:pt>
                <c:pt idx="5">
                  <c:v>6.535947712418301E-2</c:v>
                </c:pt>
                <c:pt idx="6">
                  <c:v>5.2287581699346407E-2</c:v>
                </c:pt>
                <c:pt idx="7">
                  <c:v>5.2287581699346407E-2</c:v>
                </c:pt>
                <c:pt idx="8">
                  <c:v>3.9215686274509803E-2</c:v>
                </c:pt>
                <c:pt idx="9">
                  <c:v>2.6143790849673203E-2</c:v>
                </c:pt>
                <c:pt idx="10">
                  <c:v>1.9607843137254902E-2</c:v>
                </c:pt>
                <c:pt idx="11">
                  <c:v>1.9607843137254902E-2</c:v>
                </c:pt>
                <c:pt idx="12">
                  <c:v>1.3071895424836602E-2</c:v>
                </c:pt>
              </c:numCache>
            </c:numRef>
          </c:val>
          <c:extLst>
            <c:ext xmlns:c15="http://schemas.microsoft.com/office/drawing/2012/chart" uri="{02D57815-91ED-43cb-92C2-25804820EDAC}">
              <c15:datalabelsRange>
                <c15:f>Sheet1!$F$67:$F$79</c15:f>
                <c15:dlblRangeCache>
                  <c:ptCount val="13"/>
                  <c:pt idx="0">
                    <c:v>56.2% (258)</c:v>
                  </c:pt>
                  <c:pt idx="1">
                    <c:v>13.1% (60)</c:v>
                  </c:pt>
                  <c:pt idx="2">
                    <c:v>11.1% (51)</c:v>
                  </c:pt>
                  <c:pt idx="3">
                    <c:v>8.5% (39)</c:v>
                  </c:pt>
                  <c:pt idx="4">
                    <c:v>6.5% (30)</c:v>
                  </c:pt>
                  <c:pt idx="5">
                    <c:v>6.5% (30)</c:v>
                  </c:pt>
                  <c:pt idx="6">
                    <c:v>5.2% (24)</c:v>
                  </c:pt>
                  <c:pt idx="7">
                    <c:v>5.2% (24)</c:v>
                  </c:pt>
                  <c:pt idx="8">
                    <c:v>3.9% (18)</c:v>
                  </c:pt>
                  <c:pt idx="9">
                    <c:v>2.6% (12)</c:v>
                  </c:pt>
                  <c:pt idx="10">
                    <c:v>2.0% (9)</c:v>
                  </c:pt>
                  <c:pt idx="11">
                    <c:v>2.0% (9)</c:v>
                  </c:pt>
                  <c:pt idx="12">
                    <c:v>1.3% (6)</c:v>
                  </c:pt>
                </c15:dlblRangeCache>
              </c15:datalabelsRange>
            </c:ext>
            <c:ext xmlns:c16="http://schemas.microsoft.com/office/drawing/2014/chart" uri="{C3380CC4-5D6E-409C-BE32-E72D297353CC}">
              <c16:uniqueId val="{0000000E-8F55-451D-AB0A-DB8E37067BBA}"/>
            </c:ext>
          </c:extLst>
        </c:ser>
        <c:dLbls>
          <c:showLegendKey val="0"/>
          <c:showVal val="0"/>
          <c:showCatName val="0"/>
          <c:showSerName val="0"/>
          <c:showPercent val="0"/>
          <c:showBubbleSize val="0"/>
        </c:dLbls>
        <c:gapWidth val="50"/>
        <c:axId val="854873048"/>
        <c:axId val="854871736"/>
      </c:barChart>
      <c:catAx>
        <c:axId val="854873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871736"/>
        <c:crosses val="autoZero"/>
        <c:auto val="1"/>
        <c:lblAlgn val="ctr"/>
        <c:lblOffset val="100"/>
        <c:noMultiLvlLbl val="0"/>
      </c:catAx>
      <c:valAx>
        <c:axId val="854871736"/>
        <c:scaling>
          <c:orientation val="minMax"/>
        </c:scaling>
        <c:delete val="1"/>
        <c:axPos val="t"/>
        <c:numFmt formatCode="0.0%" sourceLinked="1"/>
        <c:majorTickMark val="none"/>
        <c:minorTickMark val="none"/>
        <c:tickLblPos val="nextTo"/>
        <c:crossAx val="854873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3.2407407407407406E-2"/>
          <c:w val="0.93888888888888888"/>
          <c:h val="0.86878827646544166"/>
        </c:manualLayout>
      </c:layout>
      <c:barChart>
        <c:barDir val="col"/>
        <c:grouping val="clustered"/>
        <c:varyColors val="0"/>
        <c:ser>
          <c:idx val="0"/>
          <c:order val="0"/>
          <c:spPr>
            <a:solidFill>
              <a:schemeClr val="bg1">
                <a:lumMod val="75000"/>
              </a:schemeClr>
            </a:solidFill>
            <a:ln>
              <a:noFill/>
            </a:ln>
            <a:effectLst/>
          </c:spPr>
          <c:invertIfNegative val="0"/>
          <c:dPt>
            <c:idx val="0"/>
            <c:invertIfNegative val="0"/>
            <c:bubble3D val="0"/>
            <c:spPr>
              <a:solidFill>
                <a:srgbClr val="0095F8"/>
              </a:solidFill>
              <a:ln>
                <a:noFill/>
              </a:ln>
              <a:effectLst/>
            </c:spPr>
            <c:extLst>
              <c:ext xmlns:c16="http://schemas.microsoft.com/office/drawing/2014/chart" uri="{C3380CC4-5D6E-409C-BE32-E72D297353CC}">
                <c16:uniqueId val="{00000001-A247-453C-8AF6-35253261CCF0}"/>
              </c:ext>
            </c:extLst>
          </c:dPt>
          <c:dLbls>
            <c:dLbl>
              <c:idx val="0"/>
              <c:tx>
                <c:rich>
                  <a:bodyPr/>
                  <a:lstStyle/>
                  <a:p>
                    <a:fld id="{32ECA79F-6C9D-4AB0-AF98-17F85B7CD05F}"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247-453C-8AF6-35253261CCF0}"/>
                </c:ext>
              </c:extLst>
            </c:dLbl>
            <c:dLbl>
              <c:idx val="1"/>
              <c:tx>
                <c:rich>
                  <a:bodyPr/>
                  <a:lstStyle/>
                  <a:p>
                    <a:fld id="{745C43DF-D196-4240-BD2A-D46EE7BAB9E9}"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247-453C-8AF6-35253261CCF0}"/>
                </c:ext>
              </c:extLst>
            </c:dLbl>
            <c:dLbl>
              <c:idx val="2"/>
              <c:tx>
                <c:rich>
                  <a:bodyPr/>
                  <a:lstStyle/>
                  <a:p>
                    <a:fld id="{4F488683-0440-47A8-9B5E-F79228871EF7}"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247-453C-8AF6-35253261CCF0}"/>
                </c:ext>
              </c:extLst>
            </c:dLbl>
            <c:dLbl>
              <c:idx val="3"/>
              <c:tx>
                <c:rich>
                  <a:bodyPr/>
                  <a:lstStyle/>
                  <a:p>
                    <a:fld id="{99915E8D-64BE-4D47-94B4-EAE2EDDD5DE0}"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247-453C-8AF6-35253261CCF0}"/>
                </c:ext>
              </c:extLst>
            </c:dLbl>
            <c:dLbl>
              <c:idx val="4"/>
              <c:tx>
                <c:rich>
                  <a:bodyPr/>
                  <a:lstStyle/>
                  <a:p>
                    <a:fld id="{FC588BF9-58C9-42E9-BD90-A90DAAD12228}"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247-453C-8AF6-35253261CC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Sheet1!$B$84:$B$88</c:f>
              <c:strCache>
                <c:ptCount val="5"/>
                <c:pt idx="0">
                  <c:v>Less than 30 days</c:v>
                </c:pt>
                <c:pt idx="1">
                  <c:v>30 to 59 days</c:v>
                </c:pt>
                <c:pt idx="2">
                  <c:v>60 to 89 days</c:v>
                </c:pt>
                <c:pt idx="3">
                  <c:v>90 to 119 days</c:v>
                </c:pt>
                <c:pt idx="4">
                  <c:v>120 days or more</c:v>
                </c:pt>
              </c:strCache>
            </c:strRef>
          </c:cat>
          <c:val>
            <c:numRef>
              <c:f>Sheet1!$F$84:$F$88</c:f>
              <c:numCache>
                <c:formatCode>0.00%</c:formatCode>
                <c:ptCount val="5"/>
                <c:pt idx="0">
                  <c:v>0.503</c:v>
                </c:pt>
                <c:pt idx="1">
                  <c:v>0.26800000000000002</c:v>
                </c:pt>
                <c:pt idx="2">
                  <c:v>0.111</c:v>
                </c:pt>
                <c:pt idx="3">
                  <c:v>3.9E-2</c:v>
                </c:pt>
                <c:pt idx="4">
                  <c:v>7.8E-2</c:v>
                </c:pt>
              </c:numCache>
            </c:numRef>
          </c:val>
          <c:extLst>
            <c:ext xmlns:c15="http://schemas.microsoft.com/office/drawing/2012/chart" uri="{02D57815-91ED-43cb-92C2-25804820EDAC}">
              <c15:datalabelsRange>
                <c15:f>Sheet1!$G$84:$G$88</c15:f>
                <c15:dlblRangeCache>
                  <c:ptCount val="5"/>
                  <c:pt idx="0">
                    <c:v>50.3% (231)</c:v>
                  </c:pt>
                  <c:pt idx="1">
                    <c:v>26.8% (123)</c:v>
                  </c:pt>
                  <c:pt idx="2">
                    <c:v>11.1% (51)</c:v>
                  </c:pt>
                  <c:pt idx="3">
                    <c:v>3.9% (18)</c:v>
                  </c:pt>
                  <c:pt idx="4">
                    <c:v>7.8% (36)</c:v>
                  </c:pt>
                </c15:dlblRangeCache>
              </c15:datalabelsRange>
            </c:ext>
            <c:ext xmlns:c16="http://schemas.microsoft.com/office/drawing/2014/chart" uri="{C3380CC4-5D6E-409C-BE32-E72D297353CC}">
              <c16:uniqueId val="{00000006-A247-453C-8AF6-35253261CCF0}"/>
            </c:ext>
          </c:extLst>
        </c:ser>
        <c:dLbls>
          <c:showLegendKey val="0"/>
          <c:showVal val="0"/>
          <c:showCatName val="0"/>
          <c:showSerName val="0"/>
          <c:showPercent val="0"/>
          <c:showBubbleSize val="0"/>
        </c:dLbls>
        <c:gapWidth val="50"/>
        <c:overlap val="-27"/>
        <c:axId val="855062664"/>
        <c:axId val="855063320"/>
      </c:barChart>
      <c:catAx>
        <c:axId val="855062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063320"/>
        <c:crosses val="autoZero"/>
        <c:auto val="1"/>
        <c:lblAlgn val="ctr"/>
        <c:lblOffset val="100"/>
        <c:noMultiLvlLbl val="0"/>
      </c:catAx>
      <c:valAx>
        <c:axId val="855063320"/>
        <c:scaling>
          <c:orientation val="minMax"/>
        </c:scaling>
        <c:delete val="1"/>
        <c:axPos val="l"/>
        <c:numFmt formatCode="0.00%" sourceLinked="1"/>
        <c:majorTickMark val="none"/>
        <c:minorTickMark val="none"/>
        <c:tickLblPos val="nextTo"/>
        <c:crossAx val="855062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50122-16D7-4B46-A07D-171186F9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5895</Words>
  <Characters>33604</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Arnesen</dc:creator>
  <cp:keywords/>
  <dc:description/>
  <cp:lastModifiedBy>Amanda Mainey</cp:lastModifiedBy>
  <cp:revision>2</cp:revision>
  <cp:lastPrinted>2022-02-08T20:52:00Z</cp:lastPrinted>
  <dcterms:created xsi:type="dcterms:W3CDTF">2023-06-06T23:39:00Z</dcterms:created>
  <dcterms:modified xsi:type="dcterms:W3CDTF">2023-06-06T23:39:00Z</dcterms:modified>
</cp:coreProperties>
</file>