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9F6" w:rsidRPr="00FD3D77" w:rsidRDefault="001D1DA2" w:rsidP="00FD3D77">
      <w:pPr>
        <w:pStyle w:val="Heading1"/>
      </w:pPr>
      <w:r w:rsidRPr="00FD3D77">
        <w:t>Ensuring your projects are accessible</w:t>
      </w:r>
    </w:p>
    <w:p w:rsidR="00E10500" w:rsidRPr="00DB533B" w:rsidRDefault="001D1DA2" w:rsidP="00DB533B">
      <w:r w:rsidRPr="00DB533B">
        <w:t xml:space="preserve">This </w:t>
      </w:r>
      <w:r w:rsidR="00DB533B">
        <w:t xml:space="preserve">quick reference </w:t>
      </w:r>
      <w:r w:rsidRPr="00DB533B">
        <w:t xml:space="preserve">guide provides advice on ensuring your projects </w:t>
      </w:r>
      <w:r w:rsidR="00FD3D77">
        <w:br/>
      </w:r>
      <w:r w:rsidRPr="00DB533B">
        <w:t xml:space="preserve">deliver print and online information that is </w:t>
      </w:r>
      <w:r w:rsidR="00C40528" w:rsidRPr="00DB533B">
        <w:t>accessible</w:t>
      </w:r>
      <w:r w:rsidRPr="00DB533B">
        <w:t xml:space="preserve"> for disabled people.</w:t>
      </w:r>
    </w:p>
    <w:p w:rsidR="001D1DA2" w:rsidRPr="00F007D5" w:rsidRDefault="00587ED8" w:rsidP="00DB533B">
      <w:pPr>
        <w:pStyle w:val="Heading2"/>
      </w:pPr>
      <w:r w:rsidRPr="00F007D5">
        <w:t xml:space="preserve">Engage </w:t>
      </w:r>
      <w:r w:rsidRPr="000D6E53">
        <w:t>with</w:t>
      </w:r>
      <w:r w:rsidRPr="00F007D5">
        <w:t xml:space="preserve"> </w:t>
      </w:r>
      <w:r w:rsidR="00B467FC" w:rsidRPr="00F007D5">
        <w:t>p</w:t>
      </w:r>
      <w:r w:rsidRPr="00F007D5">
        <w:t>rint</w:t>
      </w:r>
      <w:r w:rsidR="001D1DA2" w:rsidRPr="00F007D5">
        <w:t xml:space="preserve"> </w:t>
      </w:r>
      <w:r w:rsidRPr="00F007D5">
        <w:t>disabled</w:t>
      </w:r>
      <w:r w:rsidR="001D1DA2" w:rsidRPr="00F007D5">
        <w:t xml:space="preserve"> DPOs early</w:t>
      </w:r>
      <w:r w:rsidR="00A47E84">
        <w:t xml:space="preserve"> at the start of the project</w:t>
      </w:r>
    </w:p>
    <w:p w:rsidR="00B467FC" w:rsidRPr="005E630F" w:rsidRDefault="005E630F" w:rsidP="00DB533B">
      <w:pPr>
        <w:pStyle w:val="Bullet1"/>
      </w:pPr>
      <w:r>
        <w:t>By</w:t>
      </w:r>
      <w:r w:rsidRPr="005E630F">
        <w:t xml:space="preserve"> engaging early with DPOs (Disabled Persons’ Organisations)</w:t>
      </w:r>
      <w:r>
        <w:t>, you can allocate time and budget into your project.</w:t>
      </w:r>
      <w:r w:rsidRPr="005E630F">
        <w:t xml:space="preserve"> </w:t>
      </w:r>
    </w:p>
    <w:p w:rsidR="00587ED8" w:rsidRDefault="00B467FC" w:rsidP="00DB533B">
      <w:pPr>
        <w:pStyle w:val="Bullet1"/>
      </w:pPr>
      <w:r>
        <w:t xml:space="preserve">The DPOs will </w:t>
      </w:r>
      <w:r w:rsidR="005E630F">
        <w:t>advise on</w:t>
      </w:r>
      <w:r w:rsidR="00587ED8">
        <w:t>:</w:t>
      </w:r>
    </w:p>
    <w:p w:rsidR="005E630F" w:rsidRPr="00DB533B" w:rsidRDefault="005E630F" w:rsidP="00DB533B">
      <w:pPr>
        <w:pStyle w:val="Bullet2"/>
        <w:tabs>
          <w:tab w:val="clear" w:pos="797"/>
          <w:tab w:val="num" w:pos="1134"/>
        </w:tabs>
        <w:spacing w:before="0" w:after="180"/>
        <w:ind w:left="1135" w:hanging="284"/>
      </w:pPr>
      <w:r w:rsidRPr="00DB533B">
        <w:t>the appropriate alternate formats for the project</w:t>
      </w:r>
    </w:p>
    <w:p w:rsidR="00587ED8" w:rsidRPr="00DB533B" w:rsidRDefault="005E630F" w:rsidP="00DB533B">
      <w:pPr>
        <w:pStyle w:val="Bullet2"/>
        <w:tabs>
          <w:tab w:val="clear" w:pos="797"/>
          <w:tab w:val="num" w:pos="1134"/>
        </w:tabs>
        <w:spacing w:before="0" w:after="180"/>
        <w:ind w:left="1135" w:hanging="284"/>
      </w:pPr>
      <w:r w:rsidRPr="00DB533B">
        <w:t xml:space="preserve">the </w:t>
      </w:r>
      <w:r w:rsidR="00B467FC" w:rsidRPr="00DB533B">
        <w:t>b</w:t>
      </w:r>
      <w:r w:rsidR="00587ED8" w:rsidRPr="00DB533B">
        <w:t xml:space="preserve">udget </w:t>
      </w:r>
      <w:r w:rsidRPr="00DB533B">
        <w:t xml:space="preserve">needed to produce </w:t>
      </w:r>
      <w:r w:rsidR="00587ED8" w:rsidRPr="00DB533B">
        <w:t>alternate formats</w:t>
      </w:r>
    </w:p>
    <w:p w:rsidR="00587ED8" w:rsidRPr="00DB533B" w:rsidRDefault="005E630F" w:rsidP="00DB533B">
      <w:pPr>
        <w:pStyle w:val="Bullet2"/>
        <w:tabs>
          <w:tab w:val="clear" w:pos="797"/>
          <w:tab w:val="num" w:pos="1134"/>
        </w:tabs>
        <w:spacing w:before="0" w:after="180"/>
        <w:ind w:left="1135" w:hanging="284"/>
      </w:pPr>
      <w:r w:rsidRPr="00DB533B">
        <w:t xml:space="preserve">the </w:t>
      </w:r>
      <w:r w:rsidR="00B467FC" w:rsidRPr="00DB533B">
        <w:t>t</w:t>
      </w:r>
      <w:r w:rsidR="00587ED8" w:rsidRPr="00DB533B">
        <w:t xml:space="preserve">imeframe </w:t>
      </w:r>
      <w:r w:rsidRPr="00DB533B">
        <w:t>needed</w:t>
      </w:r>
      <w:r w:rsidR="00587ED8" w:rsidRPr="00DB533B">
        <w:t xml:space="preserve"> to complete the alternate formats </w:t>
      </w:r>
      <w:r w:rsidR="00E10500" w:rsidRPr="00DB533B">
        <w:t>(usually a minimum of 4 weeks)</w:t>
      </w:r>
    </w:p>
    <w:p w:rsidR="00587ED8" w:rsidRPr="00DB533B" w:rsidRDefault="005E630F" w:rsidP="00DB533B">
      <w:pPr>
        <w:pStyle w:val="Bullet2"/>
        <w:tabs>
          <w:tab w:val="clear" w:pos="797"/>
          <w:tab w:val="num" w:pos="1134"/>
        </w:tabs>
        <w:spacing w:before="0" w:after="180"/>
        <w:ind w:left="1135" w:hanging="284"/>
      </w:pPr>
      <w:r w:rsidRPr="00DB533B">
        <w:t xml:space="preserve">the process for producing </w:t>
      </w:r>
      <w:r w:rsidR="00587ED8" w:rsidRPr="00DB533B">
        <w:t xml:space="preserve">alternate formats </w:t>
      </w:r>
      <w:r w:rsidRPr="00DB533B">
        <w:t>and any testing as needed.</w:t>
      </w:r>
    </w:p>
    <w:p w:rsidR="005E630F" w:rsidRPr="005E630F" w:rsidRDefault="005E630F" w:rsidP="00DB533B">
      <w:pPr>
        <w:pStyle w:val="Bullet1"/>
      </w:pPr>
      <w:r>
        <w:t>The contact information for the print disabled DPOs is listed in “Useful Contacts”</w:t>
      </w:r>
      <w:r w:rsidRPr="005E630F">
        <w:t>.</w:t>
      </w:r>
    </w:p>
    <w:p w:rsidR="00B467FC" w:rsidRPr="00F007D5" w:rsidRDefault="00B467FC" w:rsidP="00DB533B">
      <w:pPr>
        <w:pStyle w:val="Heading2"/>
        <w:spacing w:before="240"/>
      </w:pPr>
      <w:r w:rsidRPr="00F007D5">
        <w:t>Ensure a</w:t>
      </w:r>
      <w:r w:rsidR="00587ED8" w:rsidRPr="00F007D5">
        <w:t xml:space="preserve">ny tender documents and contracts </w:t>
      </w:r>
      <w:r w:rsidRPr="00F007D5">
        <w:t>include</w:t>
      </w:r>
      <w:r w:rsidR="00587ED8" w:rsidRPr="00F007D5">
        <w:t xml:space="preserve"> accessibility</w:t>
      </w:r>
    </w:p>
    <w:p w:rsidR="00F007D5" w:rsidRDefault="00F007D5" w:rsidP="00DB533B">
      <w:pPr>
        <w:pStyle w:val="Bullet1"/>
      </w:pPr>
      <w:r>
        <w:t xml:space="preserve">Accessibility is </w:t>
      </w:r>
      <w:r w:rsidR="00587ED8">
        <w:t xml:space="preserve">a </w:t>
      </w:r>
      <w:r w:rsidR="00E8117F">
        <w:t>non-negotiable</w:t>
      </w:r>
      <w:r w:rsidR="00587ED8">
        <w:t xml:space="preserve"> requirement </w:t>
      </w:r>
      <w:r>
        <w:t xml:space="preserve">for potential contractors and providers. Contractors and providers must </w:t>
      </w:r>
      <w:r w:rsidR="00587ED8">
        <w:t xml:space="preserve">provide evidence </w:t>
      </w:r>
      <w:r>
        <w:t>that their products or services can comply with accessible requirements.</w:t>
      </w:r>
    </w:p>
    <w:p w:rsidR="00587ED8" w:rsidRPr="00587ED8" w:rsidRDefault="00F007D5" w:rsidP="00DB533B">
      <w:pPr>
        <w:pStyle w:val="Bullet1"/>
      </w:pPr>
      <w:r>
        <w:t xml:space="preserve">Potential users can </w:t>
      </w:r>
      <w:r w:rsidR="00E10500">
        <w:t>test for accessibility</w:t>
      </w:r>
      <w:r>
        <w:t xml:space="preserve"> – talk to the DPOs if you need help with testing.</w:t>
      </w:r>
    </w:p>
    <w:p w:rsidR="000D6E53" w:rsidRPr="000D6E53" w:rsidRDefault="000D6E53" w:rsidP="00DB533B">
      <w:pPr>
        <w:pStyle w:val="Heading2"/>
      </w:pPr>
      <w:r w:rsidRPr="000D6E53">
        <w:t xml:space="preserve">Follow the process outlined by the DPOs for </w:t>
      </w:r>
      <w:r>
        <w:t xml:space="preserve">producing </w:t>
      </w:r>
      <w:r w:rsidRPr="000D6E53">
        <w:t>alternate formats</w:t>
      </w:r>
    </w:p>
    <w:p w:rsidR="000D6E53" w:rsidRDefault="000D6E53" w:rsidP="00DB533B">
      <w:pPr>
        <w:pStyle w:val="ListParagraph"/>
        <w:numPr>
          <w:ilvl w:val="0"/>
          <w:numId w:val="38"/>
        </w:numPr>
        <w:ind w:left="714" w:hanging="357"/>
        <w:contextualSpacing w:val="0"/>
      </w:pPr>
      <w:r>
        <w:t>Develop your</w:t>
      </w:r>
      <w:r w:rsidR="00E10500">
        <w:t xml:space="preserve"> </w:t>
      </w:r>
      <w:r w:rsidR="00F007D5">
        <w:t>content</w:t>
      </w:r>
      <w:r w:rsidR="00E10500">
        <w:t xml:space="preserve"> </w:t>
      </w:r>
      <w:r>
        <w:t>in</w:t>
      </w:r>
      <w:r w:rsidR="00E10500">
        <w:t xml:space="preserve"> plain </w:t>
      </w:r>
      <w:r>
        <w:t>language that is as concise as possible, being aware of avoiding deficit-based language.</w:t>
      </w:r>
    </w:p>
    <w:p w:rsidR="00E10500" w:rsidRPr="000D6E53" w:rsidRDefault="00E10500" w:rsidP="00DB533B">
      <w:pPr>
        <w:pStyle w:val="ListParagraph"/>
        <w:numPr>
          <w:ilvl w:val="0"/>
          <w:numId w:val="38"/>
        </w:numPr>
        <w:ind w:left="714" w:hanging="357"/>
        <w:contextualSpacing w:val="0"/>
      </w:pPr>
      <w:r w:rsidRPr="000D6E53">
        <w:t>Us</w:t>
      </w:r>
      <w:r w:rsidR="000D6E53" w:rsidRPr="000D6E53">
        <w:t>e</w:t>
      </w:r>
      <w:r w:rsidRPr="000D6E53">
        <w:t xml:space="preserve"> plain language</w:t>
      </w:r>
      <w:r w:rsidR="000D6E53" w:rsidRPr="000D6E53">
        <w:t>, as it is easier to be translated into alternate formats, which also keeps</w:t>
      </w:r>
      <w:r w:rsidRPr="000D6E53">
        <w:t xml:space="preserve"> the cost down</w:t>
      </w:r>
      <w:r w:rsidR="00064F28" w:rsidRPr="000D6E53">
        <w:t>.</w:t>
      </w:r>
      <w:r w:rsidRPr="000D6E53">
        <w:t xml:space="preserve"> </w:t>
      </w:r>
    </w:p>
    <w:p w:rsidR="00E8117F" w:rsidRPr="000D6E53" w:rsidRDefault="00E10500" w:rsidP="00DB533B">
      <w:pPr>
        <w:pStyle w:val="ListParagraph"/>
        <w:numPr>
          <w:ilvl w:val="0"/>
          <w:numId w:val="38"/>
        </w:numPr>
        <w:ind w:left="714" w:hanging="357"/>
        <w:contextualSpacing w:val="0"/>
      </w:pPr>
      <w:r w:rsidRPr="000D6E53">
        <w:t xml:space="preserve">Produce the material in HTML format and </w:t>
      </w:r>
      <w:r w:rsidR="00064F28" w:rsidRPr="000D6E53">
        <w:t xml:space="preserve">use </w:t>
      </w:r>
      <w:r w:rsidRPr="000D6E53">
        <w:t xml:space="preserve">an accessible type face and layout. </w:t>
      </w:r>
      <w:r w:rsidR="00064F28" w:rsidRPr="000D6E53">
        <w:t>G</w:t>
      </w:r>
      <w:r w:rsidRPr="000D6E53">
        <w:t xml:space="preserve">raphs or pictures should be described and referenced in the text. </w:t>
      </w:r>
    </w:p>
    <w:p w:rsidR="00DB533B" w:rsidRDefault="00DB533B">
      <w:pPr>
        <w:spacing w:after="0" w:line="240" w:lineRule="auto"/>
        <w:rPr>
          <w:b/>
          <w:sz w:val="26"/>
          <w:szCs w:val="28"/>
        </w:rPr>
      </w:pPr>
      <w:r>
        <w:br w:type="page"/>
      </w:r>
    </w:p>
    <w:p w:rsidR="000D6E53" w:rsidRPr="000D6E53" w:rsidRDefault="000D6E53" w:rsidP="00AA7058">
      <w:pPr>
        <w:pStyle w:val="Heading2"/>
        <w:spacing w:before="1080"/>
      </w:pPr>
      <w:r w:rsidRPr="000D6E53">
        <w:lastRenderedPageBreak/>
        <w:t>Communicate, externally and internally, that alternate formats are available and where to find them.</w:t>
      </w:r>
    </w:p>
    <w:p w:rsidR="00DB533B" w:rsidRDefault="00E8117F" w:rsidP="00DB533B">
      <w:pPr>
        <w:pStyle w:val="Heading2"/>
      </w:pPr>
      <w:r w:rsidRPr="000D6E53">
        <w:t xml:space="preserve">Encourage </w:t>
      </w:r>
      <w:r w:rsidR="000D6E53" w:rsidRPr="000D6E53">
        <w:t xml:space="preserve">your audience to provide </w:t>
      </w:r>
      <w:r w:rsidRPr="000D6E53">
        <w:t>feedback</w:t>
      </w:r>
      <w:r>
        <w:t xml:space="preserve"> and </w:t>
      </w:r>
      <w:r w:rsidR="00DB533B">
        <w:t xml:space="preserve">respond </w:t>
      </w:r>
      <w:r w:rsidR="000D6E53">
        <w:t>to feedback in a timely way.</w:t>
      </w:r>
    </w:p>
    <w:p w:rsidR="00E8117F" w:rsidRDefault="000D6E53" w:rsidP="00DB533B">
      <w:pPr>
        <w:pStyle w:val="ListParagraph"/>
        <w:numPr>
          <w:ilvl w:val="0"/>
          <w:numId w:val="41"/>
        </w:numPr>
      </w:pPr>
      <w:r>
        <w:t>Feedback is a useful way to review how accessible a product or service is, and to find out more about your audience and their needs.</w:t>
      </w:r>
    </w:p>
    <w:p w:rsidR="00E10500" w:rsidRDefault="00E8117F" w:rsidP="00DB533B">
      <w:pPr>
        <w:pStyle w:val="Heading2"/>
      </w:pPr>
      <w:r w:rsidRPr="000D6E53">
        <w:t xml:space="preserve">Share your experiences with colleagues </w:t>
      </w:r>
      <w:r w:rsidR="00064F28" w:rsidRPr="000D6E53">
        <w:t>and provide training where needed.</w:t>
      </w:r>
    </w:p>
    <w:p w:rsidR="00137C60" w:rsidRPr="00137C60" w:rsidRDefault="00137C60" w:rsidP="00137C60">
      <w:pPr>
        <w:pStyle w:val="Heading2"/>
        <w:numPr>
          <w:ilvl w:val="0"/>
          <w:numId w:val="0"/>
        </w:numPr>
        <w:rPr>
          <w:b w:val="0"/>
        </w:rPr>
      </w:pPr>
    </w:p>
    <w:p w:rsidR="009674AD" w:rsidRDefault="009674AD">
      <w:pPr>
        <w:spacing w:after="0" w:line="240" w:lineRule="auto"/>
        <w:rPr>
          <w:b/>
          <w:sz w:val="26"/>
          <w:szCs w:val="28"/>
        </w:rPr>
      </w:pPr>
      <w:r>
        <w:br w:type="page"/>
      </w:r>
    </w:p>
    <w:p w:rsidR="00137C60" w:rsidRPr="004D6B7A" w:rsidRDefault="00137C60" w:rsidP="009674AD">
      <w:pPr>
        <w:pStyle w:val="Heading1"/>
        <w:spacing w:line="400" w:lineRule="exact"/>
      </w:pPr>
      <w:r>
        <w:lastRenderedPageBreak/>
        <w:t>Prioriti</w:t>
      </w:r>
      <w:bookmarkStart w:id="0" w:name="_GoBack"/>
      <w:bookmarkEnd w:id="0"/>
      <w:r>
        <w:t>sing accessible communications and information</w:t>
      </w:r>
    </w:p>
    <w:p w:rsidR="00137C60" w:rsidRDefault="00137C60" w:rsidP="00137C60">
      <w:r>
        <w:t xml:space="preserve">The list below gives best practice examples information that should be prioritised when deciding on what needs to be made accessible. Each agency will have individual priorities so the list not exhaustive, nor is it in any </w:t>
      </w:r>
      <w:r w:rsidRPr="00323B63">
        <w:t>order of priorit</w:t>
      </w:r>
      <w:r>
        <w:t>y.</w:t>
      </w:r>
    </w:p>
    <w:p w:rsidR="00137C60" w:rsidRDefault="00137C60" w:rsidP="00137C60">
      <w:r>
        <w:t>Priority should be given to information that:</w:t>
      </w:r>
    </w:p>
    <w:p w:rsidR="00137C60" w:rsidRDefault="00137C60" w:rsidP="00137C60">
      <w:pPr>
        <w:pStyle w:val="ListBullet"/>
        <w:tabs>
          <w:tab w:val="clear" w:pos="360"/>
          <w:tab w:val="left" w:pos="6521"/>
        </w:tabs>
        <w:spacing w:after="120" w:line="320" w:lineRule="exact"/>
        <w:ind w:left="426" w:hanging="426"/>
        <w:contextualSpacing w:val="0"/>
      </w:pPr>
      <w:r w:rsidRPr="00323B63">
        <w:t>is aimed specifically at disabled people</w:t>
      </w:r>
      <w:r>
        <w:t xml:space="preserve"> or has a significant impact on disabled people and/or their families and/or wh</w:t>
      </w:r>
      <w:r w:rsidRPr="00876ACD">
        <w:t>ā</w:t>
      </w:r>
      <w:r>
        <w:t>nau</w:t>
      </w:r>
      <w:r w:rsidRPr="00323B63">
        <w:t xml:space="preserve"> </w:t>
      </w:r>
    </w:p>
    <w:p w:rsidR="00137C60" w:rsidRDefault="00137C60" w:rsidP="00137C60">
      <w:pPr>
        <w:pStyle w:val="ListBullet"/>
        <w:tabs>
          <w:tab w:val="clear" w:pos="360"/>
          <w:tab w:val="left" w:pos="6521"/>
        </w:tabs>
        <w:spacing w:after="120" w:line="320" w:lineRule="exact"/>
        <w:ind w:left="426" w:hanging="426"/>
        <w:contextualSpacing w:val="0"/>
      </w:pPr>
      <w:r w:rsidRPr="00B33BB2">
        <w:t xml:space="preserve">is needed to exercise the rights and responsibilities of citizenship </w:t>
      </w:r>
      <w:r>
        <w:t>(such as voting or paying tax)</w:t>
      </w:r>
    </w:p>
    <w:p w:rsidR="00137C60" w:rsidRDefault="00137C60" w:rsidP="00137C60">
      <w:pPr>
        <w:pStyle w:val="ListBullet"/>
        <w:tabs>
          <w:tab w:val="clear" w:pos="360"/>
          <w:tab w:val="left" w:pos="6521"/>
        </w:tabs>
        <w:spacing w:after="120" w:line="320" w:lineRule="exact"/>
        <w:ind w:left="426" w:hanging="426"/>
        <w:contextualSpacing w:val="0"/>
      </w:pPr>
      <w:r w:rsidRPr="00B33BB2">
        <w:t xml:space="preserve">is needed to </w:t>
      </w:r>
      <w:r>
        <w:t xml:space="preserve">make an informed decision, </w:t>
      </w:r>
      <w:r w:rsidRPr="00B33BB2">
        <w:t>rec</w:t>
      </w:r>
      <w:r>
        <w:t>eive payments or other services</w:t>
      </w:r>
      <w:r w:rsidRPr="00B33BB2">
        <w:t xml:space="preserve"> </w:t>
      </w:r>
    </w:p>
    <w:p w:rsidR="00137C60" w:rsidRDefault="00137C60" w:rsidP="00137C60">
      <w:pPr>
        <w:pStyle w:val="ListBullet"/>
        <w:tabs>
          <w:tab w:val="clear" w:pos="360"/>
          <w:tab w:val="left" w:pos="6521"/>
        </w:tabs>
        <w:spacing w:after="120" w:line="320" w:lineRule="exact"/>
        <w:ind w:left="426" w:hanging="426"/>
        <w:contextualSpacing w:val="0"/>
      </w:pPr>
      <w:r w:rsidRPr="00B33BB2">
        <w:t>is of a personal or confidential nature (</w:t>
      </w:r>
      <w:r>
        <w:t>e.g.</w:t>
      </w:r>
      <w:r w:rsidRPr="00B33BB2">
        <w:t xml:space="preserve"> if it relates </w:t>
      </w:r>
      <w:r>
        <w:t>to medical or financial issues)</w:t>
      </w:r>
      <w:r w:rsidRPr="00B33BB2">
        <w:t xml:space="preserve"> </w:t>
      </w:r>
    </w:p>
    <w:p w:rsidR="00137C60" w:rsidRPr="00B33BB2" w:rsidRDefault="00137C60" w:rsidP="00137C60">
      <w:pPr>
        <w:pStyle w:val="ListBullet"/>
        <w:tabs>
          <w:tab w:val="clear" w:pos="360"/>
          <w:tab w:val="left" w:pos="6521"/>
        </w:tabs>
        <w:spacing w:after="120" w:line="320" w:lineRule="exact"/>
        <w:ind w:left="426" w:hanging="426"/>
        <w:contextualSpacing w:val="0"/>
      </w:pPr>
      <w:r w:rsidRPr="00B33BB2">
        <w:t>could result in legal consequences or loss of rights if not acted upon (</w:t>
      </w:r>
      <w:r>
        <w:t>e.g. census or voting information)</w:t>
      </w:r>
    </w:p>
    <w:p w:rsidR="00137C60" w:rsidRDefault="00137C60" w:rsidP="00137C60">
      <w:pPr>
        <w:pStyle w:val="ListBullet"/>
        <w:tabs>
          <w:tab w:val="clear" w:pos="360"/>
          <w:tab w:val="left" w:pos="6521"/>
        </w:tabs>
        <w:spacing w:after="120" w:line="320" w:lineRule="exact"/>
        <w:ind w:left="426" w:hanging="426"/>
        <w:contextualSpacing w:val="0"/>
      </w:pPr>
      <w:r w:rsidRPr="00323B63">
        <w:t xml:space="preserve">seeks a response from the </w:t>
      </w:r>
      <w:r>
        <w:t>public (e.g.</w:t>
      </w:r>
      <w:r w:rsidRPr="00323B63">
        <w:t xml:space="preserve"> consultation </w:t>
      </w:r>
      <w:r w:rsidRPr="00B33BB2">
        <w:t>docum</w:t>
      </w:r>
      <w:r>
        <w:t>ents)</w:t>
      </w:r>
    </w:p>
    <w:p w:rsidR="00137C60" w:rsidRPr="00B33BB2" w:rsidRDefault="00137C60" w:rsidP="00137C60">
      <w:pPr>
        <w:pStyle w:val="ListBullet"/>
        <w:tabs>
          <w:tab w:val="clear" w:pos="360"/>
          <w:tab w:val="left" w:pos="6521"/>
        </w:tabs>
        <w:spacing w:after="120" w:line="320" w:lineRule="exact"/>
        <w:ind w:left="426" w:hanging="426"/>
        <w:contextualSpacing w:val="0"/>
      </w:pPr>
      <w:r w:rsidRPr="00B33BB2">
        <w:t xml:space="preserve">is in response to correspondence from a disabled person who has expressed a preference for a </w:t>
      </w:r>
      <w:proofErr w:type="gramStart"/>
      <w:r w:rsidRPr="00B33BB2">
        <w:t xml:space="preserve">particular </w:t>
      </w:r>
      <w:r>
        <w:t>format</w:t>
      </w:r>
      <w:proofErr w:type="gramEnd"/>
      <w:r w:rsidRPr="00B33BB2">
        <w:t xml:space="preserve">. </w:t>
      </w:r>
    </w:p>
    <w:p w:rsidR="00137C60" w:rsidRPr="00323B63" w:rsidRDefault="00137C60" w:rsidP="00137C60">
      <w:r>
        <w:t>W</w:t>
      </w:r>
      <w:r w:rsidRPr="00323B63">
        <w:t xml:space="preserve">here </w:t>
      </w:r>
      <w:r>
        <w:t>information</w:t>
      </w:r>
      <w:r w:rsidRPr="00323B63">
        <w:t xml:space="preserve"> </w:t>
      </w:r>
      <w:r>
        <w:t>is not considered a high priority</w:t>
      </w:r>
      <w:r w:rsidRPr="00323B63">
        <w:t xml:space="preserve">, it will be necessary to assess </w:t>
      </w:r>
      <w:r>
        <w:t>how these need to be made accessible on a case-by-case basis</w:t>
      </w:r>
      <w:r w:rsidRPr="00323B63">
        <w:t xml:space="preserve">. </w:t>
      </w:r>
    </w:p>
    <w:p w:rsidR="00137C60" w:rsidRDefault="00137C60" w:rsidP="00137C60">
      <w:r w:rsidRPr="00323B63">
        <w:t xml:space="preserve">For instance, it might be appropriate, to provide several lengthy documents in an accessible format to an individual who needs them </w:t>
      </w:r>
      <w:r>
        <w:t>to</w:t>
      </w:r>
      <w:r w:rsidRPr="00323B63">
        <w:t xml:space="preserve"> </w:t>
      </w:r>
      <w:r>
        <w:t>use in a court case</w:t>
      </w:r>
      <w:r w:rsidRPr="00323B63">
        <w:t xml:space="preserve">. </w:t>
      </w:r>
    </w:p>
    <w:p w:rsidR="00137C60" w:rsidRDefault="00137C60" w:rsidP="00137C60">
      <w:r>
        <w:t xml:space="preserve">Agencies might decide that all new documents should be made available in alternate formats, while recognising that some pre-existing documents may also be important enough to justify transcribing into alternate formats. </w:t>
      </w:r>
    </w:p>
    <w:p w:rsidR="00137C60" w:rsidRDefault="00137C60" w:rsidP="00137C60">
      <w:r>
        <w:t>Under certain circumstances, it might be decided to provide a summary version of a longer document as a minimum alternative to providing the complete document e.g. documents longer than 10 pages.</w:t>
      </w:r>
    </w:p>
    <w:p w:rsidR="00137C60" w:rsidRPr="00137C60" w:rsidRDefault="00137C60" w:rsidP="00137C60"/>
    <w:sectPr w:rsidR="00137C60" w:rsidRPr="00137C60" w:rsidSect="00AA7058">
      <w:headerReference w:type="default" r:id="rId8"/>
      <w:footerReference w:type="default" r:id="rId9"/>
      <w:headerReference w:type="first" r:id="rId10"/>
      <w:footerReference w:type="first" r:id="rId11"/>
      <w:pgSz w:w="11906" w:h="16838"/>
      <w:pgMar w:top="220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8B" w:rsidRDefault="00FE008B" w:rsidP="00DB533B">
      <w:r>
        <w:separator/>
      </w:r>
    </w:p>
  </w:endnote>
  <w:endnote w:type="continuationSeparator" w:id="0">
    <w:p w:rsidR="00FE008B" w:rsidRDefault="00FE008B" w:rsidP="00DB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7F" w:rsidRPr="00FD3D77" w:rsidRDefault="00AA7058" w:rsidP="00DB533B">
    <w:pPr>
      <w:pStyle w:val="Footer"/>
      <w:jc w:val="right"/>
      <w:rPr>
        <w:sz w:val="22"/>
        <w:szCs w:val="22"/>
      </w:rPr>
    </w:pPr>
    <w:r w:rsidRPr="00FD3D77">
      <w:rPr>
        <w:noProof/>
      </w:rPr>
      <w:drawing>
        <wp:anchor distT="0" distB="0" distL="114300" distR="114300" simplePos="0" relativeHeight="251658240" behindDoc="0" locked="0" layoutInCell="1" allowOverlap="1" wp14:anchorId="4DC78520">
          <wp:simplePos x="0" y="0"/>
          <wp:positionH relativeFrom="column">
            <wp:posOffset>0</wp:posOffset>
          </wp:positionH>
          <wp:positionV relativeFrom="page">
            <wp:posOffset>9897745</wp:posOffset>
          </wp:positionV>
          <wp:extent cx="1954530" cy="520700"/>
          <wp:effectExtent l="0" t="0" r="7620" b="0"/>
          <wp:wrapSquare wrapText="bothSides"/>
          <wp:docPr id="54" name="Picture 12" descr="Ministry of Social Development logo">
            <a:extLst xmlns:a="http://schemas.openxmlformats.org/drawingml/2006/main">
              <a:ext uri="{FF2B5EF4-FFF2-40B4-BE49-F238E27FC236}">
                <a16:creationId xmlns:a16="http://schemas.microsoft.com/office/drawing/2014/main" id="{9241AF05-9951-F64C-8033-4850FE3C5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9241AF05-9951-F64C-8033-4850FE3C5932}"/>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21" t="10556" r="3254" b="4982"/>
                  <a:stretch/>
                </pic:blipFill>
                <pic:spPr>
                  <a:xfrm>
                    <a:off x="0" y="0"/>
                    <a:ext cx="1954530" cy="520700"/>
                  </a:xfrm>
                  <a:prstGeom prst="rect">
                    <a:avLst/>
                  </a:prstGeom>
                </pic:spPr>
              </pic:pic>
            </a:graphicData>
          </a:graphic>
          <wp14:sizeRelH relativeFrom="page">
            <wp14:pctWidth>0</wp14:pctWidth>
          </wp14:sizeRelH>
          <wp14:sizeRelV relativeFrom="page">
            <wp14:pctHeight>0</wp14:pctHeight>
          </wp14:sizeRelV>
        </wp:anchor>
      </w:drawing>
    </w:r>
    <w:r w:rsidRPr="00AA7058">
      <w:rPr>
        <w:noProof/>
      </w:rPr>
      <w:drawing>
        <wp:anchor distT="0" distB="0" distL="114300" distR="114300" simplePos="0" relativeHeight="251668480" behindDoc="0" locked="0" layoutInCell="1" allowOverlap="1" wp14:anchorId="219B3C09">
          <wp:simplePos x="0" y="0"/>
          <wp:positionH relativeFrom="column">
            <wp:posOffset>2429510</wp:posOffset>
          </wp:positionH>
          <wp:positionV relativeFrom="paragraph">
            <wp:posOffset>9348</wp:posOffset>
          </wp:positionV>
          <wp:extent cx="2009775" cy="204470"/>
          <wp:effectExtent l="0" t="0" r="9525" b="5080"/>
          <wp:wrapSquare wrapText="bothSides"/>
          <wp:docPr id="9" name="Picture 8" descr="New Zealand Government logo">
            <a:extLst xmlns:a="http://schemas.openxmlformats.org/drawingml/2006/main">
              <a:ext uri="{FF2B5EF4-FFF2-40B4-BE49-F238E27FC236}">
                <a16:creationId xmlns:a16="http://schemas.microsoft.com/office/drawing/2014/main" id="{77B609F7-A9D8-E647-8F0F-E884FC666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7B609F7-A9D8-E647-8F0F-E884FC666D7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9775" cy="204470"/>
                  </a:xfrm>
                  <a:prstGeom prst="rect">
                    <a:avLst/>
                  </a:prstGeom>
                </pic:spPr>
              </pic:pic>
            </a:graphicData>
          </a:graphic>
          <wp14:sizeRelH relativeFrom="page">
            <wp14:pctWidth>0</wp14:pctWidth>
          </wp14:sizeRelH>
          <wp14:sizeRelV relativeFrom="page">
            <wp14:pctHeight>0</wp14:pctHeight>
          </wp14:sizeRelV>
        </wp:anchor>
      </w:drawing>
    </w:r>
    <w:sdt>
      <w:sdtPr>
        <w:id w:val="485369484"/>
        <w:docPartObj>
          <w:docPartGallery w:val="Page Numbers (Bottom of Page)"/>
          <w:docPartUnique/>
        </w:docPartObj>
      </w:sdtPr>
      <w:sdtEndPr>
        <w:rPr>
          <w:noProof/>
          <w:sz w:val="22"/>
          <w:szCs w:val="22"/>
        </w:rPr>
      </w:sdtEndPr>
      <w:sdtContent>
        <w:r w:rsidR="00FD3D77" w:rsidRPr="00FD3D77">
          <w:rPr>
            <w:noProof/>
          </w:rPr>
          <mc:AlternateContent>
            <mc:Choice Requires="wps">
              <w:drawing>
                <wp:anchor distT="0" distB="0" distL="114300" distR="114300" simplePos="0" relativeHeight="251661312" behindDoc="0" locked="0" layoutInCell="1" allowOverlap="1" wp14:anchorId="02E8A8CC" wp14:editId="32A05BAC">
                  <wp:simplePos x="0" y="0"/>
                  <wp:positionH relativeFrom="column">
                    <wp:posOffset>1</wp:posOffset>
                  </wp:positionH>
                  <wp:positionV relativeFrom="paragraph">
                    <wp:posOffset>-328295</wp:posOffset>
                  </wp:positionV>
                  <wp:extent cx="5715000" cy="0"/>
                  <wp:effectExtent l="0" t="0" r="0" b="0"/>
                  <wp:wrapNone/>
                  <wp:docPr id="12" name="Straight Connector 11">
                    <a:extLst xmlns:a="http://schemas.openxmlformats.org/drawingml/2006/main">
                      <a:ext uri="{FF2B5EF4-FFF2-40B4-BE49-F238E27FC236}">
                        <a16:creationId xmlns:a16="http://schemas.microsoft.com/office/drawing/2014/main" id="{89B60C8B-8A6B-F149-B69C-E4F7F99B265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a:ln w="25400" cap="rnd">
                            <a:solidFill>
                              <a:srgbClr val="275B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FB927"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85pt" to="450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" strokecolor="#275b9b" strokeweight="2pt">
                  <v:stroke endcap="round"/>
                </v:line>
              </w:pict>
            </mc:Fallback>
          </mc:AlternateContent>
        </w:r>
      </w:sdtContent>
    </w:sdt>
    <w:r w:rsidRPr="00AA7058">
      <w:rPr>
        <w:rFonts w:ascii="Arial Rounded MT Bold" w:hAnsi="Arial Rounded MT Bold"/>
        <w:sz w:val="22"/>
        <w:szCs w:val="22"/>
      </w:rPr>
      <w:t xml:space="preserve">page </w:t>
    </w:r>
    <w:r w:rsidRPr="00AA7058">
      <w:rPr>
        <w:rFonts w:ascii="Arial Rounded MT Bold" w:hAnsi="Arial Rounded MT Bold"/>
        <w:sz w:val="22"/>
        <w:szCs w:val="22"/>
      </w:rPr>
      <w:fldChar w:fldCharType="begin"/>
    </w:r>
    <w:r w:rsidRPr="00AA7058">
      <w:rPr>
        <w:rFonts w:ascii="Arial Rounded MT Bold" w:hAnsi="Arial Rounded MT Bold"/>
        <w:sz w:val="22"/>
        <w:szCs w:val="22"/>
      </w:rPr>
      <w:instrText xml:space="preserve"> PAGE  \* Arabic  \* MERGEFORMAT </w:instrText>
    </w:r>
    <w:r w:rsidRPr="00AA7058">
      <w:rPr>
        <w:rFonts w:ascii="Arial Rounded MT Bold" w:hAnsi="Arial Rounded MT Bold"/>
        <w:sz w:val="22"/>
        <w:szCs w:val="22"/>
      </w:rPr>
      <w:fldChar w:fldCharType="separate"/>
    </w:r>
    <w:r>
      <w:rPr>
        <w:rFonts w:ascii="Arial Rounded MT Bold" w:hAnsi="Arial Rounded MT Bold"/>
        <w:sz w:val="22"/>
        <w:szCs w:val="22"/>
      </w:rPr>
      <w:t>2</w:t>
    </w:r>
    <w:r w:rsidRPr="00AA7058">
      <w:rPr>
        <w:rFonts w:ascii="Arial Rounded MT Bold" w:hAnsi="Arial Rounded MT Bold"/>
        <w:sz w:val="22"/>
        <w:szCs w:val="22"/>
      </w:rPr>
      <w:fldChar w:fldCharType="end"/>
    </w:r>
    <w:r w:rsidRPr="00AA7058">
      <w:rPr>
        <w:rFonts w:ascii="Arial Rounded MT Bold" w:hAnsi="Arial Rounded MT Bold"/>
        <w:sz w:val="22"/>
        <w:szCs w:val="22"/>
      </w:rPr>
      <w:t xml:space="preserve"> of </w:t>
    </w:r>
    <w:r w:rsidRPr="00AA7058">
      <w:rPr>
        <w:rFonts w:ascii="Arial Rounded MT Bold" w:hAnsi="Arial Rounded MT Bold"/>
        <w:sz w:val="22"/>
        <w:szCs w:val="22"/>
      </w:rPr>
      <w:fldChar w:fldCharType="begin"/>
    </w:r>
    <w:r w:rsidRPr="00AA7058">
      <w:rPr>
        <w:rFonts w:ascii="Arial Rounded MT Bold" w:hAnsi="Arial Rounded MT Bold"/>
        <w:sz w:val="22"/>
        <w:szCs w:val="22"/>
      </w:rPr>
      <w:instrText xml:space="preserve"> NUMPAGES  \* Arabic  \* MERGEFORMAT </w:instrText>
    </w:r>
    <w:r w:rsidRPr="00AA7058">
      <w:rPr>
        <w:rFonts w:ascii="Arial Rounded MT Bold" w:hAnsi="Arial Rounded MT Bold"/>
        <w:sz w:val="22"/>
        <w:szCs w:val="22"/>
      </w:rPr>
      <w:fldChar w:fldCharType="separate"/>
    </w:r>
    <w:r>
      <w:rPr>
        <w:rFonts w:ascii="Arial Rounded MT Bold" w:hAnsi="Arial Rounded MT Bold"/>
        <w:sz w:val="22"/>
        <w:szCs w:val="22"/>
      </w:rPr>
      <w:t>2</w:t>
    </w:r>
    <w:r w:rsidRPr="00AA7058">
      <w:rPr>
        <w:rFonts w:ascii="Arial Rounded MT Bold" w:hAnsi="Arial Rounded MT Bold"/>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D77" w:rsidRPr="00AA7058" w:rsidRDefault="00FD3D77">
    <w:pPr>
      <w:pStyle w:val="Footer"/>
      <w:rPr>
        <w:rFonts w:ascii="Arial Rounded MT Bold" w:hAnsi="Arial Rounded MT Bold"/>
        <w:sz w:val="22"/>
        <w:szCs w:val="22"/>
      </w:rPr>
    </w:pPr>
    <w:r w:rsidRPr="00AA7058">
      <w:rPr>
        <w:rFonts w:ascii="Arial Rounded MT Bold" w:hAnsi="Arial Rounded MT Bold"/>
        <w:noProof/>
        <w:sz w:val="22"/>
        <w:szCs w:val="22"/>
      </w:rPr>
      <mc:AlternateContent>
        <mc:Choice Requires="wps">
          <w:drawing>
            <wp:anchor distT="0" distB="0" distL="114300" distR="114300" simplePos="0" relativeHeight="251667456" behindDoc="0" locked="0" layoutInCell="1" allowOverlap="1" wp14:anchorId="7EE97E76" wp14:editId="5EA573B8">
              <wp:simplePos x="0" y="0"/>
              <wp:positionH relativeFrom="column">
                <wp:posOffset>0</wp:posOffset>
              </wp:positionH>
              <wp:positionV relativeFrom="paragraph">
                <wp:posOffset>-329039</wp:posOffset>
              </wp:positionV>
              <wp:extent cx="5715000" cy="0"/>
              <wp:effectExtent l="0" t="0" r="0" b="0"/>
              <wp:wrapNone/>
              <wp:docPr id="30"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a:ln w="25400" cap="rnd">
                        <a:solidFill>
                          <a:srgbClr val="275B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A0799"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9pt" to="450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" strokecolor="#275b9b" strokeweight="2pt">
              <v:stroke endcap="round"/>
            </v:line>
          </w:pict>
        </mc:Fallback>
      </mc:AlternateContent>
    </w:r>
    <w:r w:rsidRPr="00AA7058">
      <w:rPr>
        <w:rFonts w:ascii="Arial Rounded MT Bold" w:hAnsi="Arial Rounded MT Bold"/>
        <w:sz w:val="22"/>
        <w:szCs w:val="22"/>
      </w:rPr>
      <w:t>July 2019</w:t>
    </w:r>
    <w:r w:rsidRPr="00AA7058">
      <w:rPr>
        <w:rFonts w:ascii="Arial Rounded MT Bold" w:hAnsi="Arial Rounded MT Bold"/>
        <w:sz w:val="22"/>
        <w:szCs w:val="22"/>
      </w:rPr>
      <w:tab/>
    </w:r>
    <w:r w:rsidRPr="00AA7058">
      <w:rPr>
        <w:rFonts w:ascii="Arial Rounded MT Bold" w:hAnsi="Arial Rounded MT Bold"/>
        <w:sz w:val="22"/>
        <w:szCs w:val="22"/>
      </w:rPr>
      <w:tab/>
      <w:t xml:space="preserve">page </w:t>
    </w:r>
    <w:r w:rsidRPr="00AA7058">
      <w:rPr>
        <w:rFonts w:ascii="Arial Rounded MT Bold" w:hAnsi="Arial Rounded MT Bold"/>
        <w:sz w:val="22"/>
        <w:szCs w:val="22"/>
      </w:rPr>
      <w:fldChar w:fldCharType="begin"/>
    </w:r>
    <w:r w:rsidRPr="00AA7058">
      <w:rPr>
        <w:rFonts w:ascii="Arial Rounded MT Bold" w:hAnsi="Arial Rounded MT Bold"/>
        <w:sz w:val="22"/>
        <w:szCs w:val="22"/>
      </w:rPr>
      <w:instrText xml:space="preserve"> PAGE  \* Arabic  \* MERGEFORMAT </w:instrText>
    </w:r>
    <w:r w:rsidRPr="00AA7058">
      <w:rPr>
        <w:rFonts w:ascii="Arial Rounded MT Bold" w:hAnsi="Arial Rounded MT Bold"/>
        <w:sz w:val="22"/>
        <w:szCs w:val="22"/>
      </w:rPr>
      <w:fldChar w:fldCharType="separate"/>
    </w:r>
    <w:r w:rsidRPr="00AA7058">
      <w:rPr>
        <w:rFonts w:ascii="Arial Rounded MT Bold" w:hAnsi="Arial Rounded MT Bold"/>
        <w:noProof/>
        <w:sz w:val="22"/>
        <w:szCs w:val="22"/>
      </w:rPr>
      <w:t>1</w:t>
    </w:r>
    <w:r w:rsidRPr="00AA7058">
      <w:rPr>
        <w:rFonts w:ascii="Arial Rounded MT Bold" w:hAnsi="Arial Rounded MT Bold"/>
        <w:sz w:val="22"/>
        <w:szCs w:val="22"/>
      </w:rPr>
      <w:fldChar w:fldCharType="end"/>
    </w:r>
    <w:r w:rsidRPr="00AA7058">
      <w:rPr>
        <w:rFonts w:ascii="Arial Rounded MT Bold" w:hAnsi="Arial Rounded MT Bold"/>
        <w:sz w:val="22"/>
        <w:szCs w:val="22"/>
      </w:rPr>
      <w:t xml:space="preserve"> of </w:t>
    </w:r>
    <w:r w:rsidRPr="00AA7058">
      <w:rPr>
        <w:rFonts w:ascii="Arial Rounded MT Bold" w:hAnsi="Arial Rounded MT Bold"/>
        <w:sz w:val="22"/>
        <w:szCs w:val="22"/>
      </w:rPr>
      <w:fldChar w:fldCharType="begin"/>
    </w:r>
    <w:r w:rsidRPr="00AA7058">
      <w:rPr>
        <w:rFonts w:ascii="Arial Rounded MT Bold" w:hAnsi="Arial Rounded MT Bold"/>
        <w:sz w:val="22"/>
        <w:szCs w:val="22"/>
      </w:rPr>
      <w:instrText xml:space="preserve"> NUMPAGES  \* Arabic  \* MERGEFORMAT </w:instrText>
    </w:r>
    <w:r w:rsidRPr="00AA7058">
      <w:rPr>
        <w:rFonts w:ascii="Arial Rounded MT Bold" w:hAnsi="Arial Rounded MT Bold"/>
        <w:sz w:val="22"/>
        <w:szCs w:val="22"/>
      </w:rPr>
      <w:fldChar w:fldCharType="separate"/>
    </w:r>
    <w:r w:rsidRPr="00AA7058">
      <w:rPr>
        <w:rFonts w:ascii="Arial Rounded MT Bold" w:hAnsi="Arial Rounded MT Bold"/>
        <w:noProof/>
        <w:sz w:val="22"/>
        <w:szCs w:val="22"/>
      </w:rPr>
      <w:t>2</w:t>
    </w:r>
    <w:r w:rsidRPr="00AA7058">
      <w:rPr>
        <w:rFonts w:ascii="Arial Rounded MT Bold" w:hAnsi="Arial Rounded MT Bol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8B" w:rsidRDefault="00FE008B" w:rsidP="00DB533B">
      <w:r>
        <w:separator/>
      </w:r>
    </w:p>
  </w:footnote>
  <w:footnote w:type="continuationSeparator" w:id="0">
    <w:p w:rsidR="00FE008B" w:rsidRDefault="00FE008B" w:rsidP="00DB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A2" w:rsidRPr="00AA7058" w:rsidRDefault="00FD3D77" w:rsidP="00AA7058">
    <w:pPr>
      <w:pStyle w:val="Header"/>
      <w:spacing w:before="560"/>
      <w:rPr>
        <w:rFonts w:ascii="Arial Rounded MT Bold" w:hAnsi="Arial Rounded MT Bold"/>
        <w:sz w:val="28"/>
        <w:szCs w:val="28"/>
      </w:rPr>
    </w:pPr>
    <w:r w:rsidRPr="00AA7058">
      <w:rPr>
        <w:noProof/>
        <w:sz w:val="28"/>
        <w:szCs w:val="28"/>
      </w:rPr>
      <mc:AlternateContent>
        <mc:Choice Requires="wps">
          <w:drawing>
            <wp:anchor distT="0" distB="0" distL="114300" distR="114300" simplePos="0" relativeHeight="251663360" behindDoc="0" locked="0" layoutInCell="1" allowOverlap="1" wp14:anchorId="76116BCF" wp14:editId="1561CD8D">
              <wp:simplePos x="0" y="0"/>
              <wp:positionH relativeFrom="column">
                <wp:posOffset>0</wp:posOffset>
              </wp:positionH>
              <wp:positionV relativeFrom="paragraph">
                <wp:posOffset>699918</wp:posOffset>
              </wp:positionV>
              <wp:extent cx="5724525" cy="9525"/>
              <wp:effectExtent l="0" t="0" r="28575" b="28575"/>
              <wp:wrapNone/>
              <wp:docPr id="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4525" cy="9525"/>
                      </a:xfrm>
                      <a:prstGeom prst="line">
                        <a:avLst/>
                      </a:prstGeom>
                      <a:noFill/>
                      <a:ln w="25400" cap="rnd" cmpd="sng" algn="ctr">
                        <a:solidFill>
                          <a:srgbClr val="275B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F3886"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1pt" to="450.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" strokecolor="#275b9b" strokeweight="2pt">
              <v:stroke endcap="round"/>
            </v:line>
          </w:pict>
        </mc:Fallback>
      </mc:AlternateContent>
    </w:r>
    <w:r w:rsidR="001D1DA2" w:rsidRPr="00AA7058">
      <w:rPr>
        <w:rFonts w:ascii="Arial Rounded MT Bold" w:hAnsi="Arial Rounded MT Bold"/>
        <w:sz w:val="28"/>
        <w:szCs w:val="28"/>
      </w:rPr>
      <w:t>Quick reference guide</w:t>
    </w:r>
    <w:r w:rsidRPr="00AA7058">
      <w:rPr>
        <w:rFonts w:ascii="Arial Rounded MT Bold" w:hAnsi="Arial Rounded MT Bold"/>
        <w:sz w:val="28"/>
        <w:szCs w:val="28"/>
      </w:rPr>
      <w:t xml:space="preserve"> continued</w:t>
    </w:r>
    <w:r w:rsidR="00AA7058">
      <w:rPr>
        <w:rFonts w:ascii="Arial Rounded MT Bold" w:hAnsi="Arial Rounded MT Bold"/>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D77" w:rsidRPr="00FD3D77" w:rsidRDefault="00FD3D77" w:rsidP="00AA7058">
    <w:pPr>
      <w:pStyle w:val="Header"/>
      <w:spacing w:after="120" w:line="440" w:lineRule="exact"/>
      <w:rPr>
        <w:rFonts w:ascii="Arial Rounded MT Bold" w:hAnsi="Arial Rounded MT Bold"/>
        <w:sz w:val="32"/>
        <w:szCs w:val="32"/>
      </w:rPr>
    </w:pPr>
    <w:r>
      <w:rPr>
        <w:rFonts w:ascii="Arial Rounded MT Bold" w:hAnsi="Arial Rounded MT Bold"/>
        <w:sz w:val="32"/>
        <w:szCs w:val="32"/>
      </w:rPr>
      <w:t>Leading the way in accessible information</w:t>
    </w:r>
    <w:r>
      <w:rPr>
        <w:rFonts w:ascii="Arial Rounded MT Bold" w:hAnsi="Arial Rounded MT Bold"/>
        <w:sz w:val="32"/>
        <w:szCs w:val="32"/>
      </w:rPr>
      <w:tab/>
    </w:r>
    <w:r>
      <w:rPr>
        <w:rFonts w:ascii="Arial Rounded MT Bold" w:hAnsi="Arial Rounded MT Bold"/>
        <w:sz w:val="32"/>
        <w:szCs w:val="32"/>
      </w:rPr>
      <w:br/>
    </w:r>
    <w:r w:rsidRPr="00FD3D77">
      <w:rPr>
        <w:rFonts w:ascii="Arial Rounded MT Bold" w:hAnsi="Arial Rounded MT Bold"/>
        <w:sz w:val="32"/>
        <w:szCs w:val="32"/>
      </w:rPr>
      <w:t>Quick reference guide</w:t>
    </w:r>
  </w:p>
  <w:p w:rsidR="00FD3D77" w:rsidRDefault="00FD3D77" w:rsidP="00FD3D77">
    <w:pPr>
      <w:pStyle w:val="Header"/>
      <w:spacing w:after="120"/>
    </w:pPr>
    <w:r w:rsidRPr="00FD3D77">
      <w:rPr>
        <w:noProof/>
      </w:rPr>
      <mc:AlternateContent>
        <mc:Choice Requires="wps">
          <w:drawing>
            <wp:anchor distT="0" distB="0" distL="114300" distR="114300" simplePos="0" relativeHeight="251665408" behindDoc="0" locked="0" layoutInCell="1" allowOverlap="1" wp14:anchorId="4DAAE5B2" wp14:editId="303ACDE8">
              <wp:simplePos x="0" y="0"/>
              <wp:positionH relativeFrom="column">
                <wp:posOffset>0</wp:posOffset>
              </wp:positionH>
              <wp:positionV relativeFrom="paragraph">
                <wp:posOffset>40925</wp:posOffset>
              </wp:positionV>
              <wp:extent cx="5724525" cy="9525"/>
              <wp:effectExtent l="0" t="0" r="28575" b="28575"/>
              <wp:wrapNone/>
              <wp:docPr id="2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4525" cy="9525"/>
                      </a:xfrm>
                      <a:prstGeom prst="line">
                        <a:avLst/>
                      </a:prstGeom>
                      <a:noFill/>
                      <a:ln w="25400" cap="rnd" cmpd="sng" algn="ctr">
                        <a:solidFill>
                          <a:srgbClr val="275B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2A82D6"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pt" to="450.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" strokecolor="#275b9b" strokeweight="2pt">
              <v:stroke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308B9"/>
    <w:multiLevelType w:val="hybridMultilevel"/>
    <w:tmpl w:val="AA38C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3B37D13"/>
    <w:multiLevelType w:val="hybridMultilevel"/>
    <w:tmpl w:val="11DC8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AD04620"/>
    <w:multiLevelType w:val="multilevel"/>
    <w:tmpl w:val="DCA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D0500B"/>
    <w:multiLevelType w:val="hybridMultilevel"/>
    <w:tmpl w:val="D340BEE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4AC0C5F"/>
    <w:multiLevelType w:val="hybridMultilevel"/>
    <w:tmpl w:val="B33A2A70"/>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8073D00"/>
    <w:multiLevelType w:val="hybridMultilevel"/>
    <w:tmpl w:val="B9BC01C2"/>
    <w:lvl w:ilvl="0" w:tplc="1409000F">
      <w:start w:val="1"/>
      <w:numFmt w:val="decimal"/>
      <w:lvlText w:val="%1."/>
      <w:lvlJc w:val="left"/>
      <w:pPr>
        <w:ind w:left="360" w:hanging="360"/>
      </w:pPr>
      <w:rPr>
        <w:rFonts w:hint="default"/>
      </w:rPr>
    </w:lvl>
    <w:lvl w:ilvl="1" w:tplc="EDD82D10">
      <w:start w:val="1"/>
      <w:numFmt w:val="bullet"/>
      <w:pStyle w:val="Bullet1"/>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3"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8B1FFC"/>
    <w:multiLevelType w:val="hybridMultilevel"/>
    <w:tmpl w:val="6F0211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97F4313"/>
    <w:multiLevelType w:val="multilevel"/>
    <w:tmpl w:val="6DCA6BF2"/>
    <w:lvl w:ilvl="0">
      <w:start w:val="1"/>
      <w:numFmt w:val="bullet"/>
      <w:lvlText w:val=""/>
      <w:lvlJc w:val="left"/>
      <w:pPr>
        <w:ind w:left="720" w:hanging="360"/>
      </w:pPr>
      <w:rPr>
        <w:rFonts w:ascii="Symbol" w:hAnsi="Symbol"/>
        <w:sz w:val="22"/>
      </w:rPr>
    </w:lvl>
    <w:lvl w:ilvl="1">
      <w:start w:val="1"/>
      <w:numFmt w:val="bullet"/>
      <w:pStyle w:val="AGbulletsub"/>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3F1049"/>
    <w:multiLevelType w:val="hybridMultilevel"/>
    <w:tmpl w:val="E2A0B0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4B054983"/>
    <w:multiLevelType w:val="hybridMultilevel"/>
    <w:tmpl w:val="D8EA0C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6F79A3"/>
    <w:multiLevelType w:val="hybridMultilevel"/>
    <w:tmpl w:val="36B88958"/>
    <w:lvl w:ilvl="0" w:tplc="6986B4DC">
      <w:start w:val="1"/>
      <w:numFmt w:val="decimal"/>
      <w:pStyle w:val="Heading2"/>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2"/>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5"/>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34"/>
  </w:num>
  <w:num w:numId="26">
    <w:abstractNumId w:val="35"/>
  </w:num>
  <w:num w:numId="27">
    <w:abstractNumId w:val="33"/>
  </w:num>
  <w:num w:numId="28">
    <w:abstractNumId w:val="23"/>
  </w:num>
  <w:num w:numId="29">
    <w:abstractNumId w:val="12"/>
  </w:num>
  <w:num w:numId="30">
    <w:abstractNumId w:val="24"/>
  </w:num>
  <w:num w:numId="31">
    <w:abstractNumId w:val="37"/>
  </w:num>
  <w:num w:numId="32">
    <w:abstractNumId w:val="30"/>
  </w:num>
  <w:num w:numId="33">
    <w:abstractNumId w:val="19"/>
  </w:num>
  <w:num w:numId="34">
    <w:abstractNumId w:val="28"/>
  </w:num>
  <w:num w:numId="35">
    <w:abstractNumId w:val="20"/>
  </w:num>
  <w:num w:numId="36">
    <w:abstractNumId w:val="18"/>
  </w:num>
  <w:num w:numId="37">
    <w:abstractNumId w:val="26"/>
  </w:num>
  <w:num w:numId="38">
    <w:abstractNumId w:val="29"/>
  </w:num>
  <w:num w:numId="39">
    <w:abstractNumId w:val="11"/>
  </w:num>
  <w:num w:numId="40">
    <w:abstractNumId w:val="36"/>
  </w:num>
  <w:num w:numId="41">
    <w:abstractNumId w:val="15"/>
  </w:num>
  <w:num w:numId="42">
    <w:abstractNumId w:val="2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D8"/>
    <w:rsid w:val="00000B4C"/>
    <w:rsid w:val="00005BBE"/>
    <w:rsid w:val="000106D0"/>
    <w:rsid w:val="00034336"/>
    <w:rsid w:val="00037CB0"/>
    <w:rsid w:val="00064F28"/>
    <w:rsid w:val="000A576B"/>
    <w:rsid w:val="000D6E53"/>
    <w:rsid w:val="000E3BB9"/>
    <w:rsid w:val="00106AED"/>
    <w:rsid w:val="00137C60"/>
    <w:rsid w:val="001D1DA2"/>
    <w:rsid w:val="001D3744"/>
    <w:rsid w:val="00213DA6"/>
    <w:rsid w:val="00216302"/>
    <w:rsid w:val="00236D2D"/>
    <w:rsid w:val="00245A2B"/>
    <w:rsid w:val="002D1C62"/>
    <w:rsid w:val="002D367B"/>
    <w:rsid w:val="00354EC2"/>
    <w:rsid w:val="00397220"/>
    <w:rsid w:val="003A269D"/>
    <w:rsid w:val="003B0A38"/>
    <w:rsid w:val="003E2869"/>
    <w:rsid w:val="003E3722"/>
    <w:rsid w:val="004227ED"/>
    <w:rsid w:val="00445BCE"/>
    <w:rsid w:val="004504CD"/>
    <w:rsid w:val="00454F25"/>
    <w:rsid w:val="004710B8"/>
    <w:rsid w:val="00533E65"/>
    <w:rsid w:val="0056681E"/>
    <w:rsid w:val="00572AA9"/>
    <w:rsid w:val="00587ED8"/>
    <w:rsid w:val="00595906"/>
    <w:rsid w:val="005B11F9"/>
    <w:rsid w:val="005E630F"/>
    <w:rsid w:val="00631D73"/>
    <w:rsid w:val="006B19BD"/>
    <w:rsid w:val="007102B0"/>
    <w:rsid w:val="007B201A"/>
    <w:rsid w:val="007C2143"/>
    <w:rsid w:val="007F3ACD"/>
    <w:rsid w:val="0080133F"/>
    <w:rsid w:val="0080498F"/>
    <w:rsid w:val="00860654"/>
    <w:rsid w:val="00903467"/>
    <w:rsid w:val="00906EAA"/>
    <w:rsid w:val="00931D3F"/>
    <w:rsid w:val="00941B05"/>
    <w:rsid w:val="009674AD"/>
    <w:rsid w:val="00970DD2"/>
    <w:rsid w:val="009D15F1"/>
    <w:rsid w:val="009D2B10"/>
    <w:rsid w:val="00A2199C"/>
    <w:rsid w:val="00A43896"/>
    <w:rsid w:val="00A47E84"/>
    <w:rsid w:val="00A6244E"/>
    <w:rsid w:val="00AA7058"/>
    <w:rsid w:val="00B41635"/>
    <w:rsid w:val="00B467FC"/>
    <w:rsid w:val="00B5357A"/>
    <w:rsid w:val="00B825EF"/>
    <w:rsid w:val="00BA37E0"/>
    <w:rsid w:val="00C40528"/>
    <w:rsid w:val="00C503A7"/>
    <w:rsid w:val="00C5215F"/>
    <w:rsid w:val="00C93BF1"/>
    <w:rsid w:val="00C96B02"/>
    <w:rsid w:val="00CB4A28"/>
    <w:rsid w:val="00D34EA0"/>
    <w:rsid w:val="00DB533B"/>
    <w:rsid w:val="00DD6907"/>
    <w:rsid w:val="00DD7526"/>
    <w:rsid w:val="00E10500"/>
    <w:rsid w:val="00E66AA5"/>
    <w:rsid w:val="00E671C3"/>
    <w:rsid w:val="00E8117F"/>
    <w:rsid w:val="00E90142"/>
    <w:rsid w:val="00E9269E"/>
    <w:rsid w:val="00F007D5"/>
    <w:rsid w:val="00F06EE8"/>
    <w:rsid w:val="00F07349"/>
    <w:rsid w:val="00F113EF"/>
    <w:rsid w:val="00F126F3"/>
    <w:rsid w:val="00F22AE5"/>
    <w:rsid w:val="00F829C0"/>
    <w:rsid w:val="00F829F6"/>
    <w:rsid w:val="00F8429C"/>
    <w:rsid w:val="00FD3D77"/>
    <w:rsid w:val="00FE00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53F93E-1519-4318-BA07-D2D4029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3B"/>
    <w:pPr>
      <w:spacing w:after="180" w:line="300" w:lineRule="exact"/>
    </w:pPr>
    <w:rPr>
      <w:rFonts w:ascii="Arial" w:hAnsi="Arial" w:cs="Arial"/>
      <w:sz w:val="24"/>
      <w:szCs w:val="24"/>
    </w:rPr>
  </w:style>
  <w:style w:type="paragraph" w:styleId="Heading1">
    <w:name w:val="heading 1"/>
    <w:basedOn w:val="Normal"/>
    <w:next w:val="Normal"/>
    <w:link w:val="Heading1Char"/>
    <w:uiPriority w:val="99"/>
    <w:qFormat/>
    <w:rsid w:val="00FD3D77"/>
    <w:pPr>
      <w:keepNext/>
      <w:keepLines/>
      <w:spacing w:before="360" w:after="240"/>
      <w:outlineLvl w:val="0"/>
    </w:pPr>
    <w:rPr>
      <w:rFonts w:eastAsiaTheme="majorEastAsia"/>
      <w:b/>
      <w:bCs/>
      <w:sz w:val="36"/>
      <w:szCs w:val="28"/>
    </w:rPr>
  </w:style>
  <w:style w:type="paragraph" w:styleId="Heading2">
    <w:name w:val="heading 2"/>
    <w:basedOn w:val="Normal"/>
    <w:next w:val="Normal"/>
    <w:link w:val="Heading2Char"/>
    <w:uiPriority w:val="99"/>
    <w:qFormat/>
    <w:rsid w:val="00DB533B"/>
    <w:pPr>
      <w:numPr>
        <w:numId w:val="40"/>
      </w:numPr>
      <w:spacing w:before="360"/>
      <w:ind w:left="357" w:hanging="357"/>
      <w:outlineLvl w:val="1"/>
    </w:pPr>
    <w:rPr>
      <w:b/>
      <w:sz w:val="26"/>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3D77"/>
    <w:rPr>
      <w:rFonts w:ascii="Arial" w:eastAsiaTheme="majorEastAsia" w:hAnsi="Arial" w:cs="Arial"/>
      <w:b/>
      <w:bCs/>
      <w:sz w:val="36"/>
      <w:szCs w:val="28"/>
    </w:rPr>
  </w:style>
  <w:style w:type="character" w:customStyle="1" w:styleId="Heading2Char">
    <w:name w:val="Heading 2 Char"/>
    <w:basedOn w:val="DefaultParagraphFont"/>
    <w:link w:val="Heading2"/>
    <w:uiPriority w:val="99"/>
    <w:rsid w:val="00DB533B"/>
    <w:rPr>
      <w:rFonts w:ascii="Arial" w:hAnsi="Arial" w:cs="Arial"/>
      <w:b/>
      <w:sz w:val="26"/>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DB533B"/>
    <w:pPr>
      <w:numPr>
        <w:ilvl w:val="1"/>
        <w:numId w:val="35"/>
      </w:numPr>
      <w:ind w:left="850" w:hanging="425"/>
      <w:contextualSpacing w:val="0"/>
    </w:pPr>
  </w:style>
  <w:style w:type="paragraph" w:customStyle="1" w:styleId="Bullet2">
    <w:name w:val="Bullet2"/>
    <w:qFormat/>
    <w:rsid w:val="00DB533B"/>
    <w:pPr>
      <w:numPr>
        <w:numId w:val="11"/>
      </w:numPr>
      <w:spacing w:before="120" w:line="300" w:lineRule="exact"/>
      <w:ind w:left="794" w:hanging="357"/>
    </w:pPr>
    <w:rPr>
      <w:rFonts w:ascii="Arial" w:eastAsia="Times New Roman" w:hAnsi="Arial"/>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E81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17F"/>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1D1DA2"/>
    <w:rPr>
      <w:b/>
      <w:bCs/>
    </w:rPr>
  </w:style>
  <w:style w:type="character" w:customStyle="1" w:styleId="CommentSubjectChar">
    <w:name w:val="Comment Subject Char"/>
    <w:basedOn w:val="CommentTextChar"/>
    <w:link w:val="CommentSubject"/>
    <w:uiPriority w:val="99"/>
    <w:semiHidden/>
    <w:rsid w:val="001D1DA2"/>
    <w:rPr>
      <w:rFonts w:ascii="Verdana" w:hAnsi="Verdana" w:cs="Arial"/>
      <w:b/>
      <w:bCs/>
    </w:rPr>
  </w:style>
  <w:style w:type="paragraph" w:customStyle="1" w:styleId="AGbulletsub">
    <w:name w:val="AG bullet sub"/>
    <w:qFormat/>
    <w:rsid w:val="00137C60"/>
    <w:pPr>
      <w:numPr>
        <w:ilvl w:val="1"/>
        <w:numId w:val="42"/>
      </w:numPr>
      <w:spacing w:after="120" w:line="320" w:lineRule="exact"/>
      <w:ind w:left="851" w:hanging="425"/>
    </w:pPr>
    <w:rPr>
      <w:rFonts w:ascii="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47BB-0A84-423A-8742-C21667DE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Checklist for individual projects</vt:lpstr>
    </vt:vector>
  </TitlesOfParts>
  <Company>Ministry of Social Development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individual projects</dc:title>
  <dc:creator>Ministry of Social Development</dc:creator>
  <cp:lastModifiedBy>Jo Orange</cp:lastModifiedBy>
  <cp:revision>2</cp:revision>
  <cp:lastPrinted>2019-06-17T04:33:00Z</cp:lastPrinted>
  <dcterms:created xsi:type="dcterms:W3CDTF">2020-03-19T22:09:00Z</dcterms:created>
  <dcterms:modified xsi:type="dcterms:W3CDTF">2020-03-19T22:09:00Z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A11937242</vt:lpwstr>
  </property>
  <property fmtid="{D5CDD505-2E9C-101B-9397-08002B2CF9AE}" pid="4" name="Objective-Title">
    <vt:lpwstr>Checklist-for-individual-project finals</vt:lpwstr>
  </property>
  <property fmtid="{D5CDD505-2E9C-101B-9397-08002B2CF9AE}" pid="5" name="Objective-Comment">
    <vt:lpwstr/>
  </property>
  <property fmtid="{D5CDD505-2E9C-101B-9397-08002B2CF9AE}" pid="6" name="Objective-CreationStamp">
    <vt:filetime>2019-08-13T03:53:47Z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2019-08-13T03:53:57Z</vt:filetime>
  </property>
  <property fmtid="{D5CDD505-2E9C-101B-9397-08002B2CF9AE}" pid="11" name="Objective-Owner">
    <vt:lpwstr>Anne Hawker</vt:lpwstr>
  </property>
  <property fmtid="{D5CDD505-2E9C-101B-9397-08002B2CF9AE}" pid="12" name="Objective-Path">
    <vt:lpwstr>Global Folder:MSD INFORMATION REPOSITORY:Service Delivery:Work and Income:Strategies and Programmes:Principal Disability and Health Advice:Projects:Accessible Forms:Training:</vt:lpwstr>
  </property>
  <property fmtid="{D5CDD505-2E9C-101B-9397-08002B2CF9AE}" pid="13" name="Objective-Parent">
    <vt:lpwstr>Training</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