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3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41"/>
        <w:gridCol w:w="705"/>
        <w:gridCol w:w="3391"/>
      </w:tblGrid>
      <w:tr w:rsidR="00D205CE" w:rsidTr="00662219">
        <w:trPr>
          <w:trHeight w:val="414"/>
        </w:trPr>
        <w:tc>
          <w:tcPr>
            <w:tcW w:w="7346" w:type="dxa"/>
            <w:gridSpan w:val="2"/>
            <w:tcBorders>
              <w:top w:val="single" w:sz="4" w:space="0" w:color="007073"/>
              <w:left w:val="single" w:sz="4" w:space="0" w:color="007073"/>
              <w:bottom w:val="nil"/>
              <w:right w:val="single" w:sz="4" w:space="0" w:color="007073"/>
            </w:tcBorders>
            <w:shd w:val="clear" w:color="auto" w:fill="E6F2F3"/>
          </w:tcPr>
          <w:p w:rsidR="00D205CE" w:rsidRDefault="00D205CE"/>
        </w:tc>
        <w:tc>
          <w:tcPr>
            <w:tcW w:w="3391" w:type="dxa"/>
            <w:tcBorders>
              <w:top w:val="single" w:sz="4" w:space="0" w:color="007073"/>
              <w:left w:val="single" w:sz="4" w:space="0" w:color="007073"/>
              <w:bottom w:val="single" w:sz="4" w:space="0" w:color="007073"/>
              <w:right w:val="single" w:sz="4" w:space="0" w:color="007073"/>
            </w:tcBorders>
            <w:shd w:val="clear" w:color="auto" w:fill="FFFFFF"/>
            <w:vAlign w:val="center"/>
          </w:tcPr>
          <w:p w:rsidR="00D205CE" w:rsidRDefault="00D205CE" w:rsidP="00CF16CD">
            <w:pPr>
              <w:pStyle w:val="PaperTitle"/>
              <w:rPr>
                <w:b/>
                <w:bCs/>
              </w:rPr>
            </w:pPr>
            <w:r>
              <w:t xml:space="preserve">WORKING PAPER / </w:t>
            </w:r>
            <w:r w:rsidR="00662219">
              <w:rPr>
                <w:b/>
                <w:bCs/>
              </w:rPr>
              <w:t>0</w:t>
            </w:r>
            <w:r w:rsidR="00CF16CD">
              <w:rPr>
                <w:b/>
                <w:bCs/>
              </w:rPr>
              <w:t>1</w:t>
            </w:r>
            <w:bookmarkStart w:id="0" w:name="_GoBack"/>
            <w:bookmarkEnd w:id="0"/>
            <w:r w:rsidR="00FB4A97">
              <w:rPr>
                <w:b/>
                <w:bCs/>
              </w:rPr>
              <w:t>/</w:t>
            </w:r>
            <w:r w:rsidR="00EE5A6A">
              <w:rPr>
                <w:b/>
                <w:bCs/>
              </w:rPr>
              <w:t>13</w:t>
            </w:r>
          </w:p>
        </w:tc>
      </w:tr>
      <w:tr w:rsidR="00D205CE" w:rsidTr="00662219">
        <w:trPr>
          <w:trHeight w:val="7857"/>
        </w:trPr>
        <w:tc>
          <w:tcPr>
            <w:tcW w:w="10737" w:type="dxa"/>
            <w:gridSpan w:val="3"/>
            <w:tcBorders>
              <w:top w:val="single" w:sz="2" w:space="0" w:color="E6F2F3"/>
              <w:left w:val="single" w:sz="4" w:space="0" w:color="007073"/>
              <w:bottom w:val="single" w:sz="4" w:space="0" w:color="007073"/>
              <w:right w:val="single" w:sz="4" w:space="0" w:color="007073"/>
            </w:tcBorders>
            <w:shd w:val="clear" w:color="auto" w:fill="E6F2F3"/>
            <w:vAlign w:val="bottom"/>
          </w:tcPr>
          <w:p w:rsidR="00D205CE" w:rsidRDefault="00D205CE">
            <w:pPr>
              <w:pStyle w:val="ReportTitle"/>
            </w:pPr>
          </w:p>
          <w:p w:rsidR="00D205CE" w:rsidRDefault="00D205CE">
            <w:pPr>
              <w:pStyle w:val="ReportTitle"/>
            </w:pPr>
          </w:p>
          <w:p w:rsidR="00D205CE" w:rsidRDefault="00D205CE">
            <w:pPr>
              <w:pStyle w:val="ReportTitle"/>
              <w:rPr>
                <w:sz w:val="208"/>
              </w:rPr>
            </w:pPr>
          </w:p>
          <w:p w:rsidR="00D205CE" w:rsidRDefault="00D205CE">
            <w:pPr>
              <w:pStyle w:val="ReportTitle"/>
            </w:pPr>
          </w:p>
          <w:p w:rsidR="00D205CE" w:rsidRDefault="004B731A">
            <w:pPr>
              <w:pStyle w:val="ReportTitle"/>
            </w:pPr>
            <w:r>
              <w:drawing>
                <wp:anchor distT="0" distB="0" distL="114300" distR="114300" simplePos="0" relativeHeight="251654144" behindDoc="0" locked="0" layoutInCell="1" allowOverlap="1" wp14:anchorId="1D56D73F" wp14:editId="278C4C2D">
                  <wp:simplePos x="0" y="0"/>
                  <wp:positionH relativeFrom="column">
                    <wp:posOffset>-176530</wp:posOffset>
                  </wp:positionH>
                  <wp:positionV relativeFrom="paragraph">
                    <wp:posOffset>215900</wp:posOffset>
                  </wp:positionV>
                  <wp:extent cx="179705" cy="179705"/>
                  <wp:effectExtent l="0" t="0" r="0" b="0"/>
                  <wp:wrapNone/>
                  <wp:docPr id="12" name="Picture 3" descr="arrow-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row-gre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044D">
              <w:t>Assuring retirement income</w:t>
            </w:r>
          </w:p>
        </w:tc>
      </w:tr>
      <w:tr w:rsidR="00D205CE" w:rsidTr="00662219">
        <w:trPr>
          <w:trHeight w:val="499"/>
        </w:trPr>
        <w:tc>
          <w:tcPr>
            <w:tcW w:w="10737" w:type="dxa"/>
            <w:gridSpan w:val="3"/>
            <w:tcBorders>
              <w:top w:val="single" w:sz="4" w:space="0" w:color="007073"/>
              <w:left w:val="single" w:sz="4" w:space="0" w:color="007073"/>
              <w:bottom w:val="double" w:sz="2" w:space="0" w:color="007073"/>
              <w:right w:val="single" w:sz="4" w:space="0" w:color="007073"/>
            </w:tcBorders>
            <w:vAlign w:val="center"/>
          </w:tcPr>
          <w:p w:rsidR="002C4B64" w:rsidRDefault="002C4B64" w:rsidP="00EE5A6A">
            <w:pPr>
              <w:pStyle w:val="ReportDate"/>
            </w:pPr>
          </w:p>
          <w:p w:rsidR="00D205CE" w:rsidRPr="002E2321" w:rsidRDefault="002C4B64" w:rsidP="00EE5A6A">
            <w:pPr>
              <w:pStyle w:val="ReportDate"/>
            </w:pPr>
            <w:r>
              <w:t>May</w:t>
            </w:r>
            <w:r w:rsidR="000015C2">
              <w:t xml:space="preserve"> </w:t>
            </w:r>
            <w:r w:rsidR="002F044D">
              <w:t>2</w:t>
            </w:r>
            <w:r w:rsidR="00EE5A6A">
              <w:t>013</w:t>
            </w:r>
          </w:p>
        </w:tc>
      </w:tr>
      <w:tr w:rsidR="00D205CE" w:rsidTr="00662219">
        <w:trPr>
          <w:trHeight w:val="3185"/>
        </w:trPr>
        <w:tc>
          <w:tcPr>
            <w:tcW w:w="10737" w:type="dxa"/>
            <w:gridSpan w:val="3"/>
            <w:tcBorders>
              <w:top w:val="double" w:sz="2" w:space="0" w:color="007073"/>
              <w:left w:val="single" w:sz="4" w:space="0" w:color="007073"/>
              <w:bottom w:val="single" w:sz="2" w:space="0" w:color="007073"/>
              <w:right w:val="single" w:sz="4" w:space="0" w:color="007073"/>
            </w:tcBorders>
            <w:shd w:val="clear" w:color="auto" w:fill="F6F6F6"/>
            <w:vAlign w:val="bottom"/>
          </w:tcPr>
          <w:p w:rsidR="00D205CE" w:rsidRDefault="00D205CE" w:rsidP="00662219"/>
        </w:tc>
      </w:tr>
      <w:tr w:rsidR="002F044D" w:rsidTr="00662219">
        <w:trPr>
          <w:trHeight w:val="2336"/>
        </w:trPr>
        <w:tc>
          <w:tcPr>
            <w:tcW w:w="6641" w:type="dxa"/>
            <w:tcBorders>
              <w:top w:val="single" w:sz="2" w:space="0" w:color="007073"/>
              <w:left w:val="single" w:sz="4" w:space="0" w:color="007073"/>
              <w:bottom w:val="single" w:sz="2" w:space="0" w:color="007073"/>
              <w:right w:val="nil"/>
            </w:tcBorders>
            <w:vAlign w:val="center"/>
          </w:tcPr>
          <w:p w:rsidR="002F044D" w:rsidRDefault="002F044D">
            <w:pPr>
              <w:jc w:val="center"/>
              <w:rPr>
                <w:sz w:val="16"/>
                <w:szCs w:val="16"/>
              </w:rPr>
            </w:pPr>
          </w:p>
        </w:tc>
        <w:tc>
          <w:tcPr>
            <w:tcW w:w="4096" w:type="dxa"/>
            <w:gridSpan w:val="2"/>
            <w:tcBorders>
              <w:top w:val="single" w:sz="2" w:space="0" w:color="007073"/>
              <w:left w:val="nil"/>
              <w:bottom w:val="single" w:sz="2" w:space="0" w:color="007073"/>
              <w:right w:val="single" w:sz="2" w:space="0" w:color="007073"/>
            </w:tcBorders>
            <w:vAlign w:val="center"/>
          </w:tcPr>
          <w:p w:rsidR="002F044D" w:rsidRDefault="004B731A" w:rsidP="002F044D">
            <w:pPr>
              <w:spacing w:after="0"/>
              <w:ind w:left="175"/>
              <w:jc w:val="center"/>
              <w:rPr>
                <w:sz w:val="16"/>
                <w:szCs w:val="16"/>
              </w:rPr>
            </w:pPr>
            <w:r>
              <w:rPr>
                <w:noProof/>
                <w:lang w:val="en-NZ"/>
              </w:rPr>
              <w:drawing>
                <wp:inline distT="0" distB="0" distL="0" distR="0" wp14:anchorId="2E3B8AAE" wp14:editId="3D43FF77">
                  <wp:extent cx="1647825" cy="838200"/>
                  <wp:effectExtent l="0" t="0" r="0" b="0"/>
                  <wp:docPr id="6" name="Picture 1" descr="ms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d-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7825" cy="838200"/>
                          </a:xfrm>
                          <a:prstGeom prst="rect">
                            <a:avLst/>
                          </a:prstGeom>
                          <a:noFill/>
                          <a:ln>
                            <a:noFill/>
                          </a:ln>
                        </pic:spPr>
                      </pic:pic>
                    </a:graphicData>
                  </a:graphic>
                </wp:inline>
              </w:drawing>
            </w:r>
          </w:p>
        </w:tc>
      </w:tr>
      <w:tr w:rsidR="00D205CE" w:rsidTr="00662219">
        <w:trPr>
          <w:trHeight w:val="379"/>
        </w:trPr>
        <w:tc>
          <w:tcPr>
            <w:tcW w:w="10737" w:type="dxa"/>
            <w:gridSpan w:val="3"/>
            <w:tcBorders>
              <w:top w:val="single" w:sz="2" w:space="0" w:color="007073"/>
              <w:left w:val="single" w:sz="4" w:space="0" w:color="007073"/>
              <w:bottom w:val="single" w:sz="4" w:space="0" w:color="007073"/>
              <w:right w:val="single" w:sz="2" w:space="0" w:color="007073"/>
            </w:tcBorders>
            <w:shd w:val="clear" w:color="auto" w:fill="F6F6F6"/>
            <w:vAlign w:val="center"/>
          </w:tcPr>
          <w:p w:rsidR="00D205CE" w:rsidRDefault="00D205CE" w:rsidP="00A5072D">
            <w:pPr>
              <w:pStyle w:val="Centredepartmentname"/>
            </w:pPr>
          </w:p>
        </w:tc>
      </w:tr>
    </w:tbl>
    <w:p w:rsidR="00D205CE" w:rsidRDefault="00D205CE">
      <w:pPr>
        <w:spacing w:after="0" w:line="240" w:lineRule="auto"/>
        <w:rPr>
          <w:sz w:val="2"/>
          <w:szCs w:val="2"/>
        </w:rPr>
        <w:sectPr w:rsidR="00D205CE" w:rsidSect="00D110EB">
          <w:headerReference w:type="default" r:id="rId11"/>
          <w:footerReference w:type="default" r:id="rId12"/>
          <w:footerReference w:type="first" r:id="rId13"/>
          <w:pgSz w:w="11906" w:h="16838" w:code="9"/>
          <w:pgMar w:top="567" w:right="567" w:bottom="567" w:left="567" w:header="130" w:footer="0" w:gutter="0"/>
          <w:cols w:space="708"/>
          <w:titlePg/>
          <w:docGrid w:linePitch="360"/>
        </w:sectPr>
      </w:pPr>
    </w:p>
    <w:tbl>
      <w:tblPr>
        <w:tblW w:w="10773" w:type="dxa"/>
        <w:tblInd w:w="-374" w:type="dxa"/>
        <w:tblLook w:val="04A0" w:firstRow="1" w:lastRow="0" w:firstColumn="1" w:lastColumn="0" w:noHBand="0" w:noVBand="1"/>
      </w:tblPr>
      <w:tblGrid>
        <w:gridCol w:w="3535"/>
        <w:gridCol w:w="7238"/>
      </w:tblGrid>
      <w:tr w:rsidR="00D205CE" w:rsidTr="002F044D">
        <w:trPr>
          <w:trHeight w:val="3969"/>
        </w:trPr>
        <w:tc>
          <w:tcPr>
            <w:tcW w:w="10773" w:type="dxa"/>
            <w:gridSpan w:val="2"/>
            <w:tcMar>
              <w:top w:w="0" w:type="dxa"/>
              <w:bottom w:w="0" w:type="dxa"/>
            </w:tcMar>
          </w:tcPr>
          <w:p w:rsidR="00D205CE" w:rsidRDefault="00D205CE">
            <w:pPr>
              <w:spacing w:after="120"/>
            </w:pPr>
          </w:p>
        </w:tc>
      </w:tr>
      <w:tr w:rsidR="00D205CE">
        <w:trPr>
          <w:trHeight w:val="851"/>
        </w:trPr>
        <w:tc>
          <w:tcPr>
            <w:tcW w:w="3535" w:type="dxa"/>
            <w:tcBorders>
              <w:bottom w:val="single" w:sz="2" w:space="0" w:color="007073"/>
            </w:tcBorders>
            <w:tcMar>
              <w:top w:w="0" w:type="dxa"/>
              <w:bottom w:w="0" w:type="dxa"/>
            </w:tcMar>
          </w:tcPr>
          <w:p w:rsidR="00D205CE" w:rsidRDefault="00D205CE" w:rsidP="00A5072D">
            <w:pPr>
              <w:pStyle w:val="Insidecoversubheading"/>
            </w:pPr>
            <w:r>
              <w:t>AUTHOR</w:t>
            </w:r>
          </w:p>
          <w:p w:rsidR="00D205CE" w:rsidRDefault="00D205CE">
            <w:pPr>
              <w:ind w:left="410"/>
              <w:rPr>
                <w:b/>
                <w:color w:val="007073"/>
                <w:sz w:val="20"/>
                <w:szCs w:val="20"/>
              </w:rPr>
            </w:pPr>
          </w:p>
        </w:tc>
        <w:tc>
          <w:tcPr>
            <w:tcW w:w="7238" w:type="dxa"/>
            <w:tcBorders>
              <w:bottom w:val="single" w:sz="2" w:space="0" w:color="007073"/>
            </w:tcBorders>
            <w:tcMar>
              <w:top w:w="170" w:type="dxa"/>
              <w:bottom w:w="170" w:type="dxa"/>
              <w:right w:w="170" w:type="dxa"/>
            </w:tcMar>
          </w:tcPr>
          <w:p w:rsidR="00D205CE" w:rsidRPr="002F044D" w:rsidRDefault="002F044D" w:rsidP="00A5072D">
            <w:pPr>
              <w:rPr>
                <w:color w:val="auto"/>
              </w:rPr>
            </w:pPr>
            <w:r w:rsidRPr="002F044D">
              <w:rPr>
                <w:color w:val="auto"/>
              </w:rPr>
              <w:t>Tom Berthold</w:t>
            </w:r>
          </w:p>
        </w:tc>
      </w:tr>
      <w:tr w:rsidR="00D205CE">
        <w:trPr>
          <w:trHeight w:val="851"/>
        </w:trPr>
        <w:tc>
          <w:tcPr>
            <w:tcW w:w="3535" w:type="dxa"/>
            <w:tcBorders>
              <w:top w:val="single" w:sz="2" w:space="0" w:color="007073"/>
              <w:bottom w:val="single" w:sz="2" w:space="0" w:color="007073"/>
            </w:tcBorders>
            <w:tcMar>
              <w:top w:w="284" w:type="dxa"/>
              <w:bottom w:w="284" w:type="dxa"/>
            </w:tcMar>
          </w:tcPr>
          <w:p w:rsidR="00D205CE" w:rsidRDefault="00D205CE" w:rsidP="00A5072D">
            <w:pPr>
              <w:pStyle w:val="Insidecoversubheading"/>
            </w:pPr>
            <w:r>
              <w:t>ACKNOWLEDGEMENTS</w:t>
            </w:r>
          </w:p>
          <w:p w:rsidR="00D205CE" w:rsidRDefault="00D205CE">
            <w:pPr>
              <w:spacing w:after="0"/>
              <w:ind w:left="408"/>
              <w:rPr>
                <w:b/>
                <w:color w:val="007073"/>
                <w:sz w:val="20"/>
                <w:szCs w:val="20"/>
              </w:rPr>
            </w:pPr>
          </w:p>
          <w:p w:rsidR="00D205CE" w:rsidRDefault="00D205CE">
            <w:pPr>
              <w:pStyle w:val="BodyText"/>
            </w:pPr>
          </w:p>
        </w:tc>
        <w:tc>
          <w:tcPr>
            <w:tcW w:w="7238" w:type="dxa"/>
            <w:tcBorders>
              <w:top w:val="single" w:sz="2" w:space="0" w:color="007073"/>
              <w:bottom w:val="single" w:sz="2" w:space="0" w:color="007073"/>
            </w:tcBorders>
            <w:tcMar>
              <w:top w:w="170" w:type="dxa"/>
              <w:bottom w:w="170" w:type="dxa"/>
              <w:right w:w="170" w:type="dxa"/>
            </w:tcMar>
          </w:tcPr>
          <w:p w:rsidR="00D205CE" w:rsidRPr="002F044D" w:rsidRDefault="00940E98" w:rsidP="00A5072D">
            <w:pPr>
              <w:rPr>
                <w:color w:val="auto"/>
              </w:rPr>
            </w:pPr>
            <w:r>
              <w:rPr>
                <w:color w:val="auto"/>
              </w:rPr>
              <w:t xml:space="preserve">The author acknowledges </w:t>
            </w:r>
            <w:r w:rsidR="00C93F39">
              <w:rPr>
                <w:color w:val="auto"/>
              </w:rPr>
              <w:t xml:space="preserve">with appreciation </w:t>
            </w:r>
            <w:r>
              <w:rPr>
                <w:color w:val="auto"/>
              </w:rPr>
              <w:t xml:space="preserve">the criticisms and suggestions of Ministry colleague Ann Reeves and of </w:t>
            </w:r>
            <w:proofErr w:type="spellStart"/>
            <w:r>
              <w:rPr>
                <w:color w:val="auto"/>
              </w:rPr>
              <w:t>Dr</w:t>
            </w:r>
            <w:proofErr w:type="spellEnd"/>
            <w:r>
              <w:rPr>
                <w:color w:val="auto"/>
              </w:rPr>
              <w:t xml:space="preserve"> Grant </w:t>
            </w:r>
            <w:proofErr w:type="spellStart"/>
            <w:r>
              <w:rPr>
                <w:color w:val="auto"/>
              </w:rPr>
              <w:t>Scobie</w:t>
            </w:r>
            <w:proofErr w:type="spellEnd"/>
            <w:r>
              <w:rPr>
                <w:color w:val="auto"/>
              </w:rPr>
              <w:t xml:space="preserve"> of the New Zealand Treasury.</w:t>
            </w:r>
            <w:r w:rsidR="00D205CE" w:rsidRPr="002F044D">
              <w:rPr>
                <w:color w:val="auto"/>
              </w:rPr>
              <w:t xml:space="preserve"> </w:t>
            </w:r>
          </w:p>
        </w:tc>
      </w:tr>
      <w:tr w:rsidR="00D205CE">
        <w:trPr>
          <w:trHeight w:val="851"/>
        </w:trPr>
        <w:tc>
          <w:tcPr>
            <w:tcW w:w="3535" w:type="dxa"/>
            <w:tcBorders>
              <w:top w:val="single" w:sz="2" w:space="0" w:color="007073"/>
              <w:bottom w:val="single" w:sz="2" w:space="0" w:color="007073"/>
            </w:tcBorders>
            <w:tcMar>
              <w:top w:w="284" w:type="dxa"/>
              <w:bottom w:w="284" w:type="dxa"/>
            </w:tcMar>
          </w:tcPr>
          <w:p w:rsidR="00D205CE" w:rsidRDefault="00D205CE" w:rsidP="00A5072D">
            <w:pPr>
              <w:pStyle w:val="Insidecoversubheading"/>
            </w:pPr>
            <w:r>
              <w:t>DISCLAIMER</w:t>
            </w:r>
          </w:p>
          <w:p w:rsidR="00D205CE" w:rsidRDefault="00D205CE">
            <w:pPr>
              <w:spacing w:after="0"/>
              <w:ind w:left="408"/>
              <w:rPr>
                <w:b/>
                <w:color w:val="007073"/>
                <w:sz w:val="20"/>
                <w:szCs w:val="20"/>
              </w:rPr>
            </w:pPr>
          </w:p>
        </w:tc>
        <w:tc>
          <w:tcPr>
            <w:tcW w:w="7238" w:type="dxa"/>
            <w:tcBorders>
              <w:top w:val="single" w:sz="2" w:space="0" w:color="007073"/>
              <w:bottom w:val="single" w:sz="2" w:space="0" w:color="007073"/>
            </w:tcBorders>
            <w:tcMar>
              <w:top w:w="170" w:type="dxa"/>
              <w:bottom w:w="170" w:type="dxa"/>
              <w:right w:w="170" w:type="dxa"/>
            </w:tcMar>
          </w:tcPr>
          <w:p w:rsidR="002F044D" w:rsidRPr="002F044D" w:rsidRDefault="002F044D" w:rsidP="002F044D">
            <w:pPr>
              <w:spacing w:before="120"/>
              <w:rPr>
                <w:color w:val="auto"/>
              </w:rPr>
            </w:pPr>
            <w:r w:rsidRPr="002F044D">
              <w:rPr>
                <w:color w:val="auto"/>
              </w:rPr>
              <w:t xml:space="preserve">The views, opinions, findings and conclusions expressed in this paper are those of the author. They do not necessarily reflect the views of the Ministry of Social Development or the New Zealand Government. </w:t>
            </w:r>
          </w:p>
          <w:p w:rsidR="00D205CE" w:rsidRPr="002F044D" w:rsidRDefault="002F044D" w:rsidP="002F044D">
            <w:pPr>
              <w:rPr>
                <w:color w:val="auto"/>
              </w:rPr>
            </w:pPr>
            <w:r w:rsidRPr="002F044D">
              <w:rPr>
                <w:color w:val="auto"/>
              </w:rPr>
              <w:t>The paper is presented not as policy, but with a view to inform and stimulate wider debate.</w:t>
            </w:r>
          </w:p>
        </w:tc>
      </w:tr>
      <w:tr w:rsidR="00D205CE">
        <w:trPr>
          <w:trHeight w:val="851"/>
        </w:trPr>
        <w:tc>
          <w:tcPr>
            <w:tcW w:w="3535" w:type="dxa"/>
            <w:tcBorders>
              <w:top w:val="single" w:sz="2" w:space="0" w:color="007073"/>
              <w:bottom w:val="single" w:sz="2" w:space="0" w:color="007073"/>
            </w:tcBorders>
            <w:tcMar>
              <w:top w:w="284" w:type="dxa"/>
              <w:bottom w:w="284" w:type="dxa"/>
            </w:tcMar>
          </w:tcPr>
          <w:p w:rsidR="00D205CE" w:rsidRDefault="00D205CE" w:rsidP="00A5072D">
            <w:pPr>
              <w:pStyle w:val="Insidecoversubheading"/>
            </w:pPr>
            <w:r>
              <w:t>SUGGESTED CITATION</w:t>
            </w:r>
          </w:p>
          <w:p w:rsidR="00D205CE" w:rsidRDefault="00D205CE">
            <w:pPr>
              <w:spacing w:after="0"/>
              <w:ind w:left="408"/>
              <w:rPr>
                <w:b/>
                <w:color w:val="007073"/>
                <w:sz w:val="20"/>
                <w:szCs w:val="20"/>
              </w:rPr>
            </w:pPr>
          </w:p>
        </w:tc>
        <w:tc>
          <w:tcPr>
            <w:tcW w:w="7238" w:type="dxa"/>
            <w:tcBorders>
              <w:top w:val="single" w:sz="2" w:space="0" w:color="007073"/>
              <w:bottom w:val="single" w:sz="2" w:space="0" w:color="007073"/>
            </w:tcBorders>
            <w:tcMar>
              <w:top w:w="170" w:type="dxa"/>
              <w:bottom w:w="170" w:type="dxa"/>
              <w:right w:w="170" w:type="dxa"/>
            </w:tcMar>
          </w:tcPr>
          <w:p w:rsidR="002F044D" w:rsidRPr="002F044D" w:rsidRDefault="002F044D" w:rsidP="002C4E2F">
            <w:pPr>
              <w:rPr>
                <w:color w:val="auto"/>
              </w:rPr>
            </w:pPr>
            <w:r w:rsidRPr="002F044D">
              <w:rPr>
                <w:color w:val="auto"/>
              </w:rPr>
              <w:t>Berthold, T. (</w:t>
            </w:r>
            <w:r w:rsidR="000015C2">
              <w:rPr>
                <w:color w:val="auto"/>
              </w:rPr>
              <w:t>2013</w:t>
            </w:r>
            <w:r w:rsidRPr="002F044D">
              <w:rPr>
                <w:color w:val="auto"/>
              </w:rPr>
              <w:t xml:space="preserve">). </w:t>
            </w:r>
            <w:r w:rsidRPr="002F044D">
              <w:rPr>
                <w:i/>
                <w:color w:val="auto"/>
              </w:rPr>
              <w:t>Assuring retirement income</w:t>
            </w:r>
            <w:r w:rsidRPr="002F044D">
              <w:rPr>
                <w:color w:val="auto"/>
              </w:rPr>
              <w:t xml:space="preserve">. Working paper </w:t>
            </w:r>
            <w:r w:rsidR="00662219">
              <w:rPr>
                <w:color w:val="auto"/>
              </w:rPr>
              <w:t>01/</w:t>
            </w:r>
            <w:r w:rsidR="00EE5A6A">
              <w:rPr>
                <w:color w:val="auto"/>
              </w:rPr>
              <w:t>13</w:t>
            </w:r>
            <w:r w:rsidRPr="002F044D">
              <w:rPr>
                <w:color w:val="auto"/>
              </w:rPr>
              <w:t>. Wellington, NZ: Ministry of Social Development.</w:t>
            </w:r>
            <w:r w:rsidRPr="002F044D">
              <w:rPr>
                <w:color w:val="auto"/>
              </w:rPr>
              <w:br/>
            </w:r>
            <w:hyperlink r:id="rId14" w:history="1">
              <w:r w:rsidR="00662219" w:rsidRPr="00D00FBA">
                <w:rPr>
                  <w:rStyle w:val="Hyperlink"/>
                  <w:sz w:val="20"/>
                </w:rPr>
                <w:t>http://www.msd.govt.nz/documents/about-msd-and-our-work/publications-resources/working-papers/</w:t>
              </w:r>
            </w:hyperlink>
            <w:r w:rsidR="002C4E2F">
              <w:rPr>
                <w:rStyle w:val="Hyperlink"/>
                <w:sz w:val="20"/>
              </w:rPr>
              <w:t>w-p-01-13-assuring-retirement-income.pdf</w:t>
            </w:r>
            <w:r w:rsidR="002C4E2F" w:rsidRPr="002F044D">
              <w:rPr>
                <w:color w:val="auto"/>
              </w:rPr>
              <w:t xml:space="preserve"> </w:t>
            </w:r>
          </w:p>
        </w:tc>
      </w:tr>
      <w:tr w:rsidR="00D205CE">
        <w:trPr>
          <w:trHeight w:val="851"/>
        </w:trPr>
        <w:tc>
          <w:tcPr>
            <w:tcW w:w="3535" w:type="dxa"/>
            <w:tcBorders>
              <w:top w:val="single" w:sz="2" w:space="0" w:color="007073"/>
              <w:bottom w:val="single" w:sz="2" w:space="0" w:color="007073"/>
            </w:tcBorders>
            <w:tcMar>
              <w:top w:w="284" w:type="dxa"/>
              <w:bottom w:w="284" w:type="dxa"/>
            </w:tcMar>
          </w:tcPr>
          <w:p w:rsidR="00D205CE" w:rsidRDefault="00D205CE" w:rsidP="00A5072D">
            <w:pPr>
              <w:pStyle w:val="Insidecoversubheading"/>
            </w:pPr>
            <w:r>
              <w:t>PUBLISHED</w:t>
            </w:r>
          </w:p>
          <w:p w:rsidR="00D205CE" w:rsidRDefault="00D205CE">
            <w:pPr>
              <w:spacing w:after="0"/>
              <w:ind w:left="408"/>
              <w:rPr>
                <w:b/>
                <w:color w:val="007073"/>
                <w:sz w:val="20"/>
                <w:szCs w:val="20"/>
              </w:rPr>
            </w:pPr>
          </w:p>
        </w:tc>
        <w:tc>
          <w:tcPr>
            <w:tcW w:w="7238" w:type="dxa"/>
            <w:tcBorders>
              <w:top w:val="single" w:sz="2" w:space="0" w:color="007073"/>
              <w:bottom w:val="single" w:sz="2" w:space="0" w:color="007073"/>
            </w:tcBorders>
            <w:tcMar>
              <w:top w:w="170" w:type="dxa"/>
              <w:bottom w:w="170" w:type="dxa"/>
              <w:right w:w="170" w:type="dxa"/>
            </w:tcMar>
          </w:tcPr>
          <w:p w:rsidR="00D205CE" w:rsidRPr="002F044D" w:rsidRDefault="00D20DE8" w:rsidP="00A5072D">
            <w:pPr>
              <w:rPr>
                <w:color w:val="auto"/>
              </w:rPr>
            </w:pPr>
            <w:r>
              <w:rPr>
                <w:color w:val="auto"/>
              </w:rPr>
              <w:t xml:space="preserve">May </w:t>
            </w:r>
            <w:r w:rsidR="00EE5A6A">
              <w:rPr>
                <w:color w:val="auto"/>
              </w:rPr>
              <w:t>2013</w:t>
            </w:r>
          </w:p>
        </w:tc>
      </w:tr>
      <w:tr w:rsidR="00D205CE">
        <w:trPr>
          <w:trHeight w:val="851"/>
        </w:trPr>
        <w:tc>
          <w:tcPr>
            <w:tcW w:w="3535" w:type="dxa"/>
            <w:tcBorders>
              <w:top w:val="single" w:sz="2" w:space="0" w:color="007073"/>
            </w:tcBorders>
            <w:tcMar>
              <w:top w:w="284" w:type="dxa"/>
              <w:bottom w:w="284" w:type="dxa"/>
            </w:tcMar>
          </w:tcPr>
          <w:p w:rsidR="00D205CE" w:rsidRDefault="00D205CE" w:rsidP="00A5072D">
            <w:pPr>
              <w:pStyle w:val="Insidecoversubheading"/>
            </w:pPr>
            <w:r>
              <w:t>ISBN</w:t>
            </w:r>
          </w:p>
        </w:tc>
        <w:tc>
          <w:tcPr>
            <w:tcW w:w="7238" w:type="dxa"/>
            <w:tcBorders>
              <w:top w:val="single" w:sz="2" w:space="0" w:color="007073"/>
            </w:tcBorders>
            <w:tcMar>
              <w:top w:w="170" w:type="dxa"/>
              <w:bottom w:w="170" w:type="dxa"/>
              <w:right w:w="170" w:type="dxa"/>
            </w:tcMar>
          </w:tcPr>
          <w:p w:rsidR="00D205CE" w:rsidRPr="002F044D" w:rsidRDefault="00B771C5" w:rsidP="00A5072D">
            <w:pPr>
              <w:rPr>
                <w:color w:val="auto"/>
                <w:sz w:val="20"/>
              </w:rPr>
            </w:pPr>
            <w:r w:rsidRPr="00B771C5">
              <w:rPr>
                <w:color w:val="auto"/>
              </w:rPr>
              <w:t>978-0-478-33537-8</w:t>
            </w:r>
          </w:p>
        </w:tc>
      </w:tr>
    </w:tbl>
    <w:p w:rsidR="00D205CE" w:rsidRDefault="00D205CE">
      <w:pPr>
        <w:spacing w:after="0" w:line="240" w:lineRule="auto"/>
        <w:rPr>
          <w:sz w:val="2"/>
          <w:szCs w:val="2"/>
        </w:rPr>
      </w:pPr>
    </w:p>
    <w:p w:rsidR="00D205CE" w:rsidRPr="00A800C6" w:rsidRDefault="00D205CE" w:rsidP="00A800C6">
      <w:pPr>
        <w:pStyle w:val="Heading1-NonTOC"/>
      </w:pPr>
      <w:r>
        <w:br w:type="page"/>
      </w:r>
      <w:r w:rsidR="009E3756">
        <w:lastRenderedPageBreak/>
        <w:t>C</w:t>
      </w:r>
      <w:r w:rsidRPr="00A800C6">
        <w:t xml:space="preserve">ontents </w:t>
      </w:r>
    </w:p>
    <w:p w:rsidR="00D205CE" w:rsidRDefault="004B731A">
      <w:pPr>
        <w:pStyle w:val="Heading1-NonTOC"/>
        <w:rPr>
          <w:sz w:val="32"/>
        </w:rPr>
      </w:pPr>
      <w:r>
        <w:drawing>
          <wp:anchor distT="0" distB="0" distL="114300" distR="114300" simplePos="0" relativeHeight="251655168" behindDoc="0" locked="0" layoutInCell="1" allowOverlap="1" wp14:anchorId="0D1882F9" wp14:editId="00654A00">
            <wp:simplePos x="0" y="0"/>
            <wp:positionH relativeFrom="column">
              <wp:posOffset>-408305</wp:posOffset>
            </wp:positionH>
            <wp:positionV relativeFrom="paragraph">
              <wp:posOffset>-300990</wp:posOffset>
            </wp:positionV>
            <wp:extent cx="179705" cy="179705"/>
            <wp:effectExtent l="0" t="0" r="0" b="0"/>
            <wp:wrapNone/>
            <wp:docPr id="11" name="Picture 3" descr="arrow-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row-gre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05CE" w:rsidRDefault="00D205CE">
      <w:pPr>
        <w:pStyle w:val="Dividerline"/>
        <w:pBdr>
          <w:bottom w:val="single" w:sz="2" w:space="1" w:color="007073"/>
        </w:pBdr>
        <w:ind w:left="-448" w:right="-296" w:hanging="14"/>
        <w:rPr>
          <w:sz w:val="36"/>
        </w:rPr>
      </w:pPr>
    </w:p>
    <w:p w:rsidR="00E744C8" w:rsidRDefault="002F751F">
      <w:pPr>
        <w:pStyle w:val="TOC1"/>
        <w:rPr>
          <w:rFonts w:asciiTheme="minorHAnsi" w:eastAsiaTheme="minorEastAsia" w:hAnsiTheme="minorHAnsi" w:cstheme="minorBidi"/>
          <w:caps w:val="0"/>
          <w:color w:val="auto"/>
          <w:sz w:val="22"/>
          <w:lang w:val="en-NZ"/>
        </w:rPr>
      </w:pPr>
      <w:r>
        <w:rPr>
          <w:caps w:val="0"/>
        </w:rPr>
        <w:fldChar w:fldCharType="begin"/>
      </w:r>
      <w:r>
        <w:rPr>
          <w:caps w:val="0"/>
        </w:rPr>
        <w:instrText xml:space="preserve"> TOC \h \z \t "Heading 1,1,Heading 2,2" </w:instrText>
      </w:r>
      <w:r>
        <w:rPr>
          <w:caps w:val="0"/>
        </w:rPr>
        <w:fldChar w:fldCharType="separate"/>
      </w:r>
      <w:hyperlink w:anchor="_Toc353530004" w:history="1">
        <w:r w:rsidR="00E744C8" w:rsidRPr="00A0671C">
          <w:rPr>
            <w:rStyle w:val="Hyperlink"/>
          </w:rPr>
          <w:t>Executive summary</w:t>
        </w:r>
        <w:r w:rsidR="00E744C8">
          <w:rPr>
            <w:webHidden/>
          </w:rPr>
          <w:tab/>
        </w:r>
        <w:r w:rsidR="00E744C8">
          <w:rPr>
            <w:webHidden/>
          </w:rPr>
          <w:fldChar w:fldCharType="begin"/>
        </w:r>
        <w:r w:rsidR="00E744C8">
          <w:rPr>
            <w:webHidden/>
          </w:rPr>
          <w:instrText xml:space="preserve"> PAGEREF _Toc353530004 \h </w:instrText>
        </w:r>
        <w:r w:rsidR="00E744C8">
          <w:rPr>
            <w:webHidden/>
          </w:rPr>
        </w:r>
        <w:r w:rsidR="00E744C8">
          <w:rPr>
            <w:webHidden/>
          </w:rPr>
          <w:fldChar w:fldCharType="separate"/>
        </w:r>
        <w:r w:rsidR="00F05E1B">
          <w:rPr>
            <w:webHidden/>
          </w:rPr>
          <w:t>4</w:t>
        </w:r>
        <w:r w:rsidR="00E744C8">
          <w:rPr>
            <w:webHidden/>
          </w:rPr>
          <w:fldChar w:fldCharType="end"/>
        </w:r>
      </w:hyperlink>
    </w:p>
    <w:p w:rsidR="00E744C8" w:rsidRDefault="00CF16CD">
      <w:pPr>
        <w:pStyle w:val="TOC1"/>
        <w:rPr>
          <w:rFonts w:asciiTheme="minorHAnsi" w:eastAsiaTheme="minorEastAsia" w:hAnsiTheme="minorHAnsi" w:cstheme="minorBidi"/>
          <w:caps w:val="0"/>
          <w:color w:val="auto"/>
          <w:sz w:val="22"/>
          <w:lang w:val="en-NZ"/>
        </w:rPr>
      </w:pPr>
      <w:hyperlink w:anchor="_Toc353530005" w:history="1">
        <w:r w:rsidR="00E744C8" w:rsidRPr="00A0671C">
          <w:rPr>
            <w:rStyle w:val="Hyperlink"/>
          </w:rPr>
          <w:t>Introduction</w:t>
        </w:r>
        <w:r w:rsidR="00E744C8">
          <w:rPr>
            <w:webHidden/>
          </w:rPr>
          <w:tab/>
        </w:r>
        <w:r w:rsidR="00E744C8">
          <w:rPr>
            <w:webHidden/>
          </w:rPr>
          <w:fldChar w:fldCharType="begin"/>
        </w:r>
        <w:r w:rsidR="00E744C8">
          <w:rPr>
            <w:webHidden/>
          </w:rPr>
          <w:instrText xml:space="preserve"> PAGEREF _Toc353530005 \h </w:instrText>
        </w:r>
        <w:r w:rsidR="00E744C8">
          <w:rPr>
            <w:webHidden/>
          </w:rPr>
        </w:r>
        <w:r w:rsidR="00E744C8">
          <w:rPr>
            <w:webHidden/>
          </w:rPr>
          <w:fldChar w:fldCharType="separate"/>
        </w:r>
        <w:r w:rsidR="00F05E1B">
          <w:rPr>
            <w:webHidden/>
          </w:rPr>
          <w:t>5</w:t>
        </w:r>
        <w:r w:rsidR="00E744C8">
          <w:rPr>
            <w:webHidden/>
          </w:rPr>
          <w:fldChar w:fldCharType="end"/>
        </w:r>
      </w:hyperlink>
    </w:p>
    <w:p w:rsidR="00E744C8" w:rsidRDefault="00CF16CD">
      <w:pPr>
        <w:pStyle w:val="TOC2"/>
        <w:rPr>
          <w:rFonts w:asciiTheme="minorHAnsi" w:eastAsiaTheme="minorEastAsia" w:hAnsiTheme="minorHAnsi" w:cstheme="minorBidi"/>
          <w:sz w:val="22"/>
          <w:lang w:val="en-NZ"/>
        </w:rPr>
      </w:pPr>
      <w:hyperlink w:anchor="_Toc353530006" w:history="1">
        <w:r w:rsidR="00E744C8" w:rsidRPr="00A0671C">
          <w:rPr>
            <w:rStyle w:val="Hyperlink"/>
          </w:rPr>
          <w:t>What’s the problem?</w:t>
        </w:r>
        <w:r w:rsidR="00E744C8">
          <w:rPr>
            <w:webHidden/>
          </w:rPr>
          <w:tab/>
        </w:r>
        <w:r w:rsidR="00E744C8">
          <w:rPr>
            <w:webHidden/>
          </w:rPr>
          <w:fldChar w:fldCharType="begin"/>
        </w:r>
        <w:r w:rsidR="00E744C8">
          <w:rPr>
            <w:webHidden/>
          </w:rPr>
          <w:instrText xml:space="preserve"> PAGEREF _Toc353530006 \h </w:instrText>
        </w:r>
        <w:r w:rsidR="00E744C8">
          <w:rPr>
            <w:webHidden/>
          </w:rPr>
        </w:r>
        <w:r w:rsidR="00E744C8">
          <w:rPr>
            <w:webHidden/>
          </w:rPr>
          <w:fldChar w:fldCharType="separate"/>
        </w:r>
        <w:r w:rsidR="00F05E1B">
          <w:rPr>
            <w:webHidden/>
          </w:rPr>
          <w:t>5</w:t>
        </w:r>
        <w:r w:rsidR="00E744C8">
          <w:rPr>
            <w:webHidden/>
          </w:rPr>
          <w:fldChar w:fldCharType="end"/>
        </w:r>
      </w:hyperlink>
    </w:p>
    <w:p w:rsidR="00E744C8" w:rsidRDefault="00CF16CD">
      <w:pPr>
        <w:pStyle w:val="TOC2"/>
        <w:rPr>
          <w:rFonts w:asciiTheme="minorHAnsi" w:eastAsiaTheme="minorEastAsia" w:hAnsiTheme="minorHAnsi" w:cstheme="minorBidi"/>
          <w:sz w:val="22"/>
          <w:lang w:val="en-NZ"/>
        </w:rPr>
      </w:pPr>
      <w:hyperlink w:anchor="_Toc353530007" w:history="1">
        <w:r w:rsidR="00E744C8" w:rsidRPr="00A0671C">
          <w:rPr>
            <w:rStyle w:val="Hyperlink"/>
          </w:rPr>
          <w:t>How big is it?</w:t>
        </w:r>
        <w:r w:rsidR="00E744C8">
          <w:rPr>
            <w:webHidden/>
          </w:rPr>
          <w:tab/>
        </w:r>
        <w:r w:rsidR="00E744C8">
          <w:rPr>
            <w:webHidden/>
          </w:rPr>
          <w:fldChar w:fldCharType="begin"/>
        </w:r>
        <w:r w:rsidR="00E744C8">
          <w:rPr>
            <w:webHidden/>
          </w:rPr>
          <w:instrText xml:space="preserve"> PAGEREF _Toc353530007 \h </w:instrText>
        </w:r>
        <w:r w:rsidR="00E744C8">
          <w:rPr>
            <w:webHidden/>
          </w:rPr>
        </w:r>
        <w:r w:rsidR="00E744C8">
          <w:rPr>
            <w:webHidden/>
          </w:rPr>
          <w:fldChar w:fldCharType="separate"/>
        </w:r>
        <w:r w:rsidR="00F05E1B">
          <w:rPr>
            <w:webHidden/>
          </w:rPr>
          <w:t>5</w:t>
        </w:r>
        <w:r w:rsidR="00E744C8">
          <w:rPr>
            <w:webHidden/>
          </w:rPr>
          <w:fldChar w:fldCharType="end"/>
        </w:r>
      </w:hyperlink>
    </w:p>
    <w:p w:rsidR="00E744C8" w:rsidRDefault="00CF16CD">
      <w:pPr>
        <w:pStyle w:val="TOC2"/>
        <w:rPr>
          <w:rFonts w:asciiTheme="minorHAnsi" w:eastAsiaTheme="minorEastAsia" w:hAnsiTheme="minorHAnsi" w:cstheme="minorBidi"/>
          <w:sz w:val="22"/>
          <w:lang w:val="en-NZ"/>
        </w:rPr>
      </w:pPr>
      <w:hyperlink w:anchor="_Toc353530008" w:history="1">
        <w:r w:rsidR="00E744C8" w:rsidRPr="00A0671C">
          <w:rPr>
            <w:rStyle w:val="Hyperlink"/>
          </w:rPr>
          <w:t>Why the problem exists</w:t>
        </w:r>
        <w:r w:rsidR="00E744C8">
          <w:rPr>
            <w:webHidden/>
          </w:rPr>
          <w:tab/>
        </w:r>
        <w:r w:rsidR="00E744C8">
          <w:rPr>
            <w:webHidden/>
          </w:rPr>
          <w:fldChar w:fldCharType="begin"/>
        </w:r>
        <w:r w:rsidR="00E744C8">
          <w:rPr>
            <w:webHidden/>
          </w:rPr>
          <w:instrText xml:space="preserve"> PAGEREF _Toc353530008 \h </w:instrText>
        </w:r>
        <w:r w:rsidR="00E744C8">
          <w:rPr>
            <w:webHidden/>
          </w:rPr>
        </w:r>
        <w:r w:rsidR="00E744C8">
          <w:rPr>
            <w:webHidden/>
          </w:rPr>
          <w:fldChar w:fldCharType="separate"/>
        </w:r>
        <w:r w:rsidR="00F05E1B">
          <w:rPr>
            <w:webHidden/>
          </w:rPr>
          <w:t>6</w:t>
        </w:r>
        <w:r w:rsidR="00E744C8">
          <w:rPr>
            <w:webHidden/>
          </w:rPr>
          <w:fldChar w:fldCharType="end"/>
        </w:r>
      </w:hyperlink>
    </w:p>
    <w:p w:rsidR="00E744C8" w:rsidRDefault="00CF16CD">
      <w:pPr>
        <w:pStyle w:val="TOC2"/>
        <w:rPr>
          <w:rFonts w:asciiTheme="minorHAnsi" w:eastAsiaTheme="minorEastAsia" w:hAnsiTheme="minorHAnsi" w:cstheme="minorBidi"/>
          <w:sz w:val="22"/>
          <w:lang w:val="en-NZ"/>
        </w:rPr>
      </w:pPr>
      <w:hyperlink w:anchor="_Toc353530009" w:history="1">
        <w:r w:rsidR="00E744C8" w:rsidRPr="00A0671C">
          <w:rPr>
            <w:rStyle w:val="Hyperlink"/>
          </w:rPr>
          <w:t>The policy context</w:t>
        </w:r>
        <w:r w:rsidR="00E744C8">
          <w:rPr>
            <w:webHidden/>
          </w:rPr>
          <w:tab/>
        </w:r>
        <w:r w:rsidR="00E744C8">
          <w:rPr>
            <w:webHidden/>
          </w:rPr>
          <w:fldChar w:fldCharType="begin"/>
        </w:r>
        <w:r w:rsidR="00E744C8">
          <w:rPr>
            <w:webHidden/>
          </w:rPr>
          <w:instrText xml:space="preserve"> PAGEREF _Toc353530009 \h </w:instrText>
        </w:r>
        <w:r w:rsidR="00E744C8">
          <w:rPr>
            <w:webHidden/>
          </w:rPr>
        </w:r>
        <w:r w:rsidR="00E744C8">
          <w:rPr>
            <w:webHidden/>
          </w:rPr>
          <w:fldChar w:fldCharType="separate"/>
        </w:r>
        <w:r w:rsidR="00F05E1B">
          <w:rPr>
            <w:webHidden/>
          </w:rPr>
          <w:t>6</w:t>
        </w:r>
        <w:r w:rsidR="00E744C8">
          <w:rPr>
            <w:webHidden/>
          </w:rPr>
          <w:fldChar w:fldCharType="end"/>
        </w:r>
      </w:hyperlink>
    </w:p>
    <w:p w:rsidR="00E744C8" w:rsidRDefault="00CF16CD">
      <w:pPr>
        <w:pStyle w:val="TOC2"/>
        <w:rPr>
          <w:rFonts w:asciiTheme="minorHAnsi" w:eastAsiaTheme="minorEastAsia" w:hAnsiTheme="minorHAnsi" w:cstheme="minorBidi"/>
          <w:sz w:val="22"/>
          <w:lang w:val="en-NZ"/>
        </w:rPr>
      </w:pPr>
      <w:hyperlink w:anchor="_Toc353530010" w:history="1">
        <w:r w:rsidR="00E744C8" w:rsidRPr="00A0671C">
          <w:rPr>
            <w:rStyle w:val="Hyperlink"/>
          </w:rPr>
          <w:t>How to think about the problem?</w:t>
        </w:r>
        <w:r w:rsidR="00E744C8">
          <w:rPr>
            <w:webHidden/>
          </w:rPr>
          <w:tab/>
        </w:r>
        <w:r w:rsidR="00E744C8">
          <w:rPr>
            <w:webHidden/>
          </w:rPr>
          <w:fldChar w:fldCharType="begin"/>
        </w:r>
        <w:r w:rsidR="00E744C8">
          <w:rPr>
            <w:webHidden/>
          </w:rPr>
          <w:instrText xml:space="preserve"> PAGEREF _Toc353530010 \h </w:instrText>
        </w:r>
        <w:r w:rsidR="00E744C8">
          <w:rPr>
            <w:webHidden/>
          </w:rPr>
        </w:r>
        <w:r w:rsidR="00E744C8">
          <w:rPr>
            <w:webHidden/>
          </w:rPr>
          <w:fldChar w:fldCharType="separate"/>
        </w:r>
        <w:r w:rsidR="00F05E1B">
          <w:rPr>
            <w:webHidden/>
          </w:rPr>
          <w:t>7</w:t>
        </w:r>
        <w:r w:rsidR="00E744C8">
          <w:rPr>
            <w:webHidden/>
          </w:rPr>
          <w:fldChar w:fldCharType="end"/>
        </w:r>
      </w:hyperlink>
    </w:p>
    <w:p w:rsidR="00E744C8" w:rsidRDefault="00CF16CD">
      <w:pPr>
        <w:pStyle w:val="TOC1"/>
        <w:rPr>
          <w:rFonts w:asciiTheme="minorHAnsi" w:eastAsiaTheme="minorEastAsia" w:hAnsiTheme="minorHAnsi" w:cstheme="minorBidi"/>
          <w:caps w:val="0"/>
          <w:color w:val="auto"/>
          <w:sz w:val="22"/>
          <w:lang w:val="en-NZ"/>
        </w:rPr>
      </w:pPr>
      <w:hyperlink w:anchor="_Toc353530011" w:history="1">
        <w:r w:rsidR="00E744C8" w:rsidRPr="00A0671C">
          <w:rPr>
            <w:rStyle w:val="Hyperlink"/>
          </w:rPr>
          <w:t>The problem in detail</w:t>
        </w:r>
        <w:r w:rsidR="00E744C8">
          <w:rPr>
            <w:webHidden/>
          </w:rPr>
          <w:tab/>
        </w:r>
        <w:r w:rsidR="00E744C8">
          <w:rPr>
            <w:webHidden/>
          </w:rPr>
          <w:fldChar w:fldCharType="begin"/>
        </w:r>
        <w:r w:rsidR="00E744C8">
          <w:rPr>
            <w:webHidden/>
          </w:rPr>
          <w:instrText xml:space="preserve"> PAGEREF _Toc353530011 \h </w:instrText>
        </w:r>
        <w:r w:rsidR="00E744C8">
          <w:rPr>
            <w:webHidden/>
          </w:rPr>
        </w:r>
        <w:r w:rsidR="00E744C8">
          <w:rPr>
            <w:webHidden/>
          </w:rPr>
          <w:fldChar w:fldCharType="separate"/>
        </w:r>
        <w:r w:rsidR="00F05E1B">
          <w:rPr>
            <w:webHidden/>
          </w:rPr>
          <w:t>10</w:t>
        </w:r>
        <w:r w:rsidR="00E744C8">
          <w:rPr>
            <w:webHidden/>
          </w:rPr>
          <w:fldChar w:fldCharType="end"/>
        </w:r>
      </w:hyperlink>
    </w:p>
    <w:p w:rsidR="00E744C8" w:rsidRDefault="00CF16CD">
      <w:pPr>
        <w:pStyle w:val="TOC2"/>
        <w:rPr>
          <w:rFonts w:asciiTheme="minorHAnsi" w:eastAsiaTheme="minorEastAsia" w:hAnsiTheme="minorHAnsi" w:cstheme="minorBidi"/>
          <w:sz w:val="22"/>
          <w:lang w:val="en-NZ"/>
        </w:rPr>
      </w:pPr>
      <w:hyperlink w:anchor="_Toc353530012" w:history="1">
        <w:r w:rsidR="00E744C8" w:rsidRPr="00A0671C">
          <w:rPr>
            <w:rStyle w:val="Hyperlink"/>
          </w:rPr>
          <w:t>Longevity and inflation risks and their consequences</w:t>
        </w:r>
        <w:r w:rsidR="00E744C8">
          <w:rPr>
            <w:webHidden/>
          </w:rPr>
          <w:tab/>
        </w:r>
        <w:r w:rsidR="00E744C8">
          <w:rPr>
            <w:webHidden/>
          </w:rPr>
          <w:fldChar w:fldCharType="begin"/>
        </w:r>
        <w:r w:rsidR="00E744C8">
          <w:rPr>
            <w:webHidden/>
          </w:rPr>
          <w:instrText xml:space="preserve"> PAGEREF _Toc353530012 \h </w:instrText>
        </w:r>
        <w:r w:rsidR="00E744C8">
          <w:rPr>
            <w:webHidden/>
          </w:rPr>
        </w:r>
        <w:r w:rsidR="00E744C8">
          <w:rPr>
            <w:webHidden/>
          </w:rPr>
          <w:fldChar w:fldCharType="separate"/>
        </w:r>
        <w:r w:rsidR="00F05E1B">
          <w:rPr>
            <w:webHidden/>
          </w:rPr>
          <w:t>10</w:t>
        </w:r>
        <w:r w:rsidR="00E744C8">
          <w:rPr>
            <w:webHidden/>
          </w:rPr>
          <w:fldChar w:fldCharType="end"/>
        </w:r>
      </w:hyperlink>
    </w:p>
    <w:p w:rsidR="00E744C8" w:rsidRDefault="00CF16CD">
      <w:pPr>
        <w:pStyle w:val="TOC2"/>
        <w:rPr>
          <w:rFonts w:asciiTheme="minorHAnsi" w:eastAsiaTheme="minorEastAsia" w:hAnsiTheme="minorHAnsi" w:cstheme="minorBidi"/>
          <w:sz w:val="22"/>
          <w:lang w:val="en-NZ"/>
        </w:rPr>
      </w:pPr>
      <w:hyperlink w:anchor="_Toc353530013" w:history="1">
        <w:r w:rsidR="00E744C8" w:rsidRPr="00A0671C">
          <w:rPr>
            <w:rStyle w:val="Hyperlink"/>
          </w:rPr>
          <w:t>Investment risks</w:t>
        </w:r>
        <w:r w:rsidR="00E744C8">
          <w:rPr>
            <w:webHidden/>
          </w:rPr>
          <w:tab/>
        </w:r>
        <w:r w:rsidR="00E744C8">
          <w:rPr>
            <w:webHidden/>
          </w:rPr>
          <w:fldChar w:fldCharType="begin"/>
        </w:r>
        <w:r w:rsidR="00E744C8">
          <w:rPr>
            <w:webHidden/>
          </w:rPr>
          <w:instrText xml:space="preserve"> PAGEREF _Toc353530013 \h </w:instrText>
        </w:r>
        <w:r w:rsidR="00E744C8">
          <w:rPr>
            <w:webHidden/>
          </w:rPr>
        </w:r>
        <w:r w:rsidR="00E744C8">
          <w:rPr>
            <w:webHidden/>
          </w:rPr>
          <w:fldChar w:fldCharType="separate"/>
        </w:r>
        <w:r w:rsidR="00F05E1B">
          <w:rPr>
            <w:webHidden/>
          </w:rPr>
          <w:t>10</w:t>
        </w:r>
        <w:r w:rsidR="00E744C8">
          <w:rPr>
            <w:webHidden/>
          </w:rPr>
          <w:fldChar w:fldCharType="end"/>
        </w:r>
      </w:hyperlink>
    </w:p>
    <w:p w:rsidR="00E744C8" w:rsidRDefault="00CF16CD">
      <w:pPr>
        <w:pStyle w:val="TOC2"/>
        <w:rPr>
          <w:rFonts w:asciiTheme="minorHAnsi" w:eastAsiaTheme="minorEastAsia" w:hAnsiTheme="minorHAnsi" w:cstheme="minorBidi"/>
          <w:sz w:val="22"/>
          <w:lang w:val="en-NZ"/>
        </w:rPr>
      </w:pPr>
      <w:hyperlink w:anchor="_Toc353530014" w:history="1">
        <w:r w:rsidR="00E744C8" w:rsidRPr="00A0671C">
          <w:rPr>
            <w:rStyle w:val="Hyperlink"/>
          </w:rPr>
          <w:t>Investment options for retirement income</w:t>
        </w:r>
        <w:r w:rsidR="00E744C8">
          <w:rPr>
            <w:webHidden/>
          </w:rPr>
          <w:tab/>
        </w:r>
        <w:r w:rsidR="00E744C8">
          <w:rPr>
            <w:webHidden/>
          </w:rPr>
          <w:fldChar w:fldCharType="begin"/>
        </w:r>
        <w:r w:rsidR="00E744C8">
          <w:rPr>
            <w:webHidden/>
          </w:rPr>
          <w:instrText xml:space="preserve"> PAGEREF _Toc353530014 \h </w:instrText>
        </w:r>
        <w:r w:rsidR="00E744C8">
          <w:rPr>
            <w:webHidden/>
          </w:rPr>
        </w:r>
        <w:r w:rsidR="00E744C8">
          <w:rPr>
            <w:webHidden/>
          </w:rPr>
          <w:fldChar w:fldCharType="separate"/>
        </w:r>
        <w:r w:rsidR="00F05E1B">
          <w:rPr>
            <w:webHidden/>
          </w:rPr>
          <w:t>11</w:t>
        </w:r>
        <w:r w:rsidR="00E744C8">
          <w:rPr>
            <w:webHidden/>
          </w:rPr>
          <w:fldChar w:fldCharType="end"/>
        </w:r>
      </w:hyperlink>
    </w:p>
    <w:p w:rsidR="00E744C8" w:rsidRDefault="00CF16CD">
      <w:pPr>
        <w:pStyle w:val="TOC1"/>
        <w:rPr>
          <w:rFonts w:asciiTheme="minorHAnsi" w:eastAsiaTheme="minorEastAsia" w:hAnsiTheme="minorHAnsi" w:cstheme="minorBidi"/>
          <w:caps w:val="0"/>
          <w:color w:val="auto"/>
          <w:sz w:val="22"/>
          <w:lang w:val="en-NZ"/>
        </w:rPr>
      </w:pPr>
      <w:hyperlink w:anchor="_Toc353530015" w:history="1">
        <w:r w:rsidR="00E744C8" w:rsidRPr="00A0671C">
          <w:rPr>
            <w:rStyle w:val="Hyperlink"/>
          </w:rPr>
          <w:t>Ways forward</w:t>
        </w:r>
        <w:r w:rsidR="00E744C8">
          <w:rPr>
            <w:webHidden/>
          </w:rPr>
          <w:tab/>
        </w:r>
        <w:r w:rsidR="00E744C8">
          <w:rPr>
            <w:webHidden/>
          </w:rPr>
          <w:fldChar w:fldCharType="begin"/>
        </w:r>
        <w:r w:rsidR="00E744C8">
          <w:rPr>
            <w:webHidden/>
          </w:rPr>
          <w:instrText xml:space="preserve"> PAGEREF _Toc353530015 \h </w:instrText>
        </w:r>
        <w:r w:rsidR="00E744C8">
          <w:rPr>
            <w:webHidden/>
          </w:rPr>
        </w:r>
        <w:r w:rsidR="00E744C8">
          <w:rPr>
            <w:webHidden/>
          </w:rPr>
          <w:fldChar w:fldCharType="separate"/>
        </w:r>
        <w:r w:rsidR="00F05E1B">
          <w:rPr>
            <w:webHidden/>
          </w:rPr>
          <w:t>14</w:t>
        </w:r>
        <w:r w:rsidR="00E744C8">
          <w:rPr>
            <w:webHidden/>
          </w:rPr>
          <w:fldChar w:fldCharType="end"/>
        </w:r>
      </w:hyperlink>
    </w:p>
    <w:p w:rsidR="00E744C8" w:rsidRDefault="00CF16CD">
      <w:pPr>
        <w:pStyle w:val="TOC2"/>
        <w:rPr>
          <w:rFonts w:asciiTheme="minorHAnsi" w:eastAsiaTheme="minorEastAsia" w:hAnsiTheme="minorHAnsi" w:cstheme="minorBidi"/>
          <w:sz w:val="22"/>
          <w:lang w:val="en-NZ"/>
        </w:rPr>
      </w:pPr>
      <w:hyperlink w:anchor="_Toc353530016" w:history="1">
        <w:r w:rsidR="00E744C8" w:rsidRPr="00A0671C">
          <w:rPr>
            <w:rStyle w:val="Hyperlink"/>
          </w:rPr>
          <w:t>Option one – allow deferment of New Zealand Superannuation</w:t>
        </w:r>
        <w:r w:rsidR="00E744C8">
          <w:rPr>
            <w:webHidden/>
          </w:rPr>
          <w:tab/>
        </w:r>
        <w:r w:rsidR="00E744C8">
          <w:rPr>
            <w:webHidden/>
          </w:rPr>
          <w:fldChar w:fldCharType="begin"/>
        </w:r>
        <w:r w:rsidR="00E744C8">
          <w:rPr>
            <w:webHidden/>
          </w:rPr>
          <w:instrText xml:space="preserve"> PAGEREF _Toc353530016 \h </w:instrText>
        </w:r>
        <w:r w:rsidR="00E744C8">
          <w:rPr>
            <w:webHidden/>
          </w:rPr>
        </w:r>
        <w:r w:rsidR="00E744C8">
          <w:rPr>
            <w:webHidden/>
          </w:rPr>
          <w:fldChar w:fldCharType="separate"/>
        </w:r>
        <w:r w:rsidR="00F05E1B">
          <w:rPr>
            <w:webHidden/>
          </w:rPr>
          <w:t>14</w:t>
        </w:r>
        <w:r w:rsidR="00E744C8">
          <w:rPr>
            <w:webHidden/>
          </w:rPr>
          <w:fldChar w:fldCharType="end"/>
        </w:r>
      </w:hyperlink>
    </w:p>
    <w:p w:rsidR="00E744C8" w:rsidRDefault="00CF16CD">
      <w:pPr>
        <w:pStyle w:val="TOC2"/>
        <w:rPr>
          <w:rFonts w:asciiTheme="minorHAnsi" w:eastAsiaTheme="minorEastAsia" w:hAnsiTheme="minorHAnsi" w:cstheme="minorBidi"/>
          <w:sz w:val="22"/>
          <w:lang w:val="en-NZ"/>
        </w:rPr>
      </w:pPr>
      <w:hyperlink w:anchor="_Toc353530017" w:history="1">
        <w:r w:rsidR="00E744C8" w:rsidRPr="00A0671C">
          <w:rPr>
            <w:rStyle w:val="Hyperlink"/>
          </w:rPr>
          <w:t>Option two – allow superannuitants to buy increased superannuation</w:t>
        </w:r>
        <w:r w:rsidR="00E744C8">
          <w:rPr>
            <w:webHidden/>
          </w:rPr>
          <w:tab/>
        </w:r>
        <w:r w:rsidR="00E744C8">
          <w:rPr>
            <w:webHidden/>
          </w:rPr>
          <w:fldChar w:fldCharType="begin"/>
        </w:r>
        <w:r w:rsidR="00E744C8">
          <w:rPr>
            <w:webHidden/>
          </w:rPr>
          <w:instrText xml:space="preserve"> PAGEREF _Toc353530017 \h </w:instrText>
        </w:r>
        <w:r w:rsidR="00E744C8">
          <w:rPr>
            <w:webHidden/>
          </w:rPr>
        </w:r>
        <w:r w:rsidR="00E744C8">
          <w:rPr>
            <w:webHidden/>
          </w:rPr>
          <w:fldChar w:fldCharType="separate"/>
        </w:r>
        <w:r w:rsidR="00F05E1B">
          <w:rPr>
            <w:webHidden/>
          </w:rPr>
          <w:t>15</w:t>
        </w:r>
        <w:r w:rsidR="00E744C8">
          <w:rPr>
            <w:webHidden/>
          </w:rPr>
          <w:fldChar w:fldCharType="end"/>
        </w:r>
      </w:hyperlink>
    </w:p>
    <w:p w:rsidR="00E744C8" w:rsidRDefault="00CF16CD">
      <w:pPr>
        <w:pStyle w:val="TOC2"/>
        <w:rPr>
          <w:rFonts w:asciiTheme="minorHAnsi" w:eastAsiaTheme="minorEastAsia" w:hAnsiTheme="minorHAnsi" w:cstheme="minorBidi"/>
          <w:sz w:val="22"/>
          <w:lang w:val="en-NZ"/>
        </w:rPr>
      </w:pPr>
      <w:hyperlink w:anchor="_Toc353530018" w:history="1">
        <w:r w:rsidR="00E744C8" w:rsidRPr="00A0671C">
          <w:rPr>
            <w:rStyle w:val="Hyperlink"/>
          </w:rPr>
          <w:t>Option three – set up a public annuity fund</w:t>
        </w:r>
        <w:r w:rsidR="00E744C8">
          <w:rPr>
            <w:webHidden/>
          </w:rPr>
          <w:tab/>
        </w:r>
        <w:r w:rsidR="00E744C8">
          <w:rPr>
            <w:webHidden/>
          </w:rPr>
          <w:fldChar w:fldCharType="begin"/>
        </w:r>
        <w:r w:rsidR="00E744C8">
          <w:rPr>
            <w:webHidden/>
          </w:rPr>
          <w:instrText xml:space="preserve"> PAGEREF _Toc353530018 \h </w:instrText>
        </w:r>
        <w:r w:rsidR="00E744C8">
          <w:rPr>
            <w:webHidden/>
          </w:rPr>
        </w:r>
        <w:r w:rsidR="00E744C8">
          <w:rPr>
            <w:webHidden/>
          </w:rPr>
          <w:fldChar w:fldCharType="separate"/>
        </w:r>
        <w:r w:rsidR="00F05E1B">
          <w:rPr>
            <w:webHidden/>
          </w:rPr>
          <w:t>18</w:t>
        </w:r>
        <w:r w:rsidR="00E744C8">
          <w:rPr>
            <w:webHidden/>
          </w:rPr>
          <w:fldChar w:fldCharType="end"/>
        </w:r>
      </w:hyperlink>
    </w:p>
    <w:p w:rsidR="00E744C8" w:rsidRDefault="00CF16CD">
      <w:pPr>
        <w:pStyle w:val="TOC1"/>
        <w:rPr>
          <w:rFonts w:asciiTheme="minorHAnsi" w:eastAsiaTheme="minorEastAsia" w:hAnsiTheme="minorHAnsi" w:cstheme="minorBidi"/>
          <w:caps w:val="0"/>
          <w:color w:val="auto"/>
          <w:sz w:val="22"/>
          <w:lang w:val="en-NZ"/>
        </w:rPr>
      </w:pPr>
      <w:hyperlink w:anchor="_Toc353530019" w:history="1">
        <w:r w:rsidR="00E744C8" w:rsidRPr="00A0671C">
          <w:rPr>
            <w:rStyle w:val="Hyperlink"/>
          </w:rPr>
          <w:t>Conclusion</w:t>
        </w:r>
        <w:r w:rsidR="00E744C8">
          <w:rPr>
            <w:webHidden/>
          </w:rPr>
          <w:tab/>
        </w:r>
        <w:r w:rsidR="00E744C8">
          <w:rPr>
            <w:webHidden/>
          </w:rPr>
          <w:fldChar w:fldCharType="begin"/>
        </w:r>
        <w:r w:rsidR="00E744C8">
          <w:rPr>
            <w:webHidden/>
          </w:rPr>
          <w:instrText xml:space="preserve"> PAGEREF _Toc353530019 \h </w:instrText>
        </w:r>
        <w:r w:rsidR="00E744C8">
          <w:rPr>
            <w:webHidden/>
          </w:rPr>
        </w:r>
        <w:r w:rsidR="00E744C8">
          <w:rPr>
            <w:webHidden/>
          </w:rPr>
          <w:fldChar w:fldCharType="separate"/>
        </w:r>
        <w:r w:rsidR="00F05E1B">
          <w:rPr>
            <w:webHidden/>
          </w:rPr>
          <w:t>20</w:t>
        </w:r>
        <w:r w:rsidR="00E744C8">
          <w:rPr>
            <w:webHidden/>
          </w:rPr>
          <w:fldChar w:fldCharType="end"/>
        </w:r>
      </w:hyperlink>
    </w:p>
    <w:p w:rsidR="00E744C8" w:rsidRDefault="00CF16CD">
      <w:pPr>
        <w:pStyle w:val="TOC1"/>
        <w:rPr>
          <w:rFonts w:asciiTheme="minorHAnsi" w:eastAsiaTheme="minorEastAsia" w:hAnsiTheme="minorHAnsi" w:cstheme="minorBidi"/>
          <w:caps w:val="0"/>
          <w:color w:val="auto"/>
          <w:sz w:val="22"/>
          <w:lang w:val="en-NZ"/>
        </w:rPr>
      </w:pPr>
      <w:hyperlink w:anchor="_Toc353530020" w:history="1">
        <w:r w:rsidR="00E744C8" w:rsidRPr="00A0671C">
          <w:rPr>
            <w:rStyle w:val="Hyperlink"/>
          </w:rPr>
          <w:t>References</w:t>
        </w:r>
        <w:r w:rsidR="00E744C8">
          <w:rPr>
            <w:webHidden/>
          </w:rPr>
          <w:tab/>
        </w:r>
        <w:r w:rsidR="00E744C8">
          <w:rPr>
            <w:webHidden/>
          </w:rPr>
          <w:fldChar w:fldCharType="begin"/>
        </w:r>
        <w:r w:rsidR="00E744C8">
          <w:rPr>
            <w:webHidden/>
          </w:rPr>
          <w:instrText xml:space="preserve"> PAGEREF _Toc353530020 \h </w:instrText>
        </w:r>
        <w:r w:rsidR="00E744C8">
          <w:rPr>
            <w:webHidden/>
          </w:rPr>
        </w:r>
        <w:r w:rsidR="00E744C8">
          <w:rPr>
            <w:webHidden/>
          </w:rPr>
          <w:fldChar w:fldCharType="separate"/>
        </w:r>
        <w:r w:rsidR="00F05E1B">
          <w:rPr>
            <w:webHidden/>
          </w:rPr>
          <w:t>21</w:t>
        </w:r>
        <w:r w:rsidR="00E744C8">
          <w:rPr>
            <w:webHidden/>
          </w:rPr>
          <w:fldChar w:fldCharType="end"/>
        </w:r>
      </w:hyperlink>
    </w:p>
    <w:p w:rsidR="00A62E21" w:rsidRDefault="002F751F">
      <w:pPr>
        <w:tabs>
          <w:tab w:val="right" w:leader="dot" w:pos="9449"/>
        </w:tabs>
        <w:spacing w:after="0" w:line="240" w:lineRule="auto"/>
        <w:ind w:left="284"/>
      </w:pPr>
      <w:r>
        <w:rPr>
          <w:caps/>
          <w:noProof/>
          <w:color w:val="007073"/>
        </w:rPr>
        <w:fldChar w:fldCharType="end"/>
      </w:r>
    </w:p>
    <w:p w:rsidR="00A62E21" w:rsidRPr="00A62E21" w:rsidRDefault="00A62E21">
      <w:pPr>
        <w:tabs>
          <w:tab w:val="right" w:leader="dot" w:pos="9449"/>
        </w:tabs>
        <w:spacing w:after="0" w:line="240" w:lineRule="auto"/>
        <w:ind w:left="284"/>
      </w:pPr>
    </w:p>
    <w:p w:rsidR="00A62E21" w:rsidRPr="00A62E21" w:rsidRDefault="00A62E21" w:rsidP="00A62E21">
      <w:pPr>
        <w:tabs>
          <w:tab w:val="left" w:pos="8673"/>
        </w:tabs>
        <w:spacing w:after="0" w:line="240" w:lineRule="auto"/>
        <w:ind w:left="284"/>
      </w:pPr>
      <w:r>
        <w:tab/>
      </w:r>
    </w:p>
    <w:p w:rsidR="00D205CE" w:rsidRDefault="00D205CE">
      <w:pPr>
        <w:tabs>
          <w:tab w:val="right" w:leader="dot" w:pos="9449"/>
        </w:tabs>
        <w:spacing w:after="0" w:line="240" w:lineRule="auto"/>
        <w:ind w:left="284"/>
        <w:rPr>
          <w:sz w:val="2"/>
          <w:szCs w:val="2"/>
        </w:rPr>
      </w:pPr>
      <w:r w:rsidRPr="00A62E21">
        <w:br w:type="page"/>
      </w:r>
    </w:p>
    <w:p w:rsidR="00D205CE" w:rsidRDefault="004B731A">
      <w:pPr>
        <w:pStyle w:val="Heading1"/>
      </w:pPr>
      <w:bookmarkStart w:id="1" w:name="_Toc353530004"/>
      <w:r>
        <w:lastRenderedPageBreak/>
        <w:drawing>
          <wp:anchor distT="0" distB="0" distL="114300" distR="114300" simplePos="0" relativeHeight="251656192" behindDoc="0" locked="0" layoutInCell="1" allowOverlap="1" wp14:anchorId="44A19D29" wp14:editId="071711ED">
            <wp:simplePos x="0" y="0"/>
            <wp:positionH relativeFrom="column">
              <wp:posOffset>-407035</wp:posOffset>
            </wp:positionH>
            <wp:positionV relativeFrom="paragraph">
              <wp:posOffset>400685</wp:posOffset>
            </wp:positionV>
            <wp:extent cx="179705" cy="179705"/>
            <wp:effectExtent l="0" t="0" r="0" b="0"/>
            <wp:wrapNone/>
            <wp:docPr id="25" name="Picture 3" descr="arrow-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row-gre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14:sizeRelH relativeFrom="page">
              <wp14:pctWidth>0</wp14:pctWidth>
            </wp14:sizeRelH>
            <wp14:sizeRelV relativeFrom="page">
              <wp14:pctHeight>0</wp14:pctHeight>
            </wp14:sizeRelV>
          </wp:anchor>
        </w:drawing>
      </w:r>
      <w:r w:rsidR="00CF4B80">
        <w:t>Executive summary</w:t>
      </w:r>
      <w:bookmarkEnd w:id="1"/>
    </w:p>
    <w:p w:rsidR="00D205CE" w:rsidRDefault="00D205CE">
      <w:pPr>
        <w:pStyle w:val="Dividerline"/>
        <w:pBdr>
          <w:bottom w:val="single" w:sz="2" w:space="1" w:color="007073"/>
        </w:pBdr>
        <w:spacing w:after="440" w:line="240" w:lineRule="auto"/>
        <w:ind w:left="-476" w:right="-282"/>
        <w:rPr>
          <w:sz w:val="16"/>
        </w:rPr>
      </w:pPr>
    </w:p>
    <w:p w:rsidR="003F5198" w:rsidRDefault="003F5198" w:rsidP="003E07EB">
      <w:pPr>
        <w:pStyle w:val="BodyText"/>
      </w:pPr>
      <w:r>
        <w:t>This paper addresses the problem of decumulation of savings in retirement</w:t>
      </w:r>
      <w:r w:rsidR="00E02831">
        <w:t xml:space="preserve">. Given that none of us knows how long we will live, the decumulation problem is how to </w:t>
      </w:r>
      <w:r w:rsidR="005D237E">
        <w:t xml:space="preserve">secure and draw down </w:t>
      </w:r>
      <w:r w:rsidR="00E02831">
        <w:t>our retirement savings so as to maintain our relative standard of living, without running out of money</w:t>
      </w:r>
      <w:r>
        <w:t xml:space="preserve">. </w:t>
      </w:r>
    </w:p>
    <w:p w:rsidR="00D205CE" w:rsidRDefault="003F5198" w:rsidP="003E07EB">
      <w:pPr>
        <w:pStyle w:val="BodyText"/>
      </w:pPr>
      <w:r>
        <w:t>As people retire with increasingly large, lump sum withdrawals from Kiwi</w:t>
      </w:r>
      <w:r w:rsidR="00C93F39">
        <w:t>S</w:t>
      </w:r>
      <w:r>
        <w:t>aver, they face the problem of how to manage their retirement savings over an uncertain lifespan, in a context of uncertainty about investment and inflation</w:t>
      </w:r>
      <w:r w:rsidR="00E25A8D">
        <w:t xml:space="preserve">, </w:t>
      </w:r>
      <w:r w:rsidR="00752029">
        <w:t>to</w:t>
      </w:r>
      <w:r w:rsidR="00E25A8D">
        <w:t xml:space="preserve"> maintain their relative standard of living</w:t>
      </w:r>
      <w:r>
        <w:t>.</w:t>
      </w:r>
    </w:p>
    <w:p w:rsidR="00E25A8D" w:rsidRDefault="00E25A8D" w:rsidP="003E07EB">
      <w:pPr>
        <w:pStyle w:val="BodyText"/>
      </w:pPr>
      <w:r>
        <w:t>The paper discusses</w:t>
      </w:r>
      <w:r w:rsidR="00FE171E">
        <w:t>:</w:t>
      </w:r>
      <w:r>
        <w:t xml:space="preserve"> ris</w:t>
      </w:r>
      <w:r w:rsidR="00FE171E">
        <w:t>ks and their optimal allocation;</w:t>
      </w:r>
      <w:r>
        <w:t xml:space="preserve"> investmen</w:t>
      </w:r>
      <w:r w:rsidR="00FE171E">
        <w:t>t options for retirement income;</w:t>
      </w:r>
      <w:r>
        <w:t xml:space="preserve"> and three options to manage risks to individuals and to the government:</w:t>
      </w:r>
    </w:p>
    <w:p w:rsidR="00E25A8D" w:rsidRDefault="00E25A8D" w:rsidP="00E25A8D">
      <w:pPr>
        <w:pStyle w:val="bullet1"/>
      </w:pPr>
      <w:r>
        <w:t>allow superannuitants to defer their N</w:t>
      </w:r>
      <w:r w:rsidR="000015C2">
        <w:t xml:space="preserve">ew </w:t>
      </w:r>
      <w:r>
        <w:t>Z</w:t>
      </w:r>
      <w:r w:rsidR="000015C2">
        <w:t xml:space="preserve">ealand </w:t>
      </w:r>
      <w:r>
        <w:t>S</w:t>
      </w:r>
      <w:r w:rsidR="000015C2">
        <w:t xml:space="preserve">uperannuation (NZS) </w:t>
      </w:r>
      <w:r>
        <w:t>in exchange for a higher rate of NZS later</w:t>
      </w:r>
    </w:p>
    <w:p w:rsidR="00E25A8D" w:rsidRDefault="00E25A8D" w:rsidP="00E25A8D">
      <w:pPr>
        <w:pStyle w:val="bullet1"/>
      </w:pPr>
      <w:r>
        <w:t>allow superannuitants to buy a higher rate of NZS than their ordinary entitlement</w:t>
      </w:r>
    </w:p>
    <w:p w:rsidR="00E25A8D" w:rsidRPr="00E25A8D" w:rsidRDefault="00E25A8D" w:rsidP="00E25A8D">
      <w:pPr>
        <w:pStyle w:val="bullet1last"/>
      </w:pPr>
      <w:r w:rsidRPr="00E25A8D">
        <w:t>set up a public annuity fund to accept contributions from eligible persons and pay annuities to them.</w:t>
      </w:r>
    </w:p>
    <w:p w:rsidR="00E25A8D" w:rsidRDefault="00E25A8D" w:rsidP="00E25A8D">
      <w:pPr>
        <w:pStyle w:val="BodyText"/>
      </w:pPr>
      <w:r>
        <w:t>The paper discusses advantages and disadvantages of each option, on the assumption that all three options can and should be unsubsidised by the government and</w:t>
      </w:r>
      <w:r w:rsidR="000015C2">
        <w:t xml:space="preserve"> hence be</w:t>
      </w:r>
      <w:r>
        <w:t xml:space="preserve"> fiscally neutral. On balance, the establishment of a public annuity fund (option 3) </w:t>
      </w:r>
      <w:r w:rsidR="000015C2">
        <w:t xml:space="preserve">is preferred as </w:t>
      </w:r>
      <w:r>
        <w:t>solv</w:t>
      </w:r>
      <w:r w:rsidR="000015C2">
        <w:t>ing</w:t>
      </w:r>
      <w:r>
        <w:t xml:space="preserve"> the decumulation problem without the </w:t>
      </w:r>
      <w:r w:rsidR="000015C2">
        <w:t xml:space="preserve">significant </w:t>
      </w:r>
      <w:r>
        <w:t>complications that would arise in the design and delivery of NZS-based proposals (options 1</w:t>
      </w:r>
      <w:r w:rsidR="00AB5816">
        <w:t xml:space="preserve"> and </w:t>
      </w:r>
      <w:r>
        <w:t>2).</w:t>
      </w:r>
    </w:p>
    <w:p w:rsidR="00E25A8D" w:rsidRDefault="00E25A8D" w:rsidP="00E25A8D">
      <w:pPr>
        <w:pStyle w:val="BodyText"/>
      </w:pPr>
      <w:r>
        <w:t>As more people build lump sums for their retirement, demand is likely to increase for the government to help solve the decumulation problem one way or another.</w:t>
      </w:r>
    </w:p>
    <w:p w:rsidR="00CF4B80" w:rsidRDefault="00D205CE" w:rsidP="00CF4B80">
      <w:pPr>
        <w:pStyle w:val="Heading1"/>
      </w:pPr>
      <w:r>
        <w:br w:type="page"/>
      </w:r>
      <w:bookmarkStart w:id="2" w:name="_Toc353530005"/>
      <w:r w:rsidR="004B731A">
        <w:lastRenderedPageBreak/>
        <w:drawing>
          <wp:anchor distT="0" distB="0" distL="114300" distR="114300" simplePos="0" relativeHeight="251657216" behindDoc="0" locked="0" layoutInCell="1" allowOverlap="1" wp14:anchorId="1B177762" wp14:editId="6E4BAC9C">
            <wp:simplePos x="0" y="0"/>
            <wp:positionH relativeFrom="column">
              <wp:posOffset>-407035</wp:posOffset>
            </wp:positionH>
            <wp:positionV relativeFrom="paragraph">
              <wp:posOffset>400685</wp:posOffset>
            </wp:positionV>
            <wp:extent cx="179705" cy="179705"/>
            <wp:effectExtent l="0" t="0" r="0" b="0"/>
            <wp:wrapNone/>
            <wp:docPr id="265" name="Picture 3" descr="arrow-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row-gre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14:sizeRelH relativeFrom="page">
              <wp14:pctWidth>0</wp14:pctWidth>
            </wp14:sizeRelH>
            <wp14:sizeRelV relativeFrom="page">
              <wp14:pctHeight>0</wp14:pctHeight>
            </wp14:sizeRelV>
          </wp:anchor>
        </w:drawing>
      </w:r>
      <w:r w:rsidR="00CF4B80">
        <w:t>Introduction</w:t>
      </w:r>
      <w:bookmarkEnd w:id="2"/>
    </w:p>
    <w:p w:rsidR="00CF4B80" w:rsidRDefault="00CF4B80" w:rsidP="00CF4B80">
      <w:pPr>
        <w:pStyle w:val="Dividerline"/>
        <w:pBdr>
          <w:bottom w:val="single" w:sz="2" w:space="1" w:color="007073"/>
        </w:pBdr>
        <w:spacing w:after="440" w:line="240" w:lineRule="auto"/>
        <w:ind w:left="-476" w:right="-282"/>
        <w:rPr>
          <w:sz w:val="16"/>
        </w:rPr>
      </w:pPr>
    </w:p>
    <w:p w:rsidR="00D205CE" w:rsidRDefault="00CF4B80" w:rsidP="00CF4B80">
      <w:pPr>
        <w:pStyle w:val="Heading2"/>
      </w:pPr>
      <w:bookmarkStart w:id="3" w:name="_Toc353530006"/>
      <w:r>
        <w:t>What’s the problem?</w:t>
      </w:r>
      <w:bookmarkEnd w:id="3"/>
    </w:p>
    <w:p w:rsidR="00CF4B80" w:rsidRDefault="00CF4B80" w:rsidP="00CF4B80">
      <w:pPr>
        <w:pStyle w:val="BodyText"/>
      </w:pPr>
      <w:r>
        <w:t>The Capital Market Development Taskforce</w:t>
      </w:r>
      <w:r w:rsidR="00882559">
        <w:rPr>
          <w:vertAlign w:val="superscript"/>
        </w:rPr>
        <w:t xml:space="preserve"> </w:t>
      </w:r>
      <w:r>
        <w:t>in its December 2009 report pointed to the risks that retirees must manage:</w:t>
      </w:r>
    </w:p>
    <w:p w:rsidR="00CF4B80" w:rsidRDefault="00CF4B80" w:rsidP="00CF4B80">
      <w:pPr>
        <w:pStyle w:val="Quote1"/>
      </w:pPr>
      <w:r w:rsidRPr="00BE100B">
        <w:t>The first KiwiSaver</w:t>
      </w:r>
      <w:r w:rsidRPr="00417CF8">
        <w:rPr>
          <w:rStyle w:val="FootnoteTextChar"/>
          <w:i w:val="0"/>
        </w:rPr>
        <w:footnoteReference w:id="1"/>
      </w:r>
      <w:r w:rsidRPr="00BE100B">
        <w:t xml:space="preserve"> members are</w:t>
      </w:r>
      <w:r>
        <w:t xml:space="preserve"> </w:t>
      </w:r>
      <w:r w:rsidRPr="00BE100B">
        <w:t>able to withdraw their savings from 2012, and people will</w:t>
      </w:r>
      <w:r>
        <w:t xml:space="preserve"> </w:t>
      </w:r>
      <w:r w:rsidRPr="00BE100B">
        <w:t xml:space="preserve">retire with </w:t>
      </w:r>
      <w:r>
        <w:t>in</w:t>
      </w:r>
      <w:r w:rsidRPr="00BE100B">
        <w:t>creasingly large government-subsidised lump</w:t>
      </w:r>
      <w:r>
        <w:t xml:space="preserve"> </w:t>
      </w:r>
      <w:r w:rsidRPr="00BE100B">
        <w:t xml:space="preserve">sums that must be managed over an </w:t>
      </w:r>
      <w:r>
        <w:t>u</w:t>
      </w:r>
      <w:r w:rsidRPr="00BE100B">
        <w:t>ncertain lifespan, in an</w:t>
      </w:r>
      <w:r>
        <w:t xml:space="preserve"> </w:t>
      </w:r>
      <w:r w:rsidRPr="00BE100B">
        <w:t>uncertain investment and inflation climate. Individuals in or</w:t>
      </w:r>
      <w:r>
        <w:t xml:space="preserve"> </w:t>
      </w:r>
      <w:r w:rsidRPr="00BE100B">
        <w:t>close to retirement would benefit from a more comprehensive</w:t>
      </w:r>
      <w:r>
        <w:t xml:space="preserve"> </w:t>
      </w:r>
      <w:r w:rsidRPr="00BE100B">
        <w:t>and efficiently priced range of products to help them manage</w:t>
      </w:r>
      <w:r>
        <w:t xml:space="preserve"> </w:t>
      </w:r>
      <w:r w:rsidRPr="00BE100B">
        <w:t>the risk that they will exhaust their retirement savings before</w:t>
      </w:r>
      <w:r>
        <w:t xml:space="preserve"> </w:t>
      </w:r>
      <w:r w:rsidRPr="00BE100B">
        <w:t>they die</w:t>
      </w:r>
      <w:r w:rsidR="00882559">
        <w:t xml:space="preserve"> </w:t>
      </w:r>
      <w:r w:rsidR="00882559">
        <w:rPr>
          <w:i w:val="0"/>
        </w:rPr>
        <w:t>(Capital Market Development Taskforce, 2009, p.41)</w:t>
      </w:r>
      <w:r w:rsidRPr="00BE100B">
        <w:t>.</w:t>
      </w:r>
      <w:r>
        <w:t xml:space="preserve"> </w:t>
      </w:r>
    </w:p>
    <w:p w:rsidR="00CF4B80" w:rsidRDefault="00CF4B80" w:rsidP="00CF4B80">
      <w:pPr>
        <w:pStyle w:val="BodyText"/>
      </w:pPr>
      <w:r>
        <w:t xml:space="preserve">This problem, which affects all retirement savings – not just those in KiwiSaver </w:t>
      </w:r>
      <w:r w:rsidR="00882559">
        <w:t xml:space="preserve">– </w:t>
      </w:r>
      <w:r>
        <w:t xml:space="preserve">can be generalised as follows. Many </w:t>
      </w:r>
      <w:r w:rsidRPr="008E4D43">
        <w:t xml:space="preserve">New Zealanders </w:t>
      </w:r>
      <w:r>
        <w:t xml:space="preserve">with retirement </w:t>
      </w:r>
      <w:r w:rsidRPr="008E4D43">
        <w:t>savings</w:t>
      </w:r>
      <w:r>
        <w:t xml:space="preserve"> </w:t>
      </w:r>
      <w:r w:rsidRPr="008E4D43">
        <w:t xml:space="preserve">cannot draw </w:t>
      </w:r>
      <w:r>
        <w:t>their savings down</w:t>
      </w:r>
      <w:r w:rsidRPr="008E4D43">
        <w:t xml:space="preserve"> through their retirement</w:t>
      </w:r>
      <w:r>
        <w:t xml:space="preserve"> in an efficient way</w:t>
      </w:r>
      <w:r w:rsidRPr="008E4D43">
        <w:t xml:space="preserve"> to maintain their relative standard of living.</w:t>
      </w:r>
      <w:r w:rsidRPr="00417CF8">
        <w:rPr>
          <w:rStyle w:val="FootnoteTextChar"/>
        </w:rPr>
        <w:footnoteReference w:id="2"/>
      </w:r>
      <w:r>
        <w:t xml:space="preserve"> This is the </w:t>
      </w:r>
      <w:r w:rsidR="00882559">
        <w:t>“</w:t>
      </w:r>
      <w:r>
        <w:t>decumulation problem</w:t>
      </w:r>
      <w:r w:rsidR="00882559">
        <w:t>”</w:t>
      </w:r>
      <w:r>
        <w:t>.</w:t>
      </w:r>
      <w:r w:rsidRPr="00417CF8">
        <w:rPr>
          <w:rStyle w:val="FootnoteTextChar"/>
        </w:rPr>
        <w:footnoteReference w:id="3"/>
      </w:r>
      <w:r>
        <w:t xml:space="preserve"> As the Taskforce put it, the problem is one of managing risk</w:t>
      </w:r>
      <w:r w:rsidR="00403F61">
        <w:t>,</w:t>
      </w:r>
      <w:r>
        <w:t xml:space="preserve"> and this is the approach taken in this paper.</w:t>
      </w:r>
    </w:p>
    <w:p w:rsidR="00CF4B80" w:rsidRPr="007856A5" w:rsidRDefault="00CF4B80" w:rsidP="00CF4B80">
      <w:pPr>
        <w:pStyle w:val="BodyText"/>
        <w:rPr>
          <w:vertAlign w:val="superscript"/>
        </w:rPr>
      </w:pPr>
      <w:r>
        <w:t>This paper will show that the decumulation problem will not be solved by the ordinary operation of markets. It will further show that it can be satisfactorily solved by government intervention leading to the result that the Taskforce envisaged.</w:t>
      </w:r>
    </w:p>
    <w:p w:rsidR="009A3F08" w:rsidRDefault="009A3F08" w:rsidP="00CF4B80">
      <w:pPr>
        <w:pStyle w:val="Heading2"/>
      </w:pPr>
      <w:bookmarkStart w:id="4" w:name="_Toc353530007"/>
      <w:bookmarkStart w:id="5" w:name="_Toc304367184"/>
      <w:r>
        <w:t>How big is it?</w:t>
      </w:r>
      <w:bookmarkEnd w:id="4"/>
    </w:p>
    <w:p w:rsidR="00EB38AC" w:rsidRPr="00EB38AC" w:rsidRDefault="00D6576B" w:rsidP="00403F61">
      <w:pPr>
        <w:pStyle w:val="BodyText"/>
      </w:pPr>
      <w:r>
        <w:t xml:space="preserve">Over </w:t>
      </w:r>
      <w:r w:rsidR="00EB38AC" w:rsidRPr="00EB38AC">
        <w:t>6</w:t>
      </w:r>
      <w:r>
        <w:t>23</w:t>
      </w:r>
      <w:r w:rsidR="00EB38AC" w:rsidRPr="00EB38AC">
        <w:t xml:space="preserve">,000 New Zealanders are aged 65+ </w:t>
      </w:r>
      <w:r w:rsidR="00403F61">
        <w:t>–</w:t>
      </w:r>
      <w:r w:rsidR="00EB38AC" w:rsidRPr="00EB38AC">
        <w:t xml:space="preserve"> the ordinary qualifying age for New Zealand Superannuation (NZS). Comprehensive information on the level of their savings is not available. However some data are available about income that superannuitants receive from private superannuation and other investments. This information is helpful in two ways:</w:t>
      </w:r>
    </w:p>
    <w:p w:rsidR="00EB38AC" w:rsidRPr="00EB38AC" w:rsidRDefault="00403F61" w:rsidP="00403F61">
      <w:pPr>
        <w:pStyle w:val="bullet1"/>
      </w:pPr>
      <w:r>
        <w:t>i</w:t>
      </w:r>
      <w:r w:rsidR="00EB38AC" w:rsidRPr="00EB38AC">
        <w:t>t indicates the extent to which recipients can augment their material standard of living without decumulating capital</w:t>
      </w:r>
    </w:p>
    <w:p w:rsidR="00EB38AC" w:rsidRPr="00EB38AC" w:rsidRDefault="00403F61" w:rsidP="00403F61">
      <w:pPr>
        <w:pStyle w:val="bullet1"/>
      </w:pPr>
      <w:proofErr w:type="gramStart"/>
      <w:r>
        <w:t>i</w:t>
      </w:r>
      <w:r w:rsidR="00EB38AC" w:rsidRPr="00EB38AC">
        <w:t>t</w:t>
      </w:r>
      <w:proofErr w:type="gramEnd"/>
      <w:r w:rsidR="00EB38AC" w:rsidRPr="00EB38AC">
        <w:t xml:space="preserve"> also indicates the amount of income-producing capital that is potentially available to be decumulated to augment their material standard of living.</w:t>
      </w:r>
    </w:p>
    <w:p w:rsidR="00EB38AC" w:rsidRPr="00EB38AC" w:rsidRDefault="00EB38AC" w:rsidP="00403F61">
      <w:pPr>
        <w:pStyle w:val="BodyText"/>
      </w:pPr>
      <w:r w:rsidRPr="00EB38AC">
        <w:t>The following figures</w:t>
      </w:r>
      <w:r>
        <w:t xml:space="preserve"> relate to 2</w:t>
      </w:r>
      <w:r w:rsidRPr="00EB38AC">
        <w:t>010</w:t>
      </w:r>
      <w:r>
        <w:t xml:space="preserve"> and </w:t>
      </w:r>
      <w:r w:rsidRPr="00EB38AC">
        <w:t>are</w:t>
      </w:r>
      <w:r>
        <w:t xml:space="preserve"> derived from </w:t>
      </w:r>
      <w:r w:rsidRPr="00EB38AC">
        <w:t>the</w:t>
      </w:r>
      <w:r>
        <w:t xml:space="preserve"> most recent data</w:t>
      </w:r>
      <w:r w:rsidRPr="00EB38AC">
        <w:t xml:space="preserve"> available</w:t>
      </w:r>
      <w:r w:rsidR="009061B6">
        <w:rPr>
          <w:rStyle w:val="FootnoteReference"/>
        </w:rPr>
        <w:footnoteReference w:id="4"/>
      </w:r>
      <w:r w:rsidRPr="00EB38AC">
        <w:t>. They are indicative only and are rounded. They exclude the value of owner-occupied housing.</w:t>
      </w:r>
      <w:r w:rsidRPr="00EB38AC">
        <w:rPr>
          <w:color w:val="007073"/>
          <w:sz w:val="20"/>
          <w:szCs w:val="16"/>
          <w:vertAlign w:val="superscript"/>
        </w:rPr>
        <w:footnoteReference w:id="5"/>
      </w:r>
    </w:p>
    <w:p w:rsidR="00EB38AC" w:rsidRPr="00EB38AC" w:rsidRDefault="00EB38AC" w:rsidP="00403F61">
      <w:pPr>
        <w:pStyle w:val="BodyText"/>
      </w:pPr>
      <w:r w:rsidRPr="00EB38AC">
        <w:lastRenderedPageBreak/>
        <w:t>Around half of superannuitants had income of less than $</w:t>
      </w:r>
      <w:r w:rsidR="009061B6">
        <w:t>15</w:t>
      </w:r>
      <w:r w:rsidRPr="00EB38AC">
        <w:t xml:space="preserve"> per week from private superannuation and other investments, indicating that they had few or no savings to decumulate. On the other hand, about 15</w:t>
      </w:r>
      <w:r w:rsidR="009061B6">
        <w:t xml:space="preserve"> </w:t>
      </w:r>
      <w:r w:rsidRPr="00EB38AC">
        <w:t>percent received investment incomes of $500 or more per week</w:t>
      </w:r>
      <w:r w:rsidR="00835CFC">
        <w:t xml:space="preserve">. This </w:t>
      </w:r>
      <w:proofErr w:type="gramStart"/>
      <w:r w:rsidR="00835CFC">
        <w:t xml:space="preserve">amount </w:t>
      </w:r>
      <w:r w:rsidRPr="00EB38AC">
        <w:t xml:space="preserve"> indicat</w:t>
      </w:r>
      <w:r w:rsidR="00835CFC">
        <w:t>es</w:t>
      </w:r>
      <w:proofErr w:type="gramEnd"/>
      <w:r w:rsidRPr="00EB38AC">
        <w:t xml:space="preserve"> that they did not need to decumulate savings in order to enjoy a regular total income at least equal to the average wage, then $800 a week. In between those groups were about a third of all superannuitants –some </w:t>
      </w:r>
      <w:r w:rsidR="009061B6">
        <w:t>200,</w:t>
      </w:r>
      <w:r w:rsidRPr="00EB38AC">
        <w:t xml:space="preserve">000 </w:t>
      </w:r>
      <w:r w:rsidR="00403F61">
        <w:t>–</w:t>
      </w:r>
      <w:r w:rsidRPr="00EB38AC">
        <w:t xml:space="preserve"> with weekly investment incomes of between $15 and $500, indicating significant investments. They might have benefited more from these </w:t>
      </w:r>
      <w:r w:rsidR="00D6576B">
        <w:t xml:space="preserve">savings </w:t>
      </w:r>
      <w:r w:rsidRPr="00EB38AC">
        <w:t>had they been able to decumulate some or all of them safely and efficiently.  How to enable them to do so is the subject of this paper.</w:t>
      </w:r>
    </w:p>
    <w:p w:rsidR="0072167C" w:rsidRPr="00CD6A59" w:rsidRDefault="0072167C" w:rsidP="0072167C">
      <w:pPr>
        <w:pStyle w:val="Heading2"/>
      </w:pPr>
      <w:bookmarkStart w:id="6" w:name="_Toc353530008"/>
      <w:r w:rsidRPr="00CD6A59">
        <w:t>Why the problem exists</w:t>
      </w:r>
      <w:bookmarkEnd w:id="6"/>
    </w:p>
    <w:p w:rsidR="0072167C" w:rsidRDefault="0072167C" w:rsidP="0072167C">
      <w:pPr>
        <w:pStyle w:val="BodyText"/>
      </w:pPr>
      <w:r>
        <w:t xml:space="preserve">The decumulation problem exists because of factors on the </w:t>
      </w:r>
      <w:r w:rsidRPr="00EB5BAA">
        <w:rPr>
          <w:i/>
        </w:rPr>
        <w:t>supply side</w:t>
      </w:r>
      <w:r>
        <w:rPr>
          <w:i/>
        </w:rPr>
        <w:t>:</w:t>
      </w:r>
    </w:p>
    <w:p w:rsidR="0072167C" w:rsidRDefault="0072167C" w:rsidP="0072167C">
      <w:pPr>
        <w:pStyle w:val="bullet1"/>
      </w:pPr>
      <w:r>
        <w:t>the private sector is</w:t>
      </w:r>
      <w:r w:rsidRPr="008441C3">
        <w:t xml:space="preserve"> </w:t>
      </w:r>
      <w:r>
        <w:t>reluctant to carry the longevity risk attached to annuities because of uncertainty about longevity in the future and there being no way to hedge the associated risk, and perhaps also because of the selection effect</w:t>
      </w:r>
    </w:p>
    <w:p w:rsidR="00835CFC" w:rsidRDefault="0072167C" w:rsidP="00403F61">
      <w:pPr>
        <w:pStyle w:val="bullet1"/>
      </w:pPr>
      <w:r>
        <w:t>the private sector is at present unwilling to assume the inflation risk attached to indexation because of uncertainty about rates of inflation in the future, and because it is unable to</w:t>
      </w:r>
      <w:r w:rsidRPr="00D033C9">
        <w:t xml:space="preserve"> </w:t>
      </w:r>
      <w:r>
        <w:t>hedge the inflation risk adequately</w:t>
      </w:r>
    </w:p>
    <w:p w:rsidR="0072167C" w:rsidRDefault="00835CFC" w:rsidP="003A38DD">
      <w:pPr>
        <w:pStyle w:val="bullet1last"/>
      </w:pPr>
      <w:proofErr w:type="gramStart"/>
      <w:r>
        <w:t>risk-free</w:t>
      </w:r>
      <w:proofErr w:type="gramEnd"/>
      <w:r>
        <w:t xml:space="preserve"> (in the sense of government-guaranteed) investment options available to retirees do not include annuities</w:t>
      </w:r>
      <w:r w:rsidR="00403F61">
        <w:t>.</w:t>
      </w:r>
    </w:p>
    <w:p w:rsidR="0072167C" w:rsidRDefault="0072167C" w:rsidP="0072167C">
      <w:pPr>
        <w:pStyle w:val="BodyText"/>
      </w:pPr>
      <w:r>
        <w:t xml:space="preserve">As to the inflation risk, the Treasury has recently issued </w:t>
      </w:r>
      <w:r>
        <w:rPr>
          <w:lang w:val="en"/>
        </w:rPr>
        <w:t>inflation-indexed bonds.</w:t>
      </w:r>
      <w:r>
        <w:rPr>
          <w:rStyle w:val="FootnoteReference"/>
        </w:rPr>
        <w:footnoteReference w:id="6"/>
      </w:r>
      <w:r>
        <w:rPr>
          <w:lang w:val="en"/>
        </w:rPr>
        <w:t xml:space="preserve"> </w:t>
      </w:r>
      <w:r>
        <w:t>However, the bonds have a fixed maturity date of 2025, which does not match the indefinite term of life annuities. Nor is there any indication that such bonds will in future be available with maturities</w:t>
      </w:r>
      <w:r w:rsidR="00835CFC">
        <w:t xml:space="preserve"> </w:t>
      </w:r>
      <w:r>
        <w:t>beyond 2025. Consequently, the</w:t>
      </w:r>
      <w:r w:rsidR="00835CFC">
        <w:t xml:space="preserve"> bonds</w:t>
      </w:r>
      <w:r>
        <w:t xml:space="preserve"> will not adequately hedge the inflation risk to which life annuities are exposed. </w:t>
      </w:r>
    </w:p>
    <w:p w:rsidR="0072167C" w:rsidRDefault="0072167C" w:rsidP="00403F61">
      <w:pPr>
        <w:pStyle w:val="BodyText"/>
      </w:pPr>
      <w:r>
        <w:t xml:space="preserve">The decumulation problem exists also because of factors on the </w:t>
      </w:r>
      <w:r w:rsidRPr="003A38DD">
        <w:rPr>
          <w:i/>
        </w:rPr>
        <w:t xml:space="preserve">demand side, </w:t>
      </w:r>
      <w:r>
        <w:t xml:space="preserve">which </w:t>
      </w:r>
      <w:r w:rsidR="003A38DD" w:rsidRPr="003A38DD">
        <w:t>make annuities less attractive relative to other investment options</w:t>
      </w:r>
      <w:r w:rsidRPr="003A38DD">
        <w:t>:</w:t>
      </w:r>
    </w:p>
    <w:p w:rsidR="00E744C8" w:rsidRDefault="0072167C" w:rsidP="00CF4B80">
      <w:pPr>
        <w:pStyle w:val="bullet1"/>
      </w:pPr>
      <w:r>
        <w:t>available annuity products do not offer protection against inflation</w:t>
      </w:r>
    </w:p>
    <w:p w:rsidR="00403F61" w:rsidRDefault="00835CFC" w:rsidP="00403F61">
      <w:pPr>
        <w:pStyle w:val="bullet1last"/>
      </w:pPr>
      <w:proofErr w:type="gramStart"/>
      <w:r>
        <w:t>the</w:t>
      </w:r>
      <w:proofErr w:type="gramEnd"/>
      <w:r>
        <w:t xml:space="preserve"> </w:t>
      </w:r>
      <w:r w:rsidR="0072167C">
        <w:t xml:space="preserve">tax </w:t>
      </w:r>
      <w:r>
        <w:t xml:space="preserve">system is </w:t>
      </w:r>
      <w:r w:rsidR="0072167C">
        <w:t>adverse to annuities</w:t>
      </w:r>
      <w:r w:rsidR="00403F61">
        <w:t>.</w:t>
      </w:r>
    </w:p>
    <w:p w:rsidR="001B278C" w:rsidRPr="00E744C8" w:rsidRDefault="001B278C" w:rsidP="00403F61">
      <w:pPr>
        <w:pStyle w:val="BodyText"/>
      </w:pPr>
      <w:r w:rsidRPr="00E744C8">
        <w:t>These factors are discussed later.</w:t>
      </w:r>
    </w:p>
    <w:p w:rsidR="00CF4B80" w:rsidRDefault="00CF4B80" w:rsidP="00CF4B80">
      <w:pPr>
        <w:pStyle w:val="Heading2"/>
      </w:pPr>
      <w:bookmarkStart w:id="7" w:name="_Toc353530009"/>
      <w:r>
        <w:t>The policy context</w:t>
      </w:r>
      <w:bookmarkEnd w:id="5"/>
      <w:bookmarkEnd w:id="7"/>
    </w:p>
    <w:p w:rsidR="00CF4B80" w:rsidRDefault="00CF4B80" w:rsidP="00CF4B80">
      <w:pPr>
        <w:pStyle w:val="BodyText"/>
      </w:pPr>
      <w:r>
        <w:t xml:space="preserve">The policy context is set primarily by two government interventions that aim to support adequate income in retirement </w:t>
      </w:r>
      <w:r w:rsidR="00CD453C">
        <w:t>–</w:t>
      </w:r>
      <w:r w:rsidR="00D6576B">
        <w:t xml:space="preserve"> NZS </w:t>
      </w:r>
      <w:r>
        <w:t>and t</w:t>
      </w:r>
      <w:r w:rsidRPr="002A4CBB">
        <w:t>he KiwiSaver scheme</w:t>
      </w:r>
      <w:r>
        <w:t>.</w:t>
      </w:r>
    </w:p>
    <w:p w:rsidR="00DC4203" w:rsidRDefault="00CF4B80" w:rsidP="00CF4B80">
      <w:pPr>
        <w:pStyle w:val="BodyText"/>
      </w:pPr>
      <w:r>
        <w:t xml:space="preserve">NZS </w:t>
      </w:r>
      <w:r w:rsidRPr="00C10FB5">
        <w:t xml:space="preserve">is the basic </w:t>
      </w:r>
      <w:r w:rsidR="00882559">
        <w:t>“</w:t>
      </w:r>
      <w:r w:rsidRPr="00C10FB5">
        <w:t>first tier</w:t>
      </w:r>
      <w:r w:rsidR="00882559">
        <w:t>”</w:t>
      </w:r>
      <w:r w:rsidRPr="00417CF8">
        <w:rPr>
          <w:rStyle w:val="FootnoteTextChar"/>
        </w:rPr>
        <w:footnoteReference w:id="7"/>
      </w:r>
      <w:r>
        <w:t xml:space="preserve"> </w:t>
      </w:r>
      <w:r w:rsidRPr="00C10FB5">
        <w:t>of New Zealanders’ retirement income.</w:t>
      </w:r>
      <w:r w:rsidRPr="0017270E">
        <w:rPr>
          <w:rStyle w:val="FootnoteReference"/>
          <w:bCs/>
          <w:szCs w:val="20"/>
        </w:rPr>
        <w:footnoteReference w:id="8"/>
      </w:r>
      <w:r>
        <w:t xml:space="preserve"> </w:t>
      </w:r>
      <w:r w:rsidRPr="00C10FB5">
        <w:t xml:space="preserve">NZS provides </w:t>
      </w:r>
      <w:r w:rsidR="00393FE6">
        <w:t>a basic minimum</w:t>
      </w:r>
      <w:r w:rsidRPr="00C10FB5">
        <w:t xml:space="preserve"> income</w:t>
      </w:r>
      <w:r>
        <w:t xml:space="preserve">. </w:t>
      </w:r>
      <w:r w:rsidR="00393FE6">
        <w:t>Only a small proportion of</w:t>
      </w:r>
      <w:r>
        <w:t xml:space="preserve"> New Zealanders aged 65-84 experience </w:t>
      </w:r>
      <w:r w:rsidR="00393FE6">
        <w:t>material hardship</w:t>
      </w:r>
      <w:r w:rsidR="008F09EA">
        <w:t xml:space="preserve"> (Perry, 201</w:t>
      </w:r>
      <w:r w:rsidR="004E4B21">
        <w:t>2</w:t>
      </w:r>
      <w:r w:rsidR="00FE7227">
        <w:t xml:space="preserve">, </w:t>
      </w:r>
      <w:proofErr w:type="spellStart"/>
      <w:r w:rsidR="00FE7227">
        <w:t>pp</w:t>
      </w:r>
      <w:proofErr w:type="spellEnd"/>
      <w:r w:rsidR="00403F61">
        <w:t xml:space="preserve"> </w:t>
      </w:r>
      <w:r w:rsidR="00F04DC0">
        <w:t>116-122 and 133-142</w:t>
      </w:r>
      <w:r w:rsidR="008F09EA">
        <w:t>; Koopman-Boyden, van der Pas &amp;</w:t>
      </w:r>
      <w:r w:rsidR="001D118D">
        <w:t xml:space="preserve"> Cameron, 2007</w:t>
      </w:r>
      <w:r w:rsidR="008F09EA">
        <w:t>).</w:t>
      </w:r>
    </w:p>
    <w:p w:rsidR="00CF4B80" w:rsidRPr="006A7E03" w:rsidRDefault="00CF4B80" w:rsidP="00CF4B80">
      <w:pPr>
        <w:pStyle w:val="BodyText"/>
      </w:pPr>
      <w:r>
        <w:lastRenderedPageBreak/>
        <w:t xml:space="preserve">The </w:t>
      </w:r>
      <w:r w:rsidRPr="006A7E03">
        <w:t xml:space="preserve">KiwiSaver </w:t>
      </w:r>
      <w:r>
        <w:t xml:space="preserve">scheme </w:t>
      </w:r>
      <w:r w:rsidRPr="00957A38">
        <w:t>was</w:t>
      </w:r>
      <w:r w:rsidRPr="00797411">
        <w:t xml:space="preserve"> established by </w:t>
      </w:r>
      <w:r>
        <w:t>t</w:t>
      </w:r>
      <w:r w:rsidRPr="000F519C">
        <w:t xml:space="preserve">he </w:t>
      </w:r>
      <w:r>
        <w:t>KiwiSaver Act 2006, which provides:</w:t>
      </w:r>
      <w:r w:rsidR="00DC4203">
        <w:rPr>
          <w:rStyle w:val="FootnoteReference"/>
        </w:rPr>
        <w:footnoteReference w:id="9"/>
      </w:r>
    </w:p>
    <w:p w:rsidR="00CF4B80" w:rsidRDefault="00CF4B80" w:rsidP="00CF4B80">
      <w:pPr>
        <w:pStyle w:val="Quote1"/>
      </w:pPr>
      <w:r w:rsidRPr="006A7E03">
        <w:t>The purpose of this Act is</w:t>
      </w:r>
      <w:r>
        <w:t xml:space="preserve"> </w:t>
      </w:r>
      <w:r w:rsidRPr="006A7E03">
        <w:t>to encourage a long-term savings habit and asset accumulation by individuals who are not in a position to</w:t>
      </w:r>
      <w:r>
        <w:t xml:space="preserve"> </w:t>
      </w:r>
      <w:r w:rsidRPr="006A7E03">
        <w:t>enjoy standards of living in retirement similar to those in pre-retirement. The Act aims to increase</w:t>
      </w:r>
      <w:r>
        <w:t xml:space="preserve"> </w:t>
      </w:r>
      <w:r w:rsidRPr="006A7E03">
        <w:t>individuals’ well-being and financial independence, particularly in retirement, and to provide retirement</w:t>
      </w:r>
      <w:r>
        <w:t xml:space="preserve"> </w:t>
      </w:r>
      <w:r w:rsidRPr="006A7E03">
        <w:t>benefits.</w:t>
      </w:r>
    </w:p>
    <w:p w:rsidR="00CF4B80" w:rsidRDefault="00CF4B80" w:rsidP="00CF4B80">
      <w:pPr>
        <w:pStyle w:val="BodyText"/>
      </w:pPr>
      <w:r>
        <w:t>KiwiSaver provides generous</w:t>
      </w:r>
      <w:r w:rsidRPr="00E9584C">
        <w:rPr>
          <w:vertAlign w:val="superscript"/>
        </w:rPr>
        <w:t xml:space="preserve"> </w:t>
      </w:r>
      <w:r>
        <w:t xml:space="preserve">government incentives </w:t>
      </w:r>
      <w:r w:rsidR="008F09EA">
        <w:t xml:space="preserve">– </w:t>
      </w:r>
      <w:r w:rsidR="00551A31">
        <w:t>$650 million in 2012/13</w:t>
      </w:r>
      <w:r w:rsidR="00551A31">
        <w:rPr>
          <w:rStyle w:val="FootnoteReference"/>
        </w:rPr>
        <w:footnoteReference w:id="10"/>
      </w:r>
      <w:r w:rsidR="00403F61" w:rsidRPr="00403F61">
        <w:rPr>
          <w:rStyle w:val="FootnoteReference"/>
        </w:rPr>
        <w:t>,</w:t>
      </w:r>
      <w:r w:rsidR="00551A31">
        <w:rPr>
          <w:rStyle w:val="FootnoteReference"/>
        </w:rPr>
        <w:footnoteReference w:id="11"/>
      </w:r>
      <w:r w:rsidR="00403F61">
        <w:t xml:space="preserve"> </w:t>
      </w:r>
      <w:r w:rsidR="008F09EA">
        <w:t xml:space="preserve">– </w:t>
      </w:r>
      <w:r>
        <w:t>for individuals to accumulate savings.</w:t>
      </w:r>
      <w:r w:rsidR="00882559">
        <w:t xml:space="preserve"> </w:t>
      </w:r>
      <w:r>
        <w:t>Employers also contribute.</w:t>
      </w:r>
      <w:r w:rsidR="00882559">
        <w:t xml:space="preserve"> </w:t>
      </w:r>
      <w:r>
        <w:t>The total savings are (in most circumstances) locked in until age 65. They are then available as a cash lump sum.</w:t>
      </w:r>
      <w:r w:rsidR="00882559">
        <w:t xml:space="preserve"> </w:t>
      </w:r>
    </w:p>
    <w:p w:rsidR="00CF4B80" w:rsidRDefault="00CF4B80" w:rsidP="00CF4B80">
      <w:pPr>
        <w:pStyle w:val="BodyText"/>
      </w:pPr>
      <w:r>
        <w:t>The KiwiSaver Act’s aims</w:t>
      </w:r>
      <w:r w:rsidRPr="006A7E03">
        <w:t xml:space="preserve"> </w:t>
      </w:r>
      <w:r>
        <w:t xml:space="preserve">are </w:t>
      </w:r>
      <w:r w:rsidRPr="006A7E03">
        <w:t>to increase</w:t>
      </w:r>
      <w:r>
        <w:t xml:space="preserve"> </w:t>
      </w:r>
      <w:r w:rsidR="00052CF5">
        <w:t xml:space="preserve">participating </w:t>
      </w:r>
      <w:r w:rsidRPr="006A7E03">
        <w:t xml:space="preserve">individuals’ well-being and financial </w:t>
      </w:r>
      <w:r>
        <w:t>independence,</w:t>
      </w:r>
      <w:r w:rsidRPr="006A7E03">
        <w:t xml:space="preserve"> particularly in retirement,</w:t>
      </w:r>
      <w:r>
        <w:t xml:space="preserve"> and </w:t>
      </w:r>
      <w:r w:rsidRPr="006A7E03">
        <w:t>to provide retirement</w:t>
      </w:r>
      <w:r>
        <w:t xml:space="preserve"> </w:t>
      </w:r>
      <w:r w:rsidRPr="006A7E03">
        <w:t>benefits</w:t>
      </w:r>
      <w:r>
        <w:t xml:space="preserve">. </w:t>
      </w:r>
      <w:r w:rsidR="00C73701">
        <w:t xml:space="preserve">The public policy risk is that significant government investment in KiwiSaver will fail to achieve these aims, due to the lack </w:t>
      </w:r>
      <w:r>
        <w:t>of some means of efficiently decumulating savings in retirement.</w:t>
      </w:r>
      <w:r w:rsidRPr="00417CF8">
        <w:rPr>
          <w:rStyle w:val="FootnoteTextChar"/>
        </w:rPr>
        <w:footnoteReference w:id="12"/>
      </w:r>
      <w:r w:rsidR="00C73701">
        <w:t xml:space="preserve"> </w:t>
      </w:r>
    </w:p>
    <w:p w:rsidR="00CF4B80" w:rsidRPr="002A6E1A" w:rsidRDefault="00CF4B80" w:rsidP="002A6E1A">
      <w:pPr>
        <w:pStyle w:val="Heading2"/>
      </w:pPr>
      <w:bookmarkStart w:id="8" w:name="_Toc353530010"/>
      <w:r w:rsidRPr="002A6E1A">
        <w:t>How to think about the problem?</w:t>
      </w:r>
      <w:bookmarkEnd w:id="8"/>
    </w:p>
    <w:p w:rsidR="00CF4B80" w:rsidRDefault="00CF4B80" w:rsidP="00CF4B80">
      <w:pPr>
        <w:pStyle w:val="Heading3"/>
      </w:pPr>
      <w:r>
        <w:t>Risks and their optimal allocation</w:t>
      </w:r>
    </w:p>
    <w:p w:rsidR="00CF4B80" w:rsidRDefault="00CF4B80" w:rsidP="00CF4B80">
      <w:pPr>
        <w:pStyle w:val="BodyText"/>
      </w:pPr>
      <w:r>
        <w:t xml:space="preserve">As asserted earlier, the decumulation problem is one of managing risk. </w:t>
      </w:r>
    </w:p>
    <w:p w:rsidR="00CF4B80" w:rsidRDefault="00CF4B80" w:rsidP="00CF4B80">
      <w:pPr>
        <w:pStyle w:val="BodyText"/>
      </w:pPr>
      <w:r>
        <w:t>Citizens face many risks to their individual and collective interests.</w:t>
      </w:r>
      <w:r w:rsidR="00882559">
        <w:t xml:space="preserve"> </w:t>
      </w:r>
      <w:r>
        <w:t>They manage some risks themselves</w:t>
      </w:r>
      <w:r w:rsidR="000E3B85">
        <w:t>,</w:t>
      </w:r>
      <w:r>
        <w:t xml:space="preserve"> by somehow avoiding, mitigating or coping with the consequences.</w:t>
      </w:r>
      <w:r w:rsidR="00882559">
        <w:t xml:space="preserve"> </w:t>
      </w:r>
      <w:r>
        <w:t>The government manages some other risks on their behalf</w:t>
      </w:r>
      <w:r w:rsidR="000E3B85">
        <w:t>, and some</w:t>
      </w:r>
      <w:r>
        <w:t xml:space="preserve"> risks are shared and managed jointly. The distribution of risks between citizens and the government is not simply a matter that society leaves to chance; it is the essence of public policy, </w:t>
      </w:r>
      <w:r w:rsidR="00052CF5">
        <w:t xml:space="preserve">which is </w:t>
      </w:r>
      <w:r>
        <w:t xml:space="preserve">determined by essentially qualitative ethical and political judgments. </w:t>
      </w:r>
    </w:p>
    <w:p w:rsidR="00CF4B80" w:rsidRDefault="00CF4B80" w:rsidP="00CF4B80">
      <w:pPr>
        <w:pStyle w:val="BodyText"/>
      </w:pPr>
      <w:r>
        <w:t>This paper presumes that, from a public policy perspective, any particular risk should be assigned to (or left with) whoever – the individual or the government – has an overall relative advantage in managing that particular risk.</w:t>
      </w:r>
      <w:r w:rsidR="00882559">
        <w:t xml:space="preserve"> </w:t>
      </w:r>
      <w:r>
        <w:t xml:space="preserve">The advantage might derive from one or the other </w:t>
      </w:r>
      <w:r w:rsidR="00052CF5">
        <w:t xml:space="preserve">of those </w:t>
      </w:r>
      <w:r>
        <w:t>possessing better information or incentives, or being better able to protect against potential harm from the risk (</w:t>
      </w:r>
      <w:r w:rsidR="00882559">
        <w:t>“</w:t>
      </w:r>
      <w:r>
        <w:t>hedg</w:t>
      </w:r>
      <w:r w:rsidR="003A38DD">
        <w:t>e</w:t>
      </w:r>
      <w:r w:rsidR="00882559">
        <w:t>”</w:t>
      </w:r>
      <w:r>
        <w:t xml:space="preserve"> the risk).</w:t>
      </w:r>
      <w:r w:rsidR="00882559">
        <w:t xml:space="preserve"> </w:t>
      </w:r>
      <w:r>
        <w:t>In some cases</w:t>
      </w:r>
      <w:r w:rsidR="006634D5">
        <w:t>,</w:t>
      </w:r>
      <w:r>
        <w:t xml:space="preserve"> the advantage might be shared in some fashion.</w:t>
      </w:r>
      <w:r w:rsidR="00882559">
        <w:t xml:space="preserve"> </w:t>
      </w:r>
    </w:p>
    <w:p w:rsidR="00CF4B80" w:rsidRDefault="00CF4B80" w:rsidP="00CF4B80">
      <w:pPr>
        <w:pStyle w:val="BodyText"/>
      </w:pPr>
      <w:r>
        <w:t>Good risk management seeks to find and make use of new information as it becomes available.</w:t>
      </w:r>
      <w:r w:rsidR="00882559">
        <w:t xml:space="preserve"> </w:t>
      </w:r>
      <w:r>
        <w:t xml:space="preserve">The better a risk is </w:t>
      </w:r>
      <w:proofErr w:type="gramStart"/>
      <w:r>
        <w:t>managed,</w:t>
      </w:r>
      <w:proofErr w:type="gramEnd"/>
      <w:r>
        <w:t xml:space="preserve"> the less</w:t>
      </w:r>
      <w:r w:rsidR="00052CF5">
        <w:t xml:space="preserve"> severe</w:t>
      </w:r>
      <w:r>
        <w:t xml:space="preserve"> its ill effects are likely to be.</w:t>
      </w:r>
      <w:r w:rsidR="00882559">
        <w:t xml:space="preserve"> </w:t>
      </w:r>
      <w:r>
        <w:t>That is why it is important to have a risk managed by the most suitable candidate.</w:t>
      </w:r>
      <w:r w:rsidR="00882559">
        <w:t xml:space="preserve"> </w:t>
      </w:r>
      <w:proofErr w:type="gramStart"/>
      <w:r>
        <w:t xml:space="preserve">When suitability </w:t>
      </w:r>
      <w:r w:rsidR="003A38DD">
        <w:t xml:space="preserve">to manage risk </w:t>
      </w:r>
      <w:r>
        <w:t>is shared between the candidates in some fashion, so also should the risk be.</w:t>
      </w:r>
      <w:proofErr w:type="gramEnd"/>
      <w:r>
        <w:t xml:space="preserve"> </w:t>
      </w:r>
    </w:p>
    <w:p w:rsidR="00CF4B80" w:rsidRDefault="00CF4B80" w:rsidP="00CF4B80">
      <w:pPr>
        <w:pStyle w:val="BodyText"/>
      </w:pPr>
      <w:r>
        <w:t>These propositions have implications for public policy and for individuals, as discussed below.</w:t>
      </w:r>
    </w:p>
    <w:p w:rsidR="00CF4B80" w:rsidRPr="00345914" w:rsidRDefault="00CF4B80" w:rsidP="00CF4B80">
      <w:pPr>
        <w:pStyle w:val="Heading3"/>
        <w:rPr>
          <w:sz w:val="24"/>
          <w:szCs w:val="24"/>
        </w:rPr>
      </w:pPr>
      <w:r>
        <w:lastRenderedPageBreak/>
        <w:t xml:space="preserve">Implications for </w:t>
      </w:r>
      <w:r w:rsidRPr="00345914">
        <w:t xml:space="preserve">public policy </w:t>
      </w:r>
    </w:p>
    <w:p w:rsidR="00CF4B80" w:rsidRDefault="00CF4B80" w:rsidP="00CF4B80">
      <w:pPr>
        <w:pStyle w:val="BodyText"/>
      </w:pPr>
      <w:r w:rsidRPr="00CF4B80">
        <w:t xml:space="preserve">At the level of individual transactions, the economic theory of decision-making under uncertainty is about managing risk </w:t>
      </w:r>
      <w:r w:rsidR="008F09EA">
        <w:t>–</w:t>
      </w:r>
      <w:r w:rsidR="008F09EA" w:rsidRPr="00CF4B80">
        <w:t xml:space="preserve"> </w:t>
      </w:r>
      <w:r w:rsidRPr="00CF4B80">
        <w:t>what to do where the outcome is uncertain</w:t>
      </w:r>
      <w:r w:rsidR="001B278C">
        <w:t>,</w:t>
      </w:r>
      <w:r w:rsidRPr="00CF4B80">
        <w:t xml:space="preserve"> but the relevant probabilities are</w:t>
      </w:r>
      <w:r w:rsidR="00CC0EB9">
        <w:t xml:space="preserve"> </w:t>
      </w:r>
      <w:r w:rsidRPr="00CF4B80">
        <w:t>known</w:t>
      </w:r>
      <w:r w:rsidR="006634D5">
        <w:t>?</w:t>
      </w:r>
      <w:r w:rsidR="00882559">
        <w:t xml:space="preserve"> </w:t>
      </w:r>
      <w:r w:rsidRPr="00CF4B80">
        <w:t xml:space="preserve">An example of this kind of problem is when an insurance company has to decide the premium to set for a life insurance policy or the price </w:t>
      </w:r>
      <w:r w:rsidR="00CC0EB9">
        <w:t xml:space="preserve">to charge </w:t>
      </w:r>
      <w:r w:rsidRPr="00CF4B80">
        <w:t xml:space="preserve">for an annuity for someone </w:t>
      </w:r>
      <w:r w:rsidR="008F09EA">
        <w:t>–</w:t>
      </w:r>
      <w:r w:rsidR="008F09EA" w:rsidRPr="00CF4B80">
        <w:t xml:space="preserve"> </w:t>
      </w:r>
      <w:r w:rsidRPr="00CF4B80">
        <w:t>the particular individual’s</w:t>
      </w:r>
      <w:r>
        <w:t xml:space="preserve"> </w:t>
      </w:r>
      <w:r w:rsidRPr="00CF4B80">
        <w:t xml:space="preserve">longevity is uncertain (the risk) but the average life expectancy of the individual’s population </w:t>
      </w:r>
      <w:r w:rsidR="008F09EA">
        <w:t xml:space="preserve">cohort </w:t>
      </w:r>
      <w:r w:rsidRPr="00CF4B80">
        <w:t>is known (the probability).</w:t>
      </w:r>
      <w:r>
        <w:t xml:space="preserve"> </w:t>
      </w:r>
    </w:p>
    <w:p w:rsidR="00BC0FA2" w:rsidRDefault="00CC0EB9" w:rsidP="00BC0FA2">
      <w:pPr>
        <w:pStyle w:val="BodyText"/>
      </w:pPr>
      <w:r>
        <w:t>However t</w:t>
      </w:r>
      <w:r w:rsidR="00CF4B80">
        <w:t>his theory does not solve the problem</w:t>
      </w:r>
      <w:r>
        <w:t xml:space="preserve"> </w:t>
      </w:r>
      <w:r w:rsidR="00CF4B80">
        <w:t>of choosing the regulatory and other policy frameworks in which individual transactions can occur – in the present case,</w:t>
      </w:r>
      <w:r>
        <w:t xml:space="preserve"> choosing</w:t>
      </w:r>
      <w:r w:rsidR="00CF4B80">
        <w:t xml:space="preserve"> the institutional structures needed to address the decumulation problem. </w:t>
      </w:r>
      <w:r w:rsidR="00BC0FA2">
        <w:t>Institutional choice problems are public policy problems inasmuch as the rules governing the institutions concerned are made or influenced by the government, and the consequences of institutional failure if it occurs are likely to be public policy problems themselves.</w:t>
      </w:r>
    </w:p>
    <w:p w:rsidR="00CF4B80" w:rsidRDefault="00CF4B80" w:rsidP="00CF4B80">
      <w:pPr>
        <w:pStyle w:val="BodyText"/>
      </w:pPr>
      <w:r>
        <w:t>Although the desired outcome –</w:t>
      </w:r>
      <w:r w:rsidR="006634D5">
        <w:t xml:space="preserve"> </w:t>
      </w:r>
      <w:r>
        <w:t xml:space="preserve">efficient decumulation </w:t>
      </w:r>
      <w:r w:rsidR="008F09EA">
        <w:t xml:space="preserve">– </w:t>
      </w:r>
      <w:r>
        <w:t>is known, the probabilities around how different institutional arrangements would perform over the next several decades</w:t>
      </w:r>
      <w:r w:rsidRPr="00C43417">
        <w:t xml:space="preserve"> </w:t>
      </w:r>
      <w:r>
        <w:t xml:space="preserve">are </w:t>
      </w:r>
      <w:r w:rsidRPr="000D020B">
        <w:rPr>
          <w:i/>
        </w:rPr>
        <w:t>unknown.</w:t>
      </w:r>
      <w:r>
        <w:t xml:space="preserve"> The timescales involved in matters to do with retirement are often very long – longer than the maturity of any financial instrument available in the </w:t>
      </w:r>
      <w:r w:rsidR="00BC0FA2">
        <w:t xml:space="preserve">New Zealand </w:t>
      </w:r>
      <w:r>
        <w:t>market</w:t>
      </w:r>
      <w:r w:rsidR="006634D5">
        <w:t>,</w:t>
      </w:r>
      <w:r>
        <w:t xml:space="preserve"> apart perhaps from life annuities.</w:t>
      </w:r>
      <w:r w:rsidR="00882559">
        <w:t xml:space="preserve"> </w:t>
      </w:r>
      <w:r>
        <w:t>Policy settings affecting retirement income may have ramifications for many decades into the future, during which time all manner of unforeseeable developments will occur.</w:t>
      </w:r>
      <w:r w:rsidR="00882559">
        <w:t xml:space="preserve"> </w:t>
      </w:r>
      <w:r>
        <w:t>In the face of these uncertainties</w:t>
      </w:r>
      <w:r w:rsidR="006634D5">
        <w:t>,</w:t>
      </w:r>
      <w:r>
        <w:t xml:space="preserve"> a credible calculation and comparison of the ultimate costs and benefits of alternative </w:t>
      </w:r>
      <w:r w:rsidR="00BC0FA2">
        <w:t xml:space="preserve">institutional arrangements </w:t>
      </w:r>
      <w:r>
        <w:t xml:space="preserve">is simply unfeasible, because the relevant probabilities are unknown. </w:t>
      </w:r>
      <w:proofErr w:type="gramStart"/>
      <w:r>
        <w:t>This rules</w:t>
      </w:r>
      <w:proofErr w:type="gramEnd"/>
      <w:r>
        <w:t xml:space="preserve"> out </w:t>
      </w:r>
      <w:r w:rsidRPr="005D237E">
        <w:rPr>
          <w:i/>
        </w:rPr>
        <w:t>quantitative</w:t>
      </w:r>
      <w:r>
        <w:t xml:space="preserve"> modelling of alternative institutional approaches to the decumulation problem.</w:t>
      </w:r>
      <w:r w:rsidR="00882559">
        <w:rPr>
          <w:vertAlign w:val="superscript"/>
        </w:rPr>
        <w:t xml:space="preserve"> </w:t>
      </w:r>
      <w:r>
        <w:t xml:space="preserve">Instead, </w:t>
      </w:r>
      <w:r w:rsidR="006634D5">
        <w:t xml:space="preserve">the </w:t>
      </w:r>
      <w:r>
        <w:t>issue is better addressed in a more</w:t>
      </w:r>
      <w:r w:rsidRPr="005D237E">
        <w:rPr>
          <w:i/>
        </w:rPr>
        <w:t xml:space="preserve"> qualitative</w:t>
      </w:r>
      <w:r>
        <w:t xml:space="preserve"> fashion </w:t>
      </w:r>
      <w:r w:rsidR="00C73701">
        <w:t xml:space="preserve">– </w:t>
      </w:r>
      <w:r>
        <w:t>namely, through consideration of foreseeable risks.</w:t>
      </w:r>
      <w:r w:rsidR="00882559">
        <w:t xml:space="preserve"> </w:t>
      </w:r>
      <w:r>
        <w:t>These are discussed below.</w:t>
      </w:r>
    </w:p>
    <w:p w:rsidR="00CF4B80" w:rsidRDefault="00CF4B80" w:rsidP="008A0B0A">
      <w:pPr>
        <w:pStyle w:val="Heading3"/>
      </w:pPr>
      <w:r>
        <w:t xml:space="preserve">Implications for </w:t>
      </w:r>
      <w:r w:rsidRPr="00345914">
        <w:t>individual</w:t>
      </w:r>
      <w:r>
        <w:t>s</w:t>
      </w:r>
    </w:p>
    <w:p w:rsidR="00CF4B80" w:rsidRPr="00CF4B80" w:rsidRDefault="0052592A" w:rsidP="008A0B0A">
      <w:pPr>
        <w:pStyle w:val="BodyText"/>
      </w:pPr>
      <w:r>
        <w:t>T</w:t>
      </w:r>
      <w:r w:rsidR="00CF4B80" w:rsidRPr="00CF4B80">
        <w:t xml:space="preserve">he decumulation problem </w:t>
      </w:r>
      <w:r>
        <w:t xml:space="preserve">can be decomposed </w:t>
      </w:r>
      <w:r w:rsidR="00CF4B80" w:rsidRPr="00CF4B80">
        <w:t>into its constituent risks</w:t>
      </w:r>
      <w:r>
        <w:t>. R</w:t>
      </w:r>
      <w:r w:rsidR="00CF4B80" w:rsidRPr="00CF4B80">
        <w:t>etirees with savings face three particular risks:</w:t>
      </w:r>
    </w:p>
    <w:p w:rsidR="00CF4B80" w:rsidRPr="00D54C4C" w:rsidRDefault="00FE49E9" w:rsidP="00D54C4C">
      <w:pPr>
        <w:pStyle w:val="bullet1"/>
      </w:pPr>
      <w:r>
        <w:t>l</w:t>
      </w:r>
      <w:r w:rsidR="00CF4B80" w:rsidRPr="00D54C4C">
        <w:t>ongevity risk</w:t>
      </w:r>
      <w:r w:rsidR="009E753A">
        <w:t>,</w:t>
      </w:r>
      <w:r w:rsidR="0052592A">
        <w:rPr>
          <w:rStyle w:val="FootnoteReference"/>
        </w:rPr>
        <w:footnoteReference w:id="13"/>
      </w:r>
      <w:r w:rsidR="00CF4B80" w:rsidRPr="00D54C4C">
        <w:t xml:space="preserve"> because of uncertainty around how long they will live relative to how long their savings will last</w:t>
      </w:r>
    </w:p>
    <w:p w:rsidR="00CF4B80" w:rsidRPr="006935A3" w:rsidRDefault="00FE49E9" w:rsidP="008A0B0A">
      <w:pPr>
        <w:pStyle w:val="bullet1"/>
      </w:pPr>
      <w:r>
        <w:t>i</w:t>
      </w:r>
      <w:r w:rsidR="00CF4B80">
        <w:t>nflation risk, because of uncertainty around how the value of their savings will be eroded by inflation</w:t>
      </w:r>
    </w:p>
    <w:p w:rsidR="00CF4B80" w:rsidRDefault="00FE49E9" w:rsidP="00417CF8">
      <w:pPr>
        <w:pStyle w:val="bullet1last"/>
      </w:pPr>
      <w:r>
        <w:t>i</w:t>
      </w:r>
      <w:r w:rsidR="00CF4B80">
        <w:t xml:space="preserve">nvestment risk, because of uncertainty around the reliability of the parties </w:t>
      </w:r>
      <w:r w:rsidR="00484C8A">
        <w:t xml:space="preserve">to </w:t>
      </w:r>
      <w:r w:rsidR="00CF4B80">
        <w:t>whom they entrust their savings.</w:t>
      </w:r>
    </w:p>
    <w:p w:rsidR="00CF4B80" w:rsidRDefault="00CF4B80" w:rsidP="00CF4B80">
      <w:pPr>
        <w:pStyle w:val="BodyText"/>
      </w:pPr>
      <w:r>
        <w:t>When people make decisions about their retirement income, they will behave differently according to their preferences, capacities</w:t>
      </w:r>
      <w:r w:rsidR="00AE6403">
        <w:t xml:space="preserve"> and</w:t>
      </w:r>
      <w:r>
        <w:t xml:space="preserve"> resources. Some might seek to manage their affairs according to portfolio management principles.</w:t>
      </w:r>
      <w:r w:rsidRPr="00F224B2">
        <w:rPr>
          <w:rStyle w:val="FootnoteTextChar"/>
        </w:rPr>
        <w:footnoteReference w:id="14"/>
      </w:r>
      <w:r w:rsidRPr="00EF2318">
        <w:rPr>
          <w:vertAlign w:val="superscript"/>
        </w:rPr>
        <w:t xml:space="preserve"> </w:t>
      </w:r>
      <w:r>
        <w:t xml:space="preserve">Others might choose a less structured approach. Some might begin thinking and acting long before retirement, and others might not get around to it and take things as </w:t>
      </w:r>
      <w:r>
        <w:lastRenderedPageBreak/>
        <w:t>they come. These choices are properly up to them</w:t>
      </w:r>
      <w:r w:rsidR="00FF5DCA">
        <w:t xml:space="preserve"> (though government policies often “nudge” them towards </w:t>
      </w:r>
      <w:r w:rsidR="001D3B80">
        <w:t xml:space="preserve">timely </w:t>
      </w:r>
      <w:r w:rsidR="00FF5DCA">
        <w:t>prepar</w:t>
      </w:r>
      <w:r w:rsidR="001D3B80">
        <w:t>ation</w:t>
      </w:r>
      <w:r w:rsidR="00FF5DCA">
        <w:t>, for example)</w:t>
      </w:r>
      <w:r>
        <w:t xml:space="preserve">. </w:t>
      </w:r>
      <w:r w:rsidR="00FE49E9">
        <w:t>W</w:t>
      </w:r>
      <w:r>
        <w:t xml:space="preserve">hatever </w:t>
      </w:r>
      <w:r w:rsidR="00FF5DCA">
        <w:t xml:space="preserve">individuals’ </w:t>
      </w:r>
      <w:r>
        <w:t>preferences, capacities and resources,</w:t>
      </w:r>
      <w:r w:rsidR="00095A6B">
        <w:t xml:space="preserve"> when making their choices</w:t>
      </w:r>
      <w:r>
        <w:t xml:space="preserve"> </w:t>
      </w:r>
      <w:r w:rsidR="001D3B80">
        <w:t xml:space="preserve">they </w:t>
      </w:r>
      <w:r>
        <w:t xml:space="preserve">are better off for having available at least one satisfactory option </w:t>
      </w:r>
      <w:r w:rsidR="001D3B80">
        <w:t xml:space="preserve">for </w:t>
      </w:r>
      <w:r>
        <w:t>decumulati</w:t>
      </w:r>
      <w:r w:rsidR="001D3B80">
        <w:t>ng</w:t>
      </w:r>
      <w:r>
        <w:t xml:space="preserve"> their retirement savings.</w:t>
      </w:r>
      <w:r w:rsidR="00882559">
        <w:t xml:space="preserve"> </w:t>
      </w:r>
      <w:r>
        <w:t xml:space="preserve">The public policy problem is to ensure that they do have such an option </w:t>
      </w:r>
      <w:r w:rsidR="00FE49E9">
        <w:t xml:space="preserve">that is </w:t>
      </w:r>
      <w:r>
        <w:t>also satisfactory for the government</w:t>
      </w:r>
      <w:r w:rsidR="00484C8A">
        <w:t>; ie, that supports the aims of KiwiSaver</w:t>
      </w:r>
      <w:r>
        <w:t xml:space="preserve">. </w:t>
      </w:r>
    </w:p>
    <w:p w:rsidR="008A0B0A" w:rsidRDefault="00191B2D" w:rsidP="008A0B0A">
      <w:pPr>
        <w:pStyle w:val="Heading1"/>
      </w:pPr>
      <w:r>
        <w:br w:type="page"/>
      </w:r>
      <w:bookmarkStart w:id="9" w:name="_Toc353530011"/>
      <w:r w:rsidR="008A0B0A">
        <w:lastRenderedPageBreak/>
        <w:t>T</w:t>
      </w:r>
      <w:r w:rsidR="008A0B0A" w:rsidRPr="003E0DF5">
        <w:t xml:space="preserve">he problem </w:t>
      </w:r>
      <w:r w:rsidR="008A0B0A">
        <w:t>in detail</w:t>
      </w:r>
      <w:bookmarkEnd w:id="9"/>
    </w:p>
    <w:p w:rsidR="008A0B0A" w:rsidRDefault="004B731A" w:rsidP="008A0B0A">
      <w:r>
        <w:rPr>
          <w:noProof/>
          <w:lang w:val="en-NZ"/>
        </w:rPr>
        <mc:AlternateContent>
          <mc:Choice Requires="wps">
            <w:drawing>
              <wp:anchor distT="0" distB="0" distL="114300" distR="114300" simplePos="0" relativeHeight="251658240" behindDoc="0" locked="0" layoutInCell="1" allowOverlap="1" wp14:anchorId="6829DDD9" wp14:editId="2930AD5E">
                <wp:simplePos x="0" y="0"/>
                <wp:positionH relativeFrom="column">
                  <wp:posOffset>0</wp:posOffset>
                </wp:positionH>
                <wp:positionV relativeFrom="paragraph">
                  <wp:posOffset>18415</wp:posOffset>
                </wp:positionV>
                <wp:extent cx="5438775" cy="0"/>
                <wp:effectExtent l="9525" t="8890" r="9525" b="10160"/>
                <wp:wrapNone/>
                <wp:docPr id="10" name="Lin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8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5pt" to="428.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BgFQ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"/>
            </w:pict>
          </mc:Fallback>
        </mc:AlternateContent>
      </w:r>
    </w:p>
    <w:p w:rsidR="008A0B0A" w:rsidRPr="003E0DF5" w:rsidRDefault="008A0B0A" w:rsidP="008A0B0A">
      <w:pPr>
        <w:pStyle w:val="BodyText"/>
      </w:pPr>
      <w:r>
        <w:t>This part of the paper looks at key risks that are drivers of the decumulation problem, namely uncertainties around how long a retiree will live, and what might happen to their retirement savings during their retirement.</w:t>
      </w:r>
    </w:p>
    <w:p w:rsidR="008A0B0A" w:rsidRDefault="008A0B0A" w:rsidP="008A0B0A">
      <w:pPr>
        <w:pStyle w:val="Heading2"/>
      </w:pPr>
      <w:bookmarkStart w:id="10" w:name="_Toc353530012"/>
      <w:r w:rsidRPr="003E0DF5">
        <w:t>Longevity and inflation risks and their consequences</w:t>
      </w:r>
      <w:bookmarkEnd w:id="10"/>
    </w:p>
    <w:p w:rsidR="008A0B0A" w:rsidRPr="009173E6" w:rsidRDefault="008A0B0A" w:rsidP="008A0B0A">
      <w:pPr>
        <w:pStyle w:val="BodyText"/>
      </w:pPr>
      <w:r>
        <w:t xml:space="preserve">Individuals with accumulated </w:t>
      </w:r>
      <w:r w:rsidRPr="009173E6">
        <w:t>capital</w:t>
      </w:r>
      <w:r>
        <w:t xml:space="preserve"> (whether achieved through KiwiSaver or otherwise)</w:t>
      </w:r>
      <w:r w:rsidRPr="009173E6">
        <w:t xml:space="preserve"> for consumption in their retirement</w:t>
      </w:r>
      <w:r>
        <w:t xml:space="preserve"> have </w:t>
      </w:r>
      <w:r w:rsidRPr="009173E6">
        <w:t>to manage that capital in the face of uncertain longevity</w:t>
      </w:r>
      <w:r w:rsidR="00F53FEA">
        <w:t xml:space="preserve">. </w:t>
      </w:r>
      <w:r>
        <w:t>It is risky to b</w:t>
      </w:r>
      <w:r w:rsidRPr="00994F30">
        <w:t>as</w:t>
      </w:r>
      <w:r>
        <w:t xml:space="preserve">e your </w:t>
      </w:r>
      <w:r w:rsidRPr="00994F30">
        <w:t>decumulation</w:t>
      </w:r>
      <w:r>
        <w:t xml:space="preserve"> </w:t>
      </w:r>
      <w:r w:rsidRPr="00994F30">
        <w:t xml:space="preserve">strategy </w:t>
      </w:r>
      <w:r>
        <w:t xml:space="preserve">in retirement </w:t>
      </w:r>
      <w:r w:rsidRPr="00994F30">
        <w:t xml:space="preserve">on </w:t>
      </w:r>
      <w:r w:rsidRPr="009173E6">
        <w:t xml:space="preserve">the assumption that </w:t>
      </w:r>
      <w:r>
        <w:t xml:space="preserve">you </w:t>
      </w:r>
      <w:r w:rsidRPr="009173E6">
        <w:t xml:space="preserve">will live </w:t>
      </w:r>
      <w:r>
        <w:t xml:space="preserve">for </w:t>
      </w:r>
      <w:r w:rsidRPr="009173E6">
        <w:t xml:space="preserve">exactly </w:t>
      </w:r>
      <w:r>
        <w:t>as long as your</w:t>
      </w:r>
      <w:r w:rsidRPr="009173E6">
        <w:t xml:space="preserve"> life expectancy</w:t>
      </w:r>
      <w:r>
        <w:t>, because although your life expectancy is known</w:t>
      </w:r>
      <w:r w:rsidR="00746212">
        <w:t>, or thought to be known,</w:t>
      </w:r>
      <w:r w:rsidRPr="00F978E1">
        <w:rPr>
          <w:rStyle w:val="FootnoteReference"/>
        </w:rPr>
        <w:t xml:space="preserve"> </w:t>
      </w:r>
      <w:r>
        <w:t>your actual longevity is not.</w:t>
      </w:r>
      <w:r w:rsidR="00882559">
        <w:t xml:space="preserve"> </w:t>
      </w:r>
      <w:r>
        <w:t>I</w:t>
      </w:r>
      <w:r w:rsidRPr="009173E6">
        <w:t>f you live longer than</w:t>
      </w:r>
      <w:r>
        <w:t xml:space="preserve"> you expected and planned for, you run out of savings and your living standard then drops</w:t>
      </w:r>
      <w:r w:rsidR="009E753A">
        <w:t>.</w:t>
      </w:r>
      <w:r w:rsidR="00F53FEA">
        <w:rPr>
          <w:rStyle w:val="FootnoteReference"/>
        </w:rPr>
        <w:footnoteReference w:id="15"/>
      </w:r>
      <w:r w:rsidR="00882559">
        <w:t xml:space="preserve"> </w:t>
      </w:r>
      <w:r w:rsidR="00F53FEA">
        <w:t>Conversely, i</w:t>
      </w:r>
      <w:r w:rsidRPr="009173E6">
        <w:t>f you die earlier than</w:t>
      </w:r>
      <w:r>
        <w:t xml:space="preserve"> you planned for</w:t>
      </w:r>
      <w:r w:rsidRPr="009173E6">
        <w:t xml:space="preserve">, you </w:t>
      </w:r>
      <w:r>
        <w:t>lived less well than you could have and</w:t>
      </w:r>
      <w:r w:rsidR="004A7086">
        <w:t xml:space="preserve"> you</w:t>
      </w:r>
      <w:r>
        <w:t xml:space="preserve"> </w:t>
      </w:r>
      <w:r w:rsidRPr="009173E6">
        <w:t xml:space="preserve">leave </w:t>
      </w:r>
      <w:r w:rsidR="00F53FEA">
        <w:t xml:space="preserve">behind </w:t>
      </w:r>
      <w:r w:rsidRPr="009173E6">
        <w:t xml:space="preserve">an unintended bequest. </w:t>
      </w:r>
    </w:p>
    <w:p w:rsidR="008A0B0A" w:rsidRDefault="008A0B0A" w:rsidP="008A0B0A">
      <w:pPr>
        <w:pStyle w:val="BodyText"/>
      </w:pPr>
      <w:r>
        <w:t xml:space="preserve">Retirees also face the risk of their real income diminishing over time because their money diminishes in value </w:t>
      </w:r>
      <w:r w:rsidR="00D8027E">
        <w:t xml:space="preserve">– </w:t>
      </w:r>
      <w:r>
        <w:t xml:space="preserve">the </w:t>
      </w:r>
      <w:r w:rsidRPr="00101A08">
        <w:rPr>
          <w:i/>
        </w:rPr>
        <w:t>inflation risk</w:t>
      </w:r>
      <w:r>
        <w:t>.</w:t>
      </w:r>
      <w:r w:rsidR="00882559">
        <w:t xml:space="preserve"> </w:t>
      </w:r>
      <w:r>
        <w:t>The amount of consumption that pension or annuity payments can buy diminishes in line with price inflation, except to the extent (if any) that those payments are indexed to inflation.</w:t>
      </w:r>
      <w:r w:rsidR="00882559">
        <w:t xml:space="preserve"> </w:t>
      </w:r>
      <w:r>
        <w:t>The compounding effect of price inflation over a typical retirement span is not trivial.</w:t>
      </w:r>
      <w:r w:rsidR="00882559">
        <w:t xml:space="preserve"> </w:t>
      </w:r>
      <w:r>
        <w:t xml:space="preserve">Assuming </w:t>
      </w:r>
      <w:r w:rsidR="00746212">
        <w:t xml:space="preserve">three </w:t>
      </w:r>
      <w:r>
        <w:t xml:space="preserve">percent inflation a year, over a period of 15 years (from age 65 to 80, for example) each dollar loses 36 percent of its buying power. </w:t>
      </w:r>
    </w:p>
    <w:p w:rsidR="008A0B0A" w:rsidRDefault="008A0B0A" w:rsidP="008A0B0A">
      <w:pPr>
        <w:pStyle w:val="BodyText"/>
      </w:pPr>
      <w:r>
        <w:t>Even if a retiree’s pension or annuity is fully indexed to price inflation, over time its value relative to average wages will fall</w:t>
      </w:r>
      <w:r w:rsidR="001B278C">
        <w:t xml:space="preserve">. That is </w:t>
      </w:r>
      <w:r>
        <w:t>because</w:t>
      </w:r>
      <w:r w:rsidR="001B278C">
        <w:t>,</w:t>
      </w:r>
      <w:r>
        <w:t xml:space="preserve"> over time</w:t>
      </w:r>
      <w:r w:rsidR="001B278C">
        <w:t>,</w:t>
      </w:r>
      <w:r>
        <w:t xml:space="preserve"> average wages rise faster than the general price level.</w:t>
      </w:r>
      <w:r w:rsidR="00882559">
        <w:t xml:space="preserve"> </w:t>
      </w:r>
      <w:r>
        <w:t xml:space="preserve">So the retiree’s standard of living will fall relative to the average of people still earning, and his or her ability to participate fully in society will </w:t>
      </w:r>
      <w:r w:rsidR="00D44432">
        <w:t xml:space="preserve">decline </w:t>
      </w:r>
      <w:r>
        <w:t>correspondingly.</w:t>
      </w:r>
      <w:r w:rsidRPr="00C94ED5">
        <w:rPr>
          <w:rStyle w:val="FootnoteReference"/>
        </w:rPr>
        <w:footnoteReference w:id="16"/>
      </w:r>
      <w:r w:rsidR="00882559">
        <w:t xml:space="preserve"> </w:t>
      </w:r>
      <w:r>
        <w:t>Assuming that real wages</w:t>
      </w:r>
      <w:r w:rsidR="00746212">
        <w:t xml:space="preserve"> (ie, </w:t>
      </w:r>
      <w:r w:rsidR="001B278C">
        <w:t xml:space="preserve">wages </w:t>
      </w:r>
      <w:r w:rsidR="00746212">
        <w:t>after adjusting their value for price inflation)</w:t>
      </w:r>
      <w:r w:rsidR="00882559">
        <w:rPr>
          <w:vertAlign w:val="superscript"/>
        </w:rPr>
        <w:t xml:space="preserve"> </w:t>
      </w:r>
      <w:r>
        <w:t xml:space="preserve">rise by only </w:t>
      </w:r>
      <w:r w:rsidR="00746212">
        <w:t xml:space="preserve">two </w:t>
      </w:r>
      <w:r>
        <w:t>percent a year, over 15 years a pension that is fully indexed to price inflation will shrink 24 percent relative to average wages.</w:t>
      </w:r>
    </w:p>
    <w:p w:rsidR="008A0B0A" w:rsidRDefault="008A0B0A" w:rsidP="008A0B0A">
      <w:pPr>
        <w:pStyle w:val="Heading2"/>
      </w:pPr>
      <w:bookmarkStart w:id="11" w:name="_Toc353530013"/>
      <w:r w:rsidRPr="003E0DF5">
        <w:t>Investment risk</w:t>
      </w:r>
      <w:r>
        <w:t>s</w:t>
      </w:r>
      <w:bookmarkEnd w:id="11"/>
    </w:p>
    <w:p w:rsidR="008A0B0A" w:rsidRDefault="008A0B0A" w:rsidP="008A0B0A">
      <w:pPr>
        <w:pStyle w:val="BodyText"/>
        <w:rPr>
          <w:vertAlign w:val="superscript"/>
        </w:rPr>
      </w:pPr>
      <w:r>
        <w:t>Every investment (except investing in debt repayment) involves risk.</w:t>
      </w:r>
      <w:r w:rsidR="00882559">
        <w:t xml:space="preserve"> </w:t>
      </w:r>
      <w:r w:rsidR="004A7086">
        <w:t xml:space="preserve">Many </w:t>
      </w:r>
      <w:r>
        <w:t>financial institutions have collapsed with little or no warning, causing losses to depositors and shareholders.</w:t>
      </w:r>
      <w:r w:rsidR="00882559">
        <w:t xml:space="preserve"> </w:t>
      </w:r>
      <w:r>
        <w:t>The least risky financial investments (apart from paying down debt</w:t>
      </w:r>
      <w:r w:rsidR="000328EC">
        <w:rPr>
          <w:rStyle w:val="FootnoteReference"/>
        </w:rPr>
        <w:footnoteReference w:id="17"/>
      </w:r>
      <w:r>
        <w:t>) are those guaranteed by the New Zealand government.</w:t>
      </w:r>
      <w:r w:rsidR="00882559">
        <w:t xml:space="preserve"> </w:t>
      </w:r>
      <w:r>
        <w:t>Examples include government stock (because both capital and interest are guaranteed) and some investments offered by the Public Trust Office.</w:t>
      </w:r>
      <w:r w:rsidR="00882559">
        <w:t xml:space="preserve"> </w:t>
      </w:r>
      <w:r>
        <w:t>Those avenues of investment may for practical purposes be regarded as risk-free</w:t>
      </w:r>
      <w:r w:rsidR="00746212">
        <w:t xml:space="preserve"> </w:t>
      </w:r>
      <w:r w:rsidR="00781526">
        <w:t xml:space="preserve">with respect to investment risk, </w:t>
      </w:r>
      <w:r w:rsidR="00746212">
        <w:t xml:space="preserve">but they do not address the </w:t>
      </w:r>
      <w:r w:rsidR="00E13499">
        <w:t xml:space="preserve">other elements of the </w:t>
      </w:r>
      <w:r w:rsidR="00746212">
        <w:t>decumulation problem</w:t>
      </w:r>
      <w:r w:rsidR="00E13499">
        <w:t>, namely the longevity and inflation risks.</w:t>
      </w:r>
      <w:r w:rsidRPr="00F24F1B">
        <w:rPr>
          <w:rStyle w:val="FootnoteReference"/>
        </w:rPr>
        <w:t xml:space="preserve"> </w:t>
      </w:r>
    </w:p>
    <w:p w:rsidR="008A0B0A" w:rsidRDefault="008A0B0A" w:rsidP="008A0B0A">
      <w:pPr>
        <w:pStyle w:val="BodyText"/>
      </w:pPr>
      <w:r>
        <w:lastRenderedPageBreak/>
        <w:t>R</w:t>
      </w:r>
      <w:r w:rsidRPr="003E0DF5">
        <w:t>etiree</w:t>
      </w:r>
      <w:r>
        <w:t>s</w:t>
      </w:r>
      <w:r w:rsidRPr="003E0DF5">
        <w:t xml:space="preserve"> </w:t>
      </w:r>
      <w:r>
        <w:t xml:space="preserve">with capital may </w:t>
      </w:r>
      <w:r w:rsidRPr="003E0DF5">
        <w:t xml:space="preserve">manage </w:t>
      </w:r>
      <w:r>
        <w:t>their investments themselves, or may contract the portfolio management out.</w:t>
      </w:r>
      <w:r w:rsidR="00882559">
        <w:t xml:space="preserve"> </w:t>
      </w:r>
      <w:r>
        <w:t>Both options present significant costs and risks:</w:t>
      </w:r>
    </w:p>
    <w:p w:rsidR="008A0B0A" w:rsidRDefault="00FE49E9" w:rsidP="008A0B0A">
      <w:pPr>
        <w:pStyle w:val="bullet1"/>
      </w:pPr>
      <w:r>
        <w:t>s</w:t>
      </w:r>
      <w:r w:rsidR="008A0B0A">
        <w:t xml:space="preserve">uccessfully self-managing a savings portfolio requires both financial expertise and continuing adequate mental capacity </w:t>
      </w:r>
    </w:p>
    <w:p w:rsidR="008A0B0A" w:rsidRDefault="00FE49E9" w:rsidP="00FE49E9">
      <w:pPr>
        <w:pStyle w:val="bullet1last"/>
      </w:pPr>
      <w:r>
        <w:t>s</w:t>
      </w:r>
      <w:r w:rsidR="008A0B0A">
        <w:t>uccessfully contracting out the management</w:t>
      </w:r>
      <w:r w:rsidR="008A0B0A" w:rsidRPr="00CC7A83">
        <w:t xml:space="preserve"> </w:t>
      </w:r>
      <w:r w:rsidR="008A0B0A">
        <w:t>of a savings portfolio requires continuing ability to monitor the investment manager and to take prompt and effective action if necessary to challenge or change unwise, opportunistic or dishonest management</w:t>
      </w:r>
      <w:r w:rsidR="00D8027E">
        <w:t>,</w:t>
      </w:r>
      <w:r w:rsidR="008A0B0A">
        <w:t xml:space="preserve"> assuming that the need to do so is discovered in time. </w:t>
      </w:r>
    </w:p>
    <w:p w:rsidR="008A0B0A" w:rsidRDefault="008A0B0A" w:rsidP="008A0B0A">
      <w:pPr>
        <w:pStyle w:val="BodyText"/>
      </w:pPr>
      <w:r>
        <w:t>These abilities are frequently compromised by advancing age</w:t>
      </w:r>
      <w:r w:rsidR="002F41D1">
        <w:t xml:space="preserve"> (Callaway, 2010)</w:t>
      </w:r>
      <w:r>
        <w:t>.</w:t>
      </w:r>
      <w:r w:rsidR="00882559">
        <w:rPr>
          <w:rStyle w:val="FootnoteReference"/>
        </w:rPr>
        <w:t xml:space="preserve"> </w:t>
      </w:r>
      <w:r>
        <w:t>The risks involved in managing investments therefore tend to increase with age, as well as accumulating simply with the passage of time.</w:t>
      </w:r>
      <w:r w:rsidRPr="00122267">
        <w:rPr>
          <w:rStyle w:val="FootnoteReference"/>
        </w:rPr>
        <w:footnoteReference w:id="18"/>
      </w:r>
      <w:r w:rsidRPr="00F85668">
        <w:t xml:space="preserve"> </w:t>
      </w:r>
      <w:r>
        <w:t>A mistake or oversight, or just bad luck</w:t>
      </w:r>
      <w:r w:rsidR="00F21A59">
        <w:t>,</w:t>
      </w:r>
      <w:r>
        <w:t xml:space="preserve"> can have irretrievable consequences for a retiree’s standard of living. </w:t>
      </w:r>
    </w:p>
    <w:p w:rsidR="008A0B0A" w:rsidRDefault="008A0B0A" w:rsidP="008A0B0A">
      <w:pPr>
        <w:pStyle w:val="Heading2"/>
      </w:pPr>
      <w:bookmarkStart w:id="12" w:name="_Toc353530014"/>
      <w:r w:rsidRPr="00E943CA">
        <w:t>Investment options for retirement income</w:t>
      </w:r>
      <w:bookmarkEnd w:id="12"/>
    </w:p>
    <w:p w:rsidR="008A0B0A" w:rsidRPr="00E943CA" w:rsidRDefault="008A0B0A" w:rsidP="008A0B0A">
      <w:pPr>
        <w:pStyle w:val="BodyText"/>
      </w:pPr>
      <w:r w:rsidRPr="00E943CA">
        <w:t xml:space="preserve">Investment options </w:t>
      </w:r>
      <w:r w:rsidR="00FE171E">
        <w:t xml:space="preserve">that produce a stream of </w:t>
      </w:r>
      <w:r w:rsidRPr="00E943CA">
        <w:t>retirement income are few.</w:t>
      </w:r>
      <w:r w:rsidR="00882559">
        <w:t xml:space="preserve"> </w:t>
      </w:r>
      <w:r w:rsidRPr="00E943CA">
        <w:t xml:space="preserve">A </w:t>
      </w:r>
      <w:r>
        <w:t xml:space="preserve">small and </w:t>
      </w:r>
      <w:r w:rsidRPr="00E943CA">
        <w:t xml:space="preserve">diminishing number of New Zealanders are invested in pensions or annuities, and </w:t>
      </w:r>
      <w:r>
        <w:t xml:space="preserve">a few </w:t>
      </w:r>
      <w:r w:rsidRPr="00E943CA">
        <w:t>are invested in home equity conversion schemes.</w:t>
      </w:r>
      <w:r w:rsidRPr="00D75EF3">
        <w:rPr>
          <w:rStyle w:val="FootnoteReference"/>
          <w:rFonts w:cs="Times New Roman"/>
          <w:b/>
          <w:bCs/>
          <w:szCs w:val="22"/>
        </w:rPr>
        <w:footnoteReference w:id="19"/>
      </w:r>
    </w:p>
    <w:p w:rsidR="008A0B0A" w:rsidRPr="008A0B0A" w:rsidRDefault="008A0B0A" w:rsidP="008A0B0A">
      <w:pPr>
        <w:pStyle w:val="Heading3"/>
      </w:pPr>
      <w:r w:rsidRPr="008A0B0A">
        <w:t>Pensions</w:t>
      </w:r>
    </w:p>
    <w:p w:rsidR="008A0B0A" w:rsidRPr="00BB0F35" w:rsidRDefault="008A0B0A" w:rsidP="008A0B0A">
      <w:pPr>
        <w:pStyle w:val="BodyText"/>
        <w:rPr>
          <w:vertAlign w:val="superscript"/>
        </w:rPr>
      </w:pPr>
      <w:r>
        <w:t>Employment-related p</w:t>
      </w:r>
      <w:r w:rsidRPr="00994F30">
        <w:t>ension schemes</w:t>
      </w:r>
      <w:r>
        <w:t xml:space="preserve"> that pay an annuity for the life</w:t>
      </w:r>
      <w:r w:rsidRPr="00994F30">
        <w:t>time of the pensio</w:t>
      </w:r>
      <w:r>
        <w:t>ner (and maybe his or her spouse)</w:t>
      </w:r>
      <w:r w:rsidRPr="00994F30">
        <w:t xml:space="preserve"> </w:t>
      </w:r>
      <w:r>
        <w:t>are becoming increasingly rare.</w:t>
      </w:r>
      <w:r w:rsidRPr="00BB0F35">
        <w:rPr>
          <w:rStyle w:val="FootnoteReference"/>
        </w:rPr>
        <w:footnoteReference w:id="20"/>
      </w:r>
      <w:r>
        <w:t xml:space="preserve"> This follows </w:t>
      </w:r>
      <w:r>
        <w:rPr>
          <w:rFonts w:ascii="Arial Mäori" w:hAnsi="Arial Mäori"/>
        </w:rPr>
        <w:t xml:space="preserve">changes to superannuation scheme taxation in the late </w:t>
      </w:r>
      <w:r w:rsidR="00D8027E">
        <w:rPr>
          <w:rFonts w:ascii="Arial Mäori" w:hAnsi="Arial Mäori"/>
        </w:rPr>
        <w:t>1980s that</w:t>
      </w:r>
      <w:r>
        <w:rPr>
          <w:rFonts w:ascii="Arial Mäori" w:hAnsi="Arial Mäori"/>
        </w:rPr>
        <w:t xml:space="preserve"> did away with</w:t>
      </w:r>
      <w:r w:rsidRPr="00D8027E">
        <w:rPr>
          <w:rFonts w:ascii="Arial Mäori" w:hAnsi="Arial Mäori"/>
          <w:lang w:val="en-NZ"/>
        </w:rPr>
        <w:t xml:space="preserve"> favourable</w:t>
      </w:r>
      <w:r>
        <w:rPr>
          <w:rFonts w:ascii="Arial Mäori" w:hAnsi="Arial Mäori"/>
        </w:rPr>
        <w:t xml:space="preserve"> tax treatment of these schemes.</w:t>
      </w:r>
      <w:r w:rsidR="00882559">
        <w:rPr>
          <w:rFonts w:ascii="Arial Mäori" w:hAnsi="Arial Mäori"/>
        </w:rPr>
        <w:t xml:space="preserve"> </w:t>
      </w:r>
      <w:r>
        <w:rPr>
          <w:rFonts w:ascii="Arial Mäori" w:hAnsi="Arial Mäori"/>
        </w:rPr>
        <w:t xml:space="preserve">Subsequently, public and private sector employers moved to limit their </w:t>
      </w:r>
      <w:r w:rsidR="0012223E">
        <w:rPr>
          <w:rFonts w:ascii="Arial Mäori" w:hAnsi="Arial Mäori"/>
        </w:rPr>
        <w:t xml:space="preserve">pension </w:t>
      </w:r>
      <w:r>
        <w:rPr>
          <w:rFonts w:ascii="Arial Mäori" w:hAnsi="Arial Mäori"/>
        </w:rPr>
        <w:t>liabilities by closing their defined benefit schemes to new entrants.</w:t>
      </w:r>
      <w:r w:rsidR="00882559">
        <w:rPr>
          <w:rFonts w:ascii="Arial Mäori" w:hAnsi="Arial Mäori"/>
        </w:rPr>
        <w:t xml:space="preserve"> </w:t>
      </w:r>
    </w:p>
    <w:p w:rsidR="008A0B0A" w:rsidRPr="008A0B0A" w:rsidRDefault="008A0B0A" w:rsidP="008A0B0A">
      <w:pPr>
        <w:pStyle w:val="Heading3"/>
      </w:pPr>
      <w:r w:rsidRPr="008A0B0A">
        <w:t>Annuities</w:t>
      </w:r>
    </w:p>
    <w:p w:rsidR="008A0B0A" w:rsidRDefault="008A0B0A" w:rsidP="008A0B0A">
      <w:pPr>
        <w:pStyle w:val="BodyText"/>
      </w:pPr>
      <w:r>
        <w:t xml:space="preserve">The Retirement Commissioner </w:t>
      </w:r>
      <w:r w:rsidR="00B67604">
        <w:t>(2007, p</w:t>
      </w:r>
      <w:r w:rsidR="00C766E5">
        <w:t xml:space="preserve"> </w:t>
      </w:r>
      <w:r w:rsidR="00B67604">
        <w:t xml:space="preserve">73) </w:t>
      </w:r>
      <w:r>
        <w:t>has observed that many of the barriers to annuity supply and demand stem from two inescapable issues: the significant uncertainty of longevity risk and the small size of the New Zealand market.</w:t>
      </w:r>
      <w:r w:rsidR="00882559">
        <w:t xml:space="preserve"> </w:t>
      </w:r>
      <w:r>
        <w:t>The implication is that the market, without some form of government intervention, will fail to supply annuities that would solve, or substantially solve, the decumulation problem.</w:t>
      </w:r>
    </w:p>
    <w:p w:rsidR="008A0B0A" w:rsidRDefault="008A0B0A" w:rsidP="008A0B0A">
      <w:pPr>
        <w:pStyle w:val="BodyText"/>
      </w:pPr>
      <w:r>
        <w:t xml:space="preserve">The tax treatment of annuities may be a contributory factor. The 2009 Capital Market Development Taskforce report </w:t>
      </w:r>
      <w:r w:rsidR="00051C27">
        <w:t>(2009, p</w:t>
      </w:r>
      <w:r w:rsidR="00C766E5">
        <w:t xml:space="preserve"> </w:t>
      </w:r>
      <w:r w:rsidR="00CA3CB0">
        <w:t xml:space="preserve">107) </w:t>
      </w:r>
      <w:r>
        <w:t>said:</w:t>
      </w:r>
    </w:p>
    <w:p w:rsidR="008A0B0A" w:rsidRDefault="008A0B0A" w:rsidP="008A0B0A">
      <w:pPr>
        <w:pStyle w:val="Quote1"/>
      </w:pPr>
      <w:r w:rsidRPr="00306F42">
        <w:t>The Taskforce is concerned that tax rules may be</w:t>
      </w:r>
      <w:r>
        <w:t xml:space="preserve"> </w:t>
      </w:r>
      <w:r w:rsidRPr="00306F42">
        <w:t>discouraging the development of an active annuities</w:t>
      </w:r>
      <w:r>
        <w:t xml:space="preserve"> </w:t>
      </w:r>
      <w:r w:rsidRPr="00306F42">
        <w:t xml:space="preserve">market in New Zealand. </w:t>
      </w:r>
      <w:r>
        <w:t xml:space="preserve">… </w:t>
      </w:r>
      <w:r w:rsidRPr="00A03704">
        <w:t>Currently, investment income from purchased annuities is</w:t>
      </w:r>
      <w:r>
        <w:t xml:space="preserve"> </w:t>
      </w:r>
      <w:r w:rsidRPr="00A03704">
        <w:t xml:space="preserve">taxed to the </w:t>
      </w:r>
      <w:r w:rsidRPr="00A03704">
        <w:lastRenderedPageBreak/>
        <w:t>issuer at the company tax rate of 30 percent.</w:t>
      </w:r>
      <w:r w:rsidR="00484C8A">
        <w:rPr>
          <w:rStyle w:val="FootnoteReference"/>
        </w:rPr>
        <w:footnoteReference w:id="21"/>
      </w:r>
      <w:r w:rsidR="00882559">
        <w:t xml:space="preserve"> </w:t>
      </w:r>
      <w:r w:rsidRPr="00A03704">
        <w:t>No further tax is paid by the annuitant. It is likely that many</w:t>
      </w:r>
      <w:r>
        <w:t xml:space="preserve"> </w:t>
      </w:r>
      <w:r w:rsidRPr="00A03704">
        <w:t>retired people who could potentially invest in annuities</w:t>
      </w:r>
      <w:r>
        <w:t xml:space="preserve"> </w:t>
      </w:r>
      <w:r w:rsidRPr="00A03704">
        <w:t>would be on the 12.5 percent or 21 percent tax rates</w:t>
      </w:r>
      <w:r w:rsidR="00F224B2">
        <w:t>.</w:t>
      </w:r>
      <w:r w:rsidRPr="00F224B2">
        <w:rPr>
          <w:rStyle w:val="FootnoteReference"/>
          <w:i w:val="0"/>
        </w:rPr>
        <w:footnoteReference w:id="22"/>
      </w:r>
      <w:r w:rsidRPr="00A03704">
        <w:t xml:space="preserve"> There is,</w:t>
      </w:r>
      <w:r>
        <w:t xml:space="preserve"> </w:t>
      </w:r>
      <w:r w:rsidRPr="00A03704">
        <w:t>therefore, a tax disincentive to invest in annuities for persons</w:t>
      </w:r>
      <w:r>
        <w:t xml:space="preserve"> </w:t>
      </w:r>
      <w:r w:rsidRPr="00A03704">
        <w:t>on those tax rates</w:t>
      </w:r>
      <w:r>
        <w:t>..</w:t>
      </w:r>
      <w:r w:rsidRPr="00A03704">
        <w:t>. This</w:t>
      </w:r>
      <w:r>
        <w:t xml:space="preserve"> </w:t>
      </w:r>
      <w:r w:rsidRPr="00A03704">
        <w:t>tax treatment could be discouraging investment in annuities,</w:t>
      </w:r>
      <w:r>
        <w:t xml:space="preserve"> </w:t>
      </w:r>
      <w:r w:rsidRPr="00A03704">
        <w:t>and is one explanation for the low take-up of annuities</w:t>
      </w:r>
      <w:r>
        <w:t xml:space="preserve">… </w:t>
      </w:r>
      <w:r w:rsidRPr="00C32A24">
        <w:t>The Taskforce considers that in addressing this</w:t>
      </w:r>
      <w:r>
        <w:t xml:space="preserve"> </w:t>
      </w:r>
      <w:r w:rsidRPr="00C32A24">
        <w:t>problem, any solution should attempt to treat</w:t>
      </w:r>
      <w:r>
        <w:t xml:space="preserve"> </w:t>
      </w:r>
      <w:r w:rsidRPr="00C32A24">
        <w:t>annuities in a similar manner to other substitutable</w:t>
      </w:r>
      <w:r>
        <w:t xml:space="preserve"> </w:t>
      </w:r>
      <w:r w:rsidRPr="00C32A24">
        <w:t>investments</w:t>
      </w:r>
      <w:r w:rsidR="00051C27">
        <w:t>….</w:t>
      </w:r>
      <w:r w:rsidRPr="00C32A24">
        <w:rPr>
          <w:rStyle w:val="FootnoteReference"/>
          <w:szCs w:val="20"/>
        </w:rPr>
        <w:t xml:space="preserve"> </w:t>
      </w:r>
      <w:r w:rsidRPr="003E1070">
        <w:t>It is noted that this issue is on the government’s tax</w:t>
      </w:r>
      <w:r>
        <w:t xml:space="preserve"> </w:t>
      </w:r>
      <w:r w:rsidRPr="003E1070">
        <w:t>policy work programme, but has been deferred.</w:t>
      </w:r>
    </w:p>
    <w:p w:rsidR="0012223E" w:rsidRDefault="008A0B0A" w:rsidP="008A0B0A">
      <w:pPr>
        <w:pStyle w:val="BodyText"/>
      </w:pPr>
      <w:r>
        <w:t>Other contributory factors may include:</w:t>
      </w:r>
      <w:r w:rsidRPr="00430F2A">
        <w:t xml:space="preserve"> </w:t>
      </w:r>
    </w:p>
    <w:p w:rsidR="0012223E" w:rsidRDefault="008A0B0A" w:rsidP="004B731A">
      <w:pPr>
        <w:pStyle w:val="bullet1last"/>
      </w:pPr>
      <w:r>
        <w:t>the selection effect</w:t>
      </w:r>
      <w:r w:rsidR="00406F1A">
        <w:t xml:space="preserve"> (</w:t>
      </w:r>
      <w:r w:rsidR="001B278C">
        <w:t>‘</w:t>
      </w:r>
      <w:r w:rsidR="00406F1A">
        <w:t>adverse selection</w:t>
      </w:r>
      <w:r w:rsidR="001B278C">
        <w:t>’</w:t>
      </w:r>
      <w:r w:rsidR="00406F1A">
        <w:t>)</w:t>
      </w:r>
      <w:r>
        <w:t>, described below</w:t>
      </w:r>
    </w:p>
    <w:p w:rsidR="0012223E" w:rsidRDefault="008A0B0A" w:rsidP="004B731A">
      <w:pPr>
        <w:pStyle w:val="bullet1last"/>
      </w:pPr>
      <w:r>
        <w:t xml:space="preserve"> lack of inflation protection</w:t>
      </w:r>
      <w:r w:rsidRPr="00BB0F35">
        <w:rPr>
          <w:rStyle w:val="FootnoteReference"/>
        </w:rPr>
        <w:footnoteReference w:id="23"/>
      </w:r>
      <w:r w:rsidR="00882559">
        <w:t xml:space="preserve"> </w:t>
      </w:r>
    </w:p>
    <w:p w:rsidR="0012223E" w:rsidRDefault="008A0B0A" w:rsidP="004B731A">
      <w:pPr>
        <w:pStyle w:val="bullet1last"/>
      </w:pPr>
      <w:r w:rsidRPr="00430F2A">
        <w:t xml:space="preserve">lack of </w:t>
      </w:r>
      <w:r>
        <w:t>understanding of annuities products</w:t>
      </w:r>
    </w:p>
    <w:p w:rsidR="0012223E" w:rsidRDefault="008A0B0A" w:rsidP="004B731A">
      <w:pPr>
        <w:pStyle w:val="bullet1last"/>
      </w:pPr>
      <w:r w:rsidRPr="00430F2A">
        <w:t xml:space="preserve">their administrative cost (although this </w:t>
      </w:r>
      <w:r w:rsidR="005D650F">
        <w:t xml:space="preserve">is </w:t>
      </w:r>
      <w:r w:rsidRPr="00430F2A">
        <w:t xml:space="preserve">likely to be less than </w:t>
      </w:r>
      <w:r>
        <w:t xml:space="preserve">the true all-up cost of </w:t>
      </w:r>
      <w:r w:rsidRPr="00430F2A">
        <w:t>self-manag</w:t>
      </w:r>
      <w:r>
        <w:t>ing</w:t>
      </w:r>
      <w:r w:rsidRPr="00430F2A">
        <w:t xml:space="preserve"> investme</w:t>
      </w:r>
      <w:r>
        <w:t>nts)</w:t>
      </w:r>
    </w:p>
    <w:p w:rsidR="0012223E" w:rsidRDefault="008A0B0A" w:rsidP="004B731A">
      <w:pPr>
        <w:pStyle w:val="bullet1last"/>
      </w:pPr>
      <w:r w:rsidRPr="00430F2A">
        <w:t>lack of trust in providers</w:t>
      </w:r>
      <w:r>
        <w:t>, reflecting the investment risk</w:t>
      </w:r>
      <w:r w:rsidR="0012223E">
        <w:t xml:space="preserve">, </w:t>
      </w:r>
      <w:r w:rsidR="0012223E" w:rsidRPr="00430F2A">
        <w:t>and</w:t>
      </w:r>
    </w:p>
    <w:p w:rsidR="008A0B0A" w:rsidRDefault="008A0B0A" w:rsidP="004B731A">
      <w:pPr>
        <w:pStyle w:val="bullet1last"/>
      </w:pPr>
      <w:proofErr w:type="gramStart"/>
      <w:r w:rsidRPr="00430F2A">
        <w:t>considerable</w:t>
      </w:r>
      <w:proofErr w:type="gramEnd"/>
      <w:r w:rsidRPr="00430F2A">
        <w:t xml:space="preserve"> uncertainty around the extent of possible improvements in longevity.</w:t>
      </w:r>
      <w:r w:rsidRPr="00BB0F35">
        <w:rPr>
          <w:rStyle w:val="FootnoteReference"/>
        </w:rPr>
        <w:footnoteReference w:id="24"/>
      </w:r>
    </w:p>
    <w:p w:rsidR="008A0B0A" w:rsidRDefault="008A0B0A" w:rsidP="008A0B0A">
      <w:pPr>
        <w:pStyle w:val="BodyText"/>
      </w:pPr>
      <w:r>
        <w:t>I</w:t>
      </w:r>
      <w:r w:rsidRPr="00430F2A">
        <w:t xml:space="preserve">ndividuals who elect to buy annuities </w:t>
      </w:r>
      <w:r>
        <w:t xml:space="preserve">tend to </w:t>
      </w:r>
      <w:r w:rsidRPr="00430F2A">
        <w:t>live significantly longer than those chosen at random from the general population</w:t>
      </w:r>
      <w:r>
        <w:t>.</w:t>
      </w:r>
      <w:r w:rsidR="00882559">
        <w:t xml:space="preserve"> </w:t>
      </w:r>
      <w:r>
        <w:t xml:space="preserve">This is the </w:t>
      </w:r>
      <w:r w:rsidRPr="009C3A91">
        <w:rPr>
          <w:i/>
        </w:rPr>
        <w:t>selection effect</w:t>
      </w:r>
      <w:r>
        <w:t xml:space="preserve"> (sometimes called by insurers </w:t>
      </w:r>
      <w:r w:rsidRPr="009C3A91">
        <w:rPr>
          <w:i/>
        </w:rPr>
        <w:t>adverse selection</w:t>
      </w:r>
      <w:r>
        <w:rPr>
          <w:i/>
        </w:rPr>
        <w:t xml:space="preserve">, </w:t>
      </w:r>
      <w:r>
        <w:t>because it is adverse to the insurer)</w:t>
      </w:r>
      <w:r w:rsidRPr="00430F2A">
        <w:t>.</w:t>
      </w:r>
      <w:r w:rsidR="00882559">
        <w:t xml:space="preserve"> </w:t>
      </w:r>
      <w:r>
        <w:t>Insurers therefore tend to design a</w:t>
      </w:r>
      <w:r w:rsidRPr="00430F2A">
        <w:t xml:space="preserve">nnuity products for this </w:t>
      </w:r>
      <w:r>
        <w:t xml:space="preserve">longer-lived </w:t>
      </w:r>
      <w:r w:rsidRPr="00430F2A">
        <w:t>group, leading to those with lower expectations of longevity being effectively priced out of the market.</w:t>
      </w:r>
      <w:r w:rsidR="00882559">
        <w:t xml:space="preserve"> </w:t>
      </w:r>
    </w:p>
    <w:p w:rsidR="008A0B0A" w:rsidRPr="008A0B0A" w:rsidRDefault="008A0B0A" w:rsidP="008A0B0A">
      <w:pPr>
        <w:pStyle w:val="Heading3"/>
      </w:pPr>
      <w:r w:rsidRPr="008A0B0A">
        <w:t>Home equity conversion schemes</w:t>
      </w:r>
      <w:r w:rsidRPr="008A0B0A">
        <w:rPr>
          <w:rStyle w:val="FootnoteReference"/>
          <w:szCs w:val="22"/>
        </w:rPr>
        <w:footnoteReference w:id="25"/>
      </w:r>
    </w:p>
    <w:p w:rsidR="008A0B0A" w:rsidRPr="00567D8D" w:rsidRDefault="008A0B0A" w:rsidP="008A0B0A">
      <w:pPr>
        <w:pStyle w:val="BodyText"/>
      </w:pPr>
      <w:r w:rsidRPr="00567D8D">
        <w:t xml:space="preserve">Home equity </w:t>
      </w:r>
      <w:r>
        <w:t>c</w:t>
      </w:r>
      <w:r w:rsidRPr="00567D8D">
        <w:t>onversion schemes are marketed as a way to make available to older people some of the equity in their homes.</w:t>
      </w:r>
      <w:r w:rsidR="00882559">
        <w:t xml:space="preserve"> </w:t>
      </w:r>
      <w:r w:rsidRPr="00567D8D">
        <w:t>They generally</w:t>
      </w:r>
      <w:r>
        <w:t xml:space="preserve"> provide</w:t>
      </w:r>
      <w:r w:rsidRPr="00567D8D">
        <w:t xml:space="preserve"> loans </w:t>
      </w:r>
      <w:r>
        <w:t xml:space="preserve">secured </w:t>
      </w:r>
      <w:r w:rsidRPr="00567D8D">
        <w:t>against the capital value of people’s homes</w:t>
      </w:r>
      <w:r>
        <w:t>.</w:t>
      </w:r>
      <w:r w:rsidR="00882559">
        <w:t xml:space="preserve"> </w:t>
      </w:r>
      <w:r>
        <w:t xml:space="preserve">The loans are advanced </w:t>
      </w:r>
      <w:r w:rsidRPr="00567D8D">
        <w:t>in the form of one or more lump sums, periodic payments or annuities.</w:t>
      </w:r>
      <w:r w:rsidR="00882559">
        <w:t xml:space="preserve"> </w:t>
      </w:r>
      <w:r>
        <w:t>They therefore have a decumulation purpose.</w:t>
      </w:r>
      <w:r w:rsidR="00882559">
        <w:t xml:space="preserve"> </w:t>
      </w:r>
      <w:r w:rsidRPr="00567D8D">
        <w:t>The capital advances, together with accumulated interest on these advances, usually do not have to be repaid until the owner sells the property or dies</w:t>
      </w:r>
      <w:r>
        <w:t>. A home equity conversion contract might be written so as to provide at least some protection against inflation.</w:t>
      </w:r>
      <w:r w:rsidR="00882559">
        <w:t xml:space="preserve"> </w:t>
      </w:r>
      <w:r>
        <w:t xml:space="preserve">The contract might also protect against investment risk by keeping the title in the homeowner’s name </w:t>
      </w:r>
      <w:r w:rsidRPr="00567D8D">
        <w:t>until the owner sells the property or dies.</w:t>
      </w:r>
    </w:p>
    <w:p w:rsidR="008A0B0A" w:rsidRPr="00994F30" w:rsidRDefault="008A0B0A" w:rsidP="008A0B0A">
      <w:pPr>
        <w:pStyle w:val="BodyText"/>
      </w:pPr>
      <w:r w:rsidRPr="00994F30">
        <w:t>Converting home equity might address the following concerns:</w:t>
      </w:r>
    </w:p>
    <w:p w:rsidR="008A0B0A" w:rsidRPr="00E37F84" w:rsidRDefault="00FE49E9" w:rsidP="008A0B0A">
      <w:pPr>
        <w:pStyle w:val="bullet1"/>
      </w:pPr>
      <w:r>
        <w:t>a</w:t>
      </w:r>
      <w:r w:rsidRPr="00E37F84">
        <w:t xml:space="preserve">n </w:t>
      </w:r>
      <w:r w:rsidR="008A0B0A" w:rsidRPr="00E37F84">
        <w:t>unnecessarily restricted retirement due to the inaccessibility of money tied up in the home</w:t>
      </w:r>
    </w:p>
    <w:p w:rsidR="008A0B0A" w:rsidRPr="00E37F84" w:rsidRDefault="00FE49E9" w:rsidP="008A0B0A">
      <w:pPr>
        <w:pStyle w:val="bullet1"/>
      </w:pPr>
      <w:r>
        <w:lastRenderedPageBreak/>
        <w:t>l</w:t>
      </w:r>
      <w:r w:rsidRPr="00E37F84">
        <w:t xml:space="preserve">eaving </w:t>
      </w:r>
      <w:r w:rsidR="008A0B0A" w:rsidRPr="00E37F84">
        <w:t>unintended bequests of capital that might have been used to make retirement more pleasant</w:t>
      </w:r>
    </w:p>
    <w:p w:rsidR="008A0B0A" w:rsidRPr="00E37F84" w:rsidRDefault="00FE49E9" w:rsidP="00F224B2">
      <w:pPr>
        <w:pStyle w:val="bullet1last"/>
      </w:pPr>
      <w:r>
        <w:t>h</w:t>
      </w:r>
      <w:r w:rsidRPr="00E37F84">
        <w:t xml:space="preserve">aving </w:t>
      </w:r>
      <w:r w:rsidR="008A0B0A" w:rsidRPr="00E37F84">
        <w:t xml:space="preserve">mortgage payments reduce current living standards (where there is still an </w:t>
      </w:r>
      <w:proofErr w:type="spellStart"/>
      <w:r w:rsidR="008A0B0A" w:rsidRPr="00E37F84">
        <w:t>undischarged</w:t>
      </w:r>
      <w:proofErr w:type="spellEnd"/>
      <w:r w:rsidR="008A0B0A" w:rsidRPr="00E37F84">
        <w:t xml:space="preserve"> mortgage).</w:t>
      </w:r>
    </w:p>
    <w:p w:rsidR="008A0B0A" w:rsidRPr="009618EF" w:rsidRDefault="008A0B0A" w:rsidP="008A0B0A">
      <w:pPr>
        <w:pStyle w:val="BodyText"/>
      </w:pPr>
      <w:r>
        <w:t>The following concerns might</w:t>
      </w:r>
      <w:r w:rsidRPr="009618EF">
        <w:t xml:space="preserve"> not be addressed</w:t>
      </w:r>
      <w:r w:rsidR="00484C8A">
        <w:t>:</w:t>
      </w:r>
    </w:p>
    <w:p w:rsidR="008A0B0A" w:rsidRDefault="00A71572" w:rsidP="008A0B0A">
      <w:pPr>
        <w:pStyle w:val="bullet1"/>
      </w:pPr>
      <w:r>
        <w:t>longevity risk. P</w:t>
      </w:r>
      <w:r w:rsidR="008A0B0A" w:rsidRPr="009618EF">
        <w:t xml:space="preserve">rotection </w:t>
      </w:r>
      <w:r w:rsidR="008A0B0A">
        <w:t xml:space="preserve">against </w:t>
      </w:r>
      <w:r w:rsidR="008A0B0A" w:rsidRPr="009618EF">
        <w:t>longevity</w:t>
      </w:r>
      <w:r w:rsidR="008A0B0A">
        <w:t>, if this is provided for in the contract,</w:t>
      </w:r>
      <w:r w:rsidR="008A0B0A" w:rsidRPr="009618EF">
        <w:t xml:space="preserve"> is </w:t>
      </w:r>
      <w:r w:rsidR="008A0B0A">
        <w:t xml:space="preserve">generally </w:t>
      </w:r>
      <w:r w:rsidR="008A0B0A" w:rsidRPr="009618EF">
        <w:t>limited to protection against negative equity</w:t>
      </w:r>
      <w:r w:rsidR="006A299E">
        <w:t xml:space="preserve">; ie, </w:t>
      </w:r>
      <w:r w:rsidR="008A0B0A" w:rsidRPr="009618EF">
        <w:t>if the home</w:t>
      </w:r>
      <w:r w:rsidR="008A0B0A">
        <w:t>owner</w:t>
      </w:r>
      <w:r w:rsidR="008A0B0A" w:rsidRPr="009618EF">
        <w:t xml:space="preserve"> lives longer than expected, </w:t>
      </w:r>
      <w:r w:rsidR="008805A5">
        <w:t xml:space="preserve">he or she </w:t>
      </w:r>
      <w:r w:rsidR="008A0B0A" w:rsidRPr="009618EF">
        <w:t>will never owe more than the value of the house</w:t>
      </w:r>
      <w:r w:rsidR="008805A5">
        <w:t>,</w:t>
      </w:r>
      <w:r w:rsidR="008A0B0A" w:rsidRPr="009618EF">
        <w:t xml:space="preserve"> but the income </w:t>
      </w:r>
      <w:r w:rsidR="008A0B0A">
        <w:t>stream stops when the equity runs out</w:t>
      </w:r>
    </w:p>
    <w:p w:rsidR="008A0B0A" w:rsidRDefault="00A71572" w:rsidP="00F224B2">
      <w:pPr>
        <w:pStyle w:val="bullet1last"/>
      </w:pPr>
      <w:r>
        <w:t>interest rate risk. A</w:t>
      </w:r>
      <w:r w:rsidR="006A299E" w:rsidRPr="009618EF">
        <w:t xml:space="preserve"> </w:t>
      </w:r>
      <w:r w:rsidR="008A0B0A" w:rsidRPr="009618EF">
        <w:t xml:space="preserve">compounding interest </w:t>
      </w:r>
      <w:r w:rsidR="008A0B0A">
        <w:t>charge with no explicit guarantee</w:t>
      </w:r>
      <w:r w:rsidR="008A0B0A" w:rsidRPr="009618EF">
        <w:t xml:space="preserve"> that this is fixed tightly to the floating rate (or any external benchmark</w:t>
      </w:r>
      <w:r w:rsidR="008A0B0A">
        <w:t xml:space="preserve">) </w:t>
      </w:r>
      <w:r w:rsidR="006A299E">
        <w:t>exposes</w:t>
      </w:r>
      <w:r w:rsidR="008A0B0A">
        <w:t xml:space="preserve"> the homeowner,</w:t>
      </w:r>
      <w:r w:rsidR="008A0B0A" w:rsidRPr="00C33BE9">
        <w:t xml:space="preserve"> </w:t>
      </w:r>
      <w:r w:rsidR="008A0B0A">
        <w:t xml:space="preserve">once locked in, to the risk of opportunistic rate-fixing. </w:t>
      </w:r>
    </w:p>
    <w:p w:rsidR="008A0B0A" w:rsidRPr="008A0B0A" w:rsidRDefault="008A0B0A" w:rsidP="008A0B0A">
      <w:pPr>
        <w:pStyle w:val="BodyText"/>
      </w:pPr>
      <w:r w:rsidRPr="008A0B0A">
        <w:t>Home equity conversion as presently available is at most a partial solution to the decumulation problem.</w:t>
      </w:r>
      <w:r w:rsidR="00882559">
        <w:t xml:space="preserve"> </w:t>
      </w:r>
      <w:r w:rsidRPr="008A0B0A">
        <w:t>It does not provide a secure annuity</w:t>
      </w:r>
      <w:r w:rsidRPr="00F224B2">
        <w:rPr>
          <w:rStyle w:val="FootnoteTextChar"/>
        </w:rPr>
        <w:footnoteReference w:id="26"/>
      </w:r>
      <w:r w:rsidRPr="008A0B0A">
        <w:rPr>
          <w:rStyle w:val="FootnoteReference"/>
          <w:color w:val="auto"/>
        </w:rPr>
        <w:t xml:space="preserve"> </w:t>
      </w:r>
      <w:r w:rsidRPr="008A0B0A">
        <w:t>and it is inapplicable to savings not invested in a home.</w:t>
      </w:r>
      <w:r w:rsidRPr="008C5E99">
        <w:rPr>
          <w:rStyle w:val="FootnoteTextChar"/>
        </w:rPr>
        <w:footnoteReference w:id="27"/>
      </w:r>
    </w:p>
    <w:p w:rsidR="00254D34" w:rsidRDefault="00254D34">
      <w:pPr>
        <w:suppressAutoHyphens w:val="0"/>
        <w:autoSpaceDE/>
        <w:autoSpaceDN/>
        <w:adjustRightInd/>
        <w:spacing w:after="0" w:line="240" w:lineRule="auto"/>
        <w:textAlignment w:val="auto"/>
        <w:rPr>
          <w:rFonts w:cs="Arial (TT)"/>
          <w:color w:val="auto"/>
        </w:rPr>
      </w:pPr>
      <w:r>
        <w:br w:type="page"/>
      </w:r>
    </w:p>
    <w:p w:rsidR="006A299E" w:rsidRDefault="006A299E" w:rsidP="0072167C">
      <w:pPr>
        <w:pStyle w:val="bullet1"/>
        <w:numPr>
          <w:ilvl w:val="0"/>
          <w:numId w:val="0"/>
        </w:numPr>
        <w:ind w:left="360"/>
      </w:pPr>
    </w:p>
    <w:p w:rsidR="007C16D1" w:rsidRDefault="007C16D1" w:rsidP="00EA0519">
      <w:pPr>
        <w:pStyle w:val="Heading1"/>
      </w:pPr>
      <w:bookmarkStart w:id="13" w:name="_Toc353530015"/>
      <w:r>
        <w:t>W</w:t>
      </w:r>
      <w:r w:rsidRPr="00D033C9">
        <w:t>ay</w:t>
      </w:r>
      <w:r>
        <w:t>s</w:t>
      </w:r>
      <w:r w:rsidRPr="003E0DF5">
        <w:t xml:space="preserve"> forward</w:t>
      </w:r>
      <w:bookmarkEnd w:id="13"/>
    </w:p>
    <w:p w:rsidR="007C16D1" w:rsidRPr="003E0DF5" w:rsidRDefault="004B731A" w:rsidP="007C16D1">
      <w:r>
        <w:rPr>
          <w:noProof/>
          <w:lang w:val="en-NZ"/>
        </w:rPr>
        <mc:AlternateContent>
          <mc:Choice Requires="wps">
            <w:drawing>
              <wp:anchor distT="0" distB="0" distL="114300" distR="114300" simplePos="0" relativeHeight="251659264" behindDoc="0" locked="0" layoutInCell="1" allowOverlap="1" wp14:anchorId="4B77B954" wp14:editId="4B0D9E9C">
                <wp:simplePos x="0" y="0"/>
                <wp:positionH relativeFrom="column">
                  <wp:posOffset>0</wp:posOffset>
                </wp:positionH>
                <wp:positionV relativeFrom="paragraph">
                  <wp:posOffset>138430</wp:posOffset>
                </wp:positionV>
                <wp:extent cx="5438775" cy="0"/>
                <wp:effectExtent l="9525" t="5080" r="9525" b="13970"/>
                <wp:wrapNone/>
                <wp:docPr id="9" name="Lin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8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9pt" to="428.2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LK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"/>
            </w:pict>
          </mc:Fallback>
        </mc:AlternateContent>
      </w:r>
    </w:p>
    <w:p w:rsidR="007C16D1" w:rsidRDefault="007C16D1" w:rsidP="005A6504">
      <w:pPr>
        <w:pStyle w:val="BodyText"/>
      </w:pPr>
      <w:r>
        <w:t>The Capital Market Development Taskforce</w:t>
      </w:r>
      <w:r w:rsidR="001D6997">
        <w:t xml:space="preserve"> (2009, pp.41, 49)</w:t>
      </w:r>
      <w:r w:rsidR="00882559">
        <w:rPr>
          <w:vertAlign w:val="superscript"/>
        </w:rPr>
        <w:t xml:space="preserve"> </w:t>
      </w:r>
      <w:r>
        <w:t>gave considerable attention to the decumulation problem in its report:</w:t>
      </w:r>
    </w:p>
    <w:p w:rsidR="001D6997" w:rsidRDefault="007C16D1" w:rsidP="005A6504">
      <w:pPr>
        <w:pStyle w:val="Quote1"/>
      </w:pPr>
      <w:r w:rsidRPr="00577F9D">
        <w:rPr>
          <w:lang w:val="en-AU" w:eastAsia="en-AU"/>
        </w:rPr>
        <w:t>Individuals in or</w:t>
      </w:r>
      <w:r>
        <w:rPr>
          <w:lang w:val="en-AU" w:eastAsia="en-AU"/>
        </w:rPr>
        <w:t xml:space="preserve"> </w:t>
      </w:r>
      <w:r w:rsidRPr="00577F9D">
        <w:rPr>
          <w:lang w:val="en-AU" w:eastAsia="en-AU"/>
        </w:rPr>
        <w:t>close to retirement would benefit from a more comprehensive</w:t>
      </w:r>
      <w:r w:rsidR="006A299E">
        <w:rPr>
          <w:lang w:val="en-AU" w:eastAsia="en-AU"/>
        </w:rPr>
        <w:t xml:space="preserve"> </w:t>
      </w:r>
      <w:r w:rsidRPr="00577F9D">
        <w:rPr>
          <w:lang w:val="en-AU" w:eastAsia="en-AU"/>
        </w:rPr>
        <w:t>and efficiently priced range of products to help them manage</w:t>
      </w:r>
      <w:r>
        <w:rPr>
          <w:lang w:val="en-AU" w:eastAsia="en-AU"/>
        </w:rPr>
        <w:t xml:space="preserve"> </w:t>
      </w:r>
      <w:r w:rsidRPr="00577F9D">
        <w:rPr>
          <w:lang w:val="en-AU" w:eastAsia="en-AU"/>
        </w:rPr>
        <w:t>the risk that they will exhaust their retirement savings before</w:t>
      </w:r>
      <w:r>
        <w:rPr>
          <w:lang w:val="en-AU" w:eastAsia="en-AU"/>
        </w:rPr>
        <w:t xml:space="preserve"> </w:t>
      </w:r>
      <w:r w:rsidRPr="00577F9D">
        <w:rPr>
          <w:lang w:val="en-AU" w:eastAsia="en-AU"/>
        </w:rPr>
        <w:t>they die</w:t>
      </w:r>
      <w:r w:rsidR="001D6997">
        <w:rPr>
          <w:lang w:val="en-AU" w:eastAsia="en-AU"/>
        </w:rPr>
        <w:t>….</w:t>
      </w:r>
      <w:r w:rsidR="005449C8">
        <w:rPr>
          <w:lang w:val="en-AU" w:eastAsia="en-AU"/>
        </w:rPr>
        <w:t xml:space="preserve"> </w:t>
      </w:r>
      <w:r w:rsidRPr="00BE100B">
        <w:t>Annuities are a way of turning retirement savings into a</w:t>
      </w:r>
      <w:r>
        <w:t xml:space="preserve"> </w:t>
      </w:r>
      <w:r w:rsidRPr="00BE100B">
        <w:t>regular income.</w:t>
      </w:r>
      <w:r w:rsidR="001D6997">
        <w:t>...</w:t>
      </w:r>
      <w:r>
        <w:t xml:space="preserve"> </w:t>
      </w:r>
    </w:p>
    <w:p w:rsidR="007C16D1" w:rsidRDefault="001D6997" w:rsidP="005A6504">
      <w:pPr>
        <w:pStyle w:val="Quote1"/>
      </w:pPr>
      <w:r>
        <w:t>There</w:t>
      </w:r>
      <w:r w:rsidR="007C16D1" w:rsidRPr="008571C1">
        <w:t xml:space="preserve"> are a number of barriers to the development of the</w:t>
      </w:r>
      <w:r w:rsidR="007C16D1">
        <w:t xml:space="preserve"> </w:t>
      </w:r>
      <w:r w:rsidR="007C16D1" w:rsidRPr="008571C1">
        <w:t>annuities market, and studies have shown that government</w:t>
      </w:r>
      <w:r w:rsidR="007C16D1">
        <w:t xml:space="preserve"> </w:t>
      </w:r>
      <w:r w:rsidR="007C16D1" w:rsidRPr="008571C1">
        <w:t xml:space="preserve">intervention is typically required for a </w:t>
      </w:r>
      <w:r w:rsidR="007C16D1">
        <w:t>h</w:t>
      </w:r>
      <w:r w:rsidR="007C16D1" w:rsidRPr="008571C1">
        <w:t>ealthy annuities</w:t>
      </w:r>
      <w:r w:rsidR="007C16D1">
        <w:t xml:space="preserve"> </w:t>
      </w:r>
      <w:r w:rsidR="007C16D1" w:rsidRPr="008571C1">
        <w:t>market to operate.</w:t>
      </w:r>
      <w:r w:rsidR="007C16D1" w:rsidRPr="008C5E99">
        <w:rPr>
          <w:i w:val="0"/>
          <w:vertAlign w:val="superscript"/>
        </w:rPr>
        <w:footnoteReference w:id="28"/>
      </w:r>
      <w:r>
        <w:t xml:space="preserve"> </w:t>
      </w:r>
      <w:r w:rsidR="007C16D1" w:rsidRPr="008571C1">
        <w:t>Government may be better placed than the private sector</w:t>
      </w:r>
      <w:r w:rsidR="007C16D1">
        <w:t xml:space="preserve"> </w:t>
      </w:r>
      <w:r w:rsidR="007C16D1" w:rsidRPr="008571C1">
        <w:t>to facilitate the development of annuities products, or</w:t>
      </w:r>
      <w:r w:rsidR="007C16D1">
        <w:t xml:space="preserve"> </w:t>
      </w:r>
      <w:r w:rsidR="007C16D1" w:rsidRPr="008571C1">
        <w:t>potentially to help provide them. This is because the</w:t>
      </w:r>
      <w:r w:rsidR="007C16D1">
        <w:t xml:space="preserve"> </w:t>
      </w:r>
      <w:r w:rsidR="007C16D1" w:rsidRPr="008571C1">
        <w:t>government is a long-lived institution with extremely low</w:t>
      </w:r>
      <w:r w:rsidR="007C16D1">
        <w:t xml:space="preserve"> </w:t>
      </w:r>
      <w:r w:rsidR="007C16D1" w:rsidRPr="008571C1">
        <w:t>credit risk. Since life expectancy is the key uncertainty in</w:t>
      </w:r>
      <w:r w:rsidR="007C16D1">
        <w:t xml:space="preserve"> </w:t>
      </w:r>
      <w:r w:rsidR="007C16D1" w:rsidRPr="008571C1">
        <w:t>the annuities market, pricing is not straight forward. Taken</w:t>
      </w:r>
      <w:r w:rsidR="007C16D1">
        <w:t xml:space="preserve"> </w:t>
      </w:r>
      <w:r w:rsidR="007C16D1" w:rsidRPr="008571C1">
        <w:t>together with the problems of adverse selection, there are</w:t>
      </w:r>
      <w:r w:rsidR="007C16D1">
        <w:t xml:space="preserve"> </w:t>
      </w:r>
      <w:r w:rsidR="007C16D1" w:rsidRPr="008571C1">
        <w:t>good reasons why private annuities markets may fail to</w:t>
      </w:r>
      <w:r w:rsidR="007C16D1">
        <w:t xml:space="preserve"> </w:t>
      </w:r>
      <w:r w:rsidR="007C16D1" w:rsidRPr="008571C1">
        <w:t>emerge. Through provision, or underwriting, the government</w:t>
      </w:r>
      <w:r w:rsidR="007C16D1">
        <w:t xml:space="preserve"> </w:t>
      </w:r>
      <w:r w:rsidR="007C16D1" w:rsidRPr="008571C1">
        <w:t xml:space="preserve">may be able to support a well-functioning </w:t>
      </w:r>
      <w:r w:rsidR="007C16D1">
        <w:t>“actuarially fair”</w:t>
      </w:r>
      <w:r w:rsidR="007C16D1" w:rsidRPr="008C5E99">
        <w:rPr>
          <w:i w:val="0"/>
          <w:vertAlign w:val="superscript"/>
        </w:rPr>
        <w:footnoteReference w:id="29"/>
      </w:r>
      <w:r w:rsidR="007C16D1" w:rsidRPr="00776FE2">
        <w:rPr>
          <w:vertAlign w:val="superscript"/>
        </w:rPr>
        <w:t xml:space="preserve"> </w:t>
      </w:r>
      <w:r w:rsidR="007C16D1" w:rsidRPr="008571C1">
        <w:t>market to develop. Government has an interest in helping</w:t>
      </w:r>
      <w:r w:rsidR="007C16D1">
        <w:t xml:space="preserve"> </w:t>
      </w:r>
      <w:r w:rsidR="007C16D1" w:rsidRPr="008571C1">
        <w:t>people to effectively manage their financial assets in</w:t>
      </w:r>
      <w:r w:rsidR="007C16D1">
        <w:t xml:space="preserve"> </w:t>
      </w:r>
      <w:r w:rsidR="007C16D1" w:rsidRPr="008571C1">
        <w:t>retirement. Without products such as reverse mortgages and</w:t>
      </w:r>
      <w:r w:rsidR="007C16D1">
        <w:t xml:space="preserve"> </w:t>
      </w:r>
      <w:r w:rsidR="007C16D1" w:rsidRPr="008571C1">
        <w:t>annuities that are seen as fair and efficient, there is a risk</w:t>
      </w:r>
      <w:r w:rsidR="007C16D1">
        <w:t xml:space="preserve"> </w:t>
      </w:r>
      <w:r w:rsidR="007C16D1" w:rsidRPr="008571C1">
        <w:t>that accumulated financial assets from KiwiSaver and other</w:t>
      </w:r>
      <w:r w:rsidR="007C16D1">
        <w:t xml:space="preserve"> </w:t>
      </w:r>
      <w:r w:rsidR="007C16D1" w:rsidRPr="008571C1">
        <w:t>managed funds schemes will end up in a future version of the</w:t>
      </w:r>
      <w:r w:rsidR="007C16D1">
        <w:t xml:space="preserve"> </w:t>
      </w:r>
      <w:r w:rsidR="007C16D1" w:rsidRPr="008571C1">
        <w:t>recent finance company collapses.</w:t>
      </w:r>
    </w:p>
    <w:p w:rsidR="005449C8" w:rsidRDefault="007C16D1" w:rsidP="005A6504">
      <w:pPr>
        <w:pStyle w:val="BodyText"/>
      </w:pPr>
      <w:r>
        <w:t>The Taskforce suggested</w:t>
      </w:r>
      <w:r w:rsidRPr="008571C1">
        <w:t xml:space="preserve"> </w:t>
      </w:r>
      <w:r w:rsidR="00FC4A29">
        <w:t xml:space="preserve">various steps to address the barriers to the development of the annuities market, such as the adverse tax treatment of annuities. The Taskforce also suggested </w:t>
      </w:r>
      <w:r>
        <w:t>that a</w:t>
      </w:r>
      <w:r w:rsidRPr="008571C1">
        <w:t>nother option is to allow the purchase of additional</w:t>
      </w:r>
      <w:r w:rsidR="00A9057F">
        <w:t xml:space="preserve"> NZS</w:t>
      </w:r>
      <w:r w:rsidR="00FC4A29">
        <w:t>;</w:t>
      </w:r>
      <w:r w:rsidRPr="008C5E99">
        <w:rPr>
          <w:rStyle w:val="FootnoteTextChar"/>
        </w:rPr>
        <w:footnoteReference w:id="30"/>
      </w:r>
      <w:r w:rsidR="00FC4A29">
        <w:t xml:space="preserve"> </w:t>
      </w:r>
      <w:r w:rsidR="008805A5">
        <w:t>t</w:t>
      </w:r>
      <w:r w:rsidR="00FC4A29">
        <w:t>his is option two below.</w:t>
      </w:r>
    </w:p>
    <w:p w:rsidR="007C16D1" w:rsidRPr="00776FE2" w:rsidRDefault="005449C8" w:rsidP="005A6504">
      <w:pPr>
        <w:pStyle w:val="BodyText"/>
        <w:rPr>
          <w:sz w:val="20"/>
          <w:szCs w:val="20"/>
        </w:rPr>
      </w:pPr>
      <w:r>
        <w:t>Three options are discussed below.</w:t>
      </w:r>
    </w:p>
    <w:p w:rsidR="007C16D1" w:rsidRPr="00D033C9" w:rsidRDefault="007C16D1" w:rsidP="001D6997">
      <w:pPr>
        <w:pStyle w:val="Heading2"/>
      </w:pPr>
      <w:bookmarkStart w:id="14" w:name="_Toc353530016"/>
      <w:r>
        <w:t>Option one</w:t>
      </w:r>
      <w:r w:rsidRPr="00D033C9">
        <w:t xml:space="preserve"> – allow deferment of New Zealand Superannuation</w:t>
      </w:r>
      <w:bookmarkEnd w:id="14"/>
    </w:p>
    <w:p w:rsidR="007C16D1" w:rsidRDefault="007C16D1" w:rsidP="00F43C44">
      <w:pPr>
        <w:pStyle w:val="BodyText"/>
      </w:pPr>
      <w:r w:rsidRPr="00F43C44">
        <w:t>This option would allow superannuitants to defer receiving their NZS</w:t>
      </w:r>
      <w:r w:rsidR="005449C8">
        <w:t>. In</w:t>
      </w:r>
      <w:r w:rsidRPr="00F43C44">
        <w:t xml:space="preserve"> exchange</w:t>
      </w:r>
      <w:r w:rsidR="005449C8">
        <w:t>,</w:t>
      </w:r>
      <w:r w:rsidRPr="00F43C44">
        <w:t xml:space="preserve"> they would become eligible to receive a higher rate of NZS later.</w:t>
      </w:r>
      <w:r w:rsidRPr="008C5E99">
        <w:rPr>
          <w:rStyle w:val="FootnoteTextChar"/>
        </w:rPr>
        <w:footnoteReference w:id="31"/>
      </w:r>
      <w:r w:rsidR="00882559">
        <w:t xml:space="preserve"> </w:t>
      </w:r>
      <w:r w:rsidRPr="00F43C44">
        <w:t>In effect, this would amount to the government</w:t>
      </w:r>
      <w:r w:rsidRPr="00D033C9">
        <w:t xml:space="preserve"> sell</w:t>
      </w:r>
      <w:r>
        <w:t>ing</w:t>
      </w:r>
      <w:r w:rsidRPr="00D033C9">
        <w:t xml:space="preserve"> government-guaranteed</w:t>
      </w:r>
      <w:r>
        <w:t>,</w:t>
      </w:r>
      <w:r w:rsidRPr="00D033C9">
        <w:t xml:space="preserve"> </w:t>
      </w:r>
      <w:r>
        <w:t>wage</w:t>
      </w:r>
      <w:r w:rsidRPr="00D033C9">
        <w:t>-indexed annuities to qualifying indiv</w:t>
      </w:r>
      <w:r>
        <w:t>iduals at a pre-specified price.</w:t>
      </w:r>
      <w:r w:rsidR="00882559">
        <w:t xml:space="preserve"> </w:t>
      </w:r>
      <w:r>
        <w:t>T</w:t>
      </w:r>
      <w:r w:rsidRPr="00D033C9">
        <w:t xml:space="preserve">hat price </w:t>
      </w:r>
      <w:r>
        <w:t>would equate to</w:t>
      </w:r>
      <w:r w:rsidRPr="00D033C9">
        <w:t xml:space="preserve"> the </w:t>
      </w:r>
      <w:r>
        <w:t xml:space="preserve">present value of the NZS </w:t>
      </w:r>
      <w:r w:rsidRPr="00D033C9">
        <w:t xml:space="preserve">pension that would have been paid </w:t>
      </w:r>
      <w:r>
        <w:t xml:space="preserve">to the individual </w:t>
      </w:r>
      <w:r w:rsidRPr="00D033C9">
        <w:t>during the deferral period.</w:t>
      </w:r>
      <w:r w:rsidR="00882559">
        <w:t xml:space="preserve"> </w:t>
      </w:r>
      <w:r w:rsidRPr="00D033C9">
        <w:t xml:space="preserve">This option </w:t>
      </w:r>
      <w:r>
        <w:t xml:space="preserve">could be exercised </w:t>
      </w:r>
      <w:r w:rsidRPr="00D033C9">
        <w:t xml:space="preserve">either </w:t>
      </w:r>
      <w:r>
        <w:t xml:space="preserve">at the time of </w:t>
      </w:r>
      <w:r w:rsidRPr="00D033C9">
        <w:t>qualifying for NZS or</w:t>
      </w:r>
      <w:r>
        <w:t xml:space="preserve"> later</w:t>
      </w:r>
      <w:r w:rsidRPr="00D033C9">
        <w:t>.</w:t>
      </w:r>
      <w:r w:rsidR="00882559">
        <w:t xml:space="preserve"> </w:t>
      </w:r>
    </w:p>
    <w:p w:rsidR="007C16D1" w:rsidRDefault="007C16D1" w:rsidP="00F43C44">
      <w:pPr>
        <w:pStyle w:val="BodyText"/>
      </w:pPr>
      <w:r>
        <w:lastRenderedPageBreak/>
        <w:t>T</w:t>
      </w:r>
      <w:r w:rsidRPr="00D033C9">
        <w:t>h</w:t>
      </w:r>
      <w:r>
        <w:t>er</w:t>
      </w:r>
      <w:r w:rsidRPr="00D033C9">
        <w:t>e</w:t>
      </w:r>
      <w:r>
        <w:t xml:space="preserve"> being no justification to do otherwise, the</w:t>
      </w:r>
      <w:r w:rsidRPr="00D033C9">
        <w:t xml:space="preserve"> effective price </w:t>
      </w:r>
      <w:r>
        <w:t xml:space="preserve">charged for the higher NZS pension </w:t>
      </w:r>
      <w:r w:rsidRPr="00D033C9">
        <w:t xml:space="preserve">should be such that each deferral </w:t>
      </w:r>
      <w:r>
        <w:t>would aim</w:t>
      </w:r>
      <w:r w:rsidRPr="00D033C9">
        <w:t xml:space="preserve"> to be </w:t>
      </w:r>
      <w:r>
        <w:t>actuarially fair</w:t>
      </w:r>
      <w:r w:rsidRPr="00CE68AA">
        <w:rPr>
          <w:rStyle w:val="FootnoteReference"/>
        </w:rPr>
        <w:t xml:space="preserve"> </w:t>
      </w:r>
      <w:r>
        <w:t xml:space="preserve">and therefore </w:t>
      </w:r>
      <w:r w:rsidRPr="00D033C9">
        <w:t>fiscally neutral</w:t>
      </w:r>
      <w:r>
        <w:t>.</w:t>
      </w:r>
      <w:r w:rsidR="00882559">
        <w:t xml:space="preserve"> </w:t>
      </w:r>
      <w:r>
        <w:t>Accordingly n</w:t>
      </w:r>
      <w:r w:rsidRPr="00D033C9">
        <w:t xml:space="preserve">o subsidy </w:t>
      </w:r>
      <w:r>
        <w:t xml:space="preserve">would be </w:t>
      </w:r>
      <w:r w:rsidRPr="00D033C9">
        <w:t>involved</w:t>
      </w:r>
      <w:r>
        <w:t>,</w:t>
      </w:r>
      <w:r w:rsidRPr="00D033C9">
        <w:rPr>
          <w:rStyle w:val="FootnoteReference"/>
        </w:rPr>
        <w:footnoteReference w:id="32"/>
      </w:r>
      <w:r>
        <w:t xml:space="preserve"> </w:t>
      </w:r>
      <w:r w:rsidRPr="00D033C9">
        <w:t xml:space="preserve">and the government’s financial net worth </w:t>
      </w:r>
      <w:r>
        <w:t xml:space="preserve">would </w:t>
      </w:r>
      <w:r w:rsidRPr="00D033C9">
        <w:t xml:space="preserve">not </w:t>
      </w:r>
      <w:r>
        <w:t xml:space="preserve">be </w:t>
      </w:r>
      <w:r w:rsidRPr="00D033C9">
        <w:t>affected.</w:t>
      </w:r>
    </w:p>
    <w:p w:rsidR="007C16D1" w:rsidRPr="00D033C9" w:rsidRDefault="007C16D1" w:rsidP="00F43C44">
      <w:pPr>
        <w:pStyle w:val="BodyText"/>
      </w:pPr>
      <w:r>
        <w:t xml:space="preserve">The advantages and disadvantages of this option are similar to those of option two, and are discussed </w:t>
      </w:r>
      <w:r w:rsidR="00C766E5">
        <w:t>in</w:t>
      </w:r>
      <w:r w:rsidR="00EB22B3">
        <w:t xml:space="preserve"> option two </w:t>
      </w:r>
      <w:r w:rsidR="00774D6E">
        <w:t>below</w:t>
      </w:r>
      <w:r>
        <w:t>.</w:t>
      </w:r>
    </w:p>
    <w:p w:rsidR="007C16D1" w:rsidRPr="00D033C9" w:rsidRDefault="007C16D1" w:rsidP="00F43C44">
      <w:pPr>
        <w:pStyle w:val="Heading2"/>
      </w:pPr>
      <w:bookmarkStart w:id="15" w:name="_Toc353530017"/>
      <w:r>
        <w:t xml:space="preserve">Option two </w:t>
      </w:r>
      <w:r w:rsidRPr="00D033C9">
        <w:t>– allow superannuitants to buy increased superannuation</w:t>
      </w:r>
      <w:bookmarkEnd w:id="15"/>
    </w:p>
    <w:p w:rsidR="007C16D1" w:rsidRDefault="007C16D1" w:rsidP="00F43C44">
      <w:pPr>
        <w:pStyle w:val="BodyText"/>
      </w:pPr>
      <w:r>
        <w:t xml:space="preserve">This option would </w:t>
      </w:r>
      <w:r w:rsidRPr="00D033C9">
        <w:t xml:space="preserve">allow people who qualify for NZS to pay the government a lump sum and in exchange to become eligible to receive a higher </w:t>
      </w:r>
      <w:r>
        <w:t xml:space="preserve">NZS </w:t>
      </w:r>
      <w:r w:rsidRPr="00D033C9">
        <w:t>pension</w:t>
      </w:r>
      <w:r>
        <w:t>.</w:t>
      </w:r>
      <w:r w:rsidR="00882559">
        <w:t xml:space="preserve"> </w:t>
      </w:r>
      <w:r>
        <w:t xml:space="preserve">This option would be </w:t>
      </w:r>
      <w:r w:rsidRPr="00D033C9">
        <w:t>in addition to or instead of deferral.</w:t>
      </w:r>
      <w:r w:rsidR="00882559">
        <w:t xml:space="preserve"> </w:t>
      </w:r>
      <w:r>
        <w:t xml:space="preserve">As before, </w:t>
      </w:r>
      <w:r w:rsidRPr="00D033C9">
        <w:t xml:space="preserve">the price </w:t>
      </w:r>
      <w:r>
        <w:t>w</w:t>
      </w:r>
      <w:r w:rsidRPr="00D033C9">
        <w:t>ould be</w:t>
      </w:r>
      <w:r>
        <w:t xml:space="preserve"> actuarially fair</w:t>
      </w:r>
      <w:r w:rsidRPr="00D033C9">
        <w:t>.</w:t>
      </w:r>
      <w:r w:rsidRPr="001A2B76">
        <w:rPr>
          <w:sz w:val="20"/>
          <w:szCs w:val="20"/>
        </w:rPr>
        <w:t xml:space="preserve"> </w:t>
      </w:r>
    </w:p>
    <w:p w:rsidR="007C16D1" w:rsidRPr="00F43C44" w:rsidRDefault="007C16D1" w:rsidP="00F43C44">
      <w:pPr>
        <w:pStyle w:val="Heading3"/>
      </w:pPr>
      <w:r w:rsidRPr="00F43C44">
        <w:t>What the first and second (NZS-based) options could achieve</w:t>
      </w:r>
    </w:p>
    <w:p w:rsidR="007C16D1" w:rsidRPr="00081EE7" w:rsidRDefault="007C16D1" w:rsidP="00F43C44">
      <w:pPr>
        <w:pStyle w:val="BodyText"/>
        <w:rPr>
          <w:vertAlign w:val="superscript"/>
        </w:rPr>
      </w:pPr>
      <w:r w:rsidRPr="00994F30">
        <w:t xml:space="preserve">These </w:t>
      </w:r>
      <w:r>
        <w:t>two options, separately or together,</w:t>
      </w:r>
      <w:r w:rsidRPr="00994F30">
        <w:t xml:space="preserve"> would </w:t>
      </w:r>
      <w:r>
        <w:t xml:space="preserve">appear </w:t>
      </w:r>
      <w:r w:rsidR="00C66822">
        <w:t xml:space="preserve">at first glance </w:t>
      </w:r>
      <w:r>
        <w:t>to go a long way to solving the problem</w:t>
      </w:r>
      <w:r w:rsidR="00774D6E">
        <w:t xml:space="preserve"> of decumulation</w:t>
      </w:r>
      <w:r>
        <w:t>.</w:t>
      </w:r>
      <w:r w:rsidR="00882559">
        <w:t xml:space="preserve"> </w:t>
      </w:r>
      <w:r>
        <w:t>P</w:t>
      </w:r>
      <w:r w:rsidRPr="00994F30">
        <w:t xml:space="preserve">articipating individuals, to the extent </w:t>
      </w:r>
      <w:r>
        <w:t xml:space="preserve">of their </w:t>
      </w:r>
      <w:r w:rsidRPr="00994F30">
        <w:t>participat</w:t>
      </w:r>
      <w:r>
        <w:t xml:space="preserve">ion, would obtain </w:t>
      </w:r>
      <w:r w:rsidRPr="00994F30">
        <w:t>a government-guaranteed annuity additional to N</w:t>
      </w:r>
      <w:r>
        <w:t>ZS</w:t>
      </w:r>
      <w:r w:rsidRPr="00994F30">
        <w:t xml:space="preserve">, similarly indexed to the average </w:t>
      </w:r>
      <w:r>
        <w:t>net wage.</w:t>
      </w:r>
      <w:r w:rsidRPr="00994F30">
        <w:t xml:space="preserve"> </w:t>
      </w:r>
      <w:r>
        <w:t xml:space="preserve">They would be </w:t>
      </w:r>
      <w:r w:rsidRPr="00994F30">
        <w:t xml:space="preserve">relieved of the </w:t>
      </w:r>
      <w:r>
        <w:t xml:space="preserve">associated </w:t>
      </w:r>
      <w:r w:rsidRPr="00994F30">
        <w:t>longevity, inflation and investment risks</w:t>
      </w:r>
      <w:r>
        <w:t>.</w:t>
      </w:r>
      <w:r w:rsidR="00882559">
        <w:t xml:space="preserve"> </w:t>
      </w:r>
      <w:r>
        <w:t xml:space="preserve">They would also be </w:t>
      </w:r>
      <w:r w:rsidRPr="00994F30">
        <w:t xml:space="preserve">relieved of the financial and other costs </w:t>
      </w:r>
      <w:r>
        <w:t xml:space="preserve">and risks </w:t>
      </w:r>
      <w:r w:rsidRPr="00994F30">
        <w:t>of managing alternative investments</w:t>
      </w:r>
      <w:r>
        <w:t>.</w:t>
      </w:r>
      <w:r w:rsidR="00882559">
        <w:t xml:space="preserve"> </w:t>
      </w:r>
      <w:r>
        <w:t>They would have the comfort of the probity and financial stability of the government as custodian of their investment.</w:t>
      </w:r>
      <w:r w:rsidRPr="00081EE7">
        <w:rPr>
          <w:rStyle w:val="FootnoteReference"/>
        </w:rPr>
        <w:footnoteReference w:id="33"/>
      </w:r>
    </w:p>
    <w:p w:rsidR="007C16D1" w:rsidRDefault="007C16D1" w:rsidP="00F43C44">
      <w:pPr>
        <w:pStyle w:val="BodyText"/>
      </w:pPr>
      <w:r>
        <w:t>Both of these option</w:t>
      </w:r>
      <w:r w:rsidRPr="00994F30">
        <w:t>s</w:t>
      </w:r>
      <w:r>
        <w:t xml:space="preserve"> being conceptually similar, they</w:t>
      </w:r>
      <w:r w:rsidRPr="00994F30">
        <w:t xml:space="preserve"> present </w:t>
      </w:r>
      <w:r>
        <w:t>similar advantages and disadvantages.</w:t>
      </w:r>
    </w:p>
    <w:p w:rsidR="007C16D1" w:rsidRPr="00D033C9" w:rsidRDefault="007C16D1" w:rsidP="008C5E99">
      <w:pPr>
        <w:pStyle w:val="Heading3"/>
      </w:pPr>
      <w:r w:rsidRPr="00D033C9">
        <w:t>Advantages</w:t>
      </w:r>
    </w:p>
    <w:p w:rsidR="007C16D1" w:rsidRDefault="007C16D1" w:rsidP="00F43C44">
      <w:pPr>
        <w:pStyle w:val="BodyText"/>
      </w:pPr>
      <w:r>
        <w:t xml:space="preserve">The advantage to participating retirees would be </w:t>
      </w:r>
      <w:r w:rsidRPr="00D033C9">
        <w:rPr>
          <w:i/>
        </w:rPr>
        <w:t>security</w:t>
      </w:r>
      <w:r>
        <w:rPr>
          <w:i/>
        </w:rPr>
        <w:t xml:space="preserve"> of their investment</w:t>
      </w:r>
      <w:r>
        <w:t>.</w:t>
      </w:r>
      <w:r w:rsidR="00882559">
        <w:t xml:space="preserve"> </w:t>
      </w:r>
      <w:r>
        <w:t xml:space="preserve">By investing savings at an actuarially fair price through the deferment option or through a single investment transaction (or both), the retiree would avoid the investment risk </w:t>
      </w:r>
      <w:r w:rsidR="0093008E">
        <w:t xml:space="preserve">to which </w:t>
      </w:r>
      <w:r>
        <w:t>savings would otherwise be exposed.</w:t>
      </w:r>
    </w:p>
    <w:p w:rsidR="00867349" w:rsidRDefault="007C16D1" w:rsidP="00F43C44">
      <w:pPr>
        <w:pStyle w:val="BodyText"/>
      </w:pPr>
      <w:r>
        <w:t>For its part, the government would benefit also.</w:t>
      </w:r>
      <w:r w:rsidR="00882559">
        <w:t xml:space="preserve"> </w:t>
      </w:r>
      <w:r>
        <w:t>First, it would in effect be borrowing funds domestically through a market mechanism that would complement its other sources of credit.</w:t>
      </w:r>
      <w:r w:rsidR="00882559">
        <w:t xml:space="preserve"> </w:t>
      </w:r>
      <w:r>
        <w:t>Secondly, the government would mitigate the increasing regulatory and supervisory problems it will face in financial markets as growing numbers of retirees become increasingly dependent on the robustness and fidelity of investment businesses</w:t>
      </w:r>
      <w:r w:rsidRPr="00924168">
        <w:t xml:space="preserve"> </w:t>
      </w:r>
      <w:r>
        <w:t>for the safety of their KiwiSaver and other retirement savings.</w:t>
      </w:r>
    </w:p>
    <w:p w:rsidR="007C16D1" w:rsidRDefault="00867349" w:rsidP="00F43C44">
      <w:pPr>
        <w:pStyle w:val="BodyText"/>
      </w:pPr>
      <w:r>
        <w:t xml:space="preserve">Option </w:t>
      </w:r>
      <w:r w:rsidR="00D209D0">
        <w:t>o</w:t>
      </w:r>
      <w:r w:rsidR="0093008E">
        <w:t>ne has the additional advantage of encouraging people to continue participating in paid work beyond age 65. This helps to address skills shortages and contributes to economic output.</w:t>
      </w:r>
      <w:r w:rsidR="007C16D1">
        <w:t xml:space="preserve"> </w:t>
      </w:r>
    </w:p>
    <w:p w:rsidR="007C16D1" w:rsidRPr="00774D6E" w:rsidRDefault="0093008E" w:rsidP="00774D6E">
      <w:pPr>
        <w:pStyle w:val="Heading3"/>
      </w:pPr>
      <w:r>
        <w:br w:type="page"/>
      </w:r>
      <w:r w:rsidR="007C16D1" w:rsidRPr="00774D6E">
        <w:lastRenderedPageBreak/>
        <w:t>Disadvantages</w:t>
      </w:r>
    </w:p>
    <w:p w:rsidR="007C16D1" w:rsidRDefault="006A17D0" w:rsidP="00F43C44">
      <w:pPr>
        <w:pStyle w:val="BodyText"/>
      </w:pPr>
      <w:r>
        <w:t xml:space="preserve">Hurnard (2007) </w:t>
      </w:r>
      <w:r w:rsidR="007C16D1">
        <w:t>has suggested</w:t>
      </w:r>
      <w:r w:rsidR="00882559">
        <w:t xml:space="preserve"> </w:t>
      </w:r>
      <w:r w:rsidR="007C16D1">
        <w:t>that options such as these risk confusing the basic policy purpose and rationale of NZS and so could undermine the broad social and political consensus that NZS enjoys.</w:t>
      </w:r>
      <w:r w:rsidR="00882559">
        <w:t xml:space="preserve"> </w:t>
      </w:r>
      <w:r w:rsidR="007C16D1">
        <w:t xml:space="preserve">It would </w:t>
      </w:r>
      <w:r w:rsidR="00774D6E">
        <w:t xml:space="preserve">indeed </w:t>
      </w:r>
      <w:r w:rsidR="007C16D1">
        <w:t xml:space="preserve">be unfortunate if that consensus were to be eroded and the policy sustainability of NZS </w:t>
      </w:r>
      <w:r w:rsidR="00774D6E">
        <w:t>jeopardized,</w:t>
      </w:r>
      <w:r w:rsidR="00F135B1">
        <w:t xml:space="preserve"> b</w:t>
      </w:r>
      <w:r w:rsidR="007C16D1">
        <w:t>ut that is unlikely.</w:t>
      </w:r>
      <w:r w:rsidR="00882559">
        <w:t xml:space="preserve"> </w:t>
      </w:r>
      <w:r w:rsidR="007C16D1">
        <w:t>The basic entitlements of NZS, with their policy rationale, would not change.</w:t>
      </w:r>
      <w:r w:rsidR="00882559">
        <w:t xml:space="preserve"> </w:t>
      </w:r>
      <w:r w:rsidR="007C16D1">
        <w:t>The options to be added would be designed to be fiscally neutral and not redirect funds away from core government business, or create unfair loopholes, or entrench privilege.</w:t>
      </w:r>
      <w:r w:rsidR="007C16D1" w:rsidRPr="00BD64BE">
        <w:rPr>
          <w:rStyle w:val="FootnoteReference"/>
        </w:rPr>
        <w:footnoteReference w:id="34"/>
      </w:r>
    </w:p>
    <w:p w:rsidR="007C16D1" w:rsidRDefault="00774D6E" w:rsidP="00F43C44">
      <w:pPr>
        <w:pStyle w:val="BodyText"/>
      </w:pPr>
      <w:r>
        <w:t>P</w:t>
      </w:r>
      <w:r w:rsidR="007C16D1">
        <w:t xml:space="preserve">articular features of NZS would make these options very </w:t>
      </w:r>
      <w:r w:rsidR="007C16D1" w:rsidRPr="00713A3C">
        <w:t>complex</w:t>
      </w:r>
      <w:r>
        <w:t>, however,</w:t>
      </w:r>
      <w:r w:rsidR="007C16D1">
        <w:t xml:space="preserve"> both for recipients and for the government.</w:t>
      </w:r>
      <w:r w:rsidR="00882559">
        <w:t xml:space="preserve"> </w:t>
      </w:r>
      <w:r w:rsidR="007C16D1">
        <w:t>NZS is payable at different rates depending on recipients’ relationship circumstances – single, single living alone, or partners</w:t>
      </w:r>
      <w:r w:rsidR="007C16D1" w:rsidRPr="00D26471">
        <w:t xml:space="preserve"> </w:t>
      </w:r>
      <w:r w:rsidR="007C16D1">
        <w:t>(married or in a civil union).</w:t>
      </w:r>
      <w:r w:rsidR="00882559">
        <w:t xml:space="preserve"> </w:t>
      </w:r>
      <w:r w:rsidR="007C16D1">
        <w:t>People’s relationship circumstances</w:t>
      </w:r>
      <w:r w:rsidR="007C16D1" w:rsidRPr="00487EA7">
        <w:t xml:space="preserve"> </w:t>
      </w:r>
      <w:r w:rsidR="007C16D1">
        <w:t>are liable to change from time to time, and new individual rates would have to be calculated.</w:t>
      </w:r>
      <w:r w:rsidR="00882559">
        <w:t xml:space="preserve"> </w:t>
      </w:r>
      <w:r w:rsidR="007C16D1">
        <w:t>In addition, two partners married or in a civil union might wish to defer their NZS for different periods, or to purchase different amounts of additional NZS.</w:t>
      </w:r>
      <w:r w:rsidR="00882559">
        <w:t xml:space="preserve"> </w:t>
      </w:r>
      <w:r w:rsidR="007C16D1">
        <w:t>A residency test also applies to NZS, and overseas superannuitants might be entitled to less than 100 percent of their applicable rate in New Zealand. NZS can also be abated where an overseas pension is payable. Detailed rules would need to be developed to anticipate the numerous possibilities, specifying the entitlements accruing and payable in each</w:t>
      </w:r>
      <w:r>
        <w:t xml:space="preserve"> case</w:t>
      </w:r>
      <w:r w:rsidR="007C16D1">
        <w:t>.</w:t>
      </w:r>
      <w:r w:rsidR="00882559">
        <w:t xml:space="preserve"> </w:t>
      </w:r>
      <w:r w:rsidR="007C16D1">
        <w:t>The two additional NZS options would therefore be far from straightforward for the government to administer or for superannuitants to understand.</w:t>
      </w:r>
      <w:r w:rsidR="00882559">
        <w:t xml:space="preserve"> </w:t>
      </w:r>
    </w:p>
    <w:p w:rsidR="007C16D1" w:rsidRPr="000D2C45" w:rsidRDefault="007C16D1" w:rsidP="00F43C44">
      <w:pPr>
        <w:pStyle w:val="BodyText"/>
      </w:pPr>
      <w:r w:rsidRPr="000D2C45">
        <w:t xml:space="preserve">There would be </w:t>
      </w:r>
      <w:r w:rsidRPr="00713A3C">
        <w:t>administrative costs.</w:t>
      </w:r>
      <w:r w:rsidR="00882559">
        <w:t xml:space="preserve"> </w:t>
      </w:r>
      <w:r w:rsidRPr="000D2C45">
        <w:t>Because the</w:t>
      </w:r>
      <w:r>
        <w:t>se options</w:t>
      </w:r>
      <w:r w:rsidRPr="000D2C45">
        <w:t xml:space="preserve"> would employ the same organisation and systems as </w:t>
      </w:r>
      <w:r>
        <w:t xml:space="preserve">NZS </w:t>
      </w:r>
      <w:r w:rsidRPr="000D2C45">
        <w:t>but with</w:t>
      </w:r>
      <w:r>
        <w:t xml:space="preserve"> </w:t>
      </w:r>
      <w:r w:rsidRPr="000D2C45">
        <w:t>some enhancements, the administrative costs attributable to the</w:t>
      </w:r>
      <w:r>
        <w:t>m</w:t>
      </w:r>
      <w:r w:rsidRPr="000D2C45">
        <w:t xml:space="preserve"> would be the costs of the enhancements, made up as follows:</w:t>
      </w:r>
    </w:p>
    <w:p w:rsidR="007C16D1" w:rsidRPr="000D2C45" w:rsidRDefault="00AD73FD" w:rsidP="00D54C4C">
      <w:pPr>
        <w:pStyle w:val="bullet1"/>
      </w:pPr>
      <w:r>
        <w:t>d</w:t>
      </w:r>
      <w:r w:rsidR="007C16D1" w:rsidRPr="000D2C45">
        <w:t>evelopment costs:</w:t>
      </w:r>
    </w:p>
    <w:p w:rsidR="007C16D1" w:rsidRPr="000D2C45" w:rsidRDefault="00AD73FD" w:rsidP="00F43C44">
      <w:pPr>
        <w:pStyle w:val="bullet2"/>
      </w:pPr>
      <w:r>
        <w:t>c</w:t>
      </w:r>
      <w:r w:rsidR="007C16D1" w:rsidRPr="000D2C45">
        <w:t>hanging legislation</w:t>
      </w:r>
    </w:p>
    <w:p w:rsidR="007C16D1" w:rsidRPr="000D2C45" w:rsidRDefault="00AD73FD" w:rsidP="00F43C44">
      <w:pPr>
        <w:pStyle w:val="bullet2"/>
      </w:pPr>
      <w:r>
        <w:t>s</w:t>
      </w:r>
      <w:r w:rsidR="007C16D1" w:rsidRPr="000D2C45">
        <w:t xml:space="preserve">etting up a robust </w:t>
      </w:r>
      <w:r w:rsidR="007C16D1">
        <w:t xml:space="preserve">annuity </w:t>
      </w:r>
      <w:r w:rsidR="007C16D1" w:rsidRPr="000D2C45">
        <w:t>pricing basis</w:t>
      </w:r>
    </w:p>
    <w:p w:rsidR="007C16D1" w:rsidRPr="000D2C45" w:rsidRDefault="00AD73FD" w:rsidP="00F43C44">
      <w:pPr>
        <w:pStyle w:val="bullet2"/>
      </w:pPr>
      <w:r>
        <w:t>m</w:t>
      </w:r>
      <w:r w:rsidR="007C16D1" w:rsidRPr="000D2C45">
        <w:t xml:space="preserve">aking changes to </w:t>
      </w:r>
      <w:r w:rsidR="007C16D1">
        <w:t xml:space="preserve">a not very </w:t>
      </w:r>
      <w:r w:rsidR="007C16D1" w:rsidRPr="000D2C45">
        <w:t>flexible payment system</w:t>
      </w:r>
    </w:p>
    <w:p w:rsidR="007C16D1" w:rsidRPr="000D2C45" w:rsidRDefault="00AD73FD" w:rsidP="00F43C44">
      <w:pPr>
        <w:pStyle w:val="bullet1"/>
      </w:pPr>
      <w:r>
        <w:t>o</w:t>
      </w:r>
      <w:r w:rsidR="007C16D1" w:rsidRPr="000D2C45">
        <w:t>ngoing costs:</w:t>
      </w:r>
    </w:p>
    <w:p w:rsidR="007C16D1" w:rsidRDefault="00AD73FD" w:rsidP="00F43C44">
      <w:pPr>
        <w:pStyle w:val="bullet2"/>
      </w:pPr>
      <w:r>
        <w:t>p</w:t>
      </w:r>
      <w:r w:rsidR="007C16D1" w:rsidRPr="000D2C45">
        <w:t>rocessing applications</w:t>
      </w:r>
    </w:p>
    <w:p w:rsidR="007C16D1" w:rsidRPr="000D2C45" w:rsidRDefault="00AD73FD" w:rsidP="00F43C44">
      <w:pPr>
        <w:pStyle w:val="bullet2"/>
      </w:pPr>
      <w:r>
        <w:t>a</w:t>
      </w:r>
      <w:r w:rsidR="007C16D1">
        <w:t>dditional costs of processing changes to NZS payments where entitlement to additional NZS is involved</w:t>
      </w:r>
    </w:p>
    <w:p w:rsidR="007C16D1" w:rsidRDefault="00AD73FD" w:rsidP="00F43C44">
      <w:pPr>
        <w:pStyle w:val="bullet2last"/>
      </w:pPr>
      <w:r>
        <w:t>m</w:t>
      </w:r>
      <w:r w:rsidR="007C16D1" w:rsidRPr="000D2C45">
        <w:t>onitoring experience</w:t>
      </w:r>
      <w:r w:rsidR="007C16D1">
        <w:t>.</w:t>
      </w:r>
    </w:p>
    <w:p w:rsidR="007C16D1" w:rsidRDefault="007C16D1" w:rsidP="00F43C44">
      <w:pPr>
        <w:pStyle w:val="BodyText"/>
      </w:pPr>
      <w:r w:rsidRPr="000D2C45">
        <w:t xml:space="preserve">These costs </w:t>
      </w:r>
      <w:r>
        <w:t>c</w:t>
      </w:r>
      <w:r w:rsidRPr="000D2C45">
        <w:t>ould</w:t>
      </w:r>
      <w:r w:rsidR="00774D6E">
        <w:t>,</w:t>
      </w:r>
      <w:r>
        <w:t xml:space="preserve"> however</w:t>
      </w:r>
      <w:r w:rsidR="00774D6E">
        <w:t>,</w:t>
      </w:r>
      <w:r>
        <w:t xml:space="preserve"> </w:t>
      </w:r>
      <w:r w:rsidRPr="000D2C45">
        <w:t xml:space="preserve">be recovered from the participating individuals </w:t>
      </w:r>
      <w:r>
        <w:t xml:space="preserve">as a reduction </w:t>
      </w:r>
      <w:r w:rsidRPr="000D2C45">
        <w:t>in their additional pension</w:t>
      </w:r>
      <w:r>
        <w:t>, or as a one-time fee, or a combination</w:t>
      </w:r>
      <w:r w:rsidRPr="000D2C45">
        <w:t>.</w:t>
      </w:r>
      <w:r w:rsidR="00882559">
        <w:t xml:space="preserve"> </w:t>
      </w:r>
    </w:p>
    <w:p w:rsidR="007C16D1" w:rsidRDefault="007C16D1" w:rsidP="00F43C44">
      <w:pPr>
        <w:pStyle w:val="BodyText"/>
      </w:pPr>
      <w:r w:rsidRPr="00994F30">
        <w:t>The</w:t>
      </w:r>
      <w:r>
        <w:t xml:space="preserve">se two NZS-based options would, to the extent that they were implemented and taken up, alter </w:t>
      </w:r>
      <w:r w:rsidRPr="00DB4B34">
        <w:t>the government’s exposure to risk</w:t>
      </w:r>
      <w:r>
        <w:t>s</w:t>
      </w:r>
      <w:r w:rsidRPr="00DB4B34">
        <w:t>.</w:t>
      </w:r>
      <w:r w:rsidR="00882559">
        <w:t xml:space="preserve"> </w:t>
      </w:r>
      <w:r>
        <w:t xml:space="preserve">So would the next option. It is convenient to </w:t>
      </w:r>
      <w:proofErr w:type="spellStart"/>
      <w:r>
        <w:t>analyse</w:t>
      </w:r>
      <w:proofErr w:type="spellEnd"/>
      <w:r>
        <w:t xml:space="preserve"> this issue here.</w:t>
      </w:r>
    </w:p>
    <w:p w:rsidR="007C16D1" w:rsidRPr="00DB4B34" w:rsidRDefault="0093008E" w:rsidP="008C5E99">
      <w:pPr>
        <w:pStyle w:val="Heading3"/>
      </w:pPr>
      <w:r>
        <w:br w:type="page"/>
      </w:r>
      <w:r w:rsidR="007C16D1" w:rsidRPr="00DB4B34">
        <w:lastRenderedPageBreak/>
        <w:t>The government’s exposure to risk</w:t>
      </w:r>
      <w:r w:rsidR="007C16D1">
        <w:t>s</w:t>
      </w:r>
    </w:p>
    <w:p w:rsidR="007C16D1" w:rsidRDefault="007C16D1" w:rsidP="00F43C44">
      <w:pPr>
        <w:pStyle w:val="BodyText"/>
      </w:pPr>
      <w:r>
        <w:t xml:space="preserve">First, the government would face a </w:t>
      </w:r>
      <w:r w:rsidRPr="003E0DF5">
        <w:rPr>
          <w:i/>
        </w:rPr>
        <w:t>wage indexation risk</w:t>
      </w:r>
      <w:r>
        <w:t>.</w:t>
      </w:r>
      <w:r w:rsidR="00882559">
        <w:t xml:space="preserve"> </w:t>
      </w:r>
      <w:r>
        <w:t>F</w:t>
      </w:r>
      <w:r w:rsidRPr="00994F30">
        <w:t xml:space="preserve">uture wage growth, which is </w:t>
      </w:r>
      <w:r>
        <w:t xml:space="preserve">effectively </w:t>
      </w:r>
      <w:r w:rsidRPr="00994F30">
        <w:t>the index</w:t>
      </w:r>
      <w:r>
        <w:t xml:space="preserve">ation </w:t>
      </w:r>
      <w:r w:rsidRPr="00994F30">
        <w:t>base</w:t>
      </w:r>
      <w:r w:rsidR="008C5E99">
        <w:t>,</w:t>
      </w:r>
      <w:r w:rsidRPr="008C5E99">
        <w:rPr>
          <w:rStyle w:val="FootnoteTextChar"/>
        </w:rPr>
        <w:footnoteReference w:id="35"/>
      </w:r>
      <w:r w:rsidRPr="00994F30">
        <w:t xml:space="preserve"> might be higher </w:t>
      </w:r>
      <w:r>
        <w:t xml:space="preserve">(or lower) </w:t>
      </w:r>
      <w:r w:rsidRPr="00994F30">
        <w:t xml:space="preserve">than </w:t>
      </w:r>
      <w:r>
        <w:t xml:space="preserve">was </w:t>
      </w:r>
      <w:r w:rsidRPr="00994F30">
        <w:t>anticipated</w:t>
      </w:r>
      <w:r>
        <w:t xml:space="preserve"> when the government set the effective annuity price.</w:t>
      </w:r>
      <w:r w:rsidR="00882559">
        <w:t xml:space="preserve"> </w:t>
      </w:r>
      <w:r>
        <w:t xml:space="preserve">That would </w:t>
      </w:r>
      <w:r w:rsidRPr="00994F30">
        <w:t>mak</w:t>
      </w:r>
      <w:r>
        <w:t>e</w:t>
      </w:r>
      <w:r w:rsidRPr="00994F30">
        <w:t xml:space="preserve"> the measures more </w:t>
      </w:r>
      <w:r>
        <w:t xml:space="preserve">(or less) </w:t>
      </w:r>
      <w:r w:rsidRPr="00994F30">
        <w:t xml:space="preserve">fiscally costly than </w:t>
      </w:r>
      <w:r>
        <w:t xml:space="preserve">initially </w:t>
      </w:r>
      <w:r w:rsidRPr="00994F30">
        <w:t>expected.</w:t>
      </w:r>
      <w:r w:rsidR="00882559">
        <w:t xml:space="preserve"> </w:t>
      </w:r>
      <w:r w:rsidR="00774D6E">
        <w:t>T</w:t>
      </w:r>
      <w:r w:rsidRPr="00994F30">
        <w:t>he government is wel</w:t>
      </w:r>
      <w:r>
        <w:t>l-</w:t>
      </w:r>
      <w:r w:rsidRPr="00994F30">
        <w:t>hedged against this risk</w:t>
      </w:r>
      <w:r w:rsidR="00774D6E">
        <w:t>, however</w:t>
      </w:r>
      <w:r w:rsidRPr="00994F30">
        <w:t xml:space="preserve"> </w:t>
      </w:r>
      <w:r>
        <w:t>– indeed, it is uniquely so.</w:t>
      </w:r>
      <w:r w:rsidR="00882559">
        <w:t xml:space="preserve"> </w:t>
      </w:r>
      <w:r>
        <w:t>This is b</w:t>
      </w:r>
      <w:r w:rsidRPr="00994F30">
        <w:t xml:space="preserve">ecause </w:t>
      </w:r>
      <w:r>
        <w:t xml:space="preserve">taxes on </w:t>
      </w:r>
      <w:r w:rsidRPr="00994F30">
        <w:t xml:space="preserve">earnings comprise the bulk of </w:t>
      </w:r>
      <w:r>
        <w:t xml:space="preserve">the government’s </w:t>
      </w:r>
      <w:r w:rsidRPr="00994F30">
        <w:t>revenue base</w:t>
      </w:r>
      <w:r>
        <w:t>, and tax revenues increase with wage growth.</w:t>
      </w:r>
      <w:r w:rsidRPr="00E04904">
        <w:rPr>
          <w:rStyle w:val="FootnoteReference"/>
        </w:rPr>
        <w:footnoteReference w:id="36"/>
      </w:r>
      <w:r w:rsidR="00882559">
        <w:t xml:space="preserve"> </w:t>
      </w:r>
      <w:r>
        <w:t>Only the government is naturally hedged against the wage indexation risk</w:t>
      </w:r>
      <w:r w:rsidR="00F135B1">
        <w:t>.</w:t>
      </w:r>
      <w:r w:rsidRPr="00E04904">
        <w:rPr>
          <w:rStyle w:val="FootnoteReference"/>
        </w:rPr>
        <w:footnoteReference w:id="37"/>
      </w:r>
      <w:r>
        <w:t xml:space="preserve"> Internationally, it </w:t>
      </w:r>
      <w:r w:rsidR="002C18A7">
        <w:t>has been</w:t>
      </w:r>
      <w:r>
        <w:t xml:space="preserve"> common for governments to carry such risk.</w:t>
      </w:r>
      <w:r w:rsidR="00882559">
        <w:t xml:space="preserve"> </w:t>
      </w:r>
      <w:r>
        <w:t>Of the 34 OECD governments, 1</w:t>
      </w:r>
      <w:r w:rsidR="002C18A7">
        <w:t>2</w:t>
      </w:r>
      <w:r>
        <w:t xml:space="preserve"> </w:t>
      </w:r>
      <w:r w:rsidR="002C18A7">
        <w:t xml:space="preserve">have </w:t>
      </w:r>
      <w:r>
        <w:t>provide</w:t>
      </w:r>
      <w:r w:rsidR="002C18A7">
        <w:t>d</w:t>
      </w:r>
      <w:r>
        <w:t xml:space="preserve"> </w:t>
      </w:r>
      <w:r w:rsidR="00882559">
        <w:t>“</w:t>
      </w:r>
      <w:r>
        <w:t>second-tier</w:t>
      </w:r>
      <w:r w:rsidR="00882559">
        <w:t xml:space="preserve">” </w:t>
      </w:r>
      <w:r>
        <w:t>pensions indexed wholly or partly to wages</w:t>
      </w:r>
      <w:r w:rsidR="00F135B1">
        <w:t xml:space="preserve"> (OECD, 2011, p.111) </w:t>
      </w:r>
      <w:r>
        <w:t>and accept</w:t>
      </w:r>
      <w:r w:rsidR="002C18A7">
        <w:t>ed</w:t>
      </w:r>
      <w:r>
        <w:t xml:space="preserve"> the corresponding wage indexation risk.</w:t>
      </w:r>
      <w:r w:rsidR="00882559">
        <w:t xml:space="preserve"> </w:t>
      </w:r>
      <w:r>
        <w:t>Nineteen</w:t>
      </w:r>
      <w:r w:rsidRPr="00B73B53">
        <w:t xml:space="preserve"> </w:t>
      </w:r>
      <w:r>
        <w:t xml:space="preserve">OECD governments </w:t>
      </w:r>
      <w:r w:rsidR="002C18A7">
        <w:t xml:space="preserve">have </w:t>
      </w:r>
      <w:r w:rsidRPr="00B73B53">
        <w:t>provide</w:t>
      </w:r>
      <w:r w:rsidR="002C18A7">
        <w:t>d</w:t>
      </w:r>
      <w:r w:rsidR="008805A5">
        <w:t xml:space="preserve"> </w:t>
      </w:r>
      <w:r w:rsidR="00882559">
        <w:t>“</w:t>
      </w:r>
      <w:r w:rsidRPr="00B73B53">
        <w:t>second-tier</w:t>
      </w:r>
      <w:r w:rsidR="00882559">
        <w:t xml:space="preserve">” </w:t>
      </w:r>
      <w:r w:rsidRPr="00B73B53">
        <w:t>pensions indexed wholly or partly to prices</w:t>
      </w:r>
      <w:r w:rsidRPr="00E04904">
        <w:rPr>
          <w:rStyle w:val="FootnoteReference"/>
        </w:rPr>
        <w:footnoteReference w:id="38"/>
      </w:r>
      <w:r w:rsidR="00F43C44">
        <w:t xml:space="preserve"> </w:t>
      </w:r>
      <w:r>
        <w:t>and accept</w:t>
      </w:r>
      <w:r w:rsidR="002C18A7">
        <w:t>ed</w:t>
      </w:r>
      <w:r>
        <w:t xml:space="preserve"> the corresponding price inflation risk.</w:t>
      </w:r>
      <w:r w:rsidR="00882559">
        <w:t xml:space="preserve"> </w:t>
      </w:r>
    </w:p>
    <w:p w:rsidR="007C16D1" w:rsidRDefault="007C16D1" w:rsidP="00F43C44">
      <w:pPr>
        <w:pStyle w:val="BodyText"/>
      </w:pPr>
      <w:r w:rsidRPr="00994F30">
        <w:t>The</w:t>
      </w:r>
      <w:r>
        <w:t xml:space="preserve"> government would also face t</w:t>
      </w:r>
      <w:r w:rsidRPr="00994F30">
        <w:t xml:space="preserve">he </w:t>
      </w:r>
      <w:r w:rsidRPr="003E0DF5">
        <w:rPr>
          <w:i/>
        </w:rPr>
        <w:t>longevity risk</w:t>
      </w:r>
      <w:r w:rsidRPr="00994F30">
        <w:t xml:space="preserve"> – that participating individuals</w:t>
      </w:r>
      <w:r>
        <w:t>,</w:t>
      </w:r>
      <w:r w:rsidRPr="00994F30">
        <w:t xml:space="preserve"> </w:t>
      </w:r>
      <w:r w:rsidRPr="00B12C7A">
        <w:t>on average</w:t>
      </w:r>
      <w:r>
        <w:t>,</w:t>
      </w:r>
      <w:r w:rsidRPr="00994F30">
        <w:t xml:space="preserve"> </w:t>
      </w:r>
      <w:r w:rsidR="00774D6E">
        <w:t xml:space="preserve">may </w:t>
      </w:r>
      <w:r w:rsidRPr="00994F30">
        <w:t xml:space="preserve">live longer than </w:t>
      </w:r>
      <w:r>
        <w:t>anticipated.</w:t>
      </w:r>
      <w:r w:rsidRPr="00DB4B34">
        <w:rPr>
          <w:rStyle w:val="FootnoteReference"/>
        </w:rPr>
        <w:footnoteReference w:id="39"/>
      </w:r>
      <w:r>
        <w:t xml:space="preserve"> If that happened</w:t>
      </w:r>
      <w:r w:rsidR="00774D6E">
        <w:t>,</w:t>
      </w:r>
      <w:r>
        <w:t xml:space="preserve"> it would make</w:t>
      </w:r>
      <w:r w:rsidRPr="00994F30">
        <w:t xml:space="preserve"> these measures more fiscally costly than </w:t>
      </w:r>
      <w:r>
        <w:t xml:space="preserve">initially </w:t>
      </w:r>
      <w:r w:rsidRPr="00994F30">
        <w:t>expected.</w:t>
      </w:r>
      <w:r w:rsidR="00882559">
        <w:t xml:space="preserve"> </w:t>
      </w:r>
      <w:r w:rsidR="00DB602C">
        <w:t>T</w:t>
      </w:r>
      <w:r w:rsidRPr="00994F30">
        <w:t xml:space="preserve">he government </w:t>
      </w:r>
      <w:r>
        <w:t>is better placed</w:t>
      </w:r>
      <w:r w:rsidR="00DB602C">
        <w:t>, however,</w:t>
      </w:r>
      <w:r>
        <w:t xml:space="preserve"> than other potential candidates to </w:t>
      </w:r>
      <w:r w:rsidRPr="00994F30">
        <w:t>manage</w:t>
      </w:r>
      <w:r>
        <w:t xml:space="preserve"> </w:t>
      </w:r>
      <w:r w:rsidRPr="00994F30">
        <w:t>the longevity risk</w:t>
      </w:r>
      <w:r w:rsidR="00DB602C">
        <w:t>, as it already does with NZS</w:t>
      </w:r>
      <w:r>
        <w:t>.</w:t>
      </w:r>
      <w:r w:rsidR="00882559">
        <w:rPr>
          <w:vertAlign w:val="superscript"/>
        </w:rPr>
        <w:t xml:space="preserve"> </w:t>
      </w:r>
      <w:r>
        <w:t xml:space="preserve">Government </w:t>
      </w:r>
      <w:r w:rsidRPr="00994F30">
        <w:t xml:space="preserve">policies </w:t>
      </w:r>
      <w:r>
        <w:t xml:space="preserve">which </w:t>
      </w:r>
      <w:r w:rsidRPr="00994F30">
        <w:t>increase health expectancy – the number of years a person could expect to live independently without any functional limitation</w:t>
      </w:r>
      <w:r w:rsidR="00DB602C">
        <w:t xml:space="preserve"> (Ministry of Social Development, 2010)</w:t>
      </w:r>
      <w:r w:rsidRPr="00994F30">
        <w:t xml:space="preserve"> </w:t>
      </w:r>
      <w:r>
        <w:t>– together with policies to support positive ageing</w:t>
      </w:r>
      <w:r w:rsidRPr="00994F30">
        <w:t xml:space="preserve"> will</w:t>
      </w:r>
      <w:r>
        <w:t>, to the extent that they are</w:t>
      </w:r>
      <w:r w:rsidRPr="00994F30">
        <w:t xml:space="preserve"> successful</w:t>
      </w:r>
      <w:r>
        <w:t>,</w:t>
      </w:r>
      <w:r w:rsidRPr="00994F30">
        <w:t xml:space="preserve"> extend people’s ability to work</w:t>
      </w:r>
      <w:r>
        <w:t xml:space="preserve">, </w:t>
      </w:r>
      <w:r w:rsidR="002C18A7">
        <w:t xml:space="preserve">to </w:t>
      </w:r>
      <w:r>
        <w:t xml:space="preserve">contribute to their own support, </w:t>
      </w:r>
      <w:r w:rsidRPr="00994F30">
        <w:t xml:space="preserve">and </w:t>
      </w:r>
      <w:r w:rsidR="002C18A7">
        <w:t xml:space="preserve">to </w:t>
      </w:r>
      <w:r w:rsidRPr="00994F30">
        <w:t>pay taxes beyond traditional retiring ages</w:t>
      </w:r>
      <w:r>
        <w:t>.</w:t>
      </w:r>
      <w:r w:rsidR="00882559">
        <w:rPr>
          <w:sz w:val="16"/>
          <w:szCs w:val="16"/>
        </w:rPr>
        <w:t xml:space="preserve"> </w:t>
      </w:r>
      <w:r>
        <w:t>The government also decides the qualifying age for NZS.</w:t>
      </w:r>
      <w:r w:rsidRPr="00B37E74">
        <w:rPr>
          <w:rStyle w:val="FootnoteReference"/>
        </w:rPr>
        <w:footnoteReference w:id="40"/>
      </w:r>
      <w:r>
        <w:t xml:space="preserve"> Only the government is hedged in these ways against longevity risk.</w:t>
      </w:r>
      <w:r w:rsidR="00882559">
        <w:t xml:space="preserve"> </w:t>
      </w:r>
      <w:r>
        <w:t>The issue</w:t>
      </w:r>
      <w:r w:rsidR="00774D6E">
        <w:t>,</w:t>
      </w:r>
      <w:r>
        <w:t xml:space="preserve"> however</w:t>
      </w:r>
      <w:r w:rsidR="00774D6E">
        <w:t>,</w:t>
      </w:r>
      <w:r>
        <w:t xml:space="preserve"> is not whether the government is completely hedged against longevity risk; it is whether the government is better placed than all alternatives – including individuals themselves </w:t>
      </w:r>
      <w:r w:rsidR="008C5E99">
        <w:t>–</w:t>
      </w:r>
      <w:r>
        <w:t xml:space="preserve"> to bear this particular risk, which it is.</w:t>
      </w:r>
    </w:p>
    <w:p w:rsidR="007C16D1" w:rsidRDefault="007C16D1" w:rsidP="00F43C44">
      <w:pPr>
        <w:pStyle w:val="BodyText"/>
      </w:pPr>
      <w:r w:rsidRPr="003E0DF5">
        <w:rPr>
          <w:i/>
        </w:rPr>
        <w:t>Adverse selection</w:t>
      </w:r>
      <w:r>
        <w:t xml:space="preserve"> could be expected – that is, individuals expecting to live a long time would tend to participate more than those expecting a shorter lifespan.</w:t>
      </w:r>
      <w:r w:rsidR="00882559">
        <w:t xml:space="preserve"> </w:t>
      </w:r>
      <w:r>
        <w:t>The government could choose to accept this risk.</w:t>
      </w:r>
      <w:r w:rsidR="00882559">
        <w:t xml:space="preserve"> </w:t>
      </w:r>
      <w:r>
        <w:t xml:space="preserve">Or it could seek to counter adverse selection by pricing according to risk classification </w:t>
      </w:r>
      <w:r w:rsidR="008C5E99">
        <w:t>–</w:t>
      </w:r>
      <w:r>
        <w:t xml:space="preserve"> for example by differentiating between men and women, </w:t>
      </w:r>
      <w:r w:rsidR="005628DA">
        <w:t xml:space="preserve">or by ethnic group, </w:t>
      </w:r>
      <w:r>
        <w:t xml:space="preserve">or by allowing loadings for </w:t>
      </w:r>
      <w:r w:rsidR="00882559">
        <w:t>“</w:t>
      </w:r>
      <w:r>
        <w:t>impaired life</w:t>
      </w:r>
      <w:r w:rsidR="00882559">
        <w:t xml:space="preserve">” </w:t>
      </w:r>
      <w:r>
        <w:t xml:space="preserve"> (individual risk factors) in the design of the measures.</w:t>
      </w:r>
      <w:r w:rsidR="00882559">
        <w:t xml:space="preserve"> </w:t>
      </w:r>
      <w:r>
        <w:t>Either way, the aim would still be fiscal neutrality.</w:t>
      </w:r>
    </w:p>
    <w:p w:rsidR="007C16D1" w:rsidRDefault="007C16D1" w:rsidP="00F43C44">
      <w:pPr>
        <w:pStyle w:val="BodyText"/>
      </w:pPr>
      <w:r>
        <w:t xml:space="preserve">The government might also face an </w:t>
      </w:r>
      <w:r w:rsidRPr="003E0DF5">
        <w:rPr>
          <w:i/>
        </w:rPr>
        <w:t>investment risk</w:t>
      </w:r>
      <w:r>
        <w:rPr>
          <w:i/>
        </w:rPr>
        <w:t xml:space="preserve"> </w:t>
      </w:r>
      <w:r>
        <w:t>when it comes to invest the actual or putative payments from participants.</w:t>
      </w:r>
      <w:r w:rsidR="00882559">
        <w:t xml:space="preserve"> </w:t>
      </w:r>
      <w:r>
        <w:t xml:space="preserve">It could avoid that risk altogether by using these funds to substitute for </w:t>
      </w:r>
      <w:r>
        <w:lastRenderedPageBreak/>
        <w:t>borrowing from other sources.</w:t>
      </w:r>
      <w:r w:rsidR="00882559">
        <w:t xml:space="preserve"> </w:t>
      </w:r>
      <w:r w:rsidR="00774D6E">
        <w:t>I</w:t>
      </w:r>
      <w:r>
        <w:t>f it preferred, the government could choose an active investment strategy (as it has with the New Zealand Superannuation Fund), putting the funds in the market and accepting the associated investment risk in the expectation of higher returns over time.</w:t>
      </w:r>
    </w:p>
    <w:p w:rsidR="007C16D1" w:rsidRDefault="007C16D1" w:rsidP="00F43C44">
      <w:pPr>
        <w:pStyle w:val="BodyText"/>
      </w:pPr>
      <w:r>
        <w:t>All the above risks could be contained by setting reasonable limits on the extent to which individuals were permitted to participate</w:t>
      </w:r>
      <w:r w:rsidR="00267762">
        <w:t>;</w:t>
      </w:r>
      <w:r>
        <w:t xml:space="preserve"> </w:t>
      </w:r>
      <w:r w:rsidR="00267762">
        <w:t>eg,</w:t>
      </w:r>
      <w:r>
        <w:t xml:space="preserve"> limits on the allowable period of deferment or on the amount of additional pension that could be purchased, or both.</w:t>
      </w:r>
      <w:r w:rsidR="00882559">
        <w:t xml:space="preserve"> </w:t>
      </w:r>
    </w:p>
    <w:p w:rsidR="007C16D1" w:rsidRDefault="007C16D1" w:rsidP="00F43C44">
      <w:pPr>
        <w:pStyle w:val="BodyText"/>
      </w:pPr>
      <w:r>
        <w:t>Design choices would have to be made around pricing and about whether to price according to the risk profiles of participants.</w:t>
      </w:r>
      <w:r w:rsidR="00882559">
        <w:t xml:space="preserve"> </w:t>
      </w:r>
      <w:r>
        <w:t>Such choices have been made in other countries</w:t>
      </w:r>
      <w:r w:rsidRPr="00622150">
        <w:rPr>
          <w:rStyle w:val="FootnoteReference"/>
        </w:rPr>
        <w:footnoteReference w:id="41"/>
      </w:r>
      <w:r>
        <w:t xml:space="preserve"> without apparent controversy and without harm to the broad social and political consensus that the associated public pension scheme enjoys.</w:t>
      </w:r>
    </w:p>
    <w:p w:rsidR="007C16D1" w:rsidRDefault="007C16D1" w:rsidP="00F43C44">
      <w:pPr>
        <w:pStyle w:val="Heading2"/>
      </w:pPr>
      <w:bookmarkStart w:id="16" w:name="_Toc353530018"/>
      <w:r>
        <w:t xml:space="preserve">Option three </w:t>
      </w:r>
      <w:r w:rsidR="00DB602C">
        <w:t xml:space="preserve">– </w:t>
      </w:r>
      <w:r w:rsidRPr="00775D88">
        <w:t>set up a public annuity fund</w:t>
      </w:r>
      <w:bookmarkEnd w:id="16"/>
    </w:p>
    <w:p w:rsidR="007C16D1" w:rsidRDefault="007C16D1" w:rsidP="00F43C44">
      <w:pPr>
        <w:pStyle w:val="BodyText"/>
      </w:pPr>
      <w:r>
        <w:t xml:space="preserve">In this option the government would become an annuity provider, as mooted by the Capital Market Development Taskforce, and set up </w:t>
      </w:r>
      <w:r w:rsidRPr="00775D88">
        <w:t>a public annuity fund</w:t>
      </w:r>
      <w:r>
        <w:t>.</w:t>
      </w:r>
      <w:r w:rsidRPr="00D66865">
        <w:rPr>
          <w:rStyle w:val="FootnoteReference"/>
        </w:rPr>
        <w:footnoteReference w:id="42"/>
      </w:r>
      <w:r w:rsidRPr="00D66865">
        <w:rPr>
          <w:rStyle w:val="FootnoteReference"/>
        </w:rPr>
        <w:t xml:space="preserve"> </w:t>
      </w:r>
      <w:r>
        <w:t>This fund would</w:t>
      </w:r>
      <w:r w:rsidRPr="00775D88">
        <w:t xml:space="preserve"> receive payments from </w:t>
      </w:r>
      <w:r>
        <w:t xml:space="preserve">eligible </w:t>
      </w:r>
      <w:r w:rsidRPr="00775D88">
        <w:t xml:space="preserve">individual contributors and eventually pay them </w:t>
      </w:r>
      <w:r>
        <w:t xml:space="preserve">each </w:t>
      </w:r>
      <w:r w:rsidRPr="00775D88">
        <w:t>an annuity</w:t>
      </w:r>
      <w:r>
        <w:t>, calculated to be actuarially fair</w:t>
      </w:r>
      <w:r w:rsidRPr="00775D88">
        <w:t xml:space="preserve"> and based on the value of </w:t>
      </w:r>
      <w:r>
        <w:t xml:space="preserve">the individual’s </w:t>
      </w:r>
      <w:r w:rsidRPr="00775D88">
        <w:t>contribution</w:t>
      </w:r>
      <w:r>
        <w:t>s</w:t>
      </w:r>
      <w:r w:rsidRPr="00775D88">
        <w:t>.</w:t>
      </w:r>
      <w:r w:rsidR="00882559">
        <w:t xml:space="preserve"> </w:t>
      </w:r>
      <w:r>
        <w:t>A limit would be set on the amount of annuity an individual could purchase, corresponding with the aims of the KiwiSaver legislation cited earlier.</w:t>
      </w:r>
    </w:p>
    <w:p w:rsidR="007C16D1" w:rsidRDefault="007C16D1" w:rsidP="00F43C44">
      <w:pPr>
        <w:pStyle w:val="BodyText"/>
      </w:pPr>
      <w:r>
        <w:t xml:space="preserve">The annuity would be </w:t>
      </w:r>
      <w:r w:rsidRPr="00775D88">
        <w:t>indexed</w:t>
      </w:r>
      <w:r>
        <w:t xml:space="preserve">, desirably </w:t>
      </w:r>
      <w:r w:rsidRPr="00775D88">
        <w:t>to wages</w:t>
      </w:r>
      <w:r>
        <w:t>.</w:t>
      </w:r>
      <w:r w:rsidR="00882559">
        <w:t xml:space="preserve"> </w:t>
      </w:r>
      <w:r w:rsidR="00C147BD">
        <w:t>Wage indexation</w:t>
      </w:r>
      <w:r>
        <w:t xml:space="preserve"> would maintain its value relative to average wage incomes and living standards in the rest of the community.</w:t>
      </w:r>
      <w:r w:rsidR="00882559">
        <w:t xml:space="preserve"> </w:t>
      </w:r>
      <w:r>
        <w:t>As discussed earlier, the government is hedged against the wage indexation risk.</w:t>
      </w:r>
      <w:r w:rsidR="00882559">
        <w:t xml:space="preserve"> </w:t>
      </w:r>
    </w:p>
    <w:p w:rsidR="007C16D1" w:rsidRDefault="007C16D1" w:rsidP="00F43C44">
      <w:pPr>
        <w:pStyle w:val="BodyText"/>
      </w:pPr>
      <w:r>
        <w:t xml:space="preserve">Alternatively, </w:t>
      </w:r>
      <w:r w:rsidR="00C147BD">
        <w:t>inflation (</w:t>
      </w:r>
      <w:r>
        <w:t>price level</w:t>
      </w:r>
      <w:r w:rsidR="00C147BD">
        <w:t>)</w:t>
      </w:r>
      <w:r>
        <w:t xml:space="preserve"> indexation could be chosen.</w:t>
      </w:r>
      <w:r w:rsidR="00882559">
        <w:t xml:space="preserve"> </w:t>
      </w:r>
      <w:r>
        <w:t>In that case the government’s indexation risk is naturally hedged by the Goods and Services Tax (GST), as GST revenue responds to movement in the general price level</w:t>
      </w:r>
      <w:r w:rsidR="00C147BD">
        <w:t>.</w:t>
      </w:r>
      <w:r w:rsidR="00923348">
        <w:rPr>
          <w:rStyle w:val="FootnoteReference"/>
        </w:rPr>
        <w:footnoteReference w:id="43"/>
      </w:r>
      <w:r w:rsidR="00923348">
        <w:t xml:space="preserve"> </w:t>
      </w:r>
      <w:r w:rsidR="00882559">
        <w:t xml:space="preserve"> </w:t>
      </w:r>
      <w:r>
        <w:t>For the same amount invested, a</w:t>
      </w:r>
      <w:r w:rsidR="00C147BD">
        <w:t>n</w:t>
      </w:r>
      <w:r>
        <w:t xml:space="preserve"> </w:t>
      </w:r>
      <w:r w:rsidR="00C147BD">
        <w:t>inflation-</w:t>
      </w:r>
      <w:r>
        <w:t xml:space="preserve">indexed annuity would start at a higher rate than a wage-indexed one. The </w:t>
      </w:r>
      <w:r w:rsidR="00C147BD">
        <w:t xml:space="preserve">inflation-indexed </w:t>
      </w:r>
      <w:r>
        <w:t xml:space="preserve">annuity’s value would however tend over time to fall relative to average wage incomes and living standards in the rest of the community. </w:t>
      </w:r>
    </w:p>
    <w:p w:rsidR="007C16D1" w:rsidRDefault="007C16D1" w:rsidP="00F43C44">
      <w:pPr>
        <w:pStyle w:val="BodyText"/>
      </w:pPr>
      <w:r>
        <w:t>It would of course be possible to allow annuitants to select their preferred basis of indexation, or choose partly one and partly the other.</w:t>
      </w:r>
      <w:r w:rsidRPr="0048725C">
        <w:rPr>
          <w:rStyle w:val="FootnoteReference"/>
        </w:rPr>
        <w:footnoteReference w:id="44"/>
      </w:r>
    </w:p>
    <w:p w:rsidR="007C16D1" w:rsidRDefault="007C16D1" w:rsidP="00F43C44">
      <w:pPr>
        <w:pStyle w:val="BodyText"/>
      </w:pPr>
      <w:r>
        <w:t>The public annuity fund’s liabilities, representing annuities to be paid, would be guaranteed by the government as</w:t>
      </w:r>
      <w:r w:rsidRPr="0048725C">
        <w:t xml:space="preserve"> </w:t>
      </w:r>
      <w:r>
        <w:t>ordinary public debt.</w:t>
      </w:r>
      <w:r w:rsidR="00882559">
        <w:t xml:space="preserve"> </w:t>
      </w:r>
      <w:r>
        <w:t xml:space="preserve">The fund would be managed on actuarial principles and cover all its administrative and other costs from its income </w:t>
      </w:r>
      <w:r w:rsidRPr="00D033C9">
        <w:t>so that there is no subsidy involved and the government’s financial net worth is not affected.</w:t>
      </w:r>
      <w:r w:rsidR="00882559">
        <w:t xml:space="preserve"> </w:t>
      </w:r>
    </w:p>
    <w:p w:rsidR="007C16D1" w:rsidRDefault="007C16D1" w:rsidP="00F43C44">
      <w:pPr>
        <w:pStyle w:val="BodyText"/>
      </w:pPr>
      <w:r>
        <w:t>The fund would work like this.</w:t>
      </w:r>
      <w:r w:rsidR="00882559">
        <w:t xml:space="preserve"> </w:t>
      </w:r>
      <w:r>
        <w:t>Eligibility would be limited to individuals entitled to receive NZS, as there is no apparent public policy justification for extending eligibility more widely.</w:t>
      </w:r>
      <w:r w:rsidR="00882559">
        <w:t xml:space="preserve"> </w:t>
      </w:r>
      <w:r w:rsidR="00923348">
        <w:t xml:space="preserve">Once </w:t>
      </w:r>
      <w:r>
        <w:t xml:space="preserve">entitled to receive NZS, eligible individuals could invest in the fund by paying lump sums from KiwiSaver savings or elsewhere into their individual account in the fund, or assigning payments from NZS or elsewhere, </w:t>
      </w:r>
      <w:r>
        <w:lastRenderedPageBreak/>
        <w:t>or both.</w:t>
      </w:r>
      <w:r w:rsidR="00882559">
        <w:t xml:space="preserve"> </w:t>
      </w:r>
      <w:r>
        <w:t xml:space="preserve">The fund could take security over a participant’s home in lieu of a lump sum contribution, providing a secure and efficient means of home equity release. </w:t>
      </w:r>
    </w:p>
    <w:p w:rsidR="007C16D1" w:rsidRDefault="007C16D1" w:rsidP="00F43C44">
      <w:pPr>
        <w:pStyle w:val="BodyText"/>
      </w:pPr>
      <w:r>
        <w:t>Each contributor would be entitled to receive an actuarially fair</w:t>
      </w:r>
      <w:r w:rsidR="00267762">
        <w:t>,</w:t>
      </w:r>
      <w:r w:rsidRPr="00B6196B">
        <w:t xml:space="preserve"> </w:t>
      </w:r>
      <w:r>
        <w:t>indexed life annuity.</w:t>
      </w:r>
    </w:p>
    <w:p w:rsidR="007C16D1" w:rsidRDefault="007C16D1" w:rsidP="00F43C44">
      <w:pPr>
        <w:pStyle w:val="BodyText"/>
      </w:pPr>
      <w:r>
        <w:t>The fund could be administered by a government agency, or its administration could be contracted out</w:t>
      </w:r>
      <w:r w:rsidR="00267762">
        <w:t>,</w:t>
      </w:r>
      <w:r>
        <w:t xml:space="preserve"> as is the case with the Government Superannuation Fund at present. </w:t>
      </w:r>
    </w:p>
    <w:p w:rsidR="007C16D1" w:rsidRDefault="007C16D1" w:rsidP="00F43C44">
      <w:pPr>
        <w:pStyle w:val="BodyText"/>
      </w:pPr>
      <w:r>
        <w:t xml:space="preserve">The fund would be entirely separate from NZS and have no implications for the </w:t>
      </w:r>
      <w:r w:rsidR="00FC4A29">
        <w:t xml:space="preserve">parameters </w:t>
      </w:r>
      <w:r>
        <w:t>of NZS in future.</w:t>
      </w:r>
    </w:p>
    <w:p w:rsidR="007C16D1" w:rsidRPr="00F43C44" w:rsidRDefault="007C16D1" w:rsidP="00F43C44">
      <w:pPr>
        <w:pStyle w:val="Heading3"/>
      </w:pPr>
      <w:r w:rsidRPr="00F43C44">
        <w:t>Advantages and disadvantages of a public annuity fund</w:t>
      </w:r>
      <w:r w:rsidRPr="00AD73FD">
        <w:rPr>
          <w:rStyle w:val="FootnoteTextChar"/>
        </w:rPr>
        <w:footnoteReference w:id="45"/>
      </w:r>
    </w:p>
    <w:p w:rsidR="007C16D1" w:rsidRDefault="007C16D1" w:rsidP="00F43C44">
      <w:pPr>
        <w:pStyle w:val="BodyText"/>
      </w:pPr>
      <w:r>
        <w:t>A public annuity fund would, like the NZS-based options, offer</w:t>
      </w:r>
      <w:r w:rsidRPr="00A935A7">
        <w:t xml:space="preserve"> </w:t>
      </w:r>
      <w:r>
        <w:t>participating retirees all the advantages of a secure</w:t>
      </w:r>
      <w:r w:rsidR="00267762">
        <w:t>,</w:t>
      </w:r>
      <w:r>
        <w:t xml:space="preserve"> indexed annuity income for the rest of their lives. These advantages would not be provided at the expense of taxpayers, or by coercing anyone. The private sector would remain free to compete and offer investment products</w:t>
      </w:r>
      <w:r w:rsidR="00267762">
        <w:t>,</w:t>
      </w:r>
      <w:r>
        <w:t xml:space="preserve"> including annuities</w:t>
      </w:r>
      <w:r w:rsidR="00267762">
        <w:t>,</w:t>
      </w:r>
      <w:r>
        <w:t xml:space="preserve"> as substitutes or complements, and its products should enjoy tax neutrality with </w:t>
      </w:r>
      <w:r w:rsidR="00267762">
        <w:t>a public annuity fund</w:t>
      </w:r>
      <w:r>
        <w:t>.</w:t>
      </w:r>
    </w:p>
    <w:p w:rsidR="007C16D1" w:rsidRDefault="007C16D1" w:rsidP="00F43C44">
      <w:pPr>
        <w:pStyle w:val="BodyText"/>
      </w:pPr>
      <w:r>
        <w:t xml:space="preserve">A public annuity fund would provide the government with an efficient substitute for other borrowing. </w:t>
      </w:r>
      <w:r w:rsidR="00267762">
        <w:t>It</w:t>
      </w:r>
      <w:r>
        <w:t xml:space="preserve"> would mitigate future regulatory and supervisory problems in the investment sector, including expectations that the government will assist those whose investments go bad and who suffer financial loss in spite of </w:t>
      </w:r>
      <w:r w:rsidR="00267762">
        <w:t xml:space="preserve">– </w:t>
      </w:r>
      <w:r>
        <w:t xml:space="preserve">or because of defective </w:t>
      </w:r>
      <w:r w:rsidR="004440DC">
        <w:t xml:space="preserve">- </w:t>
      </w:r>
      <w:r>
        <w:t>government regulation and supervision.</w:t>
      </w:r>
    </w:p>
    <w:p w:rsidR="00F43C44" w:rsidRDefault="007C16D1" w:rsidP="00F43C44">
      <w:pPr>
        <w:pStyle w:val="BodyText"/>
      </w:pPr>
      <w:r>
        <w:t>The disadvantages of a public annuity fund are rather less than for the NZS-based options.</w:t>
      </w:r>
      <w:r w:rsidR="00882559">
        <w:t xml:space="preserve"> </w:t>
      </w:r>
      <w:r>
        <w:t>The administrative complexities of piggy-backing on NZS would be avoided.</w:t>
      </w:r>
      <w:r w:rsidR="00882559">
        <w:t xml:space="preserve"> </w:t>
      </w:r>
      <w:r>
        <w:t>Entitlements would be predictable and not dependent on the vicissitudes of future relationship circumstances or other pension rights.</w:t>
      </w:r>
      <w:r w:rsidR="00882559">
        <w:t xml:space="preserve"> </w:t>
      </w:r>
      <w:r>
        <w:t>The basic policy purpose and rationale of NZS and the broad social and political consensus that NZS enjoys would not be jeopardised.</w:t>
      </w:r>
      <w:r w:rsidR="00882559">
        <w:t xml:space="preserve"> </w:t>
      </w:r>
      <w:r>
        <w:t>The government would still assume the wage (or price) indexation risk, the longevity risk, and the investment risk (if any), as in the case of the other options.</w:t>
      </w:r>
      <w:r w:rsidR="00882559">
        <w:t xml:space="preserve"> </w:t>
      </w:r>
      <w:r>
        <w:t>These risks, as has been shown, are in any case hedged.</w:t>
      </w:r>
      <w:r w:rsidR="00882559">
        <w:t xml:space="preserve"> </w:t>
      </w:r>
      <w:r>
        <w:t>As with the NZS-based options, the government’s exposure to the aggregate risk could be contained by the rules around participati</w:t>
      </w:r>
      <w:r w:rsidR="0054554E">
        <w:t>on</w:t>
      </w:r>
      <w:r>
        <w:t xml:space="preserve"> </w:t>
      </w:r>
      <w:r w:rsidR="004440DC">
        <w:t xml:space="preserve">together with </w:t>
      </w:r>
      <w:r>
        <w:t xml:space="preserve">limits on amounts that could be invested. </w:t>
      </w:r>
    </w:p>
    <w:p w:rsidR="00F43C44" w:rsidRDefault="00F43C44" w:rsidP="00F43C44">
      <w:pPr>
        <w:pStyle w:val="Heading1"/>
      </w:pPr>
      <w:r>
        <w:br w:type="page"/>
      </w:r>
      <w:bookmarkStart w:id="17" w:name="_Toc353530019"/>
      <w:r>
        <w:lastRenderedPageBreak/>
        <w:t>Conclusion</w:t>
      </w:r>
      <w:bookmarkEnd w:id="17"/>
    </w:p>
    <w:p w:rsidR="00F43C44" w:rsidRDefault="004B731A" w:rsidP="00F43C44">
      <w:r>
        <w:rPr>
          <w:noProof/>
          <w:lang w:val="en-NZ"/>
        </w:rPr>
        <mc:AlternateContent>
          <mc:Choice Requires="wps">
            <w:drawing>
              <wp:anchor distT="0" distB="0" distL="114300" distR="114300" simplePos="0" relativeHeight="251660288" behindDoc="0" locked="0" layoutInCell="1" allowOverlap="1" wp14:anchorId="648AB15E" wp14:editId="37C3562A">
                <wp:simplePos x="0" y="0"/>
                <wp:positionH relativeFrom="column">
                  <wp:posOffset>0</wp:posOffset>
                </wp:positionH>
                <wp:positionV relativeFrom="paragraph">
                  <wp:posOffset>138430</wp:posOffset>
                </wp:positionV>
                <wp:extent cx="5438775" cy="0"/>
                <wp:effectExtent l="9525" t="5080" r="9525" b="13970"/>
                <wp:wrapNone/>
                <wp:docPr id="8" name="Lin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8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9pt" to="428.2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yNl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"/>
            </w:pict>
          </mc:Fallback>
        </mc:AlternateContent>
      </w:r>
    </w:p>
    <w:p w:rsidR="00F43C44" w:rsidRDefault="00F43C44" w:rsidP="00F43C44">
      <w:pPr>
        <w:pStyle w:val="BodyText"/>
      </w:pPr>
      <w:r>
        <w:t xml:space="preserve">To restate the problem: </w:t>
      </w:r>
      <w:r w:rsidR="0054554E">
        <w:t xml:space="preserve">many </w:t>
      </w:r>
      <w:r w:rsidRPr="008E4D43">
        <w:t xml:space="preserve">New Zealanders </w:t>
      </w:r>
      <w:r w:rsidR="0054554E">
        <w:t xml:space="preserve">with retirement </w:t>
      </w:r>
      <w:r w:rsidR="0054554E" w:rsidRPr="008E4D43">
        <w:t>savings</w:t>
      </w:r>
      <w:r w:rsidR="0054554E">
        <w:t xml:space="preserve"> </w:t>
      </w:r>
      <w:r w:rsidRPr="008E4D43">
        <w:t>cannot draw their</w:t>
      </w:r>
      <w:r>
        <w:t xml:space="preserve"> </w:t>
      </w:r>
      <w:r w:rsidRPr="008E4D43">
        <w:t>savings</w:t>
      </w:r>
      <w:r w:rsidR="0054554E">
        <w:t xml:space="preserve"> down</w:t>
      </w:r>
      <w:r w:rsidR="0054554E" w:rsidRPr="0054554E">
        <w:t xml:space="preserve"> </w:t>
      </w:r>
      <w:r w:rsidR="0054554E" w:rsidRPr="008E4D43">
        <w:t>through their retirement</w:t>
      </w:r>
      <w:r w:rsidR="005D237E">
        <w:t xml:space="preserve"> safely and efficiently </w:t>
      </w:r>
      <w:r w:rsidRPr="008E4D43">
        <w:t>so as to maintain their relative standard of living</w:t>
      </w:r>
      <w:r>
        <w:t>.</w:t>
      </w:r>
      <w:r w:rsidR="00882559">
        <w:t xml:space="preserve"> </w:t>
      </w:r>
      <w:r w:rsidR="003F5198">
        <w:t xml:space="preserve">Three </w:t>
      </w:r>
      <w:r>
        <w:t>options have been explored:</w:t>
      </w:r>
    </w:p>
    <w:p w:rsidR="00F43C44" w:rsidRDefault="00F43C44" w:rsidP="00F43C44">
      <w:pPr>
        <w:pStyle w:val="bullet1"/>
      </w:pPr>
      <w:r>
        <w:t>allow superannuitants to defer their NZS in exchange for a higher rate of NZS later</w:t>
      </w:r>
    </w:p>
    <w:p w:rsidR="00F43C44" w:rsidRDefault="00F43C44" w:rsidP="00F43C44">
      <w:pPr>
        <w:pStyle w:val="bullet1"/>
      </w:pPr>
      <w:r>
        <w:t>allow superannuitants to buy a higher rate of NZS than their ordinary entitlement</w:t>
      </w:r>
    </w:p>
    <w:p w:rsidR="00F43C44" w:rsidRDefault="00F43C44" w:rsidP="00F43C44">
      <w:pPr>
        <w:pStyle w:val="bullet1last"/>
      </w:pPr>
      <w:r>
        <w:t>set up a public annuity fund to accept contributions from eligible persons and pay annuities to them.</w:t>
      </w:r>
    </w:p>
    <w:p w:rsidR="00F43C44" w:rsidRDefault="00F43C44" w:rsidP="00F43C44">
      <w:pPr>
        <w:pStyle w:val="BodyText"/>
      </w:pPr>
      <w:r>
        <w:t>Implementation of any of these options should be unsubsidised and fiscally neutral.</w:t>
      </w:r>
    </w:p>
    <w:p w:rsidR="00F43C44" w:rsidRDefault="00F43C44" w:rsidP="00F43C44">
      <w:pPr>
        <w:pStyle w:val="BodyText"/>
      </w:pPr>
      <w:r>
        <w:t>The first and second (NZS-based) options are conceptually similar and potentially complementary, and they can be considered together.</w:t>
      </w:r>
      <w:r w:rsidR="00882559">
        <w:t xml:space="preserve"> </w:t>
      </w:r>
      <w:r>
        <w:t>They could largely solve the decumulation problem.</w:t>
      </w:r>
      <w:r w:rsidR="00882559">
        <w:t xml:space="preserve"> </w:t>
      </w:r>
      <w:r>
        <w:t xml:space="preserve">However, grafting contractual annuities on to statutory NZS entitlements would be far from straightforward for </w:t>
      </w:r>
      <w:r w:rsidR="003F5198">
        <w:t xml:space="preserve">either </w:t>
      </w:r>
      <w:r>
        <w:t xml:space="preserve">the government </w:t>
      </w:r>
      <w:r w:rsidR="003F5198">
        <w:t xml:space="preserve">or </w:t>
      </w:r>
      <w:r>
        <w:t xml:space="preserve">superannuitants. </w:t>
      </w:r>
    </w:p>
    <w:p w:rsidR="00F43C44" w:rsidRDefault="00F43C44" w:rsidP="00F43C44">
      <w:pPr>
        <w:pStyle w:val="BodyText"/>
      </w:pPr>
      <w:r>
        <w:t>A public annuity fund could solve the decumulation problem and do so without the complications of the NZS-based proposals.</w:t>
      </w:r>
      <w:r w:rsidR="00882559">
        <w:t xml:space="preserve"> </w:t>
      </w:r>
      <w:r>
        <w:t>A public annuity fund would present no novel administrative problems.</w:t>
      </w:r>
      <w:r w:rsidR="00882559">
        <w:t xml:space="preserve"> </w:t>
      </w:r>
      <w:r>
        <w:t xml:space="preserve">A clean separation between NZS and the public annuity fund could be maintained, and with it the significant distinction between a statutory entitlement to a benefit </w:t>
      </w:r>
      <w:r w:rsidR="004440DC">
        <w:t xml:space="preserve">(which NZS is) </w:t>
      </w:r>
      <w:r>
        <w:t>and a private property right in a contractual insurance policy.</w:t>
      </w:r>
      <w:r w:rsidR="00882559">
        <w:t xml:space="preserve"> </w:t>
      </w:r>
      <w:r>
        <w:t xml:space="preserve">It is therefore to be preferred to the NZS-based options. </w:t>
      </w:r>
    </w:p>
    <w:p w:rsidR="00AD73FD" w:rsidRDefault="00F43C44" w:rsidP="00F43C44">
      <w:pPr>
        <w:pStyle w:val="BodyText"/>
      </w:pPr>
      <w:r>
        <w:t>There is no solution that does not involve risks to someone – the risks are there already, and they are growing.</w:t>
      </w:r>
      <w:r w:rsidR="00882559">
        <w:t xml:space="preserve"> </w:t>
      </w:r>
      <w:r w:rsidR="00812677">
        <w:t xml:space="preserve">The challenge is to manage them well. </w:t>
      </w:r>
      <w:r>
        <w:t>As more people join KiwiSaver and build lump sums for their retirement, they will look to the government to fix the problem and to share the investment risk one way or another.</w:t>
      </w:r>
    </w:p>
    <w:p w:rsidR="002F751F" w:rsidRDefault="00AD73FD" w:rsidP="002F751F">
      <w:pPr>
        <w:pStyle w:val="Heading1"/>
      </w:pPr>
      <w:r>
        <w:br w:type="page"/>
      </w:r>
      <w:bookmarkStart w:id="18" w:name="_Toc353530020"/>
      <w:r w:rsidR="002F751F">
        <w:lastRenderedPageBreak/>
        <w:t>References</w:t>
      </w:r>
      <w:bookmarkEnd w:id="18"/>
    </w:p>
    <w:p w:rsidR="002F751F" w:rsidRDefault="004B731A" w:rsidP="002F751F">
      <w:r>
        <w:rPr>
          <w:noProof/>
          <w:lang w:val="en-NZ"/>
        </w:rPr>
        <mc:AlternateContent>
          <mc:Choice Requires="wps">
            <w:drawing>
              <wp:anchor distT="0" distB="0" distL="114300" distR="114300" simplePos="0" relativeHeight="251661312" behindDoc="0" locked="0" layoutInCell="1" allowOverlap="1" wp14:anchorId="7C7CDE0C" wp14:editId="5D5F7D20">
                <wp:simplePos x="0" y="0"/>
                <wp:positionH relativeFrom="column">
                  <wp:posOffset>0</wp:posOffset>
                </wp:positionH>
                <wp:positionV relativeFrom="paragraph">
                  <wp:posOffset>138430</wp:posOffset>
                </wp:positionV>
                <wp:extent cx="5438775" cy="0"/>
                <wp:effectExtent l="9525" t="5080" r="9525" b="13970"/>
                <wp:wrapNone/>
                <wp:docPr id="7"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8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9pt" to="428.2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3TFFQ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"/>
            </w:pict>
          </mc:Fallback>
        </mc:AlternateContent>
      </w:r>
    </w:p>
    <w:p w:rsidR="008C0816" w:rsidRDefault="002F41D1" w:rsidP="00193139">
      <w:pPr>
        <w:pStyle w:val="Reference"/>
        <w:rPr>
          <w:bCs/>
          <w:lang w:val="en-NZ"/>
        </w:rPr>
      </w:pPr>
      <w:r>
        <w:rPr>
          <w:bCs/>
          <w:lang w:val="en-NZ"/>
        </w:rPr>
        <w:t xml:space="preserve">Callaway, E. </w:t>
      </w:r>
      <w:r w:rsidR="008C0816">
        <w:rPr>
          <w:bCs/>
          <w:lang w:val="en-NZ"/>
        </w:rPr>
        <w:t xml:space="preserve">(2010) </w:t>
      </w:r>
      <w:proofErr w:type="gramStart"/>
      <w:r>
        <w:rPr>
          <w:bCs/>
          <w:lang w:val="en-NZ"/>
        </w:rPr>
        <w:t>Why</w:t>
      </w:r>
      <w:proofErr w:type="gramEnd"/>
      <w:r>
        <w:rPr>
          <w:bCs/>
          <w:lang w:val="en-NZ"/>
        </w:rPr>
        <w:t xml:space="preserve"> older brains stand to lose more. </w:t>
      </w:r>
      <w:r>
        <w:rPr>
          <w:bCs/>
          <w:i/>
          <w:lang w:val="en-NZ"/>
        </w:rPr>
        <w:t>New Scientist</w:t>
      </w:r>
      <w:r>
        <w:rPr>
          <w:bCs/>
          <w:lang w:val="en-NZ"/>
        </w:rPr>
        <w:t xml:space="preserve">, 26 January 2010. </w:t>
      </w:r>
      <w:proofErr w:type="gramStart"/>
      <w:r w:rsidR="00615D89">
        <w:rPr>
          <w:bCs/>
          <w:lang w:val="en-NZ"/>
        </w:rPr>
        <w:t xml:space="preserve">Cited in </w:t>
      </w:r>
      <w:hyperlink r:id="rId15" w:history="1">
        <w:r w:rsidR="008C0816" w:rsidRPr="00D83460">
          <w:rPr>
            <w:rStyle w:val="Hyperlink"/>
            <w:bCs/>
            <w:sz w:val="20"/>
            <w:szCs w:val="22"/>
            <w:lang w:val="en-NZ"/>
          </w:rPr>
          <w:t>http://www.psy.vanderbilt.edu/postdocs/gregoryrsl/press/files/64a61858970765f9e550a890008c486b-16.htm</w:t>
        </w:r>
      </w:hyperlink>
      <w:r w:rsidR="008C0816">
        <w:rPr>
          <w:bCs/>
          <w:lang w:val="en-NZ"/>
        </w:rPr>
        <w:t xml:space="preserve"> </w:t>
      </w:r>
      <w:r w:rsidR="00615D89" w:rsidRPr="00615D89">
        <w:rPr>
          <w:bCs/>
          <w:lang w:val="en-NZ"/>
        </w:rPr>
        <w:t xml:space="preserve"> </w:t>
      </w:r>
      <w:r w:rsidR="008C0816">
        <w:rPr>
          <w:bCs/>
          <w:lang w:val="en-NZ"/>
        </w:rPr>
        <w:t>accessed</w:t>
      </w:r>
      <w:r>
        <w:rPr>
          <w:bCs/>
          <w:lang w:val="en-NZ"/>
        </w:rPr>
        <w:t xml:space="preserve"> </w:t>
      </w:r>
      <w:r w:rsidR="00615D89">
        <w:rPr>
          <w:bCs/>
          <w:lang w:val="en-NZ"/>
        </w:rPr>
        <w:t>9 April 2013.</w:t>
      </w:r>
      <w:proofErr w:type="gramEnd"/>
      <w:r w:rsidR="008C0816">
        <w:rPr>
          <w:bCs/>
          <w:lang w:val="en-NZ"/>
        </w:rPr>
        <w:t xml:space="preserve"> </w:t>
      </w:r>
    </w:p>
    <w:p w:rsidR="008F09EA" w:rsidRPr="008F09EA" w:rsidRDefault="008F09EA" w:rsidP="00193139">
      <w:pPr>
        <w:pStyle w:val="Reference"/>
        <w:rPr>
          <w:bCs/>
          <w:lang w:val="en-NZ"/>
        </w:rPr>
      </w:pPr>
      <w:r>
        <w:rPr>
          <w:bCs/>
          <w:lang w:val="en-NZ"/>
        </w:rPr>
        <w:t xml:space="preserve">Campbell, J., &amp; </w:t>
      </w:r>
      <w:proofErr w:type="spellStart"/>
      <w:r>
        <w:rPr>
          <w:bCs/>
          <w:lang w:val="en-NZ"/>
        </w:rPr>
        <w:t>Viceira</w:t>
      </w:r>
      <w:proofErr w:type="spellEnd"/>
      <w:r>
        <w:rPr>
          <w:bCs/>
          <w:lang w:val="en-NZ"/>
        </w:rPr>
        <w:t xml:space="preserve">, L. (2002) </w:t>
      </w:r>
      <w:r>
        <w:rPr>
          <w:bCs/>
          <w:i/>
          <w:lang w:val="en-NZ"/>
        </w:rPr>
        <w:t>Strategic asset allocation: Portfolio choice for long-term investors</w:t>
      </w:r>
      <w:r>
        <w:rPr>
          <w:bCs/>
          <w:lang w:val="en-NZ"/>
        </w:rPr>
        <w:t>. Oxford: Oxford University Press.</w:t>
      </w:r>
    </w:p>
    <w:p w:rsidR="00193139" w:rsidRDefault="00193139" w:rsidP="00193139">
      <w:pPr>
        <w:pStyle w:val="Reference"/>
        <w:rPr>
          <w:rStyle w:val="Hyperlink"/>
          <w:lang w:val="en-NZ"/>
        </w:rPr>
      </w:pPr>
      <w:r w:rsidRPr="00193139">
        <w:rPr>
          <w:bCs/>
          <w:lang w:val="en-NZ"/>
        </w:rPr>
        <w:t>Capital Market Development Taskforce. (20</w:t>
      </w:r>
      <w:r>
        <w:rPr>
          <w:bCs/>
          <w:lang w:val="en-NZ"/>
        </w:rPr>
        <w:t>09</w:t>
      </w:r>
      <w:r w:rsidRPr="00193139">
        <w:rPr>
          <w:bCs/>
          <w:lang w:val="en-NZ"/>
        </w:rPr>
        <w:t xml:space="preserve">) </w:t>
      </w:r>
      <w:r w:rsidRPr="00193139">
        <w:rPr>
          <w:bCs/>
          <w:i/>
          <w:lang w:val="en-NZ"/>
        </w:rPr>
        <w:t xml:space="preserve">Capital </w:t>
      </w:r>
      <w:r>
        <w:rPr>
          <w:bCs/>
          <w:i/>
          <w:lang w:val="en-NZ"/>
        </w:rPr>
        <w:t>m</w:t>
      </w:r>
      <w:r w:rsidRPr="00193139">
        <w:rPr>
          <w:bCs/>
          <w:i/>
          <w:lang w:val="en-NZ"/>
        </w:rPr>
        <w:t xml:space="preserve">arkets </w:t>
      </w:r>
      <w:r>
        <w:rPr>
          <w:bCs/>
          <w:i/>
          <w:lang w:val="en-NZ"/>
        </w:rPr>
        <w:t>m</w:t>
      </w:r>
      <w:r w:rsidRPr="00193139">
        <w:rPr>
          <w:bCs/>
          <w:i/>
          <w:lang w:val="en-NZ"/>
        </w:rPr>
        <w:t>atter: Report of the Capital Market Development Taskforce</w:t>
      </w:r>
      <w:r w:rsidR="008C0816">
        <w:rPr>
          <w:bCs/>
          <w:i/>
          <w:lang w:val="en-NZ"/>
        </w:rPr>
        <w:t>,</w:t>
      </w:r>
      <w:r>
        <w:rPr>
          <w:bCs/>
          <w:lang w:val="en-NZ"/>
        </w:rPr>
        <w:t xml:space="preserve"> </w:t>
      </w:r>
      <w:r w:rsidR="008C0816">
        <w:rPr>
          <w:bCs/>
          <w:lang w:val="en-NZ"/>
        </w:rPr>
        <w:t>a</w:t>
      </w:r>
      <w:r w:rsidR="00C766E5">
        <w:rPr>
          <w:bCs/>
          <w:lang w:val="en-NZ"/>
        </w:rPr>
        <w:t>ccessed</w:t>
      </w:r>
      <w:r>
        <w:rPr>
          <w:bCs/>
          <w:lang w:val="en-NZ"/>
        </w:rPr>
        <w:t xml:space="preserve"> </w:t>
      </w:r>
      <w:r w:rsidR="00615D89">
        <w:rPr>
          <w:bCs/>
          <w:lang w:val="en-NZ"/>
        </w:rPr>
        <w:t xml:space="preserve">9 April 2013 </w:t>
      </w:r>
      <w:r>
        <w:rPr>
          <w:bCs/>
          <w:lang w:val="en-NZ"/>
        </w:rPr>
        <w:t xml:space="preserve">from </w:t>
      </w:r>
      <w:hyperlink r:id="rId16" w:history="1">
        <w:r w:rsidR="00984433" w:rsidRPr="00615D89">
          <w:rPr>
            <w:rStyle w:val="Hyperlink"/>
            <w:bCs/>
            <w:sz w:val="20"/>
            <w:szCs w:val="22"/>
            <w:lang w:val="en-NZ"/>
          </w:rPr>
          <w:t>http://www.med.govt.nz/business/economic-development/pdf-docs-library/cmd-capital-markets-matter-full-report.pdf</w:t>
        </w:r>
      </w:hyperlink>
      <w:r w:rsidR="00984433" w:rsidRPr="00984433" w:rsidDel="00984433">
        <w:rPr>
          <w:rStyle w:val="Hyperlink"/>
          <w:bCs/>
          <w:color w:val="auto"/>
          <w:sz w:val="20"/>
          <w:lang w:val="en-NZ"/>
        </w:rPr>
        <w:t xml:space="preserve"> </w:t>
      </w:r>
    </w:p>
    <w:p w:rsidR="00DB602C" w:rsidRPr="00DB602C" w:rsidRDefault="00DB602C" w:rsidP="001D6997">
      <w:pPr>
        <w:pStyle w:val="Reference"/>
      </w:pPr>
      <w:r>
        <w:t xml:space="preserve">Hu, H., &amp; Odean, T. (2011) </w:t>
      </w:r>
      <w:r>
        <w:rPr>
          <w:i/>
        </w:rPr>
        <w:t>Paying for old age</w:t>
      </w:r>
      <w:r>
        <w:t>. New York Times, 26 February 2011</w:t>
      </w:r>
      <w:r w:rsidR="008C0816">
        <w:t>,</w:t>
      </w:r>
      <w:r>
        <w:t xml:space="preserve"> </w:t>
      </w:r>
      <w:r w:rsidR="008C0816">
        <w:t>a</w:t>
      </w:r>
      <w:r w:rsidR="00C766E5">
        <w:t>ccessed</w:t>
      </w:r>
      <w:r>
        <w:t xml:space="preserve"> </w:t>
      </w:r>
      <w:r w:rsidR="00615D89">
        <w:t xml:space="preserve">9 April 2013 </w:t>
      </w:r>
      <w:hyperlink r:id="rId17" w:history="1">
        <w:r w:rsidRPr="00C759A8">
          <w:rPr>
            <w:rStyle w:val="Hyperlink"/>
            <w:sz w:val="20"/>
            <w:szCs w:val="22"/>
          </w:rPr>
          <w:t xml:space="preserve">from </w:t>
        </w:r>
        <w:r w:rsidRPr="00C759A8">
          <w:rPr>
            <w:rStyle w:val="Hyperlink"/>
          </w:rPr>
          <w:t>http://www.nytimes.com/2011/02/26/opinion/26Hu.html?_r=3&amp;src=me&amp;ref=homepage</w:t>
        </w:r>
      </w:hyperlink>
      <w:r>
        <w:t xml:space="preserve"> </w:t>
      </w:r>
    </w:p>
    <w:p w:rsidR="006A17D0" w:rsidRPr="006A17D0" w:rsidRDefault="006A17D0" w:rsidP="001D6997">
      <w:pPr>
        <w:pStyle w:val="Reference"/>
      </w:pPr>
      <w:r>
        <w:t xml:space="preserve">Hurnard, R. (2007). </w:t>
      </w:r>
      <w:r>
        <w:rPr>
          <w:i/>
        </w:rPr>
        <w:t>Managing assets and income in retirement: An issues paper prepared for the Retirement Commission</w:t>
      </w:r>
      <w:r>
        <w:t xml:space="preserve">. Retrieved </w:t>
      </w:r>
    </w:p>
    <w:p w:rsidR="001D6997" w:rsidRPr="001D6997" w:rsidRDefault="001D6997" w:rsidP="001D6997">
      <w:pPr>
        <w:pStyle w:val="Reference"/>
      </w:pPr>
      <w:proofErr w:type="spellStart"/>
      <w:r>
        <w:t>Impavido</w:t>
      </w:r>
      <w:proofErr w:type="spellEnd"/>
      <w:r>
        <w:t xml:space="preserve">, G., </w:t>
      </w:r>
      <w:proofErr w:type="spellStart"/>
      <w:r>
        <w:t>Thorburn</w:t>
      </w:r>
      <w:proofErr w:type="spellEnd"/>
      <w:r>
        <w:t xml:space="preserve">, C. &amp; Wadsworth, </w:t>
      </w:r>
      <w:proofErr w:type="gramStart"/>
      <w:r>
        <w:t>M</w:t>
      </w:r>
      <w:proofErr w:type="gramEnd"/>
      <w:r>
        <w:t xml:space="preserve">. (2004) </w:t>
      </w:r>
      <w:r>
        <w:rPr>
          <w:i/>
        </w:rPr>
        <w:t>A conceptual framework for retirement products: Risk-sharing arrangements between providers and retirees</w:t>
      </w:r>
      <w:r>
        <w:t xml:space="preserve">. World Bank Research Working Paper 3208. </w:t>
      </w:r>
      <w:r w:rsidR="008C0816">
        <w:t>Accessed</w:t>
      </w:r>
      <w:r>
        <w:t xml:space="preserve"> </w:t>
      </w:r>
      <w:r w:rsidR="00B33F78" w:rsidRPr="00B33F78">
        <w:t>10 April 2013</w:t>
      </w:r>
      <w:r w:rsidR="008C0816">
        <w:t xml:space="preserve"> </w:t>
      </w:r>
      <w:r>
        <w:t xml:space="preserve">from </w:t>
      </w:r>
      <w:hyperlink r:id="rId18" w:history="1">
        <w:r w:rsidRPr="008C0816">
          <w:rPr>
            <w:rStyle w:val="Hyperlink"/>
            <w:sz w:val="20"/>
          </w:rPr>
          <w:t>http://www1.worldbank.org/finance/assets/images/3208.pdf</w:t>
        </w:r>
      </w:hyperlink>
      <w:r>
        <w:t xml:space="preserve"> </w:t>
      </w:r>
    </w:p>
    <w:p w:rsidR="006A299E" w:rsidRDefault="006A299E" w:rsidP="006A299E">
      <w:pPr>
        <w:pStyle w:val="Reference"/>
      </w:pPr>
      <w:r w:rsidRPr="006A299E">
        <w:rPr>
          <w:i/>
        </w:rPr>
        <w:t>Inflation-linked NZ bonds benchmark for annuities</w:t>
      </w:r>
      <w:r>
        <w:t xml:space="preserve">. Dominion Post, 23 May 2011. </w:t>
      </w:r>
    </w:p>
    <w:p w:rsidR="006A299E" w:rsidRDefault="006A299E" w:rsidP="006A299E">
      <w:pPr>
        <w:pStyle w:val="Reference"/>
        <w:rPr>
          <w:rStyle w:val="Hyperlink"/>
        </w:rPr>
      </w:pPr>
      <w:r>
        <w:t xml:space="preserve">Koopman-Boyden, P., van der Pas, S. &amp; Cameron, M. (2007). </w:t>
      </w:r>
      <w:r>
        <w:rPr>
          <w:i/>
        </w:rPr>
        <w:t xml:space="preserve">Wellbeing: Social connectedness and economic standard of </w:t>
      </w:r>
      <w:r w:rsidR="008C0816">
        <w:rPr>
          <w:i/>
        </w:rPr>
        <w:t>l</w:t>
      </w:r>
      <w:r>
        <w:rPr>
          <w:i/>
        </w:rPr>
        <w:t xml:space="preserve">iving among 65–84 year olds in New Zealand – 2007. </w:t>
      </w:r>
      <w:r>
        <w:t xml:space="preserve">Working paper 9, Enhancing Wellbeing in an Ageing Society (EWAS). </w:t>
      </w:r>
      <w:r w:rsidR="008C0816">
        <w:t>Accessed</w:t>
      </w:r>
      <w:r w:rsidR="00C759A8">
        <w:t xml:space="preserve"> 12 October 2012 </w:t>
      </w:r>
      <w:r>
        <w:t xml:space="preserve">from </w:t>
      </w:r>
      <w:hyperlink r:id="rId19" w:history="1">
        <w:r w:rsidR="008C0816" w:rsidRPr="00D83460">
          <w:rPr>
            <w:rStyle w:val="Hyperlink"/>
            <w:sz w:val="20"/>
            <w:szCs w:val="22"/>
          </w:rPr>
          <w:t>http://www.ewas.net.nz/Publications/filesEWAS/Wellbeing,%20social%20connectedness%20and%20economic%20std%20of%20living.pdf</w:t>
        </w:r>
      </w:hyperlink>
      <w:r w:rsidR="008C0816">
        <w:t xml:space="preserve"> </w:t>
      </w:r>
    </w:p>
    <w:p w:rsidR="005449C8" w:rsidRPr="005449C8" w:rsidRDefault="005449C8" w:rsidP="005449C8">
      <w:pPr>
        <w:pStyle w:val="Reference"/>
      </w:pPr>
      <w:r w:rsidRPr="005449C8">
        <w:t xml:space="preserve">Mercer (2009) </w:t>
      </w:r>
      <w:r w:rsidRPr="005449C8">
        <w:rPr>
          <w:i/>
        </w:rPr>
        <w:t>Securing retirement income: Time to act. Risks, challenges and opportunities with New Zealand’s retirement income system</w:t>
      </w:r>
      <w:r>
        <w:t>.</w:t>
      </w:r>
      <w:r w:rsidRPr="005449C8">
        <w:t xml:space="preserve"> </w:t>
      </w:r>
      <w:r>
        <w:t>July</w:t>
      </w:r>
      <w:r w:rsidRPr="005449C8">
        <w:t xml:space="preserve"> 2009. </w:t>
      </w:r>
      <w:r w:rsidR="008C0816">
        <w:t>Accessed</w:t>
      </w:r>
      <w:r w:rsidRPr="005449C8">
        <w:t xml:space="preserve"> </w:t>
      </w:r>
      <w:r w:rsidR="00B33F78" w:rsidRPr="00B33F78">
        <w:t>10 April 2013</w:t>
      </w:r>
      <w:r w:rsidR="00B33F78">
        <w:t xml:space="preserve"> </w:t>
      </w:r>
      <w:r w:rsidRPr="005449C8">
        <w:t xml:space="preserve">from </w:t>
      </w:r>
      <w:hyperlink r:id="rId20" w:history="1">
        <w:r w:rsidRPr="008C0816">
          <w:rPr>
            <w:rStyle w:val="Hyperlink"/>
            <w:sz w:val="20"/>
          </w:rPr>
          <w:t>http://www.mercer.co.nz/secureretirement</w:t>
        </w:r>
      </w:hyperlink>
      <w:r w:rsidRPr="005449C8">
        <w:t xml:space="preserve"> </w:t>
      </w:r>
    </w:p>
    <w:p w:rsidR="002F751F" w:rsidRPr="008C0816" w:rsidRDefault="00847B77" w:rsidP="002F751F">
      <w:pPr>
        <w:pStyle w:val="Reference"/>
        <w:rPr>
          <w:szCs w:val="20"/>
        </w:rPr>
      </w:pPr>
      <w:r>
        <w:t xml:space="preserve">OECD (2011) </w:t>
      </w:r>
      <w:r w:rsidRPr="00847B77">
        <w:rPr>
          <w:i/>
        </w:rPr>
        <w:t>Pensions at a glance 2011</w:t>
      </w:r>
      <w:r>
        <w:rPr>
          <w:i/>
        </w:rPr>
        <w:t xml:space="preserve">: </w:t>
      </w:r>
      <w:r w:rsidRPr="00847B77">
        <w:rPr>
          <w:i/>
          <w:lang w:val="en"/>
        </w:rPr>
        <w:t xml:space="preserve">Retirement-income </w:t>
      </w:r>
      <w:r>
        <w:rPr>
          <w:i/>
          <w:lang w:val="en"/>
        </w:rPr>
        <w:t>s</w:t>
      </w:r>
      <w:r w:rsidRPr="00847B77">
        <w:rPr>
          <w:i/>
          <w:lang w:val="en"/>
        </w:rPr>
        <w:t>ystems in OECD and G20 Countries</w:t>
      </w:r>
      <w:r w:rsidR="008C0816">
        <w:rPr>
          <w:i/>
          <w:lang w:val="en"/>
        </w:rPr>
        <w:t>,</w:t>
      </w:r>
      <w:r>
        <w:t xml:space="preserve"> </w:t>
      </w:r>
      <w:r w:rsidR="008C0816">
        <w:t>accessed</w:t>
      </w:r>
      <w:r>
        <w:t xml:space="preserve"> </w:t>
      </w:r>
      <w:r w:rsidR="00B33F78" w:rsidRPr="00B33F78">
        <w:t>10 April 2013</w:t>
      </w:r>
      <w:r w:rsidR="008C0816">
        <w:t xml:space="preserve"> </w:t>
      </w:r>
      <w:r>
        <w:t xml:space="preserve">from </w:t>
      </w:r>
      <w:hyperlink r:id="rId21" w:history="1">
        <w:r w:rsidRPr="008C0816">
          <w:rPr>
            <w:rStyle w:val="Hyperlink"/>
            <w:sz w:val="20"/>
          </w:rPr>
          <w:t>http://www.oecd-ilibrary.org/finance-and-investment/pensions-at-a-glance-2011_pension_glance-2011-en</w:t>
        </w:r>
      </w:hyperlink>
      <w:r w:rsidRPr="008C0816">
        <w:rPr>
          <w:szCs w:val="20"/>
        </w:rPr>
        <w:t xml:space="preserve"> </w:t>
      </w:r>
    </w:p>
    <w:p w:rsidR="00F04DC0" w:rsidRPr="00F04DC0" w:rsidRDefault="00F04DC0" w:rsidP="002F751F">
      <w:pPr>
        <w:pStyle w:val="Reference"/>
      </w:pPr>
      <w:r>
        <w:t>OECD (2012</w:t>
      </w:r>
      <w:proofErr w:type="gramStart"/>
      <w:r>
        <w:t xml:space="preserve">) </w:t>
      </w:r>
      <w:r>
        <w:rPr>
          <w:i/>
        </w:rPr>
        <w:t xml:space="preserve"> </w:t>
      </w:r>
      <w:r w:rsidRPr="004B731A">
        <w:rPr>
          <w:i/>
        </w:rPr>
        <w:t>OECD</w:t>
      </w:r>
      <w:proofErr w:type="gramEnd"/>
      <w:r w:rsidRPr="004B731A">
        <w:rPr>
          <w:i/>
        </w:rPr>
        <w:t xml:space="preserve"> Pensions Outlook 2012</w:t>
      </w:r>
      <w:r w:rsidR="008C0816">
        <w:t>,</w:t>
      </w:r>
      <w:r>
        <w:rPr>
          <w:i/>
        </w:rPr>
        <w:t xml:space="preserve"> </w:t>
      </w:r>
      <w:r w:rsidR="008C0816" w:rsidRPr="008C0816">
        <w:t>a</w:t>
      </w:r>
      <w:r w:rsidR="008C0816">
        <w:t>ccessed</w:t>
      </w:r>
      <w:r>
        <w:t xml:space="preserve"> </w:t>
      </w:r>
      <w:r w:rsidR="00F2488E" w:rsidRPr="00F2488E">
        <w:t>10 April 2013</w:t>
      </w:r>
      <w:r w:rsidR="008C0816">
        <w:t xml:space="preserve"> </w:t>
      </w:r>
      <w:r>
        <w:t>from</w:t>
      </w:r>
      <w:r w:rsidRPr="00F04DC0">
        <w:t xml:space="preserve"> </w:t>
      </w:r>
      <w:hyperlink r:id="rId22" w:history="1">
        <w:r w:rsidR="005D118F" w:rsidRPr="004B731A">
          <w:rPr>
            <w:rStyle w:val="Hyperlink"/>
            <w:sz w:val="20"/>
          </w:rPr>
          <w:t>http://www.oecd.org/finance/privatepensions/oecdpensionsoutlook2012.htm</w:t>
        </w:r>
      </w:hyperlink>
    </w:p>
    <w:p w:rsidR="000D1C3B" w:rsidRPr="008C0816" w:rsidRDefault="007C16D1" w:rsidP="00306315">
      <w:pPr>
        <w:pStyle w:val="Reference"/>
        <w:rPr>
          <w:szCs w:val="20"/>
          <w:lang w:val="en-AU"/>
        </w:rPr>
      </w:pPr>
      <w:r>
        <w:t xml:space="preserve"> </w:t>
      </w:r>
      <w:r w:rsidR="00306315">
        <w:t>Perry, B. (201</w:t>
      </w:r>
      <w:r w:rsidR="00AB5816">
        <w:t>2</w:t>
      </w:r>
      <w:r w:rsidR="00306315">
        <w:t xml:space="preserve">) </w:t>
      </w:r>
      <w:r w:rsidR="00306315" w:rsidRPr="00306315">
        <w:rPr>
          <w:i/>
        </w:rPr>
        <w:t>Household incomes in New Zealand: Trends in indicators of inequality and hardship 1982 to 201</w:t>
      </w:r>
      <w:r w:rsidR="00AB5816">
        <w:rPr>
          <w:i/>
        </w:rPr>
        <w:t>1</w:t>
      </w:r>
      <w:r w:rsidR="00306315" w:rsidRPr="00306315">
        <w:rPr>
          <w:i/>
        </w:rPr>
        <w:t xml:space="preserve">. </w:t>
      </w:r>
      <w:r w:rsidR="00306315">
        <w:t>Wellington: Ministry of Social Development</w:t>
      </w:r>
      <w:r w:rsidR="003356D2">
        <w:t>,</w:t>
      </w:r>
      <w:r w:rsidR="00306315">
        <w:t xml:space="preserve"> </w:t>
      </w:r>
      <w:r w:rsidR="003356D2">
        <w:t>a</w:t>
      </w:r>
      <w:r w:rsidR="008C0816">
        <w:t>ccessed</w:t>
      </w:r>
      <w:r w:rsidR="00306315">
        <w:t xml:space="preserve"> </w:t>
      </w:r>
      <w:r w:rsidR="00F2488E" w:rsidRPr="00F2488E">
        <w:t>10 April 2013</w:t>
      </w:r>
      <w:r w:rsidR="00F2488E">
        <w:t xml:space="preserve"> </w:t>
      </w:r>
      <w:r w:rsidR="00306315">
        <w:t xml:space="preserve">from </w:t>
      </w:r>
      <w:hyperlink r:id="rId23" w:history="1">
        <w:r w:rsidR="00306315" w:rsidRPr="008C0816">
          <w:rPr>
            <w:rStyle w:val="Hyperlink"/>
            <w:sz w:val="20"/>
          </w:rPr>
          <w:t>http://www.msd.govt.nz/about-msd-and-our-work/publications-resources/monitoring/household-incomes/index.html</w:t>
        </w:r>
      </w:hyperlink>
    </w:p>
    <w:p w:rsidR="00DB602C" w:rsidRPr="008C0816" w:rsidRDefault="00DB602C" w:rsidP="00306315">
      <w:pPr>
        <w:pStyle w:val="Reference"/>
        <w:rPr>
          <w:szCs w:val="20"/>
        </w:rPr>
      </w:pPr>
      <w:r>
        <w:t xml:space="preserve">Rashbrooke, G. (2008) </w:t>
      </w:r>
      <w:r w:rsidRPr="003356D2">
        <w:t>Income in retirement</w:t>
      </w:r>
      <w:r>
        <w:t>.</w:t>
      </w:r>
      <w:r>
        <w:rPr>
          <w:i/>
        </w:rPr>
        <w:t xml:space="preserve"> </w:t>
      </w:r>
      <w:r w:rsidRPr="003356D2">
        <w:rPr>
          <w:i/>
        </w:rPr>
        <w:t>Policy Quarterly</w:t>
      </w:r>
      <w:r>
        <w:t xml:space="preserve"> 4(1), </w:t>
      </w:r>
      <w:proofErr w:type="spellStart"/>
      <w:r>
        <w:t>pp</w:t>
      </w:r>
      <w:proofErr w:type="spellEnd"/>
      <w:r w:rsidR="008C0816">
        <w:t xml:space="preserve"> </w:t>
      </w:r>
      <w:r>
        <w:t>26–35</w:t>
      </w:r>
      <w:r w:rsidR="003356D2">
        <w:t>,</w:t>
      </w:r>
      <w:r>
        <w:t xml:space="preserve"> </w:t>
      </w:r>
      <w:r w:rsidR="003356D2">
        <w:t>a</w:t>
      </w:r>
      <w:r w:rsidR="008C0816">
        <w:t>ccessed</w:t>
      </w:r>
      <w:r w:rsidR="00F2488E">
        <w:t xml:space="preserve"> </w:t>
      </w:r>
      <w:r w:rsidR="00F2488E" w:rsidRPr="00F2488E">
        <w:t>10 April 2013</w:t>
      </w:r>
      <w:r w:rsidR="004E4B21">
        <w:t xml:space="preserve"> </w:t>
      </w:r>
      <w:r>
        <w:t xml:space="preserve">from </w:t>
      </w:r>
      <w:hyperlink r:id="rId24" w:history="1">
        <w:r w:rsidRPr="008C0816">
          <w:rPr>
            <w:rStyle w:val="Hyperlink"/>
            <w:sz w:val="20"/>
          </w:rPr>
          <w:t>http://ips.ac.nz/publications/files/dfa4aff8b01.pdf</w:t>
        </w:r>
      </w:hyperlink>
      <w:r w:rsidRPr="008C0816">
        <w:rPr>
          <w:szCs w:val="20"/>
        </w:rPr>
        <w:t xml:space="preserve"> </w:t>
      </w:r>
    </w:p>
    <w:p w:rsidR="00B67604" w:rsidRPr="008C0816" w:rsidRDefault="00B67604" w:rsidP="00306315">
      <w:pPr>
        <w:pStyle w:val="Reference"/>
        <w:rPr>
          <w:rStyle w:val="Hyperlink"/>
          <w:color w:val="auto"/>
          <w:sz w:val="20"/>
        </w:rPr>
      </w:pPr>
      <w:proofErr w:type="gramStart"/>
      <w:r>
        <w:t xml:space="preserve">Retirement Commissioner (2007) </w:t>
      </w:r>
      <w:r>
        <w:rPr>
          <w:i/>
        </w:rPr>
        <w:t>Review of retirement income policy 2007</w:t>
      </w:r>
      <w:r>
        <w:t>.</w:t>
      </w:r>
      <w:proofErr w:type="gramEnd"/>
      <w:r>
        <w:t xml:space="preserve"> Wellington: Office of the Retirement Commissioner</w:t>
      </w:r>
      <w:r w:rsidR="003356D2">
        <w:t>,</w:t>
      </w:r>
      <w:r>
        <w:t xml:space="preserve"> </w:t>
      </w:r>
      <w:r w:rsidR="003356D2">
        <w:t>a</w:t>
      </w:r>
      <w:r w:rsidR="008C0816">
        <w:t>ccessed</w:t>
      </w:r>
      <w:r w:rsidR="00923348">
        <w:t xml:space="preserve"> </w:t>
      </w:r>
      <w:r w:rsidR="00F2488E" w:rsidRPr="00F2488E">
        <w:t>10 April 2013</w:t>
      </w:r>
      <w:r w:rsidR="00F2488E">
        <w:t xml:space="preserve"> </w:t>
      </w:r>
      <w:r>
        <w:t xml:space="preserve">from </w:t>
      </w:r>
      <w:hyperlink r:id="rId25" w:history="1">
        <w:r w:rsidRPr="008C0816">
          <w:rPr>
            <w:rStyle w:val="Hyperlink"/>
            <w:sz w:val="20"/>
          </w:rPr>
          <w:t>http://www.retirement.org.nz/retirement-income-research/policy-review/2007-review</w:t>
        </w:r>
      </w:hyperlink>
      <w:r w:rsidRPr="008C0816">
        <w:rPr>
          <w:szCs w:val="20"/>
        </w:rPr>
        <w:t xml:space="preserve"> </w:t>
      </w:r>
    </w:p>
    <w:p w:rsidR="00A41261" w:rsidRPr="008106E3" w:rsidRDefault="008106E3" w:rsidP="00306315">
      <w:pPr>
        <w:pStyle w:val="Reference"/>
      </w:pPr>
      <w:r>
        <w:lastRenderedPageBreak/>
        <w:t xml:space="preserve"> </w:t>
      </w:r>
      <w:r w:rsidR="0052592A" w:rsidRPr="004B731A">
        <w:t xml:space="preserve">Stallard, E. (2006) </w:t>
      </w:r>
      <w:r w:rsidR="0052592A" w:rsidRPr="003356D2">
        <w:t xml:space="preserve">Demographic </w:t>
      </w:r>
      <w:r w:rsidR="003356D2" w:rsidRPr="003356D2">
        <w:t>i</w:t>
      </w:r>
      <w:r w:rsidR="0052592A" w:rsidRPr="003356D2">
        <w:t xml:space="preserve">ssues in </w:t>
      </w:r>
      <w:r w:rsidR="003356D2" w:rsidRPr="003356D2">
        <w:t>l</w:t>
      </w:r>
      <w:r w:rsidR="0052592A" w:rsidRPr="003356D2">
        <w:t xml:space="preserve">ongevity </w:t>
      </w:r>
      <w:r w:rsidR="003356D2" w:rsidRPr="003356D2">
        <w:t>r</w:t>
      </w:r>
      <w:r w:rsidR="0052592A" w:rsidRPr="003356D2">
        <w:t xml:space="preserve">isk </w:t>
      </w:r>
      <w:r w:rsidR="003356D2" w:rsidRPr="003356D2">
        <w:t>a</w:t>
      </w:r>
      <w:r w:rsidR="0052592A" w:rsidRPr="003356D2">
        <w:t>nalysis</w:t>
      </w:r>
      <w:r w:rsidR="0052592A" w:rsidRPr="004B731A">
        <w:t xml:space="preserve">. </w:t>
      </w:r>
      <w:r w:rsidR="0052592A" w:rsidRPr="003356D2">
        <w:rPr>
          <w:i/>
        </w:rPr>
        <w:t>Journal of Risk and Insurance</w:t>
      </w:r>
      <w:r w:rsidR="0052592A" w:rsidRPr="004B731A">
        <w:t xml:space="preserve"> 73(4)</w:t>
      </w:r>
      <w:r w:rsidR="008C0816">
        <w:t xml:space="preserve">, </w:t>
      </w:r>
      <w:proofErr w:type="spellStart"/>
      <w:r w:rsidR="008C0816">
        <w:t>pp</w:t>
      </w:r>
      <w:proofErr w:type="spellEnd"/>
      <w:r w:rsidR="008C0816">
        <w:t xml:space="preserve"> </w:t>
      </w:r>
      <w:r w:rsidR="0052592A" w:rsidRPr="004B731A">
        <w:t>575-609.</w:t>
      </w:r>
    </w:p>
    <w:sectPr w:rsidR="00A41261" w:rsidRPr="008106E3" w:rsidSect="00365F21">
      <w:footerReference w:type="default" r:id="rId26"/>
      <w:headerReference w:type="first" r:id="rId27"/>
      <w:footerReference w:type="first" r:id="rId28"/>
      <w:pgSz w:w="11906" w:h="16838" w:code="9"/>
      <w:pgMar w:top="1157" w:right="851" w:bottom="1418" w:left="1077" w:header="130" w:footer="7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029" w:rsidRDefault="00A96029">
      <w:pPr>
        <w:pStyle w:val="BodyText"/>
        <w:rPr>
          <w:color w:val="8D8F86"/>
          <w:sz w:val="24"/>
          <w:szCs w:val="24"/>
          <w:lang w:eastAsia="ja-JP"/>
        </w:rPr>
      </w:pPr>
      <w:r>
        <w:separator/>
      </w:r>
    </w:p>
    <w:p w:rsidR="00A96029" w:rsidRDefault="00A96029"/>
  </w:endnote>
  <w:endnote w:type="continuationSeparator" w:id="0">
    <w:p w:rsidR="00A96029" w:rsidRDefault="00A96029">
      <w:pPr>
        <w:pStyle w:val="BodyText"/>
        <w:rPr>
          <w:color w:val="8D8F86"/>
          <w:sz w:val="24"/>
          <w:szCs w:val="24"/>
          <w:lang w:eastAsia="ja-JP"/>
        </w:rPr>
      </w:pPr>
      <w:r>
        <w:continuationSeparator/>
      </w:r>
    </w:p>
    <w:p w:rsidR="00A96029" w:rsidRDefault="00A960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Arial (TT)">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TT) Regular">
    <w:panose1 w:val="00000000000000000000"/>
    <w:charset w:val="00"/>
    <w:family w:val="auto"/>
    <w:notTrueType/>
    <w:pitch w:val="default"/>
    <w:sig w:usb0="00000003" w:usb1="00000000" w:usb2="00000000" w:usb3="00000000" w:csb0="00000001" w:csb1="00000000"/>
  </w:font>
  <w:font w:name="Arial (TT) Italic">
    <w:panose1 w:val="00000000000000000000"/>
    <w:charset w:val="00"/>
    <w:family w:val="auto"/>
    <w:notTrueType/>
    <w:pitch w:val="default"/>
    <w:sig w:usb0="00000003" w:usb1="00000000" w:usb2="00000000" w:usb3="00000000" w:csb0="00000001" w:csb1="00000000"/>
  </w:font>
  <w:font w:name="Arial Mäori">
    <w:altName w:val="Arial"/>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372" w:rsidRDefault="005E4372">
    <w:pPr>
      <w:pStyle w:val="FooterText"/>
      <w:tabs>
        <w:tab w:val="clear" w:pos="9026"/>
        <w:tab w:val="right" w:pos="9981"/>
      </w:tabs>
      <w:ind w:right="-677"/>
    </w:pPr>
    <w:r>
      <w:t>REPORT TITLE AND DATE GOES HERE</w:t>
    </w:r>
    <w:r>
      <w:tab/>
    </w:r>
    <w:r>
      <w:tab/>
    </w:r>
    <w:r>
      <w:rPr>
        <w:b/>
      </w:rPr>
      <w:fldChar w:fldCharType="begin"/>
    </w:r>
    <w:r>
      <w:rPr>
        <w:b/>
      </w:rPr>
      <w:instrText xml:space="preserve"> PAGE   \* MERGEFORMAT </w:instrText>
    </w:r>
    <w:r>
      <w:rPr>
        <w:b/>
      </w:rPr>
      <w:fldChar w:fldCharType="separate"/>
    </w:r>
    <w:r w:rsidR="00662219">
      <w:rPr>
        <w:b/>
        <w:noProof/>
      </w:rPr>
      <w:t>2</w:t>
    </w:r>
    <w:r>
      <w:rPr>
        <w:b/>
      </w:rPr>
      <w:fldChar w:fldCharType="end"/>
    </w:r>
    <w:r>
      <w:t>/</w:t>
    </w:r>
    <w:fldSimple w:instr=" NUMPAGES   \* MERGEFORMAT ">
      <w:r w:rsidR="00F05E1B">
        <w:rPr>
          <w:noProof/>
        </w:rPr>
        <w:t>22</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372" w:rsidRDefault="005E4372">
    <w:r>
      <w:rPr>
        <w:noProof/>
        <w:lang w:val="en-NZ"/>
      </w:rPr>
      <w:drawing>
        <wp:anchor distT="0" distB="0" distL="114300" distR="114300" simplePos="0" relativeHeight="251654656" behindDoc="1" locked="0" layoutInCell="1" allowOverlap="1" wp14:anchorId="5891096E" wp14:editId="4F23B0E7">
          <wp:simplePos x="0" y="0"/>
          <wp:positionH relativeFrom="column">
            <wp:posOffset>3733800</wp:posOffset>
          </wp:positionH>
          <wp:positionV relativeFrom="paragraph">
            <wp:posOffset>2857500</wp:posOffset>
          </wp:positionV>
          <wp:extent cx="285750" cy="285750"/>
          <wp:effectExtent l="0" t="0" r="0" b="0"/>
          <wp:wrapNone/>
          <wp:docPr id="13" name="Picture 1" descr="F:\arrow-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rrow-gre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372" w:rsidRDefault="005E4372">
    <w:pPr>
      <w:pStyle w:val="FooterText"/>
      <w:tabs>
        <w:tab w:val="clear" w:pos="9026"/>
        <w:tab w:val="right" w:pos="9981"/>
      </w:tabs>
      <w:ind w:right="-677"/>
    </w:pPr>
    <w:r>
      <w:rPr>
        <w:noProof/>
        <w:lang w:val="en-NZ"/>
      </w:rPr>
      <mc:AlternateContent>
        <mc:Choice Requires="wps">
          <w:drawing>
            <wp:anchor distT="0" distB="0" distL="114300" distR="114300" simplePos="0" relativeHeight="251658752" behindDoc="0" locked="0" layoutInCell="1" allowOverlap="1">
              <wp:simplePos x="0" y="0"/>
              <wp:positionH relativeFrom="column">
                <wp:posOffset>6038215</wp:posOffset>
              </wp:positionH>
              <wp:positionV relativeFrom="page">
                <wp:posOffset>10045065</wp:posOffset>
              </wp:positionV>
              <wp:extent cx="492760" cy="257175"/>
              <wp:effectExtent l="8890" t="5715" r="12700" b="13335"/>
              <wp:wrapNone/>
              <wp:docPr id="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760" cy="257175"/>
                      </a:xfrm>
                      <a:prstGeom prst="rect">
                        <a:avLst/>
                      </a:prstGeom>
                      <a:solidFill>
                        <a:srgbClr val="F6F6F6"/>
                      </a:solidFill>
                      <a:ln w="3175">
                        <a:solidFill>
                          <a:srgbClr val="409CA2"/>
                        </a:solidFill>
                        <a:miter lim="800000"/>
                        <a:headEnd/>
                        <a:tailEnd/>
                      </a:ln>
                    </wps:spPr>
                    <wps:txbx>
                      <w:txbxContent>
                        <w:p w:rsidR="005E4372" w:rsidRPr="00365F21" w:rsidRDefault="005E4372">
                          <w:pPr>
                            <w:spacing w:after="0" w:line="240" w:lineRule="auto"/>
                            <w:jc w:val="center"/>
                            <w:rPr>
                              <w:color w:val="007073"/>
                              <w:sz w:val="16"/>
                              <w:szCs w:val="16"/>
                            </w:rPr>
                          </w:pPr>
                          <w:r w:rsidRPr="00365F21">
                            <w:rPr>
                              <w:rStyle w:val="PageNumber"/>
                              <w:color w:val="007073"/>
                              <w:sz w:val="16"/>
                              <w:szCs w:val="16"/>
                            </w:rPr>
                            <w:fldChar w:fldCharType="begin"/>
                          </w:r>
                          <w:r w:rsidRPr="00365F21">
                            <w:rPr>
                              <w:rStyle w:val="PageNumber"/>
                              <w:color w:val="007073"/>
                              <w:sz w:val="16"/>
                              <w:szCs w:val="16"/>
                            </w:rPr>
                            <w:instrText xml:space="preserve"> PAGE </w:instrText>
                          </w:r>
                          <w:r w:rsidRPr="00365F21">
                            <w:rPr>
                              <w:rStyle w:val="PageNumber"/>
                              <w:color w:val="007073"/>
                              <w:sz w:val="16"/>
                              <w:szCs w:val="16"/>
                            </w:rPr>
                            <w:fldChar w:fldCharType="separate"/>
                          </w:r>
                          <w:r w:rsidR="00CF16CD">
                            <w:rPr>
                              <w:rStyle w:val="PageNumber"/>
                              <w:noProof/>
                              <w:color w:val="007073"/>
                              <w:sz w:val="16"/>
                              <w:szCs w:val="16"/>
                            </w:rPr>
                            <w:t>3</w:t>
                          </w:r>
                          <w:r w:rsidRPr="00365F21">
                            <w:rPr>
                              <w:rStyle w:val="PageNumber"/>
                              <w:color w:val="007073"/>
                              <w:sz w:val="16"/>
                              <w:szCs w:val="16"/>
                            </w:rPr>
                            <w:fldChar w:fldCharType="end"/>
                          </w:r>
                          <w:r w:rsidRPr="00365F21">
                            <w:rPr>
                              <w:color w:val="007073"/>
                              <w:sz w:val="16"/>
                              <w:szCs w:val="16"/>
                            </w:rPr>
                            <w:t>/</w:t>
                          </w:r>
                          <w:r w:rsidRPr="00365F21">
                            <w:rPr>
                              <w:rStyle w:val="PageNumber"/>
                              <w:color w:val="007073"/>
                              <w:sz w:val="16"/>
                              <w:szCs w:val="16"/>
                            </w:rPr>
                            <w:fldChar w:fldCharType="begin"/>
                          </w:r>
                          <w:r w:rsidRPr="00365F21">
                            <w:rPr>
                              <w:rStyle w:val="PageNumber"/>
                              <w:color w:val="007073"/>
                              <w:sz w:val="16"/>
                              <w:szCs w:val="16"/>
                            </w:rPr>
                            <w:instrText xml:space="preserve"> NUMPAGES </w:instrText>
                          </w:r>
                          <w:r w:rsidRPr="00365F21">
                            <w:rPr>
                              <w:rStyle w:val="PageNumber"/>
                              <w:color w:val="007073"/>
                              <w:sz w:val="16"/>
                              <w:szCs w:val="16"/>
                            </w:rPr>
                            <w:fldChar w:fldCharType="separate"/>
                          </w:r>
                          <w:r w:rsidR="00CF16CD">
                            <w:rPr>
                              <w:rStyle w:val="PageNumber"/>
                              <w:noProof/>
                              <w:color w:val="007073"/>
                              <w:sz w:val="16"/>
                              <w:szCs w:val="16"/>
                            </w:rPr>
                            <w:t>22</w:t>
                          </w:r>
                          <w:r w:rsidRPr="00365F21">
                            <w:rPr>
                              <w:rStyle w:val="PageNumber"/>
                              <w:color w:val="007073"/>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475.45pt;margin-top:790.95pt;width:38.8pt;height:2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" fillcolor="#f6f6f6" strokecolor="#409ca2" strokeweight=".25pt">
              <v:textbox>
                <w:txbxContent>
                  <w:p w:rsidR="005E4372" w:rsidRPr="00365F21" w:rsidRDefault="005E4372">
                    <w:pPr>
                      <w:spacing w:after="0" w:line="240" w:lineRule="auto"/>
                      <w:jc w:val="center"/>
                      <w:rPr>
                        <w:color w:val="007073"/>
                        <w:sz w:val="16"/>
                        <w:szCs w:val="16"/>
                      </w:rPr>
                    </w:pPr>
                    <w:r w:rsidRPr="00365F21">
                      <w:rPr>
                        <w:rStyle w:val="PageNumber"/>
                        <w:color w:val="007073"/>
                        <w:sz w:val="16"/>
                        <w:szCs w:val="16"/>
                      </w:rPr>
                      <w:fldChar w:fldCharType="begin"/>
                    </w:r>
                    <w:r w:rsidRPr="00365F21">
                      <w:rPr>
                        <w:rStyle w:val="PageNumber"/>
                        <w:color w:val="007073"/>
                        <w:sz w:val="16"/>
                        <w:szCs w:val="16"/>
                      </w:rPr>
                      <w:instrText xml:space="preserve"> PAGE </w:instrText>
                    </w:r>
                    <w:r w:rsidRPr="00365F21">
                      <w:rPr>
                        <w:rStyle w:val="PageNumber"/>
                        <w:color w:val="007073"/>
                        <w:sz w:val="16"/>
                        <w:szCs w:val="16"/>
                      </w:rPr>
                      <w:fldChar w:fldCharType="separate"/>
                    </w:r>
                    <w:r w:rsidR="00CF16CD">
                      <w:rPr>
                        <w:rStyle w:val="PageNumber"/>
                        <w:noProof/>
                        <w:color w:val="007073"/>
                        <w:sz w:val="16"/>
                        <w:szCs w:val="16"/>
                      </w:rPr>
                      <w:t>3</w:t>
                    </w:r>
                    <w:r w:rsidRPr="00365F21">
                      <w:rPr>
                        <w:rStyle w:val="PageNumber"/>
                        <w:color w:val="007073"/>
                        <w:sz w:val="16"/>
                        <w:szCs w:val="16"/>
                      </w:rPr>
                      <w:fldChar w:fldCharType="end"/>
                    </w:r>
                    <w:r w:rsidRPr="00365F21">
                      <w:rPr>
                        <w:color w:val="007073"/>
                        <w:sz w:val="16"/>
                        <w:szCs w:val="16"/>
                      </w:rPr>
                      <w:t>/</w:t>
                    </w:r>
                    <w:r w:rsidRPr="00365F21">
                      <w:rPr>
                        <w:rStyle w:val="PageNumber"/>
                        <w:color w:val="007073"/>
                        <w:sz w:val="16"/>
                        <w:szCs w:val="16"/>
                      </w:rPr>
                      <w:fldChar w:fldCharType="begin"/>
                    </w:r>
                    <w:r w:rsidRPr="00365F21">
                      <w:rPr>
                        <w:rStyle w:val="PageNumber"/>
                        <w:color w:val="007073"/>
                        <w:sz w:val="16"/>
                        <w:szCs w:val="16"/>
                      </w:rPr>
                      <w:instrText xml:space="preserve"> NUMPAGES </w:instrText>
                    </w:r>
                    <w:r w:rsidRPr="00365F21">
                      <w:rPr>
                        <w:rStyle w:val="PageNumber"/>
                        <w:color w:val="007073"/>
                        <w:sz w:val="16"/>
                        <w:szCs w:val="16"/>
                      </w:rPr>
                      <w:fldChar w:fldCharType="separate"/>
                    </w:r>
                    <w:r w:rsidR="00CF16CD">
                      <w:rPr>
                        <w:rStyle w:val="PageNumber"/>
                        <w:noProof/>
                        <w:color w:val="007073"/>
                        <w:sz w:val="16"/>
                        <w:szCs w:val="16"/>
                      </w:rPr>
                      <w:t>22</w:t>
                    </w:r>
                    <w:r w:rsidRPr="00365F21">
                      <w:rPr>
                        <w:rStyle w:val="PageNumber"/>
                        <w:color w:val="007073"/>
                        <w:sz w:val="16"/>
                        <w:szCs w:val="16"/>
                      </w:rPr>
                      <w:fldChar w:fldCharType="end"/>
                    </w:r>
                  </w:p>
                </w:txbxContent>
              </v:textbox>
              <w10:wrap anchory="page"/>
            </v:rect>
          </w:pict>
        </mc:Fallback>
      </mc:AlternateContent>
    </w:r>
    <w:r>
      <w:rPr>
        <w:noProof/>
        <w:lang w:val="en-NZ"/>
      </w:rPr>
      <mc:AlternateContent>
        <mc:Choice Requires="wps">
          <w:drawing>
            <wp:anchor distT="0" distB="0" distL="114300" distR="114300" simplePos="0" relativeHeight="251657728" behindDoc="0" locked="0" layoutInCell="1" allowOverlap="1">
              <wp:simplePos x="0" y="0"/>
              <wp:positionH relativeFrom="page">
                <wp:posOffset>376555</wp:posOffset>
              </wp:positionH>
              <wp:positionV relativeFrom="page">
                <wp:posOffset>10046335</wp:posOffset>
              </wp:positionV>
              <wp:extent cx="6840220" cy="257175"/>
              <wp:effectExtent l="5080" t="6985" r="12700" b="12065"/>
              <wp:wrapNone/>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257175"/>
                      </a:xfrm>
                      <a:prstGeom prst="rect">
                        <a:avLst/>
                      </a:prstGeom>
                      <a:solidFill>
                        <a:srgbClr val="F6F6F6"/>
                      </a:solidFill>
                      <a:ln w="3175">
                        <a:solidFill>
                          <a:srgbClr val="409CA2"/>
                        </a:solidFill>
                        <a:miter lim="800000"/>
                        <a:headEnd/>
                        <a:tailEnd/>
                      </a:ln>
                    </wps:spPr>
                    <wps:txbx>
                      <w:txbxContent>
                        <w:p w:rsidR="005E4372" w:rsidRPr="00F43C44" w:rsidRDefault="005E4372" w:rsidP="004267E4">
                          <w:pPr>
                            <w:spacing w:before="40" w:after="0" w:line="240" w:lineRule="auto"/>
                            <w:ind w:left="490" w:right="-227"/>
                            <w:rPr>
                              <w:color w:val="007073"/>
                              <w:sz w:val="16"/>
                              <w:szCs w:val="16"/>
                              <w:lang w:val="en-NZ"/>
                            </w:rPr>
                          </w:pPr>
                          <w:r>
                            <w:rPr>
                              <w:color w:val="007073"/>
                              <w:sz w:val="16"/>
                              <w:szCs w:val="16"/>
                              <w:lang w:val="en-NZ"/>
                            </w:rPr>
                            <w:t xml:space="preserve">Assuring retirement income – Working Paper / </w:t>
                          </w:r>
                          <w:r w:rsidR="00662219">
                            <w:rPr>
                              <w:b/>
                              <w:color w:val="007073"/>
                              <w:sz w:val="16"/>
                              <w:szCs w:val="16"/>
                              <w:lang w:val="en-NZ"/>
                            </w:rPr>
                            <w:t>01/13</w:t>
                          </w:r>
                        </w:p>
                        <w:p w:rsidR="005E4372" w:rsidRPr="004267E4" w:rsidRDefault="005E4372" w:rsidP="004267E4">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7" style="position:absolute;margin-left:29.65pt;margin-top:791.05pt;width:538.6pt;height:20.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" fillcolor="#f6f6f6" strokecolor="#409ca2" strokeweight=".25pt">
              <v:textbox>
                <w:txbxContent>
                  <w:p w:rsidR="005E4372" w:rsidRPr="00F43C44" w:rsidRDefault="005E4372" w:rsidP="004267E4">
                    <w:pPr>
                      <w:spacing w:before="40" w:after="0" w:line="240" w:lineRule="auto"/>
                      <w:ind w:left="490" w:right="-227"/>
                      <w:rPr>
                        <w:color w:val="007073"/>
                        <w:sz w:val="16"/>
                        <w:szCs w:val="16"/>
                        <w:lang w:val="en-NZ"/>
                      </w:rPr>
                    </w:pPr>
                    <w:r>
                      <w:rPr>
                        <w:color w:val="007073"/>
                        <w:sz w:val="16"/>
                        <w:szCs w:val="16"/>
                        <w:lang w:val="en-NZ"/>
                      </w:rPr>
                      <w:t xml:space="preserve">Assuring retirement income – Working Paper / </w:t>
                    </w:r>
                    <w:r w:rsidR="00662219">
                      <w:rPr>
                        <w:b/>
                        <w:color w:val="007073"/>
                        <w:sz w:val="16"/>
                        <w:szCs w:val="16"/>
                        <w:lang w:val="en-NZ"/>
                      </w:rPr>
                      <w:t>01/13</w:t>
                    </w:r>
                  </w:p>
                  <w:p w:rsidR="005E4372" w:rsidRPr="004267E4" w:rsidRDefault="005E4372" w:rsidP="004267E4">
                    <w:pPr>
                      <w:rPr>
                        <w:szCs w:val="16"/>
                      </w:rPr>
                    </w:pPr>
                  </w:p>
                </w:txbxContent>
              </v:textbox>
              <w10:wrap anchorx="page" anchory="page"/>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372" w:rsidRDefault="005E4372">
    <w:r>
      <w:rPr>
        <w:noProof/>
        <w:lang w:val="en-NZ"/>
      </w:rPr>
      <mc:AlternateContent>
        <mc:Choice Requires="wps">
          <w:drawing>
            <wp:anchor distT="0" distB="0" distL="114300" distR="114300" simplePos="0" relativeHeight="251656704" behindDoc="0" locked="0" layoutInCell="1" allowOverlap="1">
              <wp:simplePos x="0" y="0"/>
              <wp:positionH relativeFrom="column">
                <wp:posOffset>-309880</wp:posOffset>
              </wp:positionH>
              <wp:positionV relativeFrom="page">
                <wp:posOffset>10045065</wp:posOffset>
              </wp:positionV>
              <wp:extent cx="6840220" cy="257175"/>
              <wp:effectExtent l="13970" t="5715" r="13335" b="13335"/>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257175"/>
                      </a:xfrm>
                      <a:prstGeom prst="rect">
                        <a:avLst/>
                      </a:prstGeom>
                      <a:solidFill>
                        <a:srgbClr val="F6F6F6"/>
                      </a:solidFill>
                      <a:ln w="3175">
                        <a:solidFill>
                          <a:srgbClr val="409CA2"/>
                        </a:solidFill>
                        <a:miter lim="800000"/>
                        <a:headEnd/>
                        <a:tailEnd/>
                      </a:ln>
                    </wps:spPr>
                    <wps:txbx>
                      <w:txbxContent>
                        <w:p w:rsidR="005E4372" w:rsidRPr="00F43C44" w:rsidRDefault="005E4372">
                          <w:pPr>
                            <w:spacing w:before="40" w:after="0" w:line="240" w:lineRule="auto"/>
                            <w:ind w:left="490" w:right="-227"/>
                            <w:rPr>
                              <w:color w:val="007073"/>
                              <w:sz w:val="16"/>
                              <w:szCs w:val="16"/>
                              <w:lang w:val="en-NZ"/>
                            </w:rPr>
                          </w:pPr>
                          <w:r>
                            <w:rPr>
                              <w:color w:val="007073"/>
                              <w:sz w:val="16"/>
                              <w:szCs w:val="16"/>
                              <w:lang w:val="en-NZ"/>
                            </w:rPr>
                            <w:t xml:space="preserve">Assuring retirement income – Working Paper / </w:t>
                          </w:r>
                          <w:r w:rsidR="00662219">
                            <w:rPr>
                              <w:color w:val="007073"/>
                              <w:sz w:val="16"/>
                              <w:szCs w:val="16"/>
                              <w:lang w:val="en-NZ"/>
                            </w:rPr>
                            <w:t>01/</w:t>
                          </w:r>
                          <w:r w:rsidR="00662219" w:rsidRPr="00662219">
                            <w:rPr>
                              <w:color w:val="007073"/>
                              <w:sz w:val="16"/>
                              <w:szCs w:val="16"/>
                              <w:lang w:val="en-NZ"/>
                            </w:rPr>
                            <w: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8" style="position:absolute;margin-left:-24.4pt;margin-top:790.95pt;width:538.6pt;height:2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" fillcolor="#f6f6f6" strokecolor="#409ca2" strokeweight=".25pt">
              <v:textbox>
                <w:txbxContent>
                  <w:p w:rsidR="005E4372" w:rsidRPr="00F43C44" w:rsidRDefault="005E4372">
                    <w:pPr>
                      <w:spacing w:before="40" w:after="0" w:line="240" w:lineRule="auto"/>
                      <w:ind w:left="490" w:right="-227"/>
                      <w:rPr>
                        <w:color w:val="007073"/>
                        <w:sz w:val="16"/>
                        <w:szCs w:val="16"/>
                        <w:lang w:val="en-NZ"/>
                      </w:rPr>
                    </w:pPr>
                    <w:r>
                      <w:rPr>
                        <w:color w:val="007073"/>
                        <w:sz w:val="16"/>
                        <w:szCs w:val="16"/>
                        <w:lang w:val="en-NZ"/>
                      </w:rPr>
                      <w:t xml:space="preserve">Assuring retirement income – Working Paper / </w:t>
                    </w:r>
                    <w:r w:rsidR="00662219">
                      <w:rPr>
                        <w:color w:val="007073"/>
                        <w:sz w:val="16"/>
                        <w:szCs w:val="16"/>
                        <w:lang w:val="en-NZ"/>
                      </w:rPr>
                      <w:t>01/</w:t>
                    </w:r>
                    <w:r w:rsidR="00662219" w:rsidRPr="00662219">
                      <w:rPr>
                        <w:color w:val="007073"/>
                        <w:sz w:val="16"/>
                        <w:szCs w:val="16"/>
                        <w:lang w:val="en-NZ"/>
                      </w:rPr>
                      <w:t>13</w:t>
                    </w:r>
                  </w:p>
                </w:txbxContent>
              </v:textbox>
              <w10:wrap anchory="page"/>
            </v:rect>
          </w:pict>
        </mc:Fallback>
      </mc:AlternateContent>
    </w:r>
    <w:r>
      <w:rPr>
        <w:noProof/>
        <w:lang w:val="en-NZ"/>
      </w:rPr>
      <w:drawing>
        <wp:anchor distT="0" distB="0" distL="114300" distR="114300" simplePos="0" relativeHeight="251655680" behindDoc="1" locked="0" layoutInCell="1" allowOverlap="1">
          <wp:simplePos x="0" y="0"/>
          <wp:positionH relativeFrom="column">
            <wp:posOffset>3733800</wp:posOffset>
          </wp:positionH>
          <wp:positionV relativeFrom="paragraph">
            <wp:posOffset>2857500</wp:posOffset>
          </wp:positionV>
          <wp:extent cx="285750" cy="285750"/>
          <wp:effectExtent l="0" t="0" r="0" b="0"/>
          <wp:wrapNone/>
          <wp:docPr id="19" name="Picture 1" descr="F:\arrow-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rrow-gre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029" w:rsidRDefault="00A96029">
      <w:pPr>
        <w:pStyle w:val="BodyText"/>
        <w:rPr>
          <w:color w:val="8D8F86"/>
          <w:sz w:val="24"/>
          <w:szCs w:val="24"/>
          <w:lang w:eastAsia="ja-JP"/>
        </w:rPr>
      </w:pPr>
      <w:r>
        <w:separator/>
      </w:r>
    </w:p>
    <w:p w:rsidR="00A96029" w:rsidRDefault="00A96029"/>
  </w:footnote>
  <w:footnote w:type="continuationSeparator" w:id="0">
    <w:p w:rsidR="00A96029" w:rsidRDefault="00A96029">
      <w:pPr>
        <w:pStyle w:val="BodyText"/>
        <w:rPr>
          <w:color w:val="8D8F86"/>
          <w:sz w:val="24"/>
          <w:szCs w:val="24"/>
          <w:lang w:eastAsia="ja-JP"/>
        </w:rPr>
      </w:pPr>
      <w:r>
        <w:continuationSeparator/>
      </w:r>
    </w:p>
    <w:p w:rsidR="00A96029" w:rsidRDefault="00A96029"/>
  </w:footnote>
  <w:footnote w:id="1">
    <w:p w:rsidR="005E4372" w:rsidRPr="001A3866" w:rsidRDefault="005E4372" w:rsidP="001A3866">
      <w:pPr>
        <w:pStyle w:val="FootnoteText"/>
      </w:pPr>
      <w:r w:rsidRPr="001A3866">
        <w:rPr>
          <w:rStyle w:val="FootnoteTextChar"/>
        </w:rPr>
        <w:footnoteRef/>
      </w:r>
      <w:r>
        <w:t xml:space="preserve"> </w:t>
      </w:r>
      <w:r>
        <w:tab/>
      </w:r>
      <w:r w:rsidRPr="001A3866">
        <w:t xml:space="preserve">KiwiSaver is described at </w:t>
      </w:r>
      <w:hyperlink r:id="rId1" w:history="1">
        <w:r w:rsidRPr="008F09EA">
          <w:rPr>
            <w:rStyle w:val="Hyperlink"/>
          </w:rPr>
          <w:t>http://www.kiwisaver.govt.nz/new/about/</w:t>
        </w:r>
      </w:hyperlink>
      <w:r w:rsidRPr="001A3866">
        <w:t>,</w:t>
      </w:r>
      <w:r>
        <w:rPr>
          <w:rStyle w:val="Hyperlink"/>
        </w:rPr>
        <w:t xml:space="preserve"> </w:t>
      </w:r>
      <w:r>
        <w:t>retrieved</w:t>
      </w:r>
      <w:r w:rsidRPr="001A3866">
        <w:t xml:space="preserve"> </w:t>
      </w:r>
      <w:r>
        <w:t>9 April 2013</w:t>
      </w:r>
      <w:r w:rsidRPr="001A3866">
        <w:t>.</w:t>
      </w:r>
    </w:p>
  </w:footnote>
  <w:footnote w:id="2">
    <w:p w:rsidR="005E4372" w:rsidRDefault="005E4372" w:rsidP="001A3866">
      <w:pPr>
        <w:pStyle w:val="FootnoteText"/>
      </w:pPr>
      <w:r w:rsidRPr="001A3866">
        <w:rPr>
          <w:rStyle w:val="FootnoteTextChar"/>
        </w:rPr>
        <w:footnoteRef/>
      </w:r>
      <w:r>
        <w:t xml:space="preserve"> </w:t>
      </w:r>
      <w:r>
        <w:tab/>
        <w:t xml:space="preserve">Decumulation is not a problem for retirees who have no savings to speak of – theirs is a different problem. Nor is it </w:t>
      </w:r>
      <w:proofErr w:type="gramStart"/>
      <w:r>
        <w:t>a problem for people with substantial wealth</w:t>
      </w:r>
      <w:r w:rsidR="00403F61">
        <w:t>,</w:t>
      </w:r>
      <w:r>
        <w:t xml:space="preserve"> </w:t>
      </w:r>
      <w:r w:rsidR="00403F61">
        <w:t>b</w:t>
      </w:r>
      <w:r>
        <w:t>ut many New Zealanders are</w:t>
      </w:r>
      <w:proofErr w:type="gramEnd"/>
      <w:r>
        <w:t xml:space="preserve"> in neither of those categories.</w:t>
      </w:r>
    </w:p>
  </w:footnote>
  <w:footnote w:id="3">
    <w:p w:rsidR="005E4372" w:rsidRPr="001A3866" w:rsidRDefault="005E4372" w:rsidP="001A3866">
      <w:pPr>
        <w:pStyle w:val="FootnoteText"/>
      </w:pPr>
      <w:r w:rsidRPr="001A3866">
        <w:rPr>
          <w:rStyle w:val="FootnoteTextChar"/>
        </w:rPr>
        <w:footnoteRef/>
      </w:r>
      <w:r>
        <w:t xml:space="preserve">  </w:t>
      </w:r>
      <w:r w:rsidR="00403F61">
        <w:tab/>
      </w:r>
      <w:r w:rsidRPr="001A3866">
        <w:t>Retirees may of course prefer to keep at least some of their savings as capital, rather than decumulate them</w:t>
      </w:r>
      <w:r>
        <w:t xml:space="preserve"> all</w:t>
      </w:r>
      <w:r w:rsidRPr="001A3866">
        <w:t>.</w:t>
      </w:r>
      <w:r>
        <w:t xml:space="preserve"> </w:t>
      </w:r>
    </w:p>
  </w:footnote>
  <w:footnote w:id="4">
    <w:p w:rsidR="005E4372" w:rsidRPr="009061B6" w:rsidRDefault="005E4372">
      <w:pPr>
        <w:pStyle w:val="FootnoteText"/>
        <w:rPr>
          <w:lang w:val="en-NZ"/>
        </w:rPr>
      </w:pPr>
      <w:r>
        <w:rPr>
          <w:rStyle w:val="FootnoteReference"/>
        </w:rPr>
        <w:footnoteRef/>
      </w:r>
      <w:r>
        <w:t xml:space="preserve">  </w:t>
      </w:r>
      <w:r w:rsidR="00403F61">
        <w:tab/>
      </w:r>
      <w:proofErr w:type="gramStart"/>
      <w:r>
        <w:t xml:space="preserve">From </w:t>
      </w:r>
      <w:r w:rsidRPr="009061B6">
        <w:rPr>
          <w:lang w:val="en-NZ"/>
        </w:rPr>
        <w:t>MSD analysis of the Household</w:t>
      </w:r>
      <w:r>
        <w:rPr>
          <w:lang w:val="en-NZ"/>
        </w:rPr>
        <w:t xml:space="preserve"> </w:t>
      </w:r>
      <w:r w:rsidRPr="009061B6">
        <w:rPr>
          <w:lang w:val="en-NZ"/>
        </w:rPr>
        <w:t>Economic Survey.</w:t>
      </w:r>
      <w:proofErr w:type="gramEnd"/>
      <w:r w:rsidRPr="009061B6">
        <w:rPr>
          <w:lang w:val="en-NZ"/>
        </w:rPr>
        <w:t xml:space="preserve"> See also Perry (2012), p</w:t>
      </w:r>
      <w:r w:rsidR="00403F61">
        <w:rPr>
          <w:lang w:val="en-NZ"/>
        </w:rPr>
        <w:t xml:space="preserve"> </w:t>
      </w:r>
      <w:r w:rsidRPr="009061B6">
        <w:rPr>
          <w:lang w:val="en-NZ"/>
        </w:rPr>
        <w:t>142</w:t>
      </w:r>
      <w:r>
        <w:rPr>
          <w:lang w:val="en-NZ"/>
        </w:rPr>
        <w:t>.</w:t>
      </w:r>
    </w:p>
  </w:footnote>
  <w:footnote w:id="5">
    <w:p w:rsidR="005E4372" w:rsidRPr="00985C2E" w:rsidRDefault="005E4372" w:rsidP="00EB38AC">
      <w:pPr>
        <w:pStyle w:val="FootnoteText"/>
        <w:rPr>
          <w:lang w:val="en-NZ"/>
        </w:rPr>
      </w:pPr>
      <w:r>
        <w:rPr>
          <w:rStyle w:val="FootnoteReference"/>
        </w:rPr>
        <w:footnoteRef/>
      </w:r>
      <w:r>
        <w:t xml:space="preserve">  </w:t>
      </w:r>
      <w:r w:rsidR="00403F61">
        <w:tab/>
      </w:r>
      <w:r>
        <w:rPr>
          <w:lang w:val="en-NZ"/>
        </w:rPr>
        <w:t>Home equity conversion is a potential further means of supplementing retirement income, and is discussed later in this paper.</w:t>
      </w:r>
    </w:p>
  </w:footnote>
  <w:footnote w:id="6">
    <w:p w:rsidR="005E4372" w:rsidRPr="00A9057F" w:rsidRDefault="005E4372" w:rsidP="0072167C">
      <w:pPr>
        <w:pStyle w:val="FootnoteText"/>
      </w:pPr>
      <w:r>
        <w:rPr>
          <w:rStyle w:val="FootnoteReference"/>
        </w:rPr>
        <w:footnoteRef/>
      </w:r>
      <w:r>
        <w:t xml:space="preserve"> </w:t>
      </w:r>
      <w:r w:rsidR="00403F61">
        <w:tab/>
      </w:r>
      <w:proofErr w:type="gramStart"/>
      <w:r>
        <w:t xml:space="preserve">See  </w:t>
      </w:r>
      <w:proofErr w:type="gramEnd"/>
      <w:r>
        <w:fldChar w:fldCharType="begin"/>
      </w:r>
      <w:r>
        <w:instrText xml:space="preserve"> HYPERLINK "http://www.nzdmo.govt.nz/securities/govtbonds/latestresults%20" </w:instrText>
      </w:r>
      <w:r>
        <w:fldChar w:fldCharType="separate"/>
      </w:r>
      <w:r w:rsidRPr="00CE52DB">
        <w:rPr>
          <w:rStyle w:val="Hyperlink"/>
          <w:szCs w:val="16"/>
        </w:rPr>
        <w:t>http://www.nzdmo.govt.nz/securities/govtbonds/latestresults</w:t>
      </w:r>
      <w:r>
        <w:fldChar w:fldCharType="end"/>
      </w:r>
      <w:r>
        <w:t>, accessed 9 April 2013.</w:t>
      </w:r>
    </w:p>
  </w:footnote>
  <w:footnote w:id="7">
    <w:p w:rsidR="005E4372" w:rsidRPr="001A3866" w:rsidRDefault="005E4372" w:rsidP="001A3866">
      <w:pPr>
        <w:pStyle w:val="FootnoteText"/>
      </w:pPr>
      <w:r w:rsidRPr="001A3866">
        <w:rPr>
          <w:rStyle w:val="FootnoteTextChar"/>
        </w:rPr>
        <w:footnoteRef/>
      </w:r>
      <w:r>
        <w:t xml:space="preserve"> </w:t>
      </w:r>
      <w:r>
        <w:tab/>
      </w:r>
      <w:proofErr w:type="gramStart"/>
      <w:r w:rsidRPr="001A3866">
        <w:t>So called (in the OECD taxonomy of pension systems) because NZS is virtually universal and is not dependent on previous saving.</w:t>
      </w:r>
      <w:proofErr w:type="gramEnd"/>
      <w:r w:rsidRPr="001A3866">
        <w:t xml:space="preserve"> For information on many countries’ pension systems</w:t>
      </w:r>
      <w:r>
        <w:t>,</w:t>
      </w:r>
      <w:r w:rsidRPr="001A3866">
        <w:t xml:space="preserve"> see OECD</w:t>
      </w:r>
      <w:r>
        <w:t>,</w:t>
      </w:r>
      <w:r w:rsidRPr="001A3866">
        <w:t xml:space="preserve"> </w:t>
      </w:r>
      <w:r>
        <w:t>2011 and 2012.</w:t>
      </w:r>
    </w:p>
  </w:footnote>
  <w:footnote w:id="8">
    <w:p w:rsidR="005E4372" w:rsidRPr="008F09EA" w:rsidRDefault="005E4372" w:rsidP="008F09EA">
      <w:pPr>
        <w:pStyle w:val="FootnoteText"/>
      </w:pPr>
      <w:r w:rsidRPr="008F09EA">
        <w:rPr>
          <w:rStyle w:val="FootnoteTextChar"/>
        </w:rPr>
        <w:footnoteRef/>
      </w:r>
      <w:r w:rsidRPr="008F09EA">
        <w:t xml:space="preserve"> </w:t>
      </w:r>
      <w:r>
        <w:tab/>
      </w:r>
      <w:r w:rsidRPr="008F09EA">
        <w:t>NZS provides an annuity, essentially indexed to wages, to every resident aged 65 or more who qualifies. NZS is</w:t>
      </w:r>
      <w:r>
        <w:t xml:space="preserve"> not</w:t>
      </w:r>
      <w:r w:rsidRPr="008F09EA">
        <w:t xml:space="preserve"> </w:t>
      </w:r>
      <w:proofErr w:type="gramStart"/>
      <w:r w:rsidRPr="008F09EA">
        <w:t>income</w:t>
      </w:r>
      <w:r>
        <w:t>- or asset-</w:t>
      </w:r>
      <w:r w:rsidRPr="008F09EA">
        <w:t>tested</w:t>
      </w:r>
      <w:proofErr w:type="gramEnd"/>
      <w:r w:rsidRPr="008F09EA">
        <w:t xml:space="preserve"> nor work</w:t>
      </w:r>
      <w:r>
        <w:t xml:space="preserve"> </w:t>
      </w:r>
      <w:r w:rsidRPr="008F09EA">
        <w:t>tested but it is taxable. The after-tax rate of NZS for a couple both of whom are eligible is about 66 percent of the average after-tax wage of a full-time earner. For a single person</w:t>
      </w:r>
      <w:r w:rsidR="00403F61">
        <w:t>,</w:t>
      </w:r>
      <w:r w:rsidRPr="008F09EA">
        <w:t xml:space="preserve"> it is 60 percent of the married rate. </w:t>
      </w:r>
    </w:p>
  </w:footnote>
  <w:footnote w:id="9">
    <w:p w:rsidR="005E4372" w:rsidRPr="00DC4203" w:rsidRDefault="005E4372">
      <w:pPr>
        <w:pStyle w:val="FootnoteText"/>
      </w:pPr>
      <w:r>
        <w:rPr>
          <w:rStyle w:val="FootnoteReference"/>
        </w:rPr>
        <w:footnoteRef/>
      </w:r>
      <w:r>
        <w:t xml:space="preserve"> </w:t>
      </w:r>
      <w:r>
        <w:tab/>
      </w:r>
      <w:proofErr w:type="gramStart"/>
      <w:r w:rsidRPr="00C229B4">
        <w:t>KiwiSaver Act 2006, Part 1 Preliminary Provisions, section 3, para</w:t>
      </w:r>
      <w:r>
        <w:t>.</w:t>
      </w:r>
      <w:proofErr w:type="gramEnd"/>
      <w:r w:rsidRPr="00C229B4">
        <w:t xml:space="preserve"> </w:t>
      </w:r>
      <w:proofErr w:type="gramStart"/>
      <w:r w:rsidRPr="00C229B4">
        <w:t>1, p</w:t>
      </w:r>
      <w:r w:rsidR="00C766E5">
        <w:t xml:space="preserve"> </w:t>
      </w:r>
      <w:r w:rsidRPr="00C229B4">
        <w:t>11.</w:t>
      </w:r>
      <w:proofErr w:type="gramEnd"/>
    </w:p>
  </w:footnote>
  <w:footnote w:id="10">
    <w:p w:rsidR="005E4372" w:rsidRPr="0072167C" w:rsidRDefault="005E4372">
      <w:pPr>
        <w:pStyle w:val="FootnoteText"/>
        <w:rPr>
          <w:lang w:val="en-NZ"/>
        </w:rPr>
      </w:pPr>
      <w:r>
        <w:rPr>
          <w:rStyle w:val="FootnoteReference"/>
        </w:rPr>
        <w:footnoteRef/>
      </w:r>
      <w:r>
        <w:t xml:space="preserve">  2011 Budget: </w:t>
      </w:r>
      <w:hyperlink r:id="rId2" w:history="1">
        <w:r w:rsidRPr="009E753A">
          <w:rPr>
            <w:rStyle w:val="Hyperlink"/>
            <w:szCs w:val="16"/>
          </w:rPr>
          <w:t>http://www.treasury.govt.nz/budget/2011/speech/b11-spch.pdf</w:t>
        </w:r>
      </w:hyperlink>
      <w:r w:rsidR="009E753A" w:rsidRPr="009E753A">
        <w:t>, a</w:t>
      </w:r>
      <w:r w:rsidRPr="009E753A">
        <w:t>ccessed 9 April 2013</w:t>
      </w:r>
      <w:r>
        <w:t xml:space="preserve">. </w:t>
      </w:r>
    </w:p>
  </w:footnote>
  <w:footnote w:id="11">
    <w:p w:rsidR="005E4372" w:rsidRPr="0072167C" w:rsidRDefault="005E4372">
      <w:pPr>
        <w:pStyle w:val="FootnoteText"/>
        <w:rPr>
          <w:lang w:val="en-NZ"/>
        </w:rPr>
      </w:pPr>
      <w:r>
        <w:rPr>
          <w:rStyle w:val="FootnoteReference"/>
        </w:rPr>
        <w:footnoteRef/>
      </w:r>
      <w:r>
        <w:t xml:space="preserve"> </w:t>
      </w:r>
      <w:r w:rsidR="00403F61">
        <w:tab/>
      </w:r>
      <w:r>
        <w:rPr>
          <w:lang w:val="en-NZ"/>
        </w:rPr>
        <w:t xml:space="preserve">Down from </w:t>
      </w:r>
      <w:r>
        <w:t xml:space="preserve">$1,045 million in 2011/12: </w:t>
      </w:r>
      <w:hyperlink r:id="rId3" w:history="1">
        <w:r w:rsidR="009E753A" w:rsidRPr="00D83460">
          <w:rPr>
            <w:rStyle w:val="Hyperlink"/>
            <w:szCs w:val="16"/>
          </w:rPr>
          <w:t xml:space="preserve">KiwiSaver Annual Report </w:t>
        </w:r>
      </w:hyperlink>
      <w:r>
        <w:t xml:space="preserve">5, </w:t>
      </w:r>
      <w:r w:rsidRPr="00C229B4" w:rsidDel="00212AB3">
        <w:t xml:space="preserve"> </w:t>
      </w:r>
      <w:r>
        <w:t xml:space="preserve">2011/12  p 24 at </w:t>
      </w:r>
      <w:hyperlink r:id="rId4" w:history="1">
        <w:r w:rsidRPr="00403F61">
          <w:rPr>
            <w:rStyle w:val="Hyperlink"/>
            <w:szCs w:val="16"/>
          </w:rPr>
          <w:t>http://www.ird.govt.nz/aboutir/reports/research/report-ks/research-ks-annual-report-2012.html</w:t>
        </w:r>
      </w:hyperlink>
      <w:r w:rsidR="009E753A" w:rsidRPr="009E753A">
        <w:t>,</w:t>
      </w:r>
      <w:r>
        <w:t xml:space="preserve"> </w:t>
      </w:r>
      <w:r w:rsidR="009E753A">
        <w:t>a</w:t>
      </w:r>
      <w:r>
        <w:t>ccessed 9 April 2013</w:t>
      </w:r>
    </w:p>
  </w:footnote>
  <w:footnote w:id="12">
    <w:p w:rsidR="005E4372" w:rsidRPr="00C229B4" w:rsidRDefault="005E4372" w:rsidP="00C229B4">
      <w:pPr>
        <w:pStyle w:val="FootnoteText"/>
      </w:pPr>
      <w:r w:rsidRPr="00C229B4">
        <w:rPr>
          <w:rStyle w:val="FootnoteTextChar"/>
        </w:rPr>
        <w:footnoteRef/>
      </w:r>
      <w:r w:rsidRPr="00C229B4">
        <w:t xml:space="preserve"> </w:t>
      </w:r>
      <w:r>
        <w:tab/>
      </w:r>
      <w:r w:rsidRPr="00C229B4">
        <w:t>Among the 34 OECD countries</w:t>
      </w:r>
      <w:r>
        <w:t>,</w:t>
      </w:r>
      <w:r w:rsidRPr="00C229B4">
        <w:t xml:space="preserve"> only New Zealand and Ireland do not </w:t>
      </w:r>
      <w:r>
        <w:t>currently</w:t>
      </w:r>
      <w:r w:rsidRPr="00C229B4">
        <w:t xml:space="preserve"> have a mandatory </w:t>
      </w:r>
      <w:r>
        <w:t>“</w:t>
      </w:r>
      <w:r w:rsidRPr="00C229B4">
        <w:t>second-tier</w:t>
      </w:r>
      <w:r>
        <w:t>”</w:t>
      </w:r>
      <w:r w:rsidRPr="00C229B4">
        <w:t xml:space="preserve"> pension scheme to address the decumulation problem.</w:t>
      </w:r>
      <w:r>
        <w:t xml:space="preserve"> </w:t>
      </w:r>
      <w:r w:rsidRPr="00C229B4">
        <w:t>Nor can suitable annuity-type products be obtained from the private sector in this country.</w:t>
      </w:r>
    </w:p>
  </w:footnote>
  <w:footnote w:id="13">
    <w:p w:rsidR="005E4372" w:rsidRPr="009E753A" w:rsidRDefault="005E4372" w:rsidP="009E753A">
      <w:pPr>
        <w:pStyle w:val="NormalWeb"/>
        <w:tabs>
          <w:tab w:val="left" w:pos="227"/>
        </w:tabs>
        <w:spacing w:after="57" w:line="220" w:lineRule="atLeast"/>
        <w:ind w:left="227" w:hanging="227"/>
        <w:rPr>
          <w:rFonts w:ascii="Arial Mäori" w:hAnsi="Arial Mäori"/>
          <w:color w:val="000000"/>
          <w:sz w:val="18"/>
        </w:rPr>
      </w:pPr>
      <w:r>
        <w:rPr>
          <w:rStyle w:val="FootnoteReference"/>
        </w:rPr>
        <w:footnoteRef/>
      </w:r>
      <w:r>
        <w:t xml:space="preserve"> </w:t>
      </w:r>
      <w:r w:rsidR="009E753A">
        <w:tab/>
      </w:r>
      <w:r w:rsidRPr="009E753A">
        <w:rPr>
          <w:rFonts w:ascii="Arial Mäori" w:hAnsi="Arial Mäori"/>
          <w:color w:val="000000"/>
          <w:sz w:val="18"/>
        </w:rPr>
        <w:t xml:space="preserve">"Longevity risk can be defined at individual and aggregate levels. At the individual level, longevity risk refers to the possibility of living longer than assumed in financial planning for the retirement of a single individual. At the aggregate level, longevity risk refers to the possibility of a higher average number of years of survival than assumed in designing a retirement security system for the aggregate." </w:t>
      </w:r>
      <w:proofErr w:type="gramStart"/>
      <w:r w:rsidRPr="009E753A">
        <w:rPr>
          <w:rFonts w:ascii="Arial Mäori" w:hAnsi="Arial Mäori"/>
          <w:color w:val="000000"/>
          <w:sz w:val="18"/>
        </w:rPr>
        <w:t>Stallard</w:t>
      </w:r>
      <w:r w:rsidR="009E753A">
        <w:rPr>
          <w:rFonts w:ascii="Arial Mäori" w:hAnsi="Arial Mäori"/>
          <w:color w:val="000000"/>
          <w:sz w:val="18"/>
        </w:rPr>
        <w:t>,</w:t>
      </w:r>
      <w:r w:rsidRPr="009E753A">
        <w:rPr>
          <w:rFonts w:ascii="Arial Mäori" w:hAnsi="Arial Mäori"/>
          <w:color w:val="000000"/>
          <w:sz w:val="18"/>
        </w:rPr>
        <w:t xml:space="preserve"> 2006</w:t>
      </w:r>
      <w:r w:rsidR="009E753A">
        <w:rPr>
          <w:rFonts w:ascii="Arial Mäori" w:hAnsi="Arial Mäori"/>
          <w:color w:val="000000"/>
          <w:sz w:val="18"/>
        </w:rPr>
        <w:t>,</w:t>
      </w:r>
      <w:r w:rsidRPr="009E753A">
        <w:rPr>
          <w:rFonts w:ascii="Arial Mäori" w:hAnsi="Arial Mäori"/>
          <w:color w:val="000000"/>
          <w:sz w:val="18"/>
        </w:rPr>
        <w:t xml:space="preserve"> p 575</w:t>
      </w:r>
      <w:r w:rsidR="009E753A">
        <w:rPr>
          <w:rFonts w:ascii="Arial Mäori" w:hAnsi="Arial Mäori"/>
          <w:color w:val="000000"/>
          <w:sz w:val="18"/>
        </w:rPr>
        <w:t>.</w:t>
      </w:r>
      <w:proofErr w:type="gramEnd"/>
      <w:r w:rsidRPr="009E753A">
        <w:rPr>
          <w:rFonts w:ascii="Arial Mäori" w:hAnsi="Arial Mäori"/>
          <w:color w:val="000000"/>
          <w:sz w:val="18"/>
        </w:rPr>
        <w:t xml:space="preserve"> </w:t>
      </w:r>
    </w:p>
  </w:footnote>
  <w:footnote w:id="14">
    <w:p w:rsidR="005E4372" w:rsidRDefault="005E4372" w:rsidP="00D8027E">
      <w:pPr>
        <w:pStyle w:val="FootnoteText"/>
      </w:pPr>
      <w:r w:rsidRPr="00F224B2">
        <w:rPr>
          <w:rStyle w:val="FootnoteTextChar"/>
        </w:rPr>
        <w:footnoteRef/>
      </w:r>
      <w:r>
        <w:t xml:space="preserve"> </w:t>
      </w:r>
      <w:r>
        <w:tab/>
      </w:r>
      <w:r>
        <w:rPr>
          <w:color w:val="000000"/>
        </w:rPr>
        <w:t xml:space="preserve">There is not yet, however, “a reliable, generally accepted model of the complete portfolio problem” </w:t>
      </w:r>
      <w:r>
        <w:t xml:space="preserve">(Campbell &amp; </w:t>
      </w:r>
      <w:proofErr w:type="spellStart"/>
      <w:r>
        <w:t>Viceira</w:t>
      </w:r>
      <w:proofErr w:type="spellEnd"/>
      <w:r>
        <w:t>, 2002, p</w:t>
      </w:r>
      <w:r w:rsidR="009E753A">
        <w:t xml:space="preserve"> </w:t>
      </w:r>
      <w:r>
        <w:t>13). Their modelling of investment portfolio choices excludes annuities altogether.</w:t>
      </w:r>
    </w:p>
  </w:footnote>
  <w:footnote w:id="15">
    <w:p w:rsidR="005E4372" w:rsidRPr="00F53FEA" w:rsidRDefault="005E4372">
      <w:pPr>
        <w:pStyle w:val="FootnoteText"/>
      </w:pPr>
      <w:r>
        <w:rPr>
          <w:rStyle w:val="FootnoteReference"/>
        </w:rPr>
        <w:footnoteRef/>
      </w:r>
      <w:r>
        <w:t xml:space="preserve"> </w:t>
      </w:r>
      <w:r w:rsidR="009E753A">
        <w:tab/>
      </w:r>
      <w:r w:rsidRPr="00F224B2">
        <w:t>NZS provides protection against longevity risk, but only at a basic income level.</w:t>
      </w:r>
    </w:p>
  </w:footnote>
  <w:footnote w:id="16">
    <w:p w:rsidR="005E4372" w:rsidRPr="00F224B2" w:rsidRDefault="005E4372" w:rsidP="008A0B0A">
      <w:pPr>
        <w:pStyle w:val="FootnoteText"/>
      </w:pPr>
      <w:r>
        <w:rPr>
          <w:rStyle w:val="FootnoteReference"/>
        </w:rPr>
        <w:footnoteRef/>
      </w:r>
      <w:r>
        <w:t xml:space="preserve"> </w:t>
      </w:r>
      <w:r w:rsidR="009E753A">
        <w:tab/>
      </w:r>
      <w:r w:rsidRPr="00F224B2">
        <w:t xml:space="preserve">NZS also protects against this </w:t>
      </w:r>
      <w:r>
        <w:t xml:space="preserve">decline </w:t>
      </w:r>
      <w:r w:rsidRPr="00F224B2">
        <w:t>(because it is linked to average wages) but again, only at a basic income level.</w:t>
      </w:r>
    </w:p>
  </w:footnote>
  <w:footnote w:id="17">
    <w:p w:rsidR="005E4372" w:rsidRPr="000328EC" w:rsidRDefault="005E4372">
      <w:pPr>
        <w:pStyle w:val="FootnoteText"/>
      </w:pPr>
      <w:r>
        <w:rPr>
          <w:rStyle w:val="FootnoteReference"/>
        </w:rPr>
        <w:footnoteRef/>
      </w:r>
      <w:r>
        <w:t xml:space="preserve"> </w:t>
      </w:r>
      <w:r>
        <w:tab/>
        <w:t>Those living in their own homes are likely to use KiwiSaver drawdowns to retire some or all of any remaining mortgage debt. With changing patterns of home ownership, however, mechanisms to decumulate savings in retirement will become even more important.</w:t>
      </w:r>
    </w:p>
  </w:footnote>
  <w:footnote w:id="18">
    <w:p w:rsidR="005E4372" w:rsidRDefault="005E4372" w:rsidP="008A0B0A">
      <w:pPr>
        <w:pStyle w:val="FootnoteText"/>
      </w:pPr>
      <w:r w:rsidRPr="00F224B2">
        <w:rPr>
          <w:rStyle w:val="FootnoteTextChar"/>
        </w:rPr>
        <w:footnoteRef/>
      </w:r>
      <w:r>
        <w:t xml:space="preserve"> </w:t>
      </w:r>
      <w:r>
        <w:tab/>
        <w:t>What can go wrong will go wrong, eventually (adapting Murphy).</w:t>
      </w:r>
    </w:p>
  </w:footnote>
  <w:footnote w:id="19">
    <w:p w:rsidR="005E4372" w:rsidRPr="00D75EF3" w:rsidRDefault="005E4372" w:rsidP="008A0B0A">
      <w:pPr>
        <w:pStyle w:val="FootnoteText"/>
      </w:pPr>
      <w:r w:rsidRPr="00F224B2">
        <w:rPr>
          <w:rStyle w:val="FootnoteTextChar"/>
        </w:rPr>
        <w:footnoteRef/>
      </w:r>
      <w:r>
        <w:t xml:space="preserve"> </w:t>
      </w:r>
      <w:r>
        <w:tab/>
        <w:t xml:space="preserve">Cash receipts from such sources may affect entitlements to income-tested benefits. See for example </w:t>
      </w:r>
      <w:hyperlink r:id="rId5" w:history="1">
        <w:r w:rsidRPr="00D44432">
          <w:rPr>
            <w:rStyle w:val="Hyperlink"/>
            <w:szCs w:val="16"/>
          </w:rPr>
          <w:t>http://www.sherpa.org.nz/Portals/0/SHERPA%20Adviser%20Guide%20for%20HER%20Loans%20July%202012%20Version.pdf</w:t>
        </w:r>
      </w:hyperlink>
      <w:r>
        <w:t xml:space="preserve">, </w:t>
      </w:r>
      <w:r w:rsidR="00C766E5">
        <w:t>accessed</w:t>
      </w:r>
      <w:r>
        <w:t xml:space="preserve"> 9April 2013.</w:t>
      </w:r>
    </w:p>
  </w:footnote>
  <w:footnote w:id="20">
    <w:p w:rsidR="005E4372" w:rsidRPr="00E943CA" w:rsidRDefault="005E4372" w:rsidP="008A0B0A">
      <w:pPr>
        <w:pStyle w:val="FootnoteText"/>
        <w:rPr>
          <w:szCs w:val="20"/>
        </w:rPr>
      </w:pPr>
      <w:r w:rsidRPr="00F224B2">
        <w:rPr>
          <w:rStyle w:val="FootnoteTextChar"/>
        </w:rPr>
        <w:footnoteRef/>
      </w:r>
      <w:r w:rsidRPr="00E943CA">
        <w:rPr>
          <w:szCs w:val="20"/>
        </w:rPr>
        <w:t xml:space="preserve"> </w:t>
      </w:r>
      <w:r>
        <w:rPr>
          <w:szCs w:val="20"/>
        </w:rPr>
        <w:tab/>
      </w:r>
      <w:r w:rsidRPr="00E943CA">
        <w:rPr>
          <w:szCs w:val="20"/>
        </w:rPr>
        <w:t xml:space="preserve">The major </w:t>
      </w:r>
      <w:r>
        <w:rPr>
          <w:szCs w:val="20"/>
        </w:rPr>
        <w:t xml:space="preserve">existing </w:t>
      </w:r>
      <w:r w:rsidRPr="00E943CA">
        <w:rPr>
          <w:szCs w:val="20"/>
        </w:rPr>
        <w:t>defined benefit pension schemes are the Government Superannuation Fund and the National Provident Fund Defined Benefit Annuitants Scheme</w:t>
      </w:r>
      <w:r>
        <w:rPr>
          <w:szCs w:val="20"/>
        </w:rPr>
        <w:t xml:space="preserve">, both of which </w:t>
      </w:r>
      <w:r w:rsidRPr="00E943CA">
        <w:rPr>
          <w:szCs w:val="20"/>
        </w:rPr>
        <w:t xml:space="preserve">are indexed to price inflation and guaranteed by the </w:t>
      </w:r>
      <w:r>
        <w:rPr>
          <w:szCs w:val="20"/>
        </w:rPr>
        <w:t>g</w:t>
      </w:r>
      <w:r w:rsidRPr="00E943CA">
        <w:rPr>
          <w:szCs w:val="20"/>
        </w:rPr>
        <w:t xml:space="preserve">overnment. </w:t>
      </w:r>
      <w:r>
        <w:rPr>
          <w:szCs w:val="20"/>
        </w:rPr>
        <w:t>The National Provident Fund was permanently closed to new entrants from 1 April 1991 and the Government Superannuation Fund</w:t>
      </w:r>
      <w:r w:rsidRPr="00E943CA">
        <w:rPr>
          <w:szCs w:val="20"/>
        </w:rPr>
        <w:t xml:space="preserve"> </w:t>
      </w:r>
      <w:r>
        <w:rPr>
          <w:szCs w:val="20"/>
        </w:rPr>
        <w:t>was similarly closed from 1 July 1992</w:t>
      </w:r>
      <w:r w:rsidRPr="00E943CA">
        <w:rPr>
          <w:szCs w:val="20"/>
        </w:rPr>
        <w:t>.</w:t>
      </w:r>
      <w:r>
        <w:rPr>
          <w:szCs w:val="20"/>
        </w:rPr>
        <w:t xml:space="preserve"> </w:t>
      </w:r>
    </w:p>
  </w:footnote>
  <w:footnote w:id="21">
    <w:p w:rsidR="005E4372" w:rsidRPr="00484C8A" w:rsidRDefault="005E4372">
      <w:pPr>
        <w:pStyle w:val="FootnoteText"/>
      </w:pPr>
      <w:r>
        <w:rPr>
          <w:rStyle w:val="FootnoteReference"/>
        </w:rPr>
        <w:footnoteRef/>
      </w:r>
      <w:r>
        <w:t xml:space="preserve"> </w:t>
      </w:r>
      <w:r>
        <w:tab/>
        <w:t>From 1 April 2011, this rate reduced to 28 percent.</w:t>
      </w:r>
    </w:p>
  </w:footnote>
  <w:footnote w:id="22">
    <w:p w:rsidR="005E4372" w:rsidRPr="00AD73FD" w:rsidRDefault="005E4372" w:rsidP="00AD73FD">
      <w:pPr>
        <w:pStyle w:val="FootnoteText"/>
      </w:pPr>
      <w:r w:rsidRPr="00AD73FD">
        <w:rPr>
          <w:rStyle w:val="FootnoteTextChar"/>
        </w:rPr>
        <w:footnoteRef/>
      </w:r>
      <w:r w:rsidRPr="00AD73FD">
        <w:t xml:space="preserve"> </w:t>
      </w:r>
      <w:r>
        <w:tab/>
      </w:r>
      <w:r w:rsidRPr="00AD73FD">
        <w:t>From 1 October 2010</w:t>
      </w:r>
      <w:r>
        <w:t>,</w:t>
      </w:r>
      <w:r w:rsidRPr="00AD73FD">
        <w:t xml:space="preserve"> these rates reduced to 10.5 and 17.5 percent respectively.</w:t>
      </w:r>
    </w:p>
  </w:footnote>
  <w:footnote w:id="23">
    <w:p w:rsidR="005E4372" w:rsidRPr="00B67604" w:rsidRDefault="005E4372" w:rsidP="00B67604">
      <w:pPr>
        <w:pStyle w:val="FootnoteText"/>
        <w:rPr>
          <w:rStyle w:val="FootnoteTextChar1"/>
          <w:color w:val="auto"/>
        </w:rPr>
      </w:pPr>
      <w:r w:rsidRPr="00B67604">
        <w:rPr>
          <w:rStyle w:val="FootnoteTextChar"/>
        </w:rPr>
        <w:footnoteRef/>
      </w:r>
      <w:r w:rsidRPr="00B67604">
        <w:rPr>
          <w:szCs w:val="20"/>
        </w:rPr>
        <w:t xml:space="preserve"> </w:t>
      </w:r>
      <w:r w:rsidRPr="00B67604">
        <w:rPr>
          <w:szCs w:val="20"/>
        </w:rPr>
        <w:tab/>
      </w:r>
      <w:r w:rsidRPr="00B67604">
        <w:rPr>
          <w:rStyle w:val="FootnoteTextChar1"/>
          <w:color w:val="auto"/>
        </w:rPr>
        <w:t>No life office annuities at present on offer in New Zealand provide protection against inflation.</w:t>
      </w:r>
    </w:p>
  </w:footnote>
  <w:footnote w:id="24">
    <w:p w:rsidR="005E4372" w:rsidRPr="00B67604" w:rsidRDefault="005E4372" w:rsidP="00B67604">
      <w:pPr>
        <w:pStyle w:val="FootnoteText"/>
      </w:pPr>
      <w:r w:rsidRPr="00B67604">
        <w:rPr>
          <w:rStyle w:val="FootnoteTextChar"/>
        </w:rPr>
        <w:footnoteRef/>
      </w:r>
      <w:r w:rsidRPr="00B67604">
        <w:rPr>
          <w:szCs w:val="20"/>
        </w:rPr>
        <w:t xml:space="preserve"> </w:t>
      </w:r>
      <w:r w:rsidRPr="00B67604">
        <w:rPr>
          <w:szCs w:val="20"/>
        </w:rPr>
        <w:tab/>
      </w:r>
      <w:r w:rsidRPr="00B67604">
        <w:rPr>
          <w:rStyle w:val="FootnoteTextChar1"/>
          <w:color w:val="auto"/>
        </w:rPr>
        <w:t xml:space="preserve">The New Zealand Society of Actuaries has written to the Retirement Commissioner about the state of the New Zealand annuity market. The Society’s submission is at </w:t>
      </w:r>
      <w:hyperlink r:id="rId6" w:history="1">
        <w:r w:rsidRPr="005B2DBF">
          <w:rPr>
            <w:rStyle w:val="Hyperlink"/>
          </w:rPr>
          <w:t>http://www.actuaries.org.nz/pdfs/Annuities%20May07.pdf</w:t>
        </w:r>
      </w:hyperlink>
      <w:r w:rsidRPr="00B67604">
        <w:rPr>
          <w:rStyle w:val="FootnoteTextChar1"/>
          <w:color w:val="auto"/>
        </w:rPr>
        <w:t xml:space="preserve">, </w:t>
      </w:r>
      <w:r w:rsidR="00C766E5">
        <w:t>accessed</w:t>
      </w:r>
      <w:r w:rsidRPr="00B67604">
        <w:t xml:space="preserve"> </w:t>
      </w:r>
      <w:r>
        <w:t>9 April 2013.</w:t>
      </w:r>
    </w:p>
  </w:footnote>
  <w:footnote w:id="25">
    <w:p w:rsidR="005E4372" w:rsidRPr="00B67604" w:rsidRDefault="005E4372" w:rsidP="00A71572">
      <w:pPr>
        <w:pStyle w:val="FootnoteText"/>
      </w:pPr>
      <w:r w:rsidRPr="00AD73FD">
        <w:rPr>
          <w:rStyle w:val="FootnoteTextChar"/>
        </w:rPr>
        <w:footnoteRef/>
      </w:r>
      <w:r w:rsidRPr="00AD73FD">
        <w:t xml:space="preserve"> </w:t>
      </w:r>
      <w:r>
        <w:tab/>
      </w:r>
      <w:r w:rsidRPr="00AD73FD">
        <w:t>Information on these Schemes is provided by the Office for Senior Citizens at</w:t>
      </w:r>
      <w:r w:rsidRPr="0072167C">
        <w:rPr>
          <w:rStyle w:val="Hyperlink"/>
        </w:rPr>
        <w:t xml:space="preserve"> </w:t>
      </w:r>
      <w:hyperlink r:id="rId7" w:history="1">
        <w:r w:rsidRPr="00202661">
          <w:rPr>
            <w:rStyle w:val="Hyperlink"/>
          </w:rPr>
          <w:t>http://www.osc.govt.nz/her/index.html</w:t>
        </w:r>
      </w:hyperlink>
      <w:r w:rsidR="00C766E5" w:rsidRPr="00C766E5">
        <w:t>,</w:t>
      </w:r>
      <w:r w:rsidR="00C766E5">
        <w:rPr>
          <w:rStyle w:val="Hyperlink"/>
        </w:rPr>
        <w:t xml:space="preserve"> </w:t>
      </w:r>
      <w:r w:rsidR="00C766E5">
        <w:t>accessed</w:t>
      </w:r>
      <w:r w:rsidRPr="00AD73FD">
        <w:t xml:space="preserve"> </w:t>
      </w:r>
      <w:r>
        <w:t>9 April 2013.</w:t>
      </w:r>
    </w:p>
    <w:p w:rsidR="005E4372" w:rsidRPr="00AD73FD" w:rsidRDefault="005E4372" w:rsidP="00AD73FD">
      <w:pPr>
        <w:pStyle w:val="FootnoteText"/>
      </w:pPr>
    </w:p>
  </w:footnote>
  <w:footnote w:id="26">
    <w:p w:rsidR="005E4372" w:rsidRPr="00AD73FD" w:rsidRDefault="005E4372" w:rsidP="00AD73FD">
      <w:pPr>
        <w:pStyle w:val="FootnoteText"/>
      </w:pPr>
      <w:r w:rsidRPr="00AD73FD">
        <w:rPr>
          <w:rStyle w:val="FootnoteTextChar"/>
        </w:rPr>
        <w:footnoteRef/>
      </w:r>
      <w:r w:rsidRPr="00AD73FD">
        <w:t xml:space="preserve"> </w:t>
      </w:r>
      <w:r w:rsidR="00C766E5">
        <w:tab/>
      </w:r>
      <w:r>
        <w:t>A</w:t>
      </w:r>
      <w:r w:rsidRPr="00AD73FD">
        <w:t xml:space="preserve"> potential mode of home equity conversion without th</w:t>
      </w:r>
      <w:r>
        <w:t>is</w:t>
      </w:r>
      <w:r w:rsidRPr="00AD73FD">
        <w:t xml:space="preserve"> disadvantage is described later in this paper.</w:t>
      </w:r>
    </w:p>
  </w:footnote>
  <w:footnote w:id="27">
    <w:p w:rsidR="005E4372" w:rsidRPr="00AD73FD" w:rsidRDefault="005E4372" w:rsidP="00AD73FD">
      <w:pPr>
        <w:pStyle w:val="FootnoteText"/>
      </w:pPr>
      <w:r w:rsidRPr="00AD73FD">
        <w:rPr>
          <w:rStyle w:val="FootnoteTextChar"/>
        </w:rPr>
        <w:footnoteRef/>
      </w:r>
      <w:r w:rsidRPr="00AD73FD">
        <w:t xml:space="preserve"> </w:t>
      </w:r>
      <w:r w:rsidR="00C766E5">
        <w:tab/>
      </w:r>
      <w:r w:rsidRPr="00AD73FD">
        <w:t>Rates postponement is another partial decumulation device with similar limitations</w:t>
      </w:r>
      <w:r>
        <w:t xml:space="preserve">. For one scheme, see </w:t>
      </w:r>
      <w:hyperlink r:id="rId8" w:history="1">
        <w:r w:rsidRPr="00AD73FD">
          <w:rPr>
            <w:rStyle w:val="Hyperlink"/>
          </w:rPr>
          <w:t>http://www.ratespostponement.co.nz/</w:t>
        </w:r>
      </w:hyperlink>
      <w:r w:rsidRPr="00AD73FD">
        <w:t xml:space="preserve"> </w:t>
      </w:r>
      <w:r w:rsidR="00C766E5">
        <w:t xml:space="preserve">accessed </w:t>
      </w:r>
      <w:r>
        <w:t>9</w:t>
      </w:r>
      <w:r w:rsidR="00C766E5">
        <w:t xml:space="preserve"> </w:t>
      </w:r>
      <w:r>
        <w:t>April 2013.</w:t>
      </w:r>
      <w:r w:rsidRPr="00AD73FD">
        <w:t xml:space="preserve"> </w:t>
      </w:r>
    </w:p>
  </w:footnote>
  <w:footnote w:id="28">
    <w:p w:rsidR="005E4372" w:rsidRPr="00AD73FD" w:rsidRDefault="005E4372" w:rsidP="00AD73FD">
      <w:pPr>
        <w:pStyle w:val="FootnoteText"/>
      </w:pPr>
      <w:r w:rsidRPr="00AD73FD">
        <w:rPr>
          <w:rStyle w:val="FootnoteTextChar"/>
        </w:rPr>
        <w:footnoteRef/>
      </w:r>
      <w:r w:rsidRPr="00AD73FD">
        <w:t xml:space="preserve"> </w:t>
      </w:r>
      <w:r>
        <w:tab/>
      </w:r>
      <w:r w:rsidRPr="00AD73FD">
        <w:t xml:space="preserve">The Taskforce here cites </w:t>
      </w:r>
      <w:proofErr w:type="spellStart"/>
      <w:r w:rsidRPr="00AD73FD">
        <w:t>Impavido</w:t>
      </w:r>
      <w:proofErr w:type="spellEnd"/>
      <w:r w:rsidRPr="00AD73FD">
        <w:t xml:space="preserve">, </w:t>
      </w:r>
      <w:proofErr w:type="spellStart"/>
      <w:r w:rsidRPr="00AD73FD">
        <w:t>Thorburn</w:t>
      </w:r>
      <w:proofErr w:type="spellEnd"/>
      <w:r>
        <w:t xml:space="preserve"> &amp;</w:t>
      </w:r>
      <w:r w:rsidRPr="00AD73FD">
        <w:t xml:space="preserve"> Wadsworth</w:t>
      </w:r>
      <w:r>
        <w:t xml:space="preserve"> (2004).</w:t>
      </w:r>
    </w:p>
  </w:footnote>
  <w:footnote w:id="29">
    <w:p w:rsidR="005E4372" w:rsidRDefault="005E4372" w:rsidP="00F43C44">
      <w:pPr>
        <w:pStyle w:val="FootnoteText"/>
      </w:pPr>
      <w:r w:rsidRPr="00AD73FD">
        <w:rPr>
          <w:rStyle w:val="FootnoteTextChar"/>
        </w:rPr>
        <w:footnoteRef/>
      </w:r>
      <w:r w:rsidRPr="00776FE2">
        <w:t xml:space="preserve"> </w:t>
      </w:r>
      <w:r>
        <w:tab/>
        <w:t>“</w:t>
      </w:r>
      <w:r w:rsidRPr="00776FE2">
        <w:t>Actuarially fair</w:t>
      </w:r>
      <w:r>
        <w:t>”</w:t>
      </w:r>
      <w:r w:rsidRPr="00776FE2">
        <w:t xml:space="preserve"> means the cost of an annuity is equal to the present value of the regular payments the purchaser expects to receive.</w:t>
      </w:r>
    </w:p>
  </w:footnote>
  <w:footnote w:id="30">
    <w:p w:rsidR="005E4372" w:rsidRDefault="005E4372" w:rsidP="00F43C44">
      <w:pPr>
        <w:pStyle w:val="FootnoteText"/>
      </w:pPr>
      <w:r w:rsidRPr="00AD73FD">
        <w:rPr>
          <w:rStyle w:val="FootnoteTextChar"/>
        </w:rPr>
        <w:footnoteRef/>
      </w:r>
      <w:r w:rsidRPr="00776FE2">
        <w:t xml:space="preserve"> </w:t>
      </w:r>
      <w:r>
        <w:tab/>
        <w:t xml:space="preserve">The Taskforce sourced this suggestion from a submission from Mercer (2009). </w:t>
      </w:r>
    </w:p>
  </w:footnote>
  <w:footnote w:id="31">
    <w:p w:rsidR="005E4372" w:rsidRPr="00EB22B3" w:rsidRDefault="005E4372" w:rsidP="00F43C44">
      <w:pPr>
        <w:pStyle w:val="FootnoteText"/>
        <w:rPr>
          <w:szCs w:val="18"/>
        </w:rPr>
      </w:pPr>
      <w:r w:rsidRPr="00AD73FD">
        <w:rPr>
          <w:rStyle w:val="FootnoteTextChar"/>
        </w:rPr>
        <w:footnoteRef/>
      </w:r>
      <w:r w:rsidRPr="00F43C44">
        <w:t xml:space="preserve"> </w:t>
      </w:r>
      <w:r>
        <w:tab/>
      </w:r>
      <w:r w:rsidRPr="00F43C44">
        <w:t>In the UK, a person reaching retirement age can elect to defer payment of his or her state pension (the basic rate of which is about two-thirds of NZS). The result of deferment is a bigger pension once payment commences, or optionally a lump sum. Everyone gets the same deal regardless of life expectancy.</w:t>
      </w:r>
      <w:r>
        <w:t xml:space="preserve"> See </w:t>
      </w:r>
      <w:hyperlink r:id="rId9" w:history="1">
        <w:r w:rsidRPr="004B731A">
          <w:rPr>
            <w:rStyle w:val="Hyperlink"/>
            <w:szCs w:val="18"/>
          </w:rPr>
          <w:t>h</w:t>
        </w:r>
        <w:r w:rsidRPr="0072167C">
          <w:rPr>
            <w:rStyle w:val="Hyperlink"/>
            <w:szCs w:val="18"/>
          </w:rPr>
          <w:t>ttp://www.direct.gov.uk/en/pensionsan</w:t>
        </w:r>
        <w:r w:rsidRPr="004B731A">
          <w:rPr>
            <w:rStyle w:val="Hyperlink"/>
            <w:szCs w:val="18"/>
          </w:rPr>
          <w:t>dretirementplanning/statepension/statepensiondeferral/dg_10027570</w:t>
        </w:r>
      </w:hyperlink>
      <w:r w:rsidRPr="00EB22B3">
        <w:rPr>
          <w:szCs w:val="18"/>
        </w:rPr>
        <w:t>, accessed 9</w:t>
      </w:r>
      <w:r w:rsidR="00C766E5">
        <w:rPr>
          <w:szCs w:val="18"/>
        </w:rPr>
        <w:t xml:space="preserve"> </w:t>
      </w:r>
      <w:r>
        <w:rPr>
          <w:szCs w:val="18"/>
        </w:rPr>
        <w:t>April 2013</w:t>
      </w:r>
      <w:r w:rsidRPr="00EB22B3">
        <w:rPr>
          <w:szCs w:val="18"/>
        </w:rPr>
        <w:t>.</w:t>
      </w:r>
    </w:p>
  </w:footnote>
  <w:footnote w:id="32">
    <w:p w:rsidR="005E4372" w:rsidRPr="00F43C44" w:rsidRDefault="005E4372" w:rsidP="00F43C44">
      <w:pPr>
        <w:pStyle w:val="FootnoteText"/>
      </w:pPr>
      <w:r w:rsidRPr="00AD73FD">
        <w:rPr>
          <w:rStyle w:val="FootnoteTextChar"/>
        </w:rPr>
        <w:footnoteRef/>
      </w:r>
      <w:r w:rsidRPr="00F43C44">
        <w:t xml:space="preserve"> </w:t>
      </w:r>
      <w:r>
        <w:tab/>
      </w:r>
      <w:r w:rsidRPr="00F43C44">
        <w:t>Some cross-</w:t>
      </w:r>
      <w:proofErr w:type="spellStart"/>
      <w:r w:rsidRPr="00F43C44">
        <w:t>subsidisation</w:t>
      </w:r>
      <w:proofErr w:type="spellEnd"/>
      <w:r w:rsidRPr="00F43C44">
        <w:t xml:space="preserve"> would occur among participants because their lifespans will differ, with the longer-lived being subsidised by the shorter-lived.</w:t>
      </w:r>
      <w:r>
        <w:t xml:space="preserve"> </w:t>
      </w:r>
      <w:r w:rsidRPr="00F43C44">
        <w:t>In principle</w:t>
      </w:r>
      <w:r>
        <w:t>,</w:t>
      </w:r>
      <w:r w:rsidRPr="00F43C44">
        <w:t xml:space="preserve"> this could be </w:t>
      </w:r>
      <w:proofErr w:type="spellStart"/>
      <w:r w:rsidRPr="00F43C44">
        <w:t>minimised</w:t>
      </w:r>
      <w:proofErr w:type="spellEnd"/>
      <w:r w:rsidRPr="00F43C44">
        <w:t xml:space="preserve"> (if desired) by pricing the increased pension according to the risk classification of each participant.</w:t>
      </w:r>
    </w:p>
  </w:footnote>
  <w:footnote w:id="33">
    <w:p w:rsidR="005E4372" w:rsidRPr="00F43C44" w:rsidRDefault="005E4372" w:rsidP="00F43C44">
      <w:pPr>
        <w:pStyle w:val="FootnoteText"/>
      </w:pPr>
      <w:r w:rsidRPr="00AD73FD">
        <w:rPr>
          <w:rStyle w:val="FootnoteTextChar"/>
        </w:rPr>
        <w:footnoteRef/>
      </w:r>
      <w:r w:rsidRPr="00F43C44">
        <w:t xml:space="preserve"> </w:t>
      </w:r>
      <w:r>
        <w:tab/>
      </w:r>
      <w:r w:rsidRPr="00F43C44">
        <w:t>The Public Trust Office has provided this comfort to savers since 1873.</w:t>
      </w:r>
    </w:p>
  </w:footnote>
  <w:footnote w:id="34">
    <w:p w:rsidR="005E4372" w:rsidRPr="00A25FC1" w:rsidRDefault="005E4372" w:rsidP="00AD73FD">
      <w:pPr>
        <w:pStyle w:val="FootnoteText"/>
        <w:rPr>
          <w:sz w:val="20"/>
          <w:szCs w:val="20"/>
        </w:rPr>
      </w:pPr>
      <w:r w:rsidRPr="00AD73FD">
        <w:rPr>
          <w:rStyle w:val="FootnoteTextChar"/>
        </w:rPr>
        <w:footnoteRef/>
      </w:r>
      <w:r w:rsidRPr="00A25FC1">
        <w:rPr>
          <w:sz w:val="20"/>
          <w:szCs w:val="20"/>
        </w:rPr>
        <w:t xml:space="preserve"> </w:t>
      </w:r>
      <w:r w:rsidR="00C766E5">
        <w:rPr>
          <w:sz w:val="20"/>
          <w:szCs w:val="20"/>
        </w:rPr>
        <w:tab/>
      </w:r>
      <w:r w:rsidRPr="00C766E5">
        <w:rPr>
          <w:szCs w:val="20"/>
        </w:rPr>
        <w:t>As Hurnard says (2007, p</w:t>
      </w:r>
      <w:r w:rsidR="00C766E5">
        <w:rPr>
          <w:szCs w:val="20"/>
        </w:rPr>
        <w:t xml:space="preserve"> </w:t>
      </w:r>
      <w:r w:rsidRPr="00C766E5">
        <w:rPr>
          <w:szCs w:val="20"/>
        </w:rPr>
        <w:t xml:space="preserve">16): “People are likely to be receptive to government initiatives that open up new options for retirement income management and help people to make better informed decisions, with the proviso that these are not seen as redirecting significant funds away from core government business, creating unfair loopholes or entrenching privilege.” </w:t>
      </w:r>
    </w:p>
  </w:footnote>
  <w:footnote w:id="35">
    <w:p w:rsidR="005E4372" w:rsidRPr="00FD5FF4" w:rsidRDefault="005E4372" w:rsidP="007C16D1">
      <w:pPr>
        <w:pStyle w:val="FootnoteText"/>
      </w:pPr>
      <w:r w:rsidRPr="00FD5FF4">
        <w:rPr>
          <w:rStyle w:val="FootnoteReference"/>
        </w:rPr>
        <w:footnoteRef/>
      </w:r>
      <w:r w:rsidRPr="00FD5FF4">
        <w:t xml:space="preserve"> </w:t>
      </w:r>
      <w:r w:rsidR="00C766E5">
        <w:tab/>
      </w:r>
      <w:proofErr w:type="gramStart"/>
      <w:r w:rsidRPr="00FD5FF4">
        <w:t>After adjustment for the deduction of standard tax</w:t>
      </w:r>
      <w:r>
        <w:t>.</w:t>
      </w:r>
      <w:proofErr w:type="gramEnd"/>
      <w:r>
        <w:t xml:space="preserve"> S</w:t>
      </w:r>
      <w:r w:rsidRPr="00FD5FF4">
        <w:t xml:space="preserve">ee </w:t>
      </w:r>
      <w:r>
        <w:t xml:space="preserve">New Zealand Superannuation and Retirement Income Act 2001. </w:t>
      </w:r>
      <w:proofErr w:type="gramStart"/>
      <w:r w:rsidRPr="00FD5FF4">
        <w:t>s</w:t>
      </w:r>
      <w:r>
        <w:t>ection</w:t>
      </w:r>
      <w:proofErr w:type="gramEnd"/>
      <w:r>
        <w:t xml:space="preserve"> </w:t>
      </w:r>
      <w:r w:rsidRPr="00FD5FF4">
        <w:t>15.</w:t>
      </w:r>
    </w:p>
  </w:footnote>
  <w:footnote w:id="36">
    <w:p w:rsidR="005E4372" w:rsidRPr="00F43C44" w:rsidRDefault="005E4372" w:rsidP="00F43C44">
      <w:pPr>
        <w:pStyle w:val="FootnoteText"/>
      </w:pPr>
      <w:r w:rsidRPr="008C5E99">
        <w:rPr>
          <w:rStyle w:val="FootnoteTextChar"/>
        </w:rPr>
        <w:footnoteRef/>
      </w:r>
      <w:r w:rsidRPr="00F43C44">
        <w:t xml:space="preserve"> </w:t>
      </w:r>
      <w:r w:rsidR="00C766E5">
        <w:tab/>
      </w:r>
      <w:proofErr w:type="gramStart"/>
      <w:r w:rsidRPr="00F43C44">
        <w:t>Assuming no fiscal drag.</w:t>
      </w:r>
      <w:proofErr w:type="gramEnd"/>
      <w:r>
        <w:t xml:space="preserve"> </w:t>
      </w:r>
      <w:r w:rsidRPr="00F43C44">
        <w:t>If fiscal drag occurs, income tax revenue will grow faster than wages.</w:t>
      </w:r>
    </w:p>
  </w:footnote>
  <w:footnote w:id="37">
    <w:p w:rsidR="005E4372" w:rsidRPr="00F43C44" w:rsidRDefault="005E4372" w:rsidP="00F43C44">
      <w:pPr>
        <w:pStyle w:val="FootnoteText"/>
      </w:pPr>
      <w:r w:rsidRPr="008C5E99">
        <w:rPr>
          <w:rStyle w:val="FootnoteTextChar"/>
        </w:rPr>
        <w:footnoteRef/>
      </w:r>
      <w:r w:rsidRPr="00F43C44">
        <w:t xml:space="preserve"> </w:t>
      </w:r>
      <w:r w:rsidR="00C766E5">
        <w:tab/>
      </w:r>
      <w:r w:rsidRPr="00F43C44">
        <w:t>As well as being hedged, the government has a major influence on wage growth through economic and other policies that raise productivity.</w:t>
      </w:r>
    </w:p>
  </w:footnote>
  <w:footnote w:id="38">
    <w:p w:rsidR="005E4372" w:rsidRPr="00F43C44" w:rsidRDefault="005E4372" w:rsidP="00F43C44">
      <w:pPr>
        <w:pStyle w:val="FootnoteText"/>
      </w:pPr>
      <w:r w:rsidRPr="008C5E99">
        <w:rPr>
          <w:rStyle w:val="FootnoteTextChar"/>
        </w:rPr>
        <w:footnoteRef/>
      </w:r>
      <w:r w:rsidRPr="00F43C44">
        <w:t xml:space="preserve"> </w:t>
      </w:r>
      <w:r w:rsidR="00C766E5">
        <w:tab/>
      </w:r>
      <w:r w:rsidRPr="00F43C44">
        <w:t>Whether these governments in fact avoid the wage indexation risk (which is larger than the price inflation risk because, over time, wages rise faster than prices) has been questioned.</w:t>
      </w:r>
      <w:r>
        <w:t xml:space="preserve"> The OECD (2011, p</w:t>
      </w:r>
      <w:r w:rsidR="00C766E5">
        <w:t xml:space="preserve"> </w:t>
      </w:r>
      <w:r>
        <w:t xml:space="preserve">27) argues </w:t>
      </w:r>
      <w:r w:rsidRPr="00F43C44">
        <w:t>that indexing pensions to prices would lead to pensions declining relative to earnings over time to an extent unlikely to be sustainable or, indeed, sustained.</w:t>
      </w:r>
      <w:r>
        <w:t xml:space="preserve"> </w:t>
      </w:r>
      <w:r w:rsidRPr="00F43C44">
        <w:t>It therefore assumes in its mode</w:t>
      </w:r>
      <w:r>
        <w:t>l</w:t>
      </w:r>
      <w:r w:rsidRPr="00F43C44">
        <w:t xml:space="preserve">ling of future pension entitlements that pensions </w:t>
      </w:r>
      <w:r>
        <w:t>“</w:t>
      </w:r>
      <w:r w:rsidRPr="00F43C44">
        <w:t>are linked to average earnings, not prices, even though this is what legislation specifies</w:t>
      </w:r>
      <w:r>
        <w:t>”</w:t>
      </w:r>
      <w:r w:rsidRPr="00F43C44">
        <w:t>.</w:t>
      </w:r>
    </w:p>
  </w:footnote>
  <w:footnote w:id="39">
    <w:p w:rsidR="005E4372" w:rsidRPr="00F43C44" w:rsidRDefault="005E4372" w:rsidP="00F43C44">
      <w:pPr>
        <w:pStyle w:val="FootnoteText"/>
      </w:pPr>
      <w:r w:rsidRPr="008C5E99">
        <w:rPr>
          <w:rStyle w:val="FootnoteTextChar"/>
        </w:rPr>
        <w:footnoteRef/>
      </w:r>
      <w:r w:rsidRPr="00F43C44">
        <w:t xml:space="preserve"> </w:t>
      </w:r>
      <w:r w:rsidR="00C766E5">
        <w:tab/>
      </w:r>
      <w:r>
        <w:t>Alternatively, people might live</w:t>
      </w:r>
      <w:r w:rsidRPr="00F43C44">
        <w:t xml:space="preserve"> less long</w:t>
      </w:r>
      <w:r>
        <w:t xml:space="preserve"> than anticipated</w:t>
      </w:r>
      <w:r w:rsidRPr="00F43C44">
        <w:t>. Longevity is generally a good thing for the people concerned, and a desirable public policy outcome.</w:t>
      </w:r>
    </w:p>
  </w:footnote>
  <w:footnote w:id="40">
    <w:p w:rsidR="005E4372" w:rsidRPr="00F43C44" w:rsidRDefault="005E4372" w:rsidP="00F43C44">
      <w:pPr>
        <w:pStyle w:val="FootnoteText"/>
      </w:pPr>
      <w:r w:rsidRPr="008C5E99">
        <w:rPr>
          <w:rStyle w:val="FootnoteTextChar"/>
        </w:rPr>
        <w:footnoteRef/>
      </w:r>
      <w:r w:rsidRPr="00F43C44">
        <w:t xml:space="preserve"> </w:t>
      </w:r>
      <w:r w:rsidR="00C766E5">
        <w:tab/>
      </w:r>
      <w:r>
        <w:t>A</w:t>
      </w:r>
      <w:r w:rsidRPr="00F43C44">
        <w:t>t some time in the future</w:t>
      </w:r>
      <w:r>
        <w:t>,</w:t>
      </w:r>
      <w:r w:rsidRPr="00F43C44">
        <w:t xml:space="preserve"> a government may have regard to increased health expectancy as well as to its exposure to longevity risk when deciding the qualifying age for NZS.</w:t>
      </w:r>
    </w:p>
  </w:footnote>
  <w:footnote w:id="41">
    <w:p w:rsidR="005E4372" w:rsidRPr="00F43C44" w:rsidRDefault="005E4372" w:rsidP="00F43C44">
      <w:pPr>
        <w:pStyle w:val="FootnoteText"/>
      </w:pPr>
      <w:r w:rsidRPr="008C5E99">
        <w:rPr>
          <w:rStyle w:val="FootnoteTextChar"/>
        </w:rPr>
        <w:footnoteRef/>
      </w:r>
      <w:r w:rsidRPr="00F43C44">
        <w:t xml:space="preserve"> </w:t>
      </w:r>
      <w:r>
        <w:tab/>
      </w:r>
      <w:proofErr w:type="gramStart"/>
      <w:r w:rsidRPr="00F43C44">
        <w:t>In the UK, for example, as mentioned earlier.</w:t>
      </w:r>
      <w:proofErr w:type="gramEnd"/>
    </w:p>
  </w:footnote>
  <w:footnote w:id="42">
    <w:p w:rsidR="005E4372" w:rsidRPr="00AD73FD" w:rsidRDefault="005E4372" w:rsidP="00AD73FD">
      <w:pPr>
        <w:pStyle w:val="FootnoteText"/>
        <w:rPr>
          <w:rStyle w:val="FootnoteReference"/>
          <w:color w:val="auto"/>
          <w:sz w:val="18"/>
          <w:vertAlign w:val="baseline"/>
        </w:rPr>
      </w:pPr>
      <w:r w:rsidRPr="00AD73FD">
        <w:rPr>
          <w:rStyle w:val="FootnoteTextChar"/>
        </w:rPr>
        <w:footnoteRef/>
      </w:r>
      <w:r w:rsidRPr="00AD73FD">
        <w:rPr>
          <w:rStyle w:val="FootnoteReference"/>
          <w:color w:val="auto"/>
          <w:sz w:val="18"/>
          <w:vertAlign w:val="baseline"/>
        </w:rPr>
        <w:t xml:space="preserve"> </w:t>
      </w:r>
      <w:r>
        <w:tab/>
      </w:r>
      <w:r w:rsidRPr="00AD73FD">
        <w:rPr>
          <w:rStyle w:val="FootnoteReference"/>
          <w:color w:val="auto"/>
          <w:sz w:val="18"/>
          <w:vertAlign w:val="baseline"/>
        </w:rPr>
        <w:t xml:space="preserve">A similar proposal is advanced by </w:t>
      </w:r>
      <w:proofErr w:type="gramStart"/>
      <w:r w:rsidRPr="00AD73FD">
        <w:t xml:space="preserve">Professors </w:t>
      </w:r>
      <w:r w:rsidRPr="00AD73FD">
        <w:rPr>
          <w:rStyle w:val="FootnoteReference"/>
          <w:color w:val="auto"/>
          <w:sz w:val="18"/>
          <w:vertAlign w:val="baseline"/>
        </w:rPr>
        <w:t>Henry T. C. Hu</w:t>
      </w:r>
      <w:r w:rsidRPr="00AD73FD">
        <w:t xml:space="preserve"> of</w:t>
      </w:r>
      <w:r w:rsidRPr="00AD73FD">
        <w:rPr>
          <w:rStyle w:val="FootnoteReference"/>
          <w:color w:val="auto"/>
          <w:sz w:val="18"/>
          <w:vertAlign w:val="baseline"/>
        </w:rPr>
        <w:t xml:space="preserve"> the University of Texas </w:t>
      </w:r>
      <w:r w:rsidRPr="00AD73FD">
        <w:t>S</w:t>
      </w:r>
      <w:r w:rsidRPr="00AD73FD">
        <w:rPr>
          <w:rStyle w:val="FootnoteReference"/>
          <w:color w:val="auto"/>
          <w:sz w:val="18"/>
          <w:vertAlign w:val="baseline"/>
        </w:rPr>
        <w:t>chool of Law</w:t>
      </w:r>
      <w:r w:rsidRPr="00AD73FD">
        <w:t xml:space="preserve"> and</w:t>
      </w:r>
      <w:r w:rsidRPr="00AD73FD">
        <w:rPr>
          <w:rStyle w:val="FootnoteReference"/>
          <w:color w:val="auto"/>
          <w:sz w:val="18"/>
          <w:vertAlign w:val="baseline"/>
        </w:rPr>
        <w:t xml:space="preserve"> Terrance Odean </w:t>
      </w:r>
      <w:r w:rsidRPr="00AD73FD">
        <w:t xml:space="preserve">of </w:t>
      </w:r>
      <w:r w:rsidRPr="00AD73FD">
        <w:rPr>
          <w:rStyle w:val="FootnoteReference"/>
          <w:color w:val="auto"/>
          <w:sz w:val="18"/>
          <w:vertAlign w:val="baseline"/>
        </w:rPr>
        <w:t>the University of California at Berkeley</w:t>
      </w:r>
      <w:r>
        <w:t xml:space="preserve"> (Hu &amp; Odean, 2011).</w:t>
      </w:r>
      <w:proofErr w:type="gramEnd"/>
    </w:p>
  </w:footnote>
  <w:footnote w:id="43">
    <w:p w:rsidR="005E4372" w:rsidRPr="00923348" w:rsidRDefault="005E4372">
      <w:pPr>
        <w:pStyle w:val="FootnoteText"/>
      </w:pPr>
      <w:r>
        <w:rPr>
          <w:rStyle w:val="FootnoteReference"/>
        </w:rPr>
        <w:footnoteRef/>
      </w:r>
      <w:r>
        <w:t xml:space="preserve"> </w:t>
      </w:r>
      <w:proofErr w:type="gramStart"/>
      <w:r>
        <w:t>As well as to movement in the volume of liable goods and services.</w:t>
      </w:r>
      <w:proofErr w:type="gramEnd"/>
    </w:p>
  </w:footnote>
  <w:footnote w:id="44">
    <w:p w:rsidR="005E4372" w:rsidRPr="00F43C44" w:rsidRDefault="005E4372" w:rsidP="00F43C44">
      <w:pPr>
        <w:pStyle w:val="FootnoteText"/>
      </w:pPr>
      <w:r w:rsidRPr="008C5E99">
        <w:rPr>
          <w:rStyle w:val="FootnoteTextChar"/>
        </w:rPr>
        <w:footnoteRef/>
      </w:r>
      <w:r w:rsidRPr="00F43C44">
        <w:t xml:space="preserve"> </w:t>
      </w:r>
      <w:r>
        <w:tab/>
      </w:r>
      <w:r w:rsidRPr="00F43C44">
        <w:t xml:space="preserve">An analogy is people choosing a fixed or floating </w:t>
      </w:r>
      <w:r>
        <w:t xml:space="preserve">interest </w:t>
      </w:r>
      <w:r w:rsidRPr="00F43C44">
        <w:t>rate, or a combination, for a mortgage.</w:t>
      </w:r>
    </w:p>
  </w:footnote>
  <w:footnote w:id="45">
    <w:p w:rsidR="005E4372" w:rsidRPr="00F43C44" w:rsidRDefault="005E4372" w:rsidP="00F43C44">
      <w:pPr>
        <w:pStyle w:val="FootnoteText"/>
      </w:pPr>
      <w:r w:rsidRPr="008C5E99">
        <w:rPr>
          <w:rStyle w:val="FootnoteTextChar"/>
        </w:rPr>
        <w:footnoteRef/>
      </w:r>
      <w:r w:rsidRPr="00F43C44">
        <w:t xml:space="preserve"> </w:t>
      </w:r>
      <w:r>
        <w:tab/>
      </w:r>
      <w:r w:rsidRPr="00F43C44">
        <w:t>Geoff Rashbrooke has mooted such a fund, but considers that, given NZS, it may be difficult to get acceptance of a state-supported annuity fund</w:t>
      </w:r>
      <w:r>
        <w:t xml:space="preserve">. </w:t>
      </w:r>
      <w:r w:rsidRPr="00F43C44">
        <w:t>He concludes that without additional state intervention, annuity products seem destined to remain unattractive.</w:t>
      </w:r>
      <w:r>
        <w:t xml:space="preserve"> </w:t>
      </w:r>
      <w:r w:rsidRPr="00F43C44">
        <w:t>He rejects the option of the state stepping in to provide traditional annuity products but says there would appear to remain a need for some state intervention</w:t>
      </w:r>
      <w:r>
        <w:t xml:space="preserve"> (Rashbrooke, 2008)</w:t>
      </w:r>
      <w:r w:rsidRPr="00F43C44">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372" w:rsidRDefault="005E4372">
    <w:pPr>
      <w:pStyle w:val="Header"/>
      <w:tabs>
        <w:tab w:val="left" w:pos="567"/>
        <w:tab w:val="left" w:pos="3402"/>
      </w:tabs>
      <w:ind w:left="426"/>
    </w:pPr>
    <w:r>
      <w:rPr>
        <w:noProof/>
        <w:lang w:val="en-NZ"/>
      </w:rPr>
      <mc:AlternateContent>
        <mc:Choice Requires="wps">
          <w:drawing>
            <wp:anchor distT="0" distB="0" distL="114300" distR="114300" simplePos="0" relativeHeight="251660800" behindDoc="0" locked="0" layoutInCell="1" allowOverlap="1" wp14:anchorId="755470F3" wp14:editId="437E1FA6">
              <wp:simplePos x="0" y="0"/>
              <wp:positionH relativeFrom="page">
                <wp:posOffset>376555</wp:posOffset>
              </wp:positionH>
              <wp:positionV relativeFrom="page">
                <wp:posOffset>360045</wp:posOffset>
              </wp:positionV>
              <wp:extent cx="6840220" cy="9684385"/>
              <wp:effectExtent l="5080" t="7620" r="12700" b="13970"/>
              <wp:wrapNone/>
              <wp:docPr id="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9684385"/>
                      </a:xfrm>
                      <a:prstGeom prst="rect">
                        <a:avLst/>
                      </a:prstGeom>
                      <a:noFill/>
                      <a:ln w="3175">
                        <a:solidFill>
                          <a:srgbClr val="409CA2"/>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29.65pt;margin-top:28.35pt;width:538.6pt;height:762.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" filled="f" strokecolor="#409ca2" strokeweight=".25pt">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372" w:rsidRDefault="005E4372">
    <w:pPr>
      <w:pStyle w:val="FooterText"/>
      <w:tabs>
        <w:tab w:val="clear" w:pos="9026"/>
        <w:tab w:val="right" w:pos="9923"/>
      </w:tabs>
      <w:ind w:right="-227"/>
    </w:pPr>
  </w:p>
  <w:p w:rsidR="005E4372" w:rsidRDefault="005E4372">
    <w:pPr>
      <w:pStyle w:val="Header"/>
    </w:pPr>
    <w:r>
      <w:rPr>
        <w:noProof/>
        <w:lang w:val="en-NZ"/>
      </w:rPr>
      <mc:AlternateContent>
        <mc:Choice Requires="wps">
          <w:drawing>
            <wp:anchor distT="0" distB="0" distL="114300" distR="114300" simplePos="0" relativeHeight="251659776" behindDoc="0" locked="0" layoutInCell="1" allowOverlap="1">
              <wp:simplePos x="0" y="0"/>
              <wp:positionH relativeFrom="page">
                <wp:posOffset>376555</wp:posOffset>
              </wp:positionH>
              <wp:positionV relativeFrom="page">
                <wp:posOffset>360045</wp:posOffset>
              </wp:positionV>
              <wp:extent cx="6840220" cy="9684385"/>
              <wp:effectExtent l="5080" t="7620" r="12700" b="13970"/>
              <wp:wrapNone/>
              <wp:docPr id="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9684385"/>
                      </a:xfrm>
                      <a:prstGeom prst="rect">
                        <a:avLst/>
                      </a:prstGeom>
                      <a:noFill/>
                      <a:ln w="3175">
                        <a:solidFill>
                          <a:srgbClr val="409CA2"/>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29.65pt;margin-top:28.35pt;width:538.6pt;height:762.5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" filled="f" strokecolor="#409ca2" strokeweight=".25pt">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BD10264_"/>
      </v:shape>
    </w:pict>
  </w:numPicBullet>
  <w:numPicBullet w:numPicBulletId="1">
    <w:pict>
      <v:shape id="_x0000_i1027" type="#_x0000_t75" style="width:47.4pt;height:47.4pt" o:bullet="t">
        <v:imagedata r:id="rId2" o:title="arrow-grey"/>
      </v:shape>
    </w:pict>
  </w:numPicBullet>
  <w:abstractNum w:abstractNumId="0">
    <w:nsid w:val="FFFFFF7C"/>
    <w:multiLevelType w:val="singleLevel"/>
    <w:tmpl w:val="C84A72E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C263DA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558C9AA"/>
    <w:lvl w:ilvl="0">
      <w:start w:val="1"/>
      <w:numFmt w:val="decimal"/>
      <w:pStyle w:val="ListNumber3"/>
      <w:lvlText w:val="%1."/>
      <w:lvlJc w:val="left"/>
      <w:pPr>
        <w:tabs>
          <w:tab w:val="num" w:pos="926"/>
        </w:tabs>
        <w:ind w:left="926" w:hanging="360"/>
      </w:pPr>
    </w:lvl>
  </w:abstractNum>
  <w:abstractNum w:abstractNumId="3">
    <w:nsid w:val="FFFFFF7F"/>
    <w:multiLevelType w:val="singleLevel"/>
    <w:tmpl w:val="D5BAC2E0"/>
    <w:lvl w:ilvl="0">
      <w:start w:val="1"/>
      <w:numFmt w:val="decimal"/>
      <w:pStyle w:val="ListNumber2"/>
      <w:lvlText w:val="%1."/>
      <w:lvlJc w:val="left"/>
      <w:pPr>
        <w:tabs>
          <w:tab w:val="num" w:pos="643"/>
        </w:tabs>
        <w:ind w:left="643" w:hanging="360"/>
      </w:pPr>
    </w:lvl>
  </w:abstractNum>
  <w:abstractNum w:abstractNumId="4">
    <w:nsid w:val="FFFFFF80"/>
    <w:multiLevelType w:val="singleLevel"/>
    <w:tmpl w:val="8974C9D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8A4BAE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3016310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34E07E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9AE461A"/>
    <w:lvl w:ilvl="0">
      <w:start w:val="1"/>
      <w:numFmt w:val="decimal"/>
      <w:pStyle w:val="ListNumber"/>
      <w:lvlText w:val="%1."/>
      <w:lvlJc w:val="left"/>
      <w:pPr>
        <w:tabs>
          <w:tab w:val="num" w:pos="360"/>
        </w:tabs>
        <w:ind w:left="360" w:hanging="360"/>
      </w:pPr>
    </w:lvl>
  </w:abstractNum>
  <w:abstractNum w:abstractNumId="9">
    <w:nsid w:val="FFFFFF89"/>
    <w:multiLevelType w:val="singleLevel"/>
    <w:tmpl w:val="1BB6750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DE0028"/>
    <w:multiLevelType w:val="hybridMultilevel"/>
    <w:tmpl w:val="4710860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nsid w:val="08CB1155"/>
    <w:multiLevelType w:val="multilevel"/>
    <w:tmpl w:val="DC1E0408"/>
    <w:lvl w:ilvl="0">
      <w:start w:val="1"/>
      <w:numFmt w:val="bullet"/>
      <w:lvlText w:val="•"/>
      <w:lvlJc w:val="left"/>
      <w:pPr>
        <w:tabs>
          <w:tab w:val="num" w:pos="-360"/>
        </w:tabs>
        <w:ind w:left="360" w:hanging="360"/>
      </w:pPr>
      <w:rPr>
        <w:rFonts w:ascii="Trebuchet MS" w:hAnsi="Trebuchet MS" w:hint="default"/>
        <w:color w:val="auto"/>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3240487"/>
    <w:multiLevelType w:val="multilevel"/>
    <w:tmpl w:val="BFC6AD0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2043750B"/>
    <w:multiLevelType w:val="hybridMultilevel"/>
    <w:tmpl w:val="7DDAA9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71642B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83F3243"/>
    <w:multiLevelType w:val="hybridMultilevel"/>
    <w:tmpl w:val="8294CE9A"/>
    <w:lvl w:ilvl="0" w:tplc="3B045062">
      <w:start w:val="1"/>
      <w:numFmt w:val="bullet"/>
      <w:pStyle w:val="bullet1last"/>
      <w:lvlText w:val="•"/>
      <w:lvlJc w:val="left"/>
      <w:pPr>
        <w:tabs>
          <w:tab w:val="num" w:pos="-360"/>
        </w:tabs>
        <w:ind w:left="360" w:hanging="360"/>
      </w:pPr>
      <w:rPr>
        <w:rFonts w:ascii="Trebuchet MS" w:hAnsi="Trebuchet MS" w:hint="default"/>
        <w:color w:val="auto"/>
        <w:sz w:val="20"/>
      </w:rPr>
    </w:lvl>
    <w:lvl w:ilvl="1" w:tplc="0C090001">
      <w:start w:val="1"/>
      <w:numFmt w:val="bullet"/>
      <w:lvlText w:val=""/>
      <w:lvlJc w:val="left"/>
      <w:pPr>
        <w:tabs>
          <w:tab w:val="num" w:pos="1440"/>
        </w:tabs>
        <w:ind w:left="1440" w:hanging="360"/>
      </w:pPr>
      <w:rPr>
        <w:rFonts w:ascii="Symbol" w:hAnsi="Symbol" w:hint="default"/>
        <w:color w:val="auto"/>
        <w:sz w:val="20"/>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2892219E"/>
    <w:multiLevelType w:val="hybridMultilevel"/>
    <w:tmpl w:val="C254987E"/>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7">
    <w:nsid w:val="295E4244"/>
    <w:multiLevelType w:val="hybridMultilevel"/>
    <w:tmpl w:val="E22E79BA"/>
    <w:lvl w:ilvl="0" w:tplc="78C6D6B8">
      <w:start w:val="1"/>
      <w:numFmt w:val="bullet"/>
      <w:lvlText w:val="•"/>
      <w:lvlJc w:val="left"/>
      <w:pPr>
        <w:ind w:left="720" w:hanging="360"/>
      </w:pPr>
      <w:rPr>
        <w:rFonts w:ascii="Trebuchet MS" w:hAnsi="Trebuchet MS" w:hint="default"/>
        <w:color w:val="007073"/>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319E2569"/>
    <w:multiLevelType w:val="hybridMultilevel"/>
    <w:tmpl w:val="280CCBE4"/>
    <w:lvl w:ilvl="0" w:tplc="5A70154A">
      <w:start w:val="1"/>
      <w:numFmt w:val="bullet"/>
      <w:pStyle w:val="bullet2"/>
      <w:lvlText w:val="–"/>
      <w:lvlJc w:val="left"/>
      <w:pPr>
        <w:tabs>
          <w:tab w:val="num" w:pos="-360"/>
        </w:tabs>
        <w:ind w:left="717" w:hanging="360"/>
      </w:pPr>
      <w:rPr>
        <w:rFonts w:ascii="Times New Roman" w:hAnsi="Times New Roman" w:cs="Times New Roman" w:hint="default"/>
        <w:color w:val="auto"/>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19">
    <w:nsid w:val="32812BBE"/>
    <w:multiLevelType w:val="hybridMultilevel"/>
    <w:tmpl w:val="08EA5EFC"/>
    <w:lvl w:ilvl="0" w:tplc="60FC25E2">
      <w:start w:val="1"/>
      <w:numFmt w:val="decimal"/>
      <w:pStyle w:val="bulletnumbered1"/>
      <w:lvlText w:val="%1."/>
      <w:lvlJc w:val="left"/>
      <w:pPr>
        <w:ind w:left="720" w:hanging="360"/>
      </w:pPr>
      <w:rPr>
        <w:rFonts w:hint="default"/>
        <w:color w:val="2C6365"/>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nsid w:val="32EE167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nsid w:val="453C3F46"/>
    <w:multiLevelType w:val="hybridMultilevel"/>
    <w:tmpl w:val="68ACFBDA"/>
    <w:lvl w:ilvl="0" w:tplc="8EACE902">
      <w:start w:val="1"/>
      <w:numFmt w:val="bullet"/>
      <w:pStyle w:val="bullet2last"/>
      <w:lvlText w:val="-"/>
      <w:lvlJc w:val="left"/>
      <w:pPr>
        <w:tabs>
          <w:tab w:val="num" w:pos="720"/>
        </w:tabs>
        <w:ind w:left="720" w:hanging="363"/>
      </w:pPr>
      <w:rPr>
        <w:rFonts w:ascii="Courier New" w:hAnsi="Courier New"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4807690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9312D24"/>
    <w:multiLevelType w:val="hybridMultilevel"/>
    <w:tmpl w:val="33AA6346"/>
    <w:lvl w:ilvl="0" w:tplc="F96E77F6">
      <w:start w:val="1"/>
      <w:numFmt w:val="lowerLetter"/>
      <w:pStyle w:val="bulletalpha1"/>
      <w:lvlText w:val="%1."/>
      <w:lvlJc w:val="left"/>
      <w:pPr>
        <w:ind w:left="720" w:hanging="360"/>
      </w:pPr>
      <w:rPr>
        <w:rFonts w:hint="default"/>
        <w:color w:val="2C6365"/>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nsid w:val="4CD54AEF"/>
    <w:multiLevelType w:val="hybridMultilevel"/>
    <w:tmpl w:val="47E23C54"/>
    <w:lvl w:ilvl="0" w:tplc="D458BEC2">
      <w:start w:val="1"/>
      <w:numFmt w:val="bullet"/>
      <w:lvlText w:val=""/>
      <w:lvlJc w:val="left"/>
      <w:pPr>
        <w:tabs>
          <w:tab w:val="num" w:pos="1080"/>
        </w:tabs>
        <w:ind w:left="1080" w:hanging="360"/>
      </w:pPr>
      <w:rPr>
        <w:rFonts w:ascii="Symbol" w:hAnsi="Symbol" w:hint="default"/>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color w:val="auto"/>
        <w:sz w:val="22"/>
        <w:szCs w:val="22"/>
      </w:rPr>
    </w:lvl>
    <w:lvl w:ilvl="2" w:tplc="D458BEC2">
      <w:start w:val="1"/>
      <w:numFmt w:val="bullet"/>
      <w:lvlText w:val=""/>
      <w:lvlJc w:val="left"/>
      <w:pPr>
        <w:tabs>
          <w:tab w:val="num" w:pos="2160"/>
        </w:tabs>
        <w:ind w:left="2160" w:hanging="360"/>
      </w:pPr>
      <w:rPr>
        <w:rFonts w:ascii="Symbol" w:hAnsi="Symbol" w:hint="default"/>
        <w:color w:val="auto"/>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1015D0F"/>
    <w:multiLevelType w:val="hybridMultilevel"/>
    <w:tmpl w:val="98BCE08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591F3E5D"/>
    <w:multiLevelType w:val="multilevel"/>
    <w:tmpl w:val="3CB678E2"/>
    <w:lvl w:ilvl="0">
      <w:start w:val="1"/>
      <w:numFmt w:val="bullet"/>
      <w:lvlText w:val="•"/>
      <w:lvlJc w:val="left"/>
      <w:pPr>
        <w:ind w:left="720" w:hanging="360"/>
      </w:pPr>
      <w:rPr>
        <w:rFonts w:ascii="Trebuchet MS" w:hAnsi="Trebuchet MS" w:hint="default"/>
        <w:color w:val="007073"/>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A1B1549"/>
    <w:multiLevelType w:val="hybridMultilevel"/>
    <w:tmpl w:val="9B3852E6"/>
    <w:lvl w:ilvl="0" w:tplc="E37001D6">
      <w:start w:val="1"/>
      <w:numFmt w:val="bullet"/>
      <w:pStyle w:val="bullet1"/>
      <w:lvlText w:val="•"/>
      <w:lvlJc w:val="left"/>
      <w:pPr>
        <w:tabs>
          <w:tab w:val="num" w:pos="-360"/>
        </w:tabs>
        <w:ind w:left="360" w:hanging="360"/>
      </w:pPr>
      <w:rPr>
        <w:rFonts w:ascii="Trebuchet MS" w:hAnsi="Trebuchet MS" w:hint="default"/>
        <w:color w:val="auto"/>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63632792"/>
    <w:multiLevelType w:val="hybridMultilevel"/>
    <w:tmpl w:val="726CF40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64845944"/>
    <w:multiLevelType w:val="hybridMultilevel"/>
    <w:tmpl w:val="9C226D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nsid w:val="65151141"/>
    <w:multiLevelType w:val="hybridMultilevel"/>
    <w:tmpl w:val="C27E03D6"/>
    <w:lvl w:ilvl="0" w:tplc="D458BEC2">
      <w:start w:val="1"/>
      <w:numFmt w:val="bullet"/>
      <w:lvlText w:val=""/>
      <w:lvlJc w:val="left"/>
      <w:pPr>
        <w:tabs>
          <w:tab w:val="num" w:pos="1080"/>
        </w:tabs>
        <w:ind w:left="1080" w:hanging="360"/>
      </w:pPr>
      <w:rPr>
        <w:rFonts w:ascii="Symbol" w:hAnsi="Symbol" w:hint="default"/>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color w:val="auto"/>
        <w:sz w:val="22"/>
        <w:szCs w:val="22"/>
      </w:rPr>
    </w:lvl>
    <w:lvl w:ilvl="2" w:tplc="D458BEC2">
      <w:start w:val="1"/>
      <w:numFmt w:val="bullet"/>
      <w:lvlText w:val=""/>
      <w:lvlJc w:val="left"/>
      <w:pPr>
        <w:tabs>
          <w:tab w:val="num" w:pos="2160"/>
        </w:tabs>
        <w:ind w:left="2160" w:hanging="360"/>
      </w:pPr>
      <w:rPr>
        <w:rFonts w:ascii="Symbol" w:hAnsi="Symbol" w:hint="default"/>
        <w:color w:val="auto"/>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AE8203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B2C48E8"/>
    <w:multiLevelType w:val="hybridMultilevel"/>
    <w:tmpl w:val="80AA5F3E"/>
    <w:lvl w:ilvl="0" w:tplc="2E1645EC">
      <w:start w:val="1"/>
      <w:numFmt w:val="bullet"/>
      <w:lvlText w:val="•"/>
      <w:lvlJc w:val="left"/>
      <w:pPr>
        <w:ind w:left="720" w:hanging="360"/>
      </w:pPr>
      <w:rPr>
        <w:rFonts w:ascii="Trebuchet MS" w:hAnsi="Trebuchet MS"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nsid w:val="6CB63FF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nsid w:val="6E8A639A"/>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5">
    <w:nsid w:val="72D775CE"/>
    <w:multiLevelType w:val="multilevel"/>
    <w:tmpl w:val="A6D23EBC"/>
    <w:lvl w:ilvl="0">
      <w:start w:val="1"/>
      <w:numFmt w:val="lowerLetter"/>
      <w:lvlText w:val="%1)"/>
      <w:lvlJc w:val="left"/>
      <w:pPr>
        <w:ind w:left="851"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7F7F7FB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35"/>
  </w:num>
  <w:num w:numId="2">
    <w:abstractNumId w:val="12"/>
  </w:num>
  <w:num w:numId="3">
    <w:abstractNumId w:val="12"/>
  </w:num>
  <w:num w:numId="4">
    <w:abstractNumId w:val="32"/>
  </w:num>
  <w:num w:numId="5">
    <w:abstractNumId w:val="17"/>
  </w:num>
  <w:num w:numId="6">
    <w:abstractNumId w:val="18"/>
  </w:num>
  <w:num w:numId="7">
    <w:abstractNumId w:val="2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9"/>
  </w:num>
  <w:num w:numId="19">
    <w:abstractNumId w:val="20"/>
  </w:num>
  <w:num w:numId="20">
    <w:abstractNumId w:val="31"/>
  </w:num>
  <w:num w:numId="21">
    <w:abstractNumId w:val="36"/>
  </w:num>
  <w:num w:numId="22">
    <w:abstractNumId w:val="15"/>
  </w:num>
  <w:num w:numId="23">
    <w:abstractNumId w:val="18"/>
  </w:num>
  <w:num w:numId="24">
    <w:abstractNumId w:val="33"/>
  </w:num>
  <w:num w:numId="25">
    <w:abstractNumId w:val="14"/>
  </w:num>
  <w:num w:numId="26">
    <w:abstractNumId w:val="34"/>
  </w:num>
  <w:num w:numId="27">
    <w:abstractNumId w:val="25"/>
  </w:num>
  <w:num w:numId="28">
    <w:abstractNumId w:val="16"/>
  </w:num>
  <w:num w:numId="29">
    <w:abstractNumId w:val="13"/>
  </w:num>
  <w:num w:numId="30">
    <w:abstractNumId w:val="28"/>
  </w:num>
  <w:num w:numId="31">
    <w:abstractNumId w:val="24"/>
  </w:num>
  <w:num w:numId="32">
    <w:abstractNumId w:val="30"/>
  </w:num>
  <w:num w:numId="33">
    <w:abstractNumId w:val="10"/>
  </w:num>
  <w:num w:numId="34">
    <w:abstractNumId w:val="26"/>
  </w:num>
  <w:num w:numId="35">
    <w:abstractNumId w:val="11"/>
  </w:num>
  <w:num w:numId="36">
    <w:abstractNumId w:val="22"/>
  </w:num>
  <w:num w:numId="37">
    <w:abstractNumId w:val="21"/>
  </w:num>
  <w:num w:numId="38">
    <w:abstractNumId w:val="27"/>
  </w:num>
  <w:num w:numId="39">
    <w:abstractNumId w:val="29"/>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227"/>
  <w:characterSpacingControl w:val="doNotCompress"/>
  <w:hdrShapeDefaults>
    <o:shapedefaults v:ext="edit" spidmax="2049">
      <o:colormru v:ext="edit" colors="#f6f6f6,#00707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261"/>
    <w:rsid w:val="000015C2"/>
    <w:rsid w:val="000328EC"/>
    <w:rsid w:val="00035647"/>
    <w:rsid w:val="00051C27"/>
    <w:rsid w:val="00052CF5"/>
    <w:rsid w:val="00072384"/>
    <w:rsid w:val="00081065"/>
    <w:rsid w:val="00095816"/>
    <w:rsid w:val="00095A6B"/>
    <w:rsid w:val="000B55A3"/>
    <w:rsid w:val="000B71A0"/>
    <w:rsid w:val="000D0962"/>
    <w:rsid w:val="000D1C3B"/>
    <w:rsid w:val="000D5B36"/>
    <w:rsid w:val="000E3B85"/>
    <w:rsid w:val="00106D9B"/>
    <w:rsid w:val="0012223E"/>
    <w:rsid w:val="001346B1"/>
    <w:rsid w:val="00142BF2"/>
    <w:rsid w:val="00146B28"/>
    <w:rsid w:val="00154936"/>
    <w:rsid w:val="00173482"/>
    <w:rsid w:val="00191B2D"/>
    <w:rsid w:val="00193139"/>
    <w:rsid w:val="001A3866"/>
    <w:rsid w:val="001B278C"/>
    <w:rsid w:val="001D118D"/>
    <w:rsid w:val="001D3B80"/>
    <w:rsid w:val="001D6997"/>
    <w:rsid w:val="001F43FC"/>
    <w:rsid w:val="001F68D5"/>
    <w:rsid w:val="00202661"/>
    <w:rsid w:val="00212325"/>
    <w:rsid w:val="00212AB3"/>
    <w:rsid w:val="00213F77"/>
    <w:rsid w:val="00253F76"/>
    <w:rsid w:val="00254D34"/>
    <w:rsid w:val="00267762"/>
    <w:rsid w:val="002A0308"/>
    <w:rsid w:val="002A6E1A"/>
    <w:rsid w:val="002A7443"/>
    <w:rsid w:val="002C18A7"/>
    <w:rsid w:val="002C18EF"/>
    <w:rsid w:val="002C4B64"/>
    <w:rsid w:val="002C4E2F"/>
    <w:rsid w:val="002D0DA7"/>
    <w:rsid w:val="002E2321"/>
    <w:rsid w:val="002F044D"/>
    <w:rsid w:val="002F41D1"/>
    <w:rsid w:val="002F751F"/>
    <w:rsid w:val="003013D0"/>
    <w:rsid w:val="0030210A"/>
    <w:rsid w:val="00306315"/>
    <w:rsid w:val="00331785"/>
    <w:rsid w:val="003356D2"/>
    <w:rsid w:val="00365F21"/>
    <w:rsid w:val="00393FE6"/>
    <w:rsid w:val="003A38DD"/>
    <w:rsid w:val="003A60CD"/>
    <w:rsid w:val="003B29F1"/>
    <w:rsid w:val="003B7838"/>
    <w:rsid w:val="003B7C59"/>
    <w:rsid w:val="003D27F9"/>
    <w:rsid w:val="003E07EB"/>
    <w:rsid w:val="003F5198"/>
    <w:rsid w:val="003F5A9C"/>
    <w:rsid w:val="003F707B"/>
    <w:rsid w:val="00403F61"/>
    <w:rsid w:val="00405A06"/>
    <w:rsid w:val="00406F1A"/>
    <w:rsid w:val="00417CF8"/>
    <w:rsid w:val="004267E4"/>
    <w:rsid w:val="004270BD"/>
    <w:rsid w:val="004433EC"/>
    <w:rsid w:val="004440DC"/>
    <w:rsid w:val="00445F5B"/>
    <w:rsid w:val="00452EFC"/>
    <w:rsid w:val="004550B8"/>
    <w:rsid w:val="00467427"/>
    <w:rsid w:val="00483DEB"/>
    <w:rsid w:val="004845BC"/>
    <w:rsid w:val="00484C8A"/>
    <w:rsid w:val="004A7086"/>
    <w:rsid w:val="004B731A"/>
    <w:rsid w:val="004E4B21"/>
    <w:rsid w:val="004E571C"/>
    <w:rsid w:val="004F131F"/>
    <w:rsid w:val="0052592A"/>
    <w:rsid w:val="005449C8"/>
    <w:rsid w:val="0054554E"/>
    <w:rsid w:val="00551A31"/>
    <w:rsid w:val="005628DA"/>
    <w:rsid w:val="005672C7"/>
    <w:rsid w:val="00571C25"/>
    <w:rsid w:val="00574B92"/>
    <w:rsid w:val="005A6504"/>
    <w:rsid w:val="005B3956"/>
    <w:rsid w:val="005C126F"/>
    <w:rsid w:val="005D118F"/>
    <w:rsid w:val="005D237E"/>
    <w:rsid w:val="005D3F58"/>
    <w:rsid w:val="005D650F"/>
    <w:rsid w:val="005E4372"/>
    <w:rsid w:val="0060101B"/>
    <w:rsid w:val="00615D89"/>
    <w:rsid w:val="00662219"/>
    <w:rsid w:val="006634D5"/>
    <w:rsid w:val="006665C9"/>
    <w:rsid w:val="006A17D0"/>
    <w:rsid w:val="006A299E"/>
    <w:rsid w:val="006D4766"/>
    <w:rsid w:val="006E3013"/>
    <w:rsid w:val="0072167C"/>
    <w:rsid w:val="007370F4"/>
    <w:rsid w:val="00746212"/>
    <w:rsid w:val="00752029"/>
    <w:rsid w:val="00762FA7"/>
    <w:rsid w:val="007735C5"/>
    <w:rsid w:val="00774D6E"/>
    <w:rsid w:val="00781526"/>
    <w:rsid w:val="00783E5C"/>
    <w:rsid w:val="007C16D1"/>
    <w:rsid w:val="007C4D3C"/>
    <w:rsid w:val="008106E3"/>
    <w:rsid w:val="00812677"/>
    <w:rsid w:val="00823E5A"/>
    <w:rsid w:val="00835CFC"/>
    <w:rsid w:val="00847B77"/>
    <w:rsid w:val="0085419C"/>
    <w:rsid w:val="00867349"/>
    <w:rsid w:val="008805A5"/>
    <w:rsid w:val="00882559"/>
    <w:rsid w:val="00897C1E"/>
    <w:rsid w:val="008A0B0A"/>
    <w:rsid w:val="008B5DC5"/>
    <w:rsid w:val="008C0816"/>
    <w:rsid w:val="008C5E99"/>
    <w:rsid w:val="008F09EA"/>
    <w:rsid w:val="009061B6"/>
    <w:rsid w:val="00906D13"/>
    <w:rsid w:val="0091247F"/>
    <w:rsid w:val="00913005"/>
    <w:rsid w:val="00923348"/>
    <w:rsid w:val="0093008E"/>
    <w:rsid w:val="00940E98"/>
    <w:rsid w:val="00984433"/>
    <w:rsid w:val="009900C8"/>
    <w:rsid w:val="00990F64"/>
    <w:rsid w:val="00997E8E"/>
    <w:rsid w:val="009A3F08"/>
    <w:rsid w:val="009C6335"/>
    <w:rsid w:val="009E3756"/>
    <w:rsid w:val="009E4E29"/>
    <w:rsid w:val="009E644B"/>
    <w:rsid w:val="009E753A"/>
    <w:rsid w:val="009F2F00"/>
    <w:rsid w:val="00A024AF"/>
    <w:rsid w:val="00A13C65"/>
    <w:rsid w:val="00A243B0"/>
    <w:rsid w:val="00A26DA4"/>
    <w:rsid w:val="00A3184D"/>
    <w:rsid w:val="00A351AC"/>
    <w:rsid w:val="00A41261"/>
    <w:rsid w:val="00A5072D"/>
    <w:rsid w:val="00A62E21"/>
    <w:rsid w:val="00A63C88"/>
    <w:rsid w:val="00A71572"/>
    <w:rsid w:val="00A800C6"/>
    <w:rsid w:val="00A82FDF"/>
    <w:rsid w:val="00A9057F"/>
    <w:rsid w:val="00A96029"/>
    <w:rsid w:val="00AA05B5"/>
    <w:rsid w:val="00AB5816"/>
    <w:rsid w:val="00AD3798"/>
    <w:rsid w:val="00AD73FD"/>
    <w:rsid w:val="00AE6183"/>
    <w:rsid w:val="00AE6403"/>
    <w:rsid w:val="00AF3AD8"/>
    <w:rsid w:val="00AF5389"/>
    <w:rsid w:val="00B33F78"/>
    <w:rsid w:val="00B44BD1"/>
    <w:rsid w:val="00B5123E"/>
    <w:rsid w:val="00B53FAC"/>
    <w:rsid w:val="00B67604"/>
    <w:rsid w:val="00B67D47"/>
    <w:rsid w:val="00B771C5"/>
    <w:rsid w:val="00BC0FA2"/>
    <w:rsid w:val="00BC6329"/>
    <w:rsid w:val="00C14450"/>
    <w:rsid w:val="00C147BD"/>
    <w:rsid w:val="00C229B4"/>
    <w:rsid w:val="00C66822"/>
    <w:rsid w:val="00C70D6C"/>
    <w:rsid w:val="00C73701"/>
    <w:rsid w:val="00C759A8"/>
    <w:rsid w:val="00C766E5"/>
    <w:rsid w:val="00C93F39"/>
    <w:rsid w:val="00CA3CB0"/>
    <w:rsid w:val="00CB2DA7"/>
    <w:rsid w:val="00CB5E40"/>
    <w:rsid w:val="00CC0EB9"/>
    <w:rsid w:val="00CD453C"/>
    <w:rsid w:val="00CE3109"/>
    <w:rsid w:val="00CE52DB"/>
    <w:rsid w:val="00CF16CD"/>
    <w:rsid w:val="00CF4B80"/>
    <w:rsid w:val="00D060A9"/>
    <w:rsid w:val="00D07A53"/>
    <w:rsid w:val="00D110EB"/>
    <w:rsid w:val="00D205CE"/>
    <w:rsid w:val="00D209D0"/>
    <w:rsid w:val="00D20DE8"/>
    <w:rsid w:val="00D32A95"/>
    <w:rsid w:val="00D44432"/>
    <w:rsid w:val="00D54C4C"/>
    <w:rsid w:val="00D6576B"/>
    <w:rsid w:val="00D74B78"/>
    <w:rsid w:val="00D8027E"/>
    <w:rsid w:val="00D81677"/>
    <w:rsid w:val="00D87570"/>
    <w:rsid w:val="00DA30CE"/>
    <w:rsid w:val="00DB04AB"/>
    <w:rsid w:val="00DB2C06"/>
    <w:rsid w:val="00DB602C"/>
    <w:rsid w:val="00DC4203"/>
    <w:rsid w:val="00E02831"/>
    <w:rsid w:val="00E13499"/>
    <w:rsid w:val="00E25A8D"/>
    <w:rsid w:val="00E62872"/>
    <w:rsid w:val="00E744C8"/>
    <w:rsid w:val="00E77D1C"/>
    <w:rsid w:val="00EA0519"/>
    <w:rsid w:val="00EB22B3"/>
    <w:rsid w:val="00EB38AC"/>
    <w:rsid w:val="00ED7F81"/>
    <w:rsid w:val="00EE5A6A"/>
    <w:rsid w:val="00F04DC0"/>
    <w:rsid w:val="00F05E1B"/>
    <w:rsid w:val="00F135B1"/>
    <w:rsid w:val="00F21A59"/>
    <w:rsid w:val="00F224B2"/>
    <w:rsid w:val="00F2488E"/>
    <w:rsid w:val="00F40495"/>
    <w:rsid w:val="00F43C44"/>
    <w:rsid w:val="00F53FEA"/>
    <w:rsid w:val="00F7521F"/>
    <w:rsid w:val="00F80B16"/>
    <w:rsid w:val="00F862A9"/>
    <w:rsid w:val="00F876C5"/>
    <w:rsid w:val="00F95D54"/>
    <w:rsid w:val="00FA5CFB"/>
    <w:rsid w:val="00FB4A97"/>
    <w:rsid w:val="00FC4A29"/>
    <w:rsid w:val="00FE171E"/>
    <w:rsid w:val="00FE25BE"/>
    <w:rsid w:val="00FE49E9"/>
    <w:rsid w:val="00FE7227"/>
    <w:rsid w:val="00FF3A3B"/>
    <w:rsid w:val="00FF5DC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6f6f6,#00707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BodyText"/>
    <w:qFormat/>
    <w:pPr>
      <w:suppressAutoHyphens/>
      <w:autoSpaceDE w:val="0"/>
      <w:autoSpaceDN w:val="0"/>
      <w:adjustRightInd w:val="0"/>
      <w:spacing w:after="170" w:line="280" w:lineRule="atLeast"/>
      <w:textAlignment w:val="center"/>
    </w:pPr>
    <w:rPr>
      <w:rFonts w:ascii="Arial" w:hAnsi="Arial" w:cs="Arial"/>
      <w:color w:val="54534C"/>
      <w:sz w:val="22"/>
      <w:szCs w:val="22"/>
      <w:lang w:val="en-US"/>
    </w:rPr>
  </w:style>
  <w:style w:type="paragraph" w:styleId="Heading1">
    <w:name w:val="heading 1"/>
    <w:basedOn w:val="Normal"/>
    <w:next w:val="Heading2"/>
    <w:qFormat/>
    <w:rsid w:val="002A7443"/>
    <w:pPr>
      <w:spacing w:before="200" w:after="0" w:line="240" w:lineRule="auto"/>
      <w:outlineLvl w:val="0"/>
    </w:pPr>
    <w:rPr>
      <w:b/>
      <w:bCs/>
      <w:noProof/>
      <w:color w:val="007073"/>
      <w:sz w:val="80"/>
      <w:szCs w:val="80"/>
      <w:lang w:val="en-NZ"/>
    </w:rPr>
  </w:style>
  <w:style w:type="paragraph" w:styleId="Heading2">
    <w:name w:val="heading 2"/>
    <w:basedOn w:val="Normal"/>
    <w:next w:val="BodyText"/>
    <w:qFormat/>
    <w:rsid w:val="00213F77"/>
    <w:pPr>
      <w:spacing w:before="340" w:line="288" w:lineRule="auto"/>
      <w:outlineLvl w:val="1"/>
    </w:pPr>
    <w:rPr>
      <w:b/>
      <w:bCs/>
      <w:color w:val="007073"/>
      <w:sz w:val="28"/>
      <w:szCs w:val="28"/>
    </w:rPr>
  </w:style>
  <w:style w:type="paragraph" w:styleId="Heading3">
    <w:name w:val="heading 3"/>
    <w:basedOn w:val="Normal"/>
    <w:next w:val="BodyText"/>
    <w:qFormat/>
    <w:rsid w:val="002A6E1A"/>
    <w:pPr>
      <w:spacing w:before="340" w:after="113"/>
      <w:outlineLvl w:val="2"/>
    </w:pPr>
    <w:rPr>
      <w:b/>
      <w:bCs/>
      <w:color w:val="007073"/>
      <w:szCs w:val="20"/>
    </w:rPr>
  </w:style>
  <w:style w:type="paragraph" w:styleId="Heading4">
    <w:name w:val="heading 4"/>
    <w:basedOn w:val="Normal"/>
    <w:next w:val="Normal"/>
    <w:qFormat/>
    <w:rsid w:val="00213F77"/>
    <w:pPr>
      <w:spacing w:before="57" w:after="57"/>
      <w:outlineLvl w:val="3"/>
    </w:pPr>
    <w:rPr>
      <w:b/>
      <w:bCs/>
      <w:color w:val="007073"/>
      <w:sz w:val="20"/>
    </w:rPr>
  </w:style>
  <w:style w:type="paragraph" w:styleId="Heading5">
    <w:name w:val="heading 5"/>
    <w:basedOn w:val="Normal"/>
    <w:next w:val="Normal"/>
    <w:qFormat/>
    <w:rsid w:val="00A800C6"/>
    <w:pPr>
      <w:spacing w:before="57" w:after="57"/>
      <w:outlineLvl w:val="4"/>
    </w:pPr>
    <w:rPr>
      <w:b/>
      <w:bCs/>
      <w:sz w:val="20"/>
    </w:rPr>
  </w:style>
  <w:style w:type="paragraph" w:styleId="Heading6">
    <w:name w:val="heading 6"/>
    <w:basedOn w:val="Heading7"/>
    <w:next w:val="Normal"/>
    <w:qFormat/>
    <w:rsid w:val="004433EC"/>
    <w:pPr>
      <w:outlineLvl w:val="5"/>
    </w:pPr>
    <w:rPr>
      <w:caps/>
    </w:rPr>
  </w:style>
  <w:style w:type="paragraph" w:styleId="Heading7">
    <w:name w:val="heading 7"/>
    <w:basedOn w:val="Normal"/>
    <w:next w:val="Normal"/>
    <w:qFormat/>
    <w:rsid w:val="004433EC"/>
    <w:pPr>
      <w:suppressAutoHyphens w:val="0"/>
      <w:spacing w:after="0" w:line="288" w:lineRule="auto"/>
      <w:outlineLvl w:val="6"/>
    </w:pPr>
    <w:rPr>
      <w:rFonts w:ascii="Arial (TT)" w:hAnsi="Arial (TT)" w:cs="Arial (TT)"/>
      <w:color w:val="007073"/>
      <w:sz w:val="16"/>
      <w:szCs w:val="16"/>
    </w:rPr>
  </w:style>
  <w:style w:type="paragraph" w:styleId="Heading8">
    <w:name w:val="heading 8"/>
    <w:basedOn w:val="Normal"/>
    <w:next w:val="Normal"/>
    <w:qFormat/>
    <w:rsid w:val="002A7443"/>
    <w:pPr>
      <w:numPr>
        <w:ilvl w:val="7"/>
        <w:numId w:val="26"/>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2A7443"/>
    <w:pPr>
      <w:numPr>
        <w:ilvl w:val="8"/>
        <w:numId w:val="26"/>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CF4B80"/>
    <w:rPr>
      <w:color w:val="auto"/>
    </w:rPr>
  </w:style>
  <w:style w:type="character" w:customStyle="1" w:styleId="BodyTextChar">
    <w:name w:val="Body Text Char"/>
    <w:basedOn w:val="DefaultParagraphFont"/>
    <w:semiHidden/>
    <w:rPr>
      <w:rFonts w:ascii="Verdana" w:eastAsia="Times New Roman" w:hAnsi="Verdana" w:cs="Times New Roman"/>
      <w:color w:val="8D8F86"/>
      <w:sz w:val="18"/>
      <w:szCs w:val="20"/>
      <w:lang w:eastAsia="en-GB"/>
    </w:rPr>
  </w:style>
  <w:style w:type="character" w:customStyle="1" w:styleId="Heading1Char">
    <w:name w:val="Heading 1 Char"/>
    <w:basedOn w:val="DefaultParagraphFont"/>
    <w:semiHidden/>
    <w:rPr>
      <w:rFonts w:ascii="Arial" w:hAnsi="Arial" w:cs="Arial"/>
      <w:b/>
      <w:bCs/>
      <w:noProof/>
      <w:color w:val="007073"/>
      <w:sz w:val="80"/>
      <w:szCs w:val="80"/>
    </w:rPr>
  </w:style>
  <w:style w:type="character" w:customStyle="1" w:styleId="Heading2Char">
    <w:name w:val="Heading 2 Char"/>
    <w:basedOn w:val="DefaultParagraphFont"/>
    <w:semiHidden/>
    <w:rPr>
      <w:rFonts w:ascii="Arial" w:hAnsi="Arial" w:cs="Arial"/>
      <w:b/>
      <w:bCs/>
      <w:color w:val="2C6365"/>
      <w:sz w:val="28"/>
      <w:szCs w:val="28"/>
      <w:lang w:val="en-US"/>
    </w:rPr>
  </w:style>
  <w:style w:type="character" w:customStyle="1" w:styleId="Heading3Char">
    <w:name w:val="Heading 3 Char"/>
    <w:basedOn w:val="DefaultParagraphFont"/>
    <w:semiHidden/>
    <w:rPr>
      <w:rFonts w:ascii="Arial" w:hAnsi="Arial" w:cs="Arial"/>
      <w:b/>
      <w:bCs/>
      <w:caps/>
      <w:color w:val="007073"/>
      <w:lang w:val="en-US"/>
    </w:rPr>
  </w:style>
  <w:style w:type="paragraph" w:styleId="Header">
    <w:name w:val="header"/>
    <w:basedOn w:val="Normal"/>
    <w:unhideWhenUsed/>
    <w:pPr>
      <w:tabs>
        <w:tab w:val="center" w:pos="4513"/>
        <w:tab w:val="right" w:pos="9026"/>
      </w:tabs>
      <w:spacing w:after="0"/>
    </w:pPr>
  </w:style>
  <w:style w:type="character" w:customStyle="1" w:styleId="HeaderChar">
    <w:name w:val="Header Char"/>
    <w:basedOn w:val="DefaultParagraphFont"/>
    <w:semiHidden/>
    <w:rPr>
      <w:rFonts w:ascii="Verdana" w:hAnsi="Verdana" w:cs="Times New Roman"/>
      <w:color w:val="8D8F86"/>
      <w:sz w:val="18"/>
      <w:szCs w:val="20"/>
      <w:lang w:eastAsia="en-GB"/>
    </w:rPr>
  </w:style>
  <w:style w:type="paragraph" w:styleId="Title">
    <w:name w:val="Title"/>
    <w:basedOn w:val="Normal"/>
    <w:qFormat/>
    <w:pPr>
      <w:spacing w:before="240" w:after="60"/>
      <w:jc w:val="center"/>
      <w:outlineLvl w:val="0"/>
    </w:pPr>
    <w:rPr>
      <w:b/>
      <w:bCs/>
      <w:kern w:val="28"/>
      <w:sz w:val="32"/>
      <w:szCs w:val="32"/>
    </w:rPr>
  </w:style>
  <w:style w:type="paragraph" w:styleId="Footer">
    <w:name w:val="footer"/>
    <w:basedOn w:val="Normal"/>
    <w:semiHidden/>
    <w:pPr>
      <w:tabs>
        <w:tab w:val="center" w:pos="4320"/>
        <w:tab w:val="right" w:pos="8640"/>
      </w:tabs>
    </w:pPr>
  </w:style>
  <w:style w:type="paragraph" w:styleId="BalloonText">
    <w:name w:val="Balloon Text"/>
    <w:basedOn w:val="Normal"/>
    <w:semiHidden/>
    <w:unhideWhenUsed/>
    <w:pPr>
      <w:spacing w:after="0"/>
    </w:pPr>
    <w:rPr>
      <w:rFonts w:ascii="Tahoma" w:hAnsi="Tahoma" w:cs="Tahoma"/>
      <w:sz w:val="16"/>
      <w:szCs w:val="16"/>
    </w:rPr>
  </w:style>
  <w:style w:type="character" w:customStyle="1" w:styleId="BalloonTextChar">
    <w:name w:val="Balloon Text Char"/>
    <w:basedOn w:val="DefaultParagraphFont"/>
    <w:semiHidden/>
    <w:rPr>
      <w:rFonts w:ascii="Tahoma" w:hAnsi="Tahoma" w:cs="Tahoma"/>
      <w:color w:val="8D8F86"/>
      <w:sz w:val="16"/>
      <w:szCs w:val="16"/>
      <w:lang w:eastAsia="en-GB"/>
    </w:rPr>
  </w:style>
  <w:style w:type="paragraph" w:customStyle="1" w:styleId="Diagramheading">
    <w:name w:val="Diagram heading"/>
    <w:basedOn w:val="moreinfo"/>
    <w:pPr>
      <w:spacing w:before="60" w:after="60"/>
      <w:ind w:left="170"/>
    </w:pPr>
    <w:rPr>
      <w:rFonts w:ascii="Arial" w:hAnsi="Arial" w:cs="Arial"/>
      <w:caps/>
      <w:color w:val="FFFFFF"/>
      <w:sz w:val="16"/>
      <w:szCs w:val="16"/>
    </w:rPr>
  </w:style>
  <w:style w:type="paragraph" w:customStyle="1" w:styleId="moreinfo">
    <w:name w:val="more info"/>
    <w:basedOn w:val="Normal"/>
    <w:pPr>
      <w:suppressAutoHyphens w:val="0"/>
      <w:spacing w:after="0" w:line="288" w:lineRule="auto"/>
    </w:pPr>
    <w:rPr>
      <w:rFonts w:ascii="Arial (TT) Regular" w:hAnsi="Arial (TT) Regular" w:cs="Times New Roman"/>
      <w:sz w:val="20"/>
      <w:szCs w:val="20"/>
    </w:rPr>
  </w:style>
  <w:style w:type="paragraph" w:customStyle="1" w:styleId="smalltextcaps">
    <w:name w:val="small text caps"/>
    <w:basedOn w:val="Normal"/>
    <w:semiHidden/>
    <w:pPr>
      <w:spacing w:after="0" w:line="288" w:lineRule="auto"/>
      <w:jc w:val="right"/>
    </w:pPr>
    <w:rPr>
      <w:rFonts w:ascii="Arial (TT)" w:hAnsi="Arial (TT)" w:cs="Arial (TT)"/>
      <w:sz w:val="20"/>
      <w:lang w:eastAsia="en-US"/>
    </w:rPr>
  </w:style>
  <w:style w:type="paragraph" w:customStyle="1" w:styleId="PaperTitle">
    <w:name w:val="Paper Title"/>
    <w:semiHidden/>
    <w:qFormat/>
    <w:rsid w:val="00A5072D"/>
    <w:pPr>
      <w:spacing w:before="40"/>
      <w:jc w:val="center"/>
    </w:pPr>
    <w:rPr>
      <w:rFonts w:ascii="Arial" w:hAnsi="Arial" w:cs="Arial"/>
      <w:color w:val="54534C"/>
      <w:szCs w:val="22"/>
      <w:lang w:val="en-US" w:eastAsia="en-US"/>
    </w:rPr>
  </w:style>
  <w:style w:type="paragraph" w:customStyle="1" w:styleId="Bodytext0">
    <w:name w:val="Bodytext"/>
    <w:basedOn w:val="Normal"/>
    <w:semiHidden/>
    <w:qFormat/>
    <w:pPr>
      <w:ind w:right="765"/>
    </w:pPr>
  </w:style>
  <w:style w:type="paragraph" w:customStyle="1" w:styleId="bodytext1">
    <w:name w:val="bodytext"/>
    <w:basedOn w:val="Normal"/>
    <w:semiHidden/>
  </w:style>
  <w:style w:type="paragraph" w:customStyle="1" w:styleId="ReportDate">
    <w:name w:val="Report Date"/>
    <w:qFormat/>
    <w:rsid w:val="00C70D6C"/>
    <w:pPr>
      <w:ind w:left="420"/>
    </w:pPr>
    <w:rPr>
      <w:rFonts w:ascii="Arial" w:hAnsi="Arial" w:cs="Arial"/>
      <w:b/>
      <w:bCs/>
      <w:color w:val="409CA2"/>
      <w:sz w:val="28"/>
      <w:szCs w:val="28"/>
      <w:lang w:val="en-US"/>
    </w:rPr>
  </w:style>
  <w:style w:type="paragraph" w:styleId="Closing">
    <w:name w:val="Closing"/>
    <w:basedOn w:val="Normal"/>
    <w:semiHidden/>
    <w:pPr>
      <w:ind w:left="4252"/>
    </w:pPr>
  </w:style>
  <w:style w:type="paragraph" w:customStyle="1" w:styleId="bullet1">
    <w:name w:val="bullet 1"/>
    <w:basedOn w:val="Normal"/>
    <w:rsid w:val="00D54C4C"/>
    <w:pPr>
      <w:numPr>
        <w:numId w:val="38"/>
      </w:numPr>
      <w:tabs>
        <w:tab w:val="left" w:pos="357"/>
      </w:tabs>
      <w:spacing w:after="57"/>
    </w:pPr>
    <w:rPr>
      <w:rFonts w:cs="Arial (TT)"/>
      <w:color w:val="auto"/>
    </w:rPr>
  </w:style>
  <w:style w:type="paragraph" w:customStyle="1" w:styleId="bodytextindent">
    <w:name w:val="bodytext indent"/>
    <w:basedOn w:val="bodytext1"/>
    <w:semiHidden/>
    <w:pPr>
      <w:spacing w:after="57"/>
      <w:ind w:left="227"/>
    </w:pPr>
  </w:style>
  <w:style w:type="paragraph" w:customStyle="1" w:styleId="bullet2">
    <w:name w:val="bullet 2"/>
    <w:basedOn w:val="bullet2last"/>
    <w:rsid w:val="00D54C4C"/>
    <w:pPr>
      <w:numPr>
        <w:numId w:val="6"/>
      </w:numPr>
      <w:spacing w:after="57"/>
    </w:pPr>
  </w:style>
  <w:style w:type="paragraph" w:customStyle="1" w:styleId="bullet2last">
    <w:name w:val="bullet 2 last"/>
    <w:basedOn w:val="Normal"/>
    <w:next w:val="BodyText"/>
    <w:qFormat/>
    <w:rsid w:val="00D54C4C"/>
    <w:pPr>
      <w:numPr>
        <w:numId w:val="37"/>
      </w:numPr>
    </w:pPr>
    <w:rPr>
      <w:color w:val="auto"/>
    </w:rPr>
  </w:style>
  <w:style w:type="paragraph" w:customStyle="1" w:styleId="bulletalpha1">
    <w:name w:val="bullet alpha 1"/>
    <w:basedOn w:val="Normal"/>
    <w:pPr>
      <w:numPr>
        <w:numId w:val="7"/>
      </w:numPr>
      <w:spacing w:after="57"/>
      <w:ind w:left="360"/>
    </w:pPr>
    <w:rPr>
      <w:rFonts w:cs="Arial (TT)"/>
    </w:rPr>
  </w:style>
  <w:style w:type="paragraph" w:customStyle="1" w:styleId="bulletalpha1last">
    <w:name w:val="bullet alpha 1 last"/>
    <w:basedOn w:val="bulletalpha1"/>
    <w:pPr>
      <w:spacing w:after="170"/>
    </w:pPr>
  </w:style>
  <w:style w:type="paragraph" w:customStyle="1" w:styleId="bulletnumbered1">
    <w:name w:val="bullet numbered 1"/>
    <w:basedOn w:val="bulletalpha1"/>
    <w:pPr>
      <w:numPr>
        <w:numId w:val="18"/>
      </w:numPr>
      <w:ind w:left="357" w:hanging="357"/>
    </w:pPr>
  </w:style>
  <w:style w:type="paragraph" w:customStyle="1" w:styleId="Introduction">
    <w:name w:val="Introduction"/>
    <w:basedOn w:val="Normal"/>
    <w:qFormat/>
    <w:pPr>
      <w:spacing w:after="283" w:line="340" w:lineRule="atLeast"/>
    </w:pPr>
    <w:rPr>
      <w:bCs/>
      <w:color w:val="2C6365"/>
      <w:sz w:val="26"/>
      <w:szCs w:val="26"/>
    </w:rPr>
  </w:style>
  <w:style w:type="character" w:customStyle="1" w:styleId="Heading4Char">
    <w:name w:val="Heading 4 Char"/>
    <w:basedOn w:val="DefaultParagraphFont"/>
    <w:semiHidden/>
    <w:rPr>
      <w:rFonts w:ascii="Arial" w:hAnsi="Arial" w:cs="Arial"/>
      <w:b/>
      <w:bCs/>
      <w:color w:val="007073"/>
      <w:sz w:val="22"/>
      <w:szCs w:val="22"/>
      <w:lang w:val="en-US"/>
    </w:rPr>
  </w:style>
  <w:style w:type="paragraph" w:customStyle="1" w:styleId="bulletnumbered1last">
    <w:name w:val="bullet numbered 1 last"/>
    <w:basedOn w:val="bulletnumbered1"/>
    <w:pPr>
      <w:spacing w:after="170"/>
    </w:pPr>
  </w:style>
  <w:style w:type="paragraph" w:customStyle="1" w:styleId="bullet1last">
    <w:name w:val="bullet 1 last"/>
    <w:basedOn w:val="bullet1"/>
    <w:qFormat/>
    <w:rsid w:val="00D54C4C"/>
    <w:pPr>
      <w:numPr>
        <w:numId w:val="22"/>
      </w:numPr>
      <w:spacing w:after="170"/>
    </w:pPr>
  </w:style>
  <w:style w:type="character" w:customStyle="1" w:styleId="Heading5Char">
    <w:name w:val="Heading 5 Char"/>
    <w:basedOn w:val="DefaultParagraphFont"/>
    <w:semiHidden/>
    <w:rPr>
      <w:rFonts w:ascii="Arial" w:hAnsi="Arial" w:cs="Arial"/>
      <w:b/>
      <w:bCs/>
      <w:color w:val="54534C"/>
      <w:szCs w:val="22"/>
      <w:lang w:val="en-US"/>
    </w:rPr>
  </w:style>
  <w:style w:type="paragraph" w:styleId="TOC1">
    <w:name w:val="toc 1"/>
    <w:basedOn w:val="Normal"/>
    <w:next w:val="Normal"/>
    <w:autoRedefine/>
    <w:uiPriority w:val="39"/>
    <w:unhideWhenUsed/>
    <w:pPr>
      <w:tabs>
        <w:tab w:val="right" w:leader="dot" w:pos="9639"/>
      </w:tabs>
      <w:spacing w:before="510" w:after="57"/>
    </w:pPr>
    <w:rPr>
      <w:caps/>
      <w:noProof/>
      <w:color w:val="007073"/>
      <w:sz w:val="20"/>
    </w:rPr>
  </w:style>
  <w:style w:type="paragraph" w:styleId="TOC2">
    <w:name w:val="toc 2"/>
    <w:basedOn w:val="Normal"/>
    <w:next w:val="Normal"/>
    <w:autoRedefine/>
    <w:uiPriority w:val="39"/>
    <w:unhideWhenUsed/>
    <w:rsid w:val="00897C1E"/>
    <w:pPr>
      <w:tabs>
        <w:tab w:val="right" w:leader="dot" w:pos="9639"/>
      </w:tabs>
      <w:spacing w:before="57" w:after="57"/>
    </w:pPr>
    <w:rPr>
      <w:noProof/>
      <w:color w:val="auto"/>
      <w:sz w:val="20"/>
    </w:rPr>
  </w:style>
  <w:style w:type="character" w:styleId="Hyperlink">
    <w:name w:val="Hyperlink"/>
    <w:basedOn w:val="DefaultParagraphFont"/>
    <w:uiPriority w:val="99"/>
    <w:unhideWhenUsed/>
    <w:rsid w:val="001A3866"/>
    <w:rPr>
      <w:rFonts w:ascii="Arial" w:hAnsi="Arial"/>
      <w:color w:val="007073"/>
      <w:sz w:val="18"/>
      <w:szCs w:val="20"/>
      <w:u w:val="none"/>
    </w:rPr>
  </w:style>
  <w:style w:type="paragraph" w:customStyle="1" w:styleId="Heading1-NonTOC">
    <w:name w:val="Heading 1 - Non TOC"/>
    <w:basedOn w:val="Heading1"/>
    <w:qFormat/>
    <w:rsid w:val="002A7443"/>
  </w:style>
  <w:style w:type="paragraph" w:customStyle="1" w:styleId="FooterText">
    <w:name w:val="Footer Text"/>
    <w:basedOn w:val="Normal"/>
    <w:semiHidden/>
    <w:qFormat/>
    <w:pPr>
      <w:tabs>
        <w:tab w:val="center" w:pos="4513"/>
        <w:tab w:val="right" w:pos="9026"/>
      </w:tabs>
      <w:spacing w:after="0" w:line="240" w:lineRule="auto"/>
    </w:pPr>
    <w:rPr>
      <w:color w:val="007073"/>
      <w:sz w:val="16"/>
      <w:szCs w:val="16"/>
    </w:rPr>
  </w:style>
  <w:style w:type="paragraph" w:customStyle="1" w:styleId="TableHeadings">
    <w:name w:val="Table Headings"/>
    <w:basedOn w:val="BodyText"/>
    <w:semiHidden/>
    <w:qFormat/>
    <w:pPr>
      <w:framePr w:hSpace="180" w:wrap="around" w:vAnchor="page" w:hAnchor="margin" w:xAlign="center" w:y="556"/>
    </w:pPr>
    <w:rPr>
      <w:b/>
      <w:color w:val="007073"/>
      <w:sz w:val="20"/>
    </w:rPr>
  </w:style>
  <w:style w:type="paragraph" w:customStyle="1" w:styleId="ReportTitle">
    <w:name w:val="Report Title"/>
    <w:basedOn w:val="Heading1"/>
    <w:qFormat/>
    <w:rsid w:val="00A5072D"/>
    <w:pPr>
      <w:spacing w:after="240"/>
      <w:ind w:left="363"/>
    </w:pPr>
  </w:style>
  <w:style w:type="paragraph" w:customStyle="1" w:styleId="Dividerline">
    <w:name w:val="Divider line"/>
    <w:basedOn w:val="Normal"/>
    <w:semiHidden/>
    <w:qFormat/>
    <w:pPr>
      <w:pBdr>
        <w:bottom w:val="single" w:sz="2" w:space="1" w:color="E6F2F3"/>
      </w:pBdr>
      <w:spacing w:after="480"/>
      <w:ind w:left="-505" w:right="-885"/>
    </w:pPr>
    <w:rPr>
      <w:sz w:val="32"/>
    </w:rPr>
  </w:style>
  <w:style w:type="paragraph" w:customStyle="1" w:styleId="Quote1">
    <w:name w:val="Quote1"/>
    <w:basedOn w:val="Normal"/>
    <w:pPr>
      <w:spacing w:after="113"/>
    </w:pPr>
    <w:rPr>
      <w:rFonts w:cs="Arial (TT) Italic"/>
      <w:i/>
      <w:iCs/>
      <w:color w:val="007073"/>
    </w:rPr>
  </w:style>
  <w:style w:type="paragraph" w:customStyle="1" w:styleId="footnote">
    <w:name w:val="footnote"/>
    <w:basedOn w:val="Normal"/>
    <w:link w:val="footnoteChar"/>
    <w:semiHidden/>
    <w:pPr>
      <w:spacing w:after="57" w:line="220" w:lineRule="atLeast"/>
      <w:ind w:left="227" w:hanging="227"/>
    </w:pPr>
    <w:rPr>
      <w:rFonts w:ascii="Arial (TT)" w:hAnsi="Arial (TT)" w:cs="Arial (TT)"/>
      <w:sz w:val="16"/>
      <w:szCs w:val="16"/>
    </w:rPr>
  </w:style>
  <w:style w:type="paragraph" w:styleId="FootnoteText">
    <w:name w:val="footnote text"/>
    <w:basedOn w:val="footnote"/>
    <w:link w:val="FootnoteTextChar1"/>
    <w:unhideWhenUsed/>
    <w:rsid w:val="004267E4"/>
    <w:pPr>
      <w:tabs>
        <w:tab w:val="left" w:pos="227"/>
      </w:tabs>
    </w:pPr>
    <w:rPr>
      <w:rFonts w:ascii="Arial" w:hAnsi="Arial" w:cs="Arial"/>
      <w:color w:val="auto"/>
      <w:sz w:val="18"/>
    </w:rPr>
  </w:style>
  <w:style w:type="character" w:customStyle="1" w:styleId="FootnoteTextChar">
    <w:name w:val="Footnote Text Char"/>
    <w:basedOn w:val="DefaultParagraphFont"/>
    <w:rsid w:val="00C229B4"/>
    <w:rPr>
      <w:rFonts w:ascii="Arial" w:hAnsi="Arial" w:cs="Arial"/>
      <w:color w:val="007073"/>
      <w:sz w:val="20"/>
      <w:szCs w:val="16"/>
      <w:vertAlign w:val="superscript"/>
      <w:lang w:val="en-US"/>
    </w:rPr>
  </w:style>
  <w:style w:type="character" w:styleId="FootnoteReference">
    <w:name w:val="footnote reference"/>
    <w:basedOn w:val="FootnoteTextChar"/>
    <w:unhideWhenUsed/>
    <w:rPr>
      <w:rFonts w:ascii="Arial" w:hAnsi="Arial" w:cs="Arial"/>
      <w:color w:val="007073"/>
      <w:sz w:val="20"/>
      <w:szCs w:val="16"/>
      <w:vertAlign w:val="superscript"/>
      <w:lang w:val="en-US"/>
    </w:rPr>
  </w:style>
  <w:style w:type="paragraph" w:customStyle="1" w:styleId="TableText">
    <w:name w:val="Table Text"/>
    <w:basedOn w:val="BodyText"/>
    <w:qFormat/>
    <w:rsid w:val="00F7521F"/>
    <w:pPr>
      <w:spacing w:after="0" w:line="240" w:lineRule="auto"/>
    </w:pPr>
    <w:rPr>
      <w:sz w:val="16"/>
      <w:szCs w:val="16"/>
    </w:rPr>
  </w:style>
  <w:style w:type="paragraph" w:customStyle="1" w:styleId="TableSubHeading">
    <w:name w:val="Table Sub Heading"/>
    <w:basedOn w:val="BodyText"/>
    <w:qFormat/>
    <w:rsid w:val="00F7521F"/>
    <w:pPr>
      <w:spacing w:after="0" w:line="240" w:lineRule="auto"/>
    </w:pPr>
    <w:rPr>
      <w:color w:val="007073"/>
      <w:sz w:val="16"/>
      <w:szCs w:val="16"/>
    </w:rPr>
  </w:style>
  <w:style w:type="character" w:customStyle="1" w:styleId="Heading7Char">
    <w:name w:val="Heading 7 Char"/>
    <w:basedOn w:val="DefaultParagraphFont"/>
    <w:semiHidden/>
    <w:rPr>
      <w:rFonts w:ascii="Arial (TT)" w:hAnsi="Arial (TT)" w:cs="Arial (TT)"/>
      <w:caps/>
      <w:color w:val="007073"/>
      <w:sz w:val="16"/>
      <w:szCs w:val="16"/>
      <w:lang w:val="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spacing w:after="120"/>
      <w:ind w:firstLine="210"/>
    </w:pPr>
  </w:style>
  <w:style w:type="paragraph" w:styleId="BodyTextIndent0">
    <w:name w:val="Body Text Indent"/>
    <w:basedOn w:val="Normal"/>
    <w:semiHidden/>
    <w:pPr>
      <w:spacing w:after="120"/>
      <w:ind w:left="283"/>
    </w:pPr>
  </w:style>
  <w:style w:type="paragraph" w:styleId="BodyTextFirstIndent2">
    <w:name w:val="Body Text First Indent 2"/>
    <w:basedOn w:val="BodyTextIndent0"/>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E-mailSignature">
    <w:name w:val="E-mail Signature"/>
    <w:basedOn w:val="Normal"/>
    <w:semiHidden/>
  </w:style>
  <w:style w:type="character" w:styleId="Emphasis">
    <w:name w:val="Emphasis"/>
    <w:basedOn w:val="DefaultParagraphFont"/>
    <w:qFormat/>
    <w:rPr>
      <w:i/>
      <w:iCs/>
    </w:rPr>
  </w:style>
  <w:style w:type="paragraph" w:styleId="EnvelopeAddress">
    <w:name w:val="envelope address"/>
    <w:basedOn w:val="Normal"/>
    <w:semiHidden/>
    <w:pPr>
      <w:framePr w:w="7920" w:h="1980" w:hRule="exact" w:hSpace="180" w:wrap="auto" w:hAnchor="page" w:xAlign="center" w:yAlign="bottom"/>
      <w:ind w:left="2880"/>
    </w:pPr>
    <w:rPr>
      <w:sz w:val="24"/>
      <w:szCs w:val="24"/>
    </w:rPr>
  </w:style>
  <w:style w:type="paragraph" w:styleId="EnvelopeReturn">
    <w:name w:val="envelope return"/>
    <w:basedOn w:val="Normal"/>
    <w:semiHidden/>
    <w:rPr>
      <w:sz w:val="20"/>
      <w:szCs w:val="20"/>
    </w:rPr>
  </w:style>
  <w:style w:type="character" w:styleId="FollowedHyperlink">
    <w:name w:val="FollowedHyperlink"/>
    <w:basedOn w:val="DefaultParagraphFont"/>
    <w:rsid w:val="00F7521F"/>
    <w:rPr>
      <w:rFonts w:ascii="Arial" w:hAnsi="Arial"/>
      <w:color w:val="54534C"/>
      <w:sz w:val="20"/>
      <w:szCs w:val="20"/>
      <w:u w:val="non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basedOn w:val="DefaultParagraphFont"/>
    <w:semiHidden/>
    <w:rPr>
      <w:i/>
      <w:iCs/>
    </w:rPr>
  </w:style>
  <w:style w:type="character" w:styleId="HTMLCode">
    <w:name w:val="HTML Code"/>
    <w:basedOn w:val="DefaultParagraphFont"/>
    <w:semiHidden/>
    <w:rPr>
      <w:rFonts w:ascii="Courier New" w:hAnsi="Courier New" w:cs="Courier New"/>
      <w:sz w:val="20"/>
      <w:szCs w:val="20"/>
    </w:rPr>
  </w:style>
  <w:style w:type="character" w:styleId="HTMLDefinition">
    <w:name w:val="HTML Definition"/>
    <w:basedOn w:val="DefaultParagraphFont"/>
    <w:semiHidden/>
    <w:rPr>
      <w:i/>
      <w:iCs/>
    </w:rPr>
  </w:style>
  <w:style w:type="character" w:styleId="HTMLKeyboard">
    <w:name w:val="HTML Keyboard"/>
    <w:basedOn w:val="DefaultParagraphFont"/>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basedOn w:val="DefaultParagraphFont"/>
    <w:semiHidden/>
    <w:rPr>
      <w:rFonts w:ascii="Courier New" w:hAnsi="Courier New" w:cs="Courier New"/>
    </w:rPr>
  </w:style>
  <w:style w:type="character" w:styleId="HTMLTypewriter">
    <w:name w:val="HTML Typewriter"/>
    <w:basedOn w:val="DefaultParagraphFont"/>
    <w:semiHidden/>
    <w:rPr>
      <w:rFonts w:ascii="Courier New" w:hAnsi="Courier New" w:cs="Courier New"/>
      <w:sz w:val="20"/>
      <w:szCs w:val="20"/>
    </w:rPr>
  </w:style>
  <w:style w:type="character" w:styleId="HTMLVariable">
    <w:name w:val="HTML Variable"/>
    <w:basedOn w:val="DefaultParagraphFont"/>
    <w:semiHidden/>
    <w:rPr>
      <w:i/>
      <w:iCs/>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8"/>
      </w:numPr>
    </w:pPr>
  </w:style>
  <w:style w:type="paragraph" w:styleId="ListBullet2">
    <w:name w:val="List Bullet 2"/>
    <w:basedOn w:val="Normal"/>
    <w:semiHidden/>
    <w:pPr>
      <w:numPr>
        <w:numId w:val="9"/>
      </w:numPr>
    </w:pPr>
  </w:style>
  <w:style w:type="paragraph" w:styleId="ListBullet3">
    <w:name w:val="List Bullet 3"/>
    <w:basedOn w:val="Normal"/>
    <w:semiHidden/>
    <w:pPr>
      <w:numPr>
        <w:numId w:val="10"/>
      </w:numPr>
    </w:pPr>
  </w:style>
  <w:style w:type="paragraph" w:styleId="ListBullet4">
    <w:name w:val="List Bullet 4"/>
    <w:basedOn w:val="Normal"/>
    <w:semiHidden/>
    <w:pPr>
      <w:numPr>
        <w:numId w:val="11"/>
      </w:numPr>
    </w:pPr>
  </w:style>
  <w:style w:type="paragraph" w:styleId="ListBullet5">
    <w:name w:val="List Bullet 5"/>
    <w:basedOn w:val="Normal"/>
    <w:semiHidden/>
    <w:pPr>
      <w:numPr>
        <w:numId w:val="12"/>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3"/>
      </w:numPr>
    </w:pPr>
  </w:style>
  <w:style w:type="paragraph" w:styleId="ListNumber2">
    <w:name w:val="List Number 2"/>
    <w:basedOn w:val="Normal"/>
    <w:semiHidden/>
    <w:pPr>
      <w:numPr>
        <w:numId w:val="14"/>
      </w:numPr>
    </w:pPr>
  </w:style>
  <w:style w:type="paragraph" w:styleId="ListNumber3">
    <w:name w:val="List Number 3"/>
    <w:basedOn w:val="Normal"/>
    <w:semiHidden/>
    <w:pPr>
      <w:numPr>
        <w:numId w:val="15"/>
      </w:numPr>
    </w:pPr>
  </w:style>
  <w:style w:type="paragraph" w:styleId="ListNumber4">
    <w:name w:val="List Number 4"/>
    <w:basedOn w:val="Normal"/>
    <w:semiHidden/>
    <w:pPr>
      <w:numPr>
        <w:numId w:val="16"/>
      </w:numPr>
    </w:pPr>
  </w:style>
  <w:style w:type="paragraph" w:styleId="ListNumber5">
    <w:name w:val="List Number 5"/>
    <w:basedOn w:val="Normal"/>
    <w:semiHidden/>
    <w:pPr>
      <w:numPr>
        <w:numId w:val="17"/>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semiHidden/>
    <w:rPr>
      <w:rFonts w:ascii="Times New Roman" w:hAnsi="Times New Roman" w:cs="Times New Roman"/>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szCs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basedOn w:val="DefaultParagraphFont"/>
    <w:qFormat/>
    <w:rPr>
      <w:b/>
      <w:bCs/>
    </w:rPr>
  </w:style>
  <w:style w:type="paragraph" w:styleId="Subtitle">
    <w:name w:val="Subtitle"/>
    <w:basedOn w:val="Normal"/>
    <w:qFormat/>
    <w:pPr>
      <w:spacing w:after="60"/>
      <w:jc w:val="center"/>
      <w:outlineLvl w:val="1"/>
    </w:pPr>
    <w:rPr>
      <w:sz w:val="24"/>
      <w:szCs w:val="24"/>
    </w:rPr>
  </w:style>
  <w:style w:type="character" w:styleId="CommentReference">
    <w:name w:val="annotation reference"/>
    <w:basedOn w:val="DefaultParagraphFont"/>
    <w:semiHidden/>
    <w:rsid w:val="00A41261"/>
    <w:rPr>
      <w:sz w:val="16"/>
      <w:szCs w:val="16"/>
    </w:rPr>
  </w:style>
  <w:style w:type="paragraph" w:styleId="CommentText">
    <w:name w:val="annotation text"/>
    <w:basedOn w:val="Normal"/>
    <w:semiHidden/>
    <w:rsid w:val="00A41261"/>
    <w:rPr>
      <w:sz w:val="20"/>
      <w:szCs w:val="20"/>
    </w:rPr>
  </w:style>
  <w:style w:type="paragraph" w:styleId="CommentSubject">
    <w:name w:val="annotation subject"/>
    <w:basedOn w:val="CommentText"/>
    <w:next w:val="CommentText"/>
    <w:semiHidden/>
    <w:rsid w:val="00A41261"/>
    <w:rPr>
      <w:b/>
      <w:bCs/>
    </w:rPr>
  </w:style>
  <w:style w:type="numbering" w:styleId="111111">
    <w:name w:val="Outline List 2"/>
    <w:basedOn w:val="NoList"/>
    <w:semiHidden/>
    <w:rsid w:val="002A7443"/>
    <w:pPr>
      <w:numPr>
        <w:numId w:val="24"/>
      </w:numPr>
    </w:pPr>
  </w:style>
  <w:style w:type="numbering" w:styleId="1ai">
    <w:name w:val="Outline List 1"/>
    <w:basedOn w:val="NoList"/>
    <w:semiHidden/>
    <w:rsid w:val="002A7443"/>
    <w:pPr>
      <w:numPr>
        <w:numId w:val="25"/>
      </w:numPr>
    </w:pPr>
  </w:style>
  <w:style w:type="numbering" w:styleId="ArticleSection">
    <w:name w:val="Outline List 3"/>
    <w:basedOn w:val="NoList"/>
    <w:semiHidden/>
    <w:rsid w:val="002A7443"/>
    <w:pPr>
      <w:numPr>
        <w:numId w:val="26"/>
      </w:numPr>
    </w:pPr>
  </w:style>
  <w:style w:type="table" w:styleId="Table3Deffects1">
    <w:name w:val="Table 3D effects 1"/>
    <w:basedOn w:val="TableNormal"/>
    <w:semiHidden/>
    <w:rsid w:val="002A7443"/>
    <w:pPr>
      <w:suppressAutoHyphens/>
      <w:autoSpaceDE w:val="0"/>
      <w:autoSpaceDN w:val="0"/>
      <w:adjustRightInd w:val="0"/>
      <w:spacing w:after="170" w:line="280" w:lineRule="atLeast"/>
      <w:textAlignment w:val="center"/>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A7443"/>
    <w:pPr>
      <w:suppressAutoHyphens/>
      <w:autoSpaceDE w:val="0"/>
      <w:autoSpaceDN w:val="0"/>
      <w:adjustRightInd w:val="0"/>
      <w:spacing w:after="170" w:line="280" w:lineRule="atLeast"/>
      <w:textAlignment w:val="center"/>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A7443"/>
    <w:pPr>
      <w:suppressAutoHyphens/>
      <w:autoSpaceDE w:val="0"/>
      <w:autoSpaceDN w:val="0"/>
      <w:adjustRightInd w:val="0"/>
      <w:spacing w:after="170" w:line="280" w:lineRule="atLeast"/>
      <w:textAlignment w:val="center"/>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A7443"/>
    <w:pPr>
      <w:suppressAutoHyphens/>
      <w:autoSpaceDE w:val="0"/>
      <w:autoSpaceDN w:val="0"/>
      <w:adjustRightInd w:val="0"/>
      <w:spacing w:after="170" w:line="280" w:lineRule="atLeast"/>
      <w:textAlignment w:val="center"/>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A7443"/>
    <w:pPr>
      <w:suppressAutoHyphens/>
      <w:autoSpaceDE w:val="0"/>
      <w:autoSpaceDN w:val="0"/>
      <w:adjustRightInd w:val="0"/>
      <w:spacing w:after="170" w:line="280" w:lineRule="atLeast"/>
      <w:textAlignment w:val="center"/>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A7443"/>
    <w:pPr>
      <w:suppressAutoHyphens/>
      <w:autoSpaceDE w:val="0"/>
      <w:autoSpaceDN w:val="0"/>
      <w:adjustRightInd w:val="0"/>
      <w:spacing w:after="170" w:line="280" w:lineRule="atLeast"/>
      <w:textAlignment w:val="center"/>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A7443"/>
    <w:pPr>
      <w:suppressAutoHyphens/>
      <w:autoSpaceDE w:val="0"/>
      <w:autoSpaceDN w:val="0"/>
      <w:adjustRightInd w:val="0"/>
      <w:spacing w:after="170" w:line="280" w:lineRule="atLeast"/>
      <w:textAlignment w:val="center"/>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A7443"/>
    <w:pPr>
      <w:suppressAutoHyphens/>
      <w:autoSpaceDE w:val="0"/>
      <w:autoSpaceDN w:val="0"/>
      <w:adjustRightInd w:val="0"/>
      <w:spacing w:after="170" w:line="280" w:lineRule="atLeast"/>
      <w:textAlignment w:val="center"/>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A7443"/>
    <w:pPr>
      <w:suppressAutoHyphens/>
      <w:autoSpaceDE w:val="0"/>
      <w:autoSpaceDN w:val="0"/>
      <w:adjustRightInd w:val="0"/>
      <w:spacing w:after="170" w:line="280" w:lineRule="atLeast"/>
      <w:textAlignment w:val="center"/>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A7443"/>
    <w:pPr>
      <w:suppressAutoHyphens/>
      <w:autoSpaceDE w:val="0"/>
      <w:autoSpaceDN w:val="0"/>
      <w:adjustRightInd w:val="0"/>
      <w:spacing w:after="170" w:line="280" w:lineRule="atLeast"/>
      <w:textAlignment w:val="center"/>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A7443"/>
    <w:pPr>
      <w:suppressAutoHyphens/>
      <w:autoSpaceDE w:val="0"/>
      <w:autoSpaceDN w:val="0"/>
      <w:adjustRightInd w:val="0"/>
      <w:spacing w:after="170" w:line="280" w:lineRule="atLeast"/>
      <w:textAlignment w:val="center"/>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A7443"/>
    <w:pPr>
      <w:suppressAutoHyphens/>
      <w:autoSpaceDE w:val="0"/>
      <w:autoSpaceDN w:val="0"/>
      <w:adjustRightInd w:val="0"/>
      <w:spacing w:after="170" w:line="280" w:lineRule="atLeast"/>
      <w:textAlignment w:val="center"/>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A7443"/>
    <w:pPr>
      <w:suppressAutoHyphens/>
      <w:autoSpaceDE w:val="0"/>
      <w:autoSpaceDN w:val="0"/>
      <w:adjustRightInd w:val="0"/>
      <w:spacing w:after="170" w:line="280" w:lineRule="atLeast"/>
      <w:textAlignment w:val="center"/>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A7443"/>
    <w:pPr>
      <w:suppressAutoHyphens/>
      <w:autoSpaceDE w:val="0"/>
      <w:autoSpaceDN w:val="0"/>
      <w:adjustRightInd w:val="0"/>
      <w:spacing w:after="170" w:line="280" w:lineRule="atLeast"/>
      <w:textAlignment w:val="center"/>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A7443"/>
    <w:pPr>
      <w:suppressAutoHyphens/>
      <w:autoSpaceDE w:val="0"/>
      <w:autoSpaceDN w:val="0"/>
      <w:adjustRightInd w:val="0"/>
      <w:spacing w:after="170" w:line="280" w:lineRule="atLeast"/>
      <w:textAlignment w:val="center"/>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A7443"/>
    <w:pPr>
      <w:suppressAutoHyphens/>
      <w:autoSpaceDE w:val="0"/>
      <w:autoSpaceDN w:val="0"/>
      <w:adjustRightInd w:val="0"/>
      <w:spacing w:after="170" w:line="280" w:lineRule="atLeast"/>
      <w:textAlignment w:val="center"/>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A7443"/>
    <w:pPr>
      <w:suppressAutoHyphens/>
      <w:autoSpaceDE w:val="0"/>
      <w:autoSpaceDN w:val="0"/>
      <w:adjustRightInd w:val="0"/>
      <w:spacing w:after="170" w:line="280" w:lineRule="atLeast"/>
      <w:textAlignment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2A7443"/>
    <w:pPr>
      <w:suppressAutoHyphens/>
      <w:autoSpaceDE w:val="0"/>
      <w:autoSpaceDN w:val="0"/>
      <w:adjustRightInd w:val="0"/>
      <w:spacing w:after="170" w:line="280" w:lineRule="atLeast"/>
      <w:textAlignment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2A7443"/>
    <w:pPr>
      <w:suppressAutoHyphens/>
      <w:autoSpaceDE w:val="0"/>
      <w:autoSpaceDN w:val="0"/>
      <w:adjustRightInd w:val="0"/>
      <w:spacing w:after="170" w:line="280" w:lineRule="atLeast"/>
      <w:textAlignment w:val="center"/>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A7443"/>
    <w:pPr>
      <w:suppressAutoHyphens/>
      <w:autoSpaceDE w:val="0"/>
      <w:autoSpaceDN w:val="0"/>
      <w:adjustRightInd w:val="0"/>
      <w:spacing w:after="170" w:line="280" w:lineRule="atLeast"/>
      <w:textAlignment w:val="center"/>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A7443"/>
    <w:pPr>
      <w:suppressAutoHyphens/>
      <w:autoSpaceDE w:val="0"/>
      <w:autoSpaceDN w:val="0"/>
      <w:adjustRightInd w:val="0"/>
      <w:spacing w:after="170" w:line="280" w:lineRule="atLeast"/>
      <w:textAlignment w:val="center"/>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A7443"/>
    <w:pPr>
      <w:suppressAutoHyphens/>
      <w:autoSpaceDE w:val="0"/>
      <w:autoSpaceDN w:val="0"/>
      <w:adjustRightInd w:val="0"/>
      <w:spacing w:after="170" w:line="280" w:lineRule="atLeast"/>
      <w:textAlignment w:val="center"/>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A7443"/>
    <w:pPr>
      <w:suppressAutoHyphens/>
      <w:autoSpaceDE w:val="0"/>
      <w:autoSpaceDN w:val="0"/>
      <w:adjustRightInd w:val="0"/>
      <w:spacing w:after="170" w:line="280" w:lineRule="atLeast"/>
      <w:textAlignment w:val="center"/>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A7443"/>
    <w:pPr>
      <w:suppressAutoHyphens/>
      <w:autoSpaceDE w:val="0"/>
      <w:autoSpaceDN w:val="0"/>
      <w:adjustRightInd w:val="0"/>
      <w:spacing w:after="170" w:line="280" w:lineRule="atLeast"/>
      <w:textAlignment w:val="center"/>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A7443"/>
    <w:pPr>
      <w:suppressAutoHyphens/>
      <w:autoSpaceDE w:val="0"/>
      <w:autoSpaceDN w:val="0"/>
      <w:adjustRightInd w:val="0"/>
      <w:spacing w:after="170" w:line="280" w:lineRule="atLeast"/>
      <w:textAlignment w:val="center"/>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A7443"/>
    <w:pPr>
      <w:suppressAutoHyphens/>
      <w:autoSpaceDE w:val="0"/>
      <w:autoSpaceDN w:val="0"/>
      <w:adjustRightInd w:val="0"/>
      <w:spacing w:after="170" w:line="280" w:lineRule="atLeast"/>
      <w:textAlignment w:val="center"/>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A7443"/>
    <w:pPr>
      <w:suppressAutoHyphens/>
      <w:autoSpaceDE w:val="0"/>
      <w:autoSpaceDN w:val="0"/>
      <w:adjustRightInd w:val="0"/>
      <w:spacing w:after="170" w:line="280" w:lineRule="atLeast"/>
      <w:textAlignment w:val="center"/>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A7443"/>
    <w:pPr>
      <w:suppressAutoHyphens/>
      <w:autoSpaceDE w:val="0"/>
      <w:autoSpaceDN w:val="0"/>
      <w:adjustRightInd w:val="0"/>
      <w:spacing w:after="170" w:line="280" w:lineRule="atLeast"/>
      <w:textAlignment w:val="center"/>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A7443"/>
    <w:pPr>
      <w:suppressAutoHyphens/>
      <w:autoSpaceDE w:val="0"/>
      <w:autoSpaceDN w:val="0"/>
      <w:adjustRightInd w:val="0"/>
      <w:spacing w:after="170" w:line="280" w:lineRule="atLeast"/>
      <w:textAlignment w:val="center"/>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A7443"/>
    <w:pPr>
      <w:suppressAutoHyphens/>
      <w:autoSpaceDE w:val="0"/>
      <w:autoSpaceDN w:val="0"/>
      <w:adjustRightInd w:val="0"/>
      <w:spacing w:after="170" w:line="280" w:lineRule="atLeast"/>
      <w:textAlignment w:val="center"/>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A7443"/>
    <w:pPr>
      <w:suppressAutoHyphens/>
      <w:autoSpaceDE w:val="0"/>
      <w:autoSpaceDN w:val="0"/>
      <w:adjustRightInd w:val="0"/>
      <w:spacing w:after="170" w:line="280" w:lineRule="atLeast"/>
      <w:textAlignment w:val="center"/>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A7443"/>
    <w:pPr>
      <w:suppressAutoHyphens/>
      <w:autoSpaceDE w:val="0"/>
      <w:autoSpaceDN w:val="0"/>
      <w:adjustRightInd w:val="0"/>
      <w:spacing w:after="170" w:line="280" w:lineRule="atLeast"/>
      <w:textAlignment w:val="center"/>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A7443"/>
    <w:pPr>
      <w:suppressAutoHyphens/>
      <w:autoSpaceDE w:val="0"/>
      <w:autoSpaceDN w:val="0"/>
      <w:adjustRightInd w:val="0"/>
      <w:spacing w:after="170" w:line="280" w:lineRule="atLeast"/>
      <w:textAlignment w:val="center"/>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A7443"/>
    <w:pPr>
      <w:suppressAutoHyphens/>
      <w:autoSpaceDE w:val="0"/>
      <w:autoSpaceDN w:val="0"/>
      <w:adjustRightInd w:val="0"/>
      <w:spacing w:after="170" w:line="280" w:lineRule="atLeast"/>
      <w:textAlignment w:val="center"/>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A7443"/>
    <w:pPr>
      <w:suppressAutoHyphens/>
      <w:autoSpaceDE w:val="0"/>
      <w:autoSpaceDN w:val="0"/>
      <w:adjustRightInd w:val="0"/>
      <w:spacing w:after="170" w:line="280" w:lineRule="atLeast"/>
      <w:textAlignment w:val="center"/>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A7443"/>
    <w:pPr>
      <w:suppressAutoHyphens/>
      <w:autoSpaceDE w:val="0"/>
      <w:autoSpaceDN w:val="0"/>
      <w:adjustRightInd w:val="0"/>
      <w:spacing w:after="170" w:line="280" w:lineRule="atLeast"/>
      <w:textAlignment w:val="center"/>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A7443"/>
    <w:pPr>
      <w:suppressAutoHyphens/>
      <w:autoSpaceDE w:val="0"/>
      <w:autoSpaceDN w:val="0"/>
      <w:adjustRightInd w:val="0"/>
      <w:spacing w:after="170" w:line="280" w:lineRule="atLeast"/>
      <w:textAlignment w:val="center"/>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A7443"/>
    <w:pPr>
      <w:suppressAutoHyphens/>
      <w:autoSpaceDE w:val="0"/>
      <w:autoSpaceDN w:val="0"/>
      <w:adjustRightInd w:val="0"/>
      <w:spacing w:after="170" w:line="280" w:lineRule="atLeast"/>
      <w:textAlignment w:val="center"/>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A7443"/>
    <w:pPr>
      <w:suppressAutoHyphens/>
      <w:autoSpaceDE w:val="0"/>
      <w:autoSpaceDN w:val="0"/>
      <w:adjustRightInd w:val="0"/>
      <w:spacing w:after="170" w:line="280" w:lineRule="atLeast"/>
      <w:textAlignment w:val="center"/>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A7443"/>
    <w:pPr>
      <w:suppressAutoHyphens/>
      <w:autoSpaceDE w:val="0"/>
      <w:autoSpaceDN w:val="0"/>
      <w:adjustRightInd w:val="0"/>
      <w:spacing w:after="170" w:line="280" w:lineRule="atLeast"/>
      <w:textAlignment w:val="center"/>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2A7443"/>
    <w:pPr>
      <w:suppressAutoHyphens/>
      <w:autoSpaceDE w:val="0"/>
      <w:autoSpaceDN w:val="0"/>
      <w:adjustRightInd w:val="0"/>
      <w:spacing w:after="170" w:line="280" w:lineRule="atLeast"/>
      <w:textAlignment w:val="center"/>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A7443"/>
    <w:pPr>
      <w:suppressAutoHyphens/>
      <w:autoSpaceDE w:val="0"/>
      <w:autoSpaceDN w:val="0"/>
      <w:adjustRightInd w:val="0"/>
      <w:spacing w:after="170" w:line="280" w:lineRule="atLeast"/>
      <w:textAlignment w:val="center"/>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A7443"/>
    <w:pPr>
      <w:suppressAutoHyphens/>
      <w:autoSpaceDE w:val="0"/>
      <w:autoSpaceDN w:val="0"/>
      <w:adjustRightInd w:val="0"/>
      <w:spacing w:after="170" w:line="280" w:lineRule="atLeast"/>
      <w:textAlignment w:val="center"/>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DB04AB"/>
    <w:pPr>
      <w:suppressAutoHyphens/>
      <w:autoSpaceDE w:val="0"/>
      <w:autoSpaceDN w:val="0"/>
      <w:adjustRightInd w:val="0"/>
      <w:spacing w:after="170" w:line="280" w:lineRule="atLeast"/>
      <w:textAlignment w:val="center"/>
    </w:pPr>
    <w:rPr>
      <w:rFonts w:ascii="Arial" w:hAnsi="Arial"/>
      <w:color w:val="54534C"/>
      <w:sz w:val="16"/>
      <w:szCs w:val="16"/>
    </w:rPr>
    <w:tblPr>
      <w:tblInd w:w="0" w:type="dxa"/>
      <w:tblBorders>
        <w:bottom w:val="single" w:sz="4" w:space="0" w:color="2C6365"/>
        <w:insideH w:val="single" w:sz="4" w:space="0" w:color="2C6365"/>
      </w:tblBorders>
      <w:tblCellMar>
        <w:top w:w="0" w:type="dxa"/>
        <w:left w:w="108" w:type="dxa"/>
        <w:bottom w:w="0" w:type="dxa"/>
        <w:right w:w="108" w:type="dxa"/>
      </w:tblCellMar>
    </w:tblPr>
    <w:tcPr>
      <w:vAlign w:val="center"/>
    </w:tcPr>
    <w:tblStylePr w:type="firstRow">
      <w:rPr>
        <w:rFonts w:ascii="Arial" w:hAnsi="Arial"/>
        <w:b w:val="0"/>
        <w:i w:val="0"/>
        <w:caps/>
        <w:smallCaps w:val="0"/>
        <w:color w:val="FFFFFF"/>
        <w:sz w:val="20"/>
        <w:szCs w:val="20"/>
      </w:rPr>
      <w:tblPr/>
      <w:tcPr>
        <w:tcBorders>
          <w:top w:val="nil"/>
          <w:left w:val="nil"/>
          <w:bottom w:val="single" w:sz="2" w:space="0" w:color="FFFFFF"/>
          <w:right w:val="nil"/>
          <w:insideH w:val="nil"/>
          <w:insideV w:val="nil"/>
          <w:tl2br w:val="nil"/>
          <w:tr2bl w:val="nil"/>
        </w:tcBorders>
        <w:shd w:val="clear" w:color="auto" w:fill="80BDC1"/>
      </w:tcPr>
    </w:tblStylePr>
  </w:style>
  <w:style w:type="paragraph" w:customStyle="1" w:styleId="Centredepartmentname">
    <w:name w:val="Centre/department name"/>
    <w:basedOn w:val="Normal"/>
    <w:rsid w:val="00A5072D"/>
    <w:pPr>
      <w:spacing w:after="0" w:line="240" w:lineRule="auto"/>
      <w:ind w:left="396"/>
    </w:pPr>
    <w:rPr>
      <w:color w:val="007073"/>
      <w:sz w:val="16"/>
      <w:szCs w:val="16"/>
    </w:rPr>
  </w:style>
  <w:style w:type="paragraph" w:customStyle="1" w:styleId="Insidecoversubheading">
    <w:name w:val="Inside cover subheading"/>
    <w:basedOn w:val="Normal"/>
    <w:rsid w:val="00A5072D"/>
    <w:pPr>
      <w:spacing w:after="0"/>
      <w:ind w:left="408"/>
    </w:pPr>
    <w:rPr>
      <w:b/>
      <w:color w:val="007073"/>
      <w:sz w:val="20"/>
      <w:szCs w:val="20"/>
    </w:rPr>
  </w:style>
  <w:style w:type="paragraph" w:customStyle="1" w:styleId="Tableheading">
    <w:name w:val="Table heading"/>
    <w:basedOn w:val="BodyText"/>
    <w:rsid w:val="00F7521F"/>
    <w:pPr>
      <w:spacing w:before="40" w:after="40"/>
    </w:pPr>
    <w:rPr>
      <w:color w:val="FFFFFF"/>
      <w:sz w:val="20"/>
    </w:rPr>
  </w:style>
  <w:style w:type="paragraph" w:styleId="Date">
    <w:name w:val="Date"/>
    <w:basedOn w:val="Normal"/>
    <w:next w:val="Normal"/>
    <w:semiHidden/>
    <w:rsid w:val="006E3013"/>
  </w:style>
  <w:style w:type="character" w:customStyle="1" w:styleId="BodyTextChar1">
    <w:name w:val="Body Text Char1"/>
    <w:basedOn w:val="DefaultParagraphFont"/>
    <w:link w:val="BodyText"/>
    <w:rsid w:val="00CF4B80"/>
    <w:rPr>
      <w:rFonts w:ascii="Arial" w:hAnsi="Arial" w:cs="Arial"/>
      <w:sz w:val="22"/>
      <w:szCs w:val="22"/>
      <w:lang w:val="en-US" w:eastAsia="en-NZ" w:bidi="ar-SA"/>
    </w:rPr>
  </w:style>
  <w:style w:type="paragraph" w:customStyle="1" w:styleId="Default">
    <w:name w:val="Default"/>
    <w:rsid w:val="007C16D1"/>
    <w:pPr>
      <w:autoSpaceDE w:val="0"/>
      <w:autoSpaceDN w:val="0"/>
      <w:adjustRightInd w:val="0"/>
    </w:pPr>
    <w:rPr>
      <w:rFonts w:ascii="Times New Roman" w:hAnsi="Times New Roman"/>
      <w:color w:val="000000"/>
      <w:sz w:val="24"/>
      <w:szCs w:val="24"/>
      <w:lang w:val="en-US" w:eastAsia="en-US"/>
    </w:rPr>
  </w:style>
  <w:style w:type="character" w:customStyle="1" w:styleId="footnoteChar">
    <w:name w:val="footnote Char"/>
    <w:basedOn w:val="DefaultParagraphFont"/>
    <w:link w:val="footnote"/>
    <w:rsid w:val="00F224B2"/>
    <w:rPr>
      <w:rFonts w:ascii="Arial (TT)" w:hAnsi="Arial (TT)" w:cs="Arial (TT)"/>
      <w:color w:val="54534C"/>
      <w:sz w:val="16"/>
      <w:szCs w:val="16"/>
      <w:lang w:val="en-US" w:eastAsia="en-NZ" w:bidi="ar-SA"/>
    </w:rPr>
  </w:style>
  <w:style w:type="character" w:customStyle="1" w:styleId="FootnoteTextChar1">
    <w:name w:val="Footnote Text Char1"/>
    <w:basedOn w:val="footnoteChar"/>
    <w:link w:val="FootnoteText"/>
    <w:rsid w:val="004267E4"/>
    <w:rPr>
      <w:rFonts w:ascii="Arial" w:hAnsi="Arial" w:cs="Arial"/>
      <w:color w:val="54534C"/>
      <w:sz w:val="18"/>
      <w:szCs w:val="16"/>
      <w:lang w:val="en-US" w:eastAsia="en-NZ" w:bidi="ar-SA"/>
    </w:rPr>
  </w:style>
  <w:style w:type="paragraph" w:customStyle="1" w:styleId="Reference">
    <w:name w:val="Reference"/>
    <w:basedOn w:val="BodyText"/>
    <w:rsid w:val="001D6997"/>
    <w:pPr>
      <w:ind w:left="227" w:hanging="227"/>
    </w:pPr>
    <w:rPr>
      <w:sz w:val="20"/>
    </w:rPr>
  </w:style>
  <w:style w:type="paragraph" w:customStyle="1" w:styleId="CharChar1CharCharCharChar">
    <w:name w:val="Char Char1 Char Char Char Char"/>
    <w:basedOn w:val="Normal"/>
    <w:rsid w:val="003A60CD"/>
    <w:pPr>
      <w:suppressAutoHyphens w:val="0"/>
      <w:autoSpaceDE/>
      <w:autoSpaceDN/>
      <w:adjustRightInd/>
      <w:spacing w:before="360" w:after="240"/>
      <w:jc w:val="both"/>
      <w:textAlignment w:val="auto"/>
    </w:pPr>
    <w:rPr>
      <w:rFonts w:ascii="Verdana" w:hAnsi="Verdana" w:cs="Times New Roman"/>
      <w:b/>
      <w:caps/>
      <w:color w:val="auto"/>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BodyText"/>
    <w:qFormat/>
    <w:pPr>
      <w:suppressAutoHyphens/>
      <w:autoSpaceDE w:val="0"/>
      <w:autoSpaceDN w:val="0"/>
      <w:adjustRightInd w:val="0"/>
      <w:spacing w:after="170" w:line="280" w:lineRule="atLeast"/>
      <w:textAlignment w:val="center"/>
    </w:pPr>
    <w:rPr>
      <w:rFonts w:ascii="Arial" w:hAnsi="Arial" w:cs="Arial"/>
      <w:color w:val="54534C"/>
      <w:sz w:val="22"/>
      <w:szCs w:val="22"/>
      <w:lang w:val="en-US"/>
    </w:rPr>
  </w:style>
  <w:style w:type="paragraph" w:styleId="Heading1">
    <w:name w:val="heading 1"/>
    <w:basedOn w:val="Normal"/>
    <w:next w:val="Heading2"/>
    <w:qFormat/>
    <w:rsid w:val="002A7443"/>
    <w:pPr>
      <w:spacing w:before="200" w:after="0" w:line="240" w:lineRule="auto"/>
      <w:outlineLvl w:val="0"/>
    </w:pPr>
    <w:rPr>
      <w:b/>
      <w:bCs/>
      <w:noProof/>
      <w:color w:val="007073"/>
      <w:sz w:val="80"/>
      <w:szCs w:val="80"/>
      <w:lang w:val="en-NZ"/>
    </w:rPr>
  </w:style>
  <w:style w:type="paragraph" w:styleId="Heading2">
    <w:name w:val="heading 2"/>
    <w:basedOn w:val="Normal"/>
    <w:next w:val="BodyText"/>
    <w:qFormat/>
    <w:rsid w:val="00213F77"/>
    <w:pPr>
      <w:spacing w:before="340" w:line="288" w:lineRule="auto"/>
      <w:outlineLvl w:val="1"/>
    </w:pPr>
    <w:rPr>
      <w:b/>
      <w:bCs/>
      <w:color w:val="007073"/>
      <w:sz w:val="28"/>
      <w:szCs w:val="28"/>
    </w:rPr>
  </w:style>
  <w:style w:type="paragraph" w:styleId="Heading3">
    <w:name w:val="heading 3"/>
    <w:basedOn w:val="Normal"/>
    <w:next w:val="BodyText"/>
    <w:qFormat/>
    <w:rsid w:val="002A6E1A"/>
    <w:pPr>
      <w:spacing w:before="340" w:after="113"/>
      <w:outlineLvl w:val="2"/>
    </w:pPr>
    <w:rPr>
      <w:b/>
      <w:bCs/>
      <w:color w:val="007073"/>
      <w:szCs w:val="20"/>
    </w:rPr>
  </w:style>
  <w:style w:type="paragraph" w:styleId="Heading4">
    <w:name w:val="heading 4"/>
    <w:basedOn w:val="Normal"/>
    <w:next w:val="Normal"/>
    <w:qFormat/>
    <w:rsid w:val="00213F77"/>
    <w:pPr>
      <w:spacing w:before="57" w:after="57"/>
      <w:outlineLvl w:val="3"/>
    </w:pPr>
    <w:rPr>
      <w:b/>
      <w:bCs/>
      <w:color w:val="007073"/>
      <w:sz w:val="20"/>
    </w:rPr>
  </w:style>
  <w:style w:type="paragraph" w:styleId="Heading5">
    <w:name w:val="heading 5"/>
    <w:basedOn w:val="Normal"/>
    <w:next w:val="Normal"/>
    <w:qFormat/>
    <w:rsid w:val="00A800C6"/>
    <w:pPr>
      <w:spacing w:before="57" w:after="57"/>
      <w:outlineLvl w:val="4"/>
    </w:pPr>
    <w:rPr>
      <w:b/>
      <w:bCs/>
      <w:sz w:val="20"/>
    </w:rPr>
  </w:style>
  <w:style w:type="paragraph" w:styleId="Heading6">
    <w:name w:val="heading 6"/>
    <w:basedOn w:val="Heading7"/>
    <w:next w:val="Normal"/>
    <w:qFormat/>
    <w:rsid w:val="004433EC"/>
    <w:pPr>
      <w:outlineLvl w:val="5"/>
    </w:pPr>
    <w:rPr>
      <w:caps/>
    </w:rPr>
  </w:style>
  <w:style w:type="paragraph" w:styleId="Heading7">
    <w:name w:val="heading 7"/>
    <w:basedOn w:val="Normal"/>
    <w:next w:val="Normal"/>
    <w:qFormat/>
    <w:rsid w:val="004433EC"/>
    <w:pPr>
      <w:suppressAutoHyphens w:val="0"/>
      <w:spacing w:after="0" w:line="288" w:lineRule="auto"/>
      <w:outlineLvl w:val="6"/>
    </w:pPr>
    <w:rPr>
      <w:rFonts w:ascii="Arial (TT)" w:hAnsi="Arial (TT)" w:cs="Arial (TT)"/>
      <w:color w:val="007073"/>
      <w:sz w:val="16"/>
      <w:szCs w:val="16"/>
    </w:rPr>
  </w:style>
  <w:style w:type="paragraph" w:styleId="Heading8">
    <w:name w:val="heading 8"/>
    <w:basedOn w:val="Normal"/>
    <w:next w:val="Normal"/>
    <w:qFormat/>
    <w:rsid w:val="002A7443"/>
    <w:pPr>
      <w:numPr>
        <w:ilvl w:val="7"/>
        <w:numId w:val="26"/>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2A7443"/>
    <w:pPr>
      <w:numPr>
        <w:ilvl w:val="8"/>
        <w:numId w:val="26"/>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CF4B80"/>
    <w:rPr>
      <w:color w:val="auto"/>
    </w:rPr>
  </w:style>
  <w:style w:type="character" w:customStyle="1" w:styleId="BodyTextChar">
    <w:name w:val="Body Text Char"/>
    <w:basedOn w:val="DefaultParagraphFont"/>
    <w:semiHidden/>
    <w:rPr>
      <w:rFonts w:ascii="Verdana" w:eastAsia="Times New Roman" w:hAnsi="Verdana" w:cs="Times New Roman"/>
      <w:color w:val="8D8F86"/>
      <w:sz w:val="18"/>
      <w:szCs w:val="20"/>
      <w:lang w:eastAsia="en-GB"/>
    </w:rPr>
  </w:style>
  <w:style w:type="character" w:customStyle="1" w:styleId="Heading1Char">
    <w:name w:val="Heading 1 Char"/>
    <w:basedOn w:val="DefaultParagraphFont"/>
    <w:semiHidden/>
    <w:rPr>
      <w:rFonts w:ascii="Arial" w:hAnsi="Arial" w:cs="Arial"/>
      <w:b/>
      <w:bCs/>
      <w:noProof/>
      <w:color w:val="007073"/>
      <w:sz w:val="80"/>
      <w:szCs w:val="80"/>
    </w:rPr>
  </w:style>
  <w:style w:type="character" w:customStyle="1" w:styleId="Heading2Char">
    <w:name w:val="Heading 2 Char"/>
    <w:basedOn w:val="DefaultParagraphFont"/>
    <w:semiHidden/>
    <w:rPr>
      <w:rFonts w:ascii="Arial" w:hAnsi="Arial" w:cs="Arial"/>
      <w:b/>
      <w:bCs/>
      <w:color w:val="2C6365"/>
      <w:sz w:val="28"/>
      <w:szCs w:val="28"/>
      <w:lang w:val="en-US"/>
    </w:rPr>
  </w:style>
  <w:style w:type="character" w:customStyle="1" w:styleId="Heading3Char">
    <w:name w:val="Heading 3 Char"/>
    <w:basedOn w:val="DefaultParagraphFont"/>
    <w:semiHidden/>
    <w:rPr>
      <w:rFonts w:ascii="Arial" w:hAnsi="Arial" w:cs="Arial"/>
      <w:b/>
      <w:bCs/>
      <w:caps/>
      <w:color w:val="007073"/>
      <w:lang w:val="en-US"/>
    </w:rPr>
  </w:style>
  <w:style w:type="paragraph" w:styleId="Header">
    <w:name w:val="header"/>
    <w:basedOn w:val="Normal"/>
    <w:unhideWhenUsed/>
    <w:pPr>
      <w:tabs>
        <w:tab w:val="center" w:pos="4513"/>
        <w:tab w:val="right" w:pos="9026"/>
      </w:tabs>
      <w:spacing w:after="0"/>
    </w:pPr>
  </w:style>
  <w:style w:type="character" w:customStyle="1" w:styleId="HeaderChar">
    <w:name w:val="Header Char"/>
    <w:basedOn w:val="DefaultParagraphFont"/>
    <w:semiHidden/>
    <w:rPr>
      <w:rFonts w:ascii="Verdana" w:hAnsi="Verdana" w:cs="Times New Roman"/>
      <w:color w:val="8D8F86"/>
      <w:sz w:val="18"/>
      <w:szCs w:val="20"/>
      <w:lang w:eastAsia="en-GB"/>
    </w:rPr>
  </w:style>
  <w:style w:type="paragraph" w:styleId="Title">
    <w:name w:val="Title"/>
    <w:basedOn w:val="Normal"/>
    <w:qFormat/>
    <w:pPr>
      <w:spacing w:before="240" w:after="60"/>
      <w:jc w:val="center"/>
      <w:outlineLvl w:val="0"/>
    </w:pPr>
    <w:rPr>
      <w:b/>
      <w:bCs/>
      <w:kern w:val="28"/>
      <w:sz w:val="32"/>
      <w:szCs w:val="32"/>
    </w:rPr>
  </w:style>
  <w:style w:type="paragraph" w:styleId="Footer">
    <w:name w:val="footer"/>
    <w:basedOn w:val="Normal"/>
    <w:semiHidden/>
    <w:pPr>
      <w:tabs>
        <w:tab w:val="center" w:pos="4320"/>
        <w:tab w:val="right" w:pos="8640"/>
      </w:tabs>
    </w:pPr>
  </w:style>
  <w:style w:type="paragraph" w:styleId="BalloonText">
    <w:name w:val="Balloon Text"/>
    <w:basedOn w:val="Normal"/>
    <w:semiHidden/>
    <w:unhideWhenUsed/>
    <w:pPr>
      <w:spacing w:after="0"/>
    </w:pPr>
    <w:rPr>
      <w:rFonts w:ascii="Tahoma" w:hAnsi="Tahoma" w:cs="Tahoma"/>
      <w:sz w:val="16"/>
      <w:szCs w:val="16"/>
    </w:rPr>
  </w:style>
  <w:style w:type="character" w:customStyle="1" w:styleId="BalloonTextChar">
    <w:name w:val="Balloon Text Char"/>
    <w:basedOn w:val="DefaultParagraphFont"/>
    <w:semiHidden/>
    <w:rPr>
      <w:rFonts w:ascii="Tahoma" w:hAnsi="Tahoma" w:cs="Tahoma"/>
      <w:color w:val="8D8F86"/>
      <w:sz w:val="16"/>
      <w:szCs w:val="16"/>
      <w:lang w:eastAsia="en-GB"/>
    </w:rPr>
  </w:style>
  <w:style w:type="paragraph" w:customStyle="1" w:styleId="Diagramheading">
    <w:name w:val="Diagram heading"/>
    <w:basedOn w:val="moreinfo"/>
    <w:pPr>
      <w:spacing w:before="60" w:after="60"/>
      <w:ind w:left="170"/>
    </w:pPr>
    <w:rPr>
      <w:rFonts w:ascii="Arial" w:hAnsi="Arial" w:cs="Arial"/>
      <w:caps/>
      <w:color w:val="FFFFFF"/>
      <w:sz w:val="16"/>
      <w:szCs w:val="16"/>
    </w:rPr>
  </w:style>
  <w:style w:type="paragraph" w:customStyle="1" w:styleId="moreinfo">
    <w:name w:val="more info"/>
    <w:basedOn w:val="Normal"/>
    <w:pPr>
      <w:suppressAutoHyphens w:val="0"/>
      <w:spacing w:after="0" w:line="288" w:lineRule="auto"/>
    </w:pPr>
    <w:rPr>
      <w:rFonts w:ascii="Arial (TT) Regular" w:hAnsi="Arial (TT) Regular" w:cs="Times New Roman"/>
      <w:sz w:val="20"/>
      <w:szCs w:val="20"/>
    </w:rPr>
  </w:style>
  <w:style w:type="paragraph" w:customStyle="1" w:styleId="smalltextcaps">
    <w:name w:val="small text caps"/>
    <w:basedOn w:val="Normal"/>
    <w:semiHidden/>
    <w:pPr>
      <w:spacing w:after="0" w:line="288" w:lineRule="auto"/>
      <w:jc w:val="right"/>
    </w:pPr>
    <w:rPr>
      <w:rFonts w:ascii="Arial (TT)" w:hAnsi="Arial (TT)" w:cs="Arial (TT)"/>
      <w:sz w:val="20"/>
      <w:lang w:eastAsia="en-US"/>
    </w:rPr>
  </w:style>
  <w:style w:type="paragraph" w:customStyle="1" w:styleId="PaperTitle">
    <w:name w:val="Paper Title"/>
    <w:semiHidden/>
    <w:qFormat/>
    <w:rsid w:val="00A5072D"/>
    <w:pPr>
      <w:spacing w:before="40"/>
      <w:jc w:val="center"/>
    </w:pPr>
    <w:rPr>
      <w:rFonts w:ascii="Arial" w:hAnsi="Arial" w:cs="Arial"/>
      <w:color w:val="54534C"/>
      <w:szCs w:val="22"/>
      <w:lang w:val="en-US" w:eastAsia="en-US"/>
    </w:rPr>
  </w:style>
  <w:style w:type="paragraph" w:customStyle="1" w:styleId="Bodytext0">
    <w:name w:val="Bodytext"/>
    <w:basedOn w:val="Normal"/>
    <w:semiHidden/>
    <w:qFormat/>
    <w:pPr>
      <w:ind w:right="765"/>
    </w:pPr>
  </w:style>
  <w:style w:type="paragraph" w:customStyle="1" w:styleId="bodytext1">
    <w:name w:val="bodytext"/>
    <w:basedOn w:val="Normal"/>
    <w:semiHidden/>
  </w:style>
  <w:style w:type="paragraph" w:customStyle="1" w:styleId="ReportDate">
    <w:name w:val="Report Date"/>
    <w:qFormat/>
    <w:rsid w:val="00C70D6C"/>
    <w:pPr>
      <w:ind w:left="420"/>
    </w:pPr>
    <w:rPr>
      <w:rFonts w:ascii="Arial" w:hAnsi="Arial" w:cs="Arial"/>
      <w:b/>
      <w:bCs/>
      <w:color w:val="409CA2"/>
      <w:sz w:val="28"/>
      <w:szCs w:val="28"/>
      <w:lang w:val="en-US"/>
    </w:rPr>
  </w:style>
  <w:style w:type="paragraph" w:styleId="Closing">
    <w:name w:val="Closing"/>
    <w:basedOn w:val="Normal"/>
    <w:semiHidden/>
    <w:pPr>
      <w:ind w:left="4252"/>
    </w:pPr>
  </w:style>
  <w:style w:type="paragraph" w:customStyle="1" w:styleId="bullet1">
    <w:name w:val="bullet 1"/>
    <w:basedOn w:val="Normal"/>
    <w:rsid w:val="00D54C4C"/>
    <w:pPr>
      <w:numPr>
        <w:numId w:val="38"/>
      </w:numPr>
      <w:tabs>
        <w:tab w:val="left" w:pos="357"/>
      </w:tabs>
      <w:spacing w:after="57"/>
    </w:pPr>
    <w:rPr>
      <w:rFonts w:cs="Arial (TT)"/>
      <w:color w:val="auto"/>
    </w:rPr>
  </w:style>
  <w:style w:type="paragraph" w:customStyle="1" w:styleId="bodytextindent">
    <w:name w:val="bodytext indent"/>
    <w:basedOn w:val="bodytext1"/>
    <w:semiHidden/>
    <w:pPr>
      <w:spacing w:after="57"/>
      <w:ind w:left="227"/>
    </w:pPr>
  </w:style>
  <w:style w:type="paragraph" w:customStyle="1" w:styleId="bullet2">
    <w:name w:val="bullet 2"/>
    <w:basedOn w:val="bullet2last"/>
    <w:rsid w:val="00D54C4C"/>
    <w:pPr>
      <w:numPr>
        <w:numId w:val="6"/>
      </w:numPr>
      <w:spacing w:after="57"/>
    </w:pPr>
  </w:style>
  <w:style w:type="paragraph" w:customStyle="1" w:styleId="bullet2last">
    <w:name w:val="bullet 2 last"/>
    <w:basedOn w:val="Normal"/>
    <w:next w:val="BodyText"/>
    <w:qFormat/>
    <w:rsid w:val="00D54C4C"/>
    <w:pPr>
      <w:numPr>
        <w:numId w:val="37"/>
      </w:numPr>
    </w:pPr>
    <w:rPr>
      <w:color w:val="auto"/>
    </w:rPr>
  </w:style>
  <w:style w:type="paragraph" w:customStyle="1" w:styleId="bulletalpha1">
    <w:name w:val="bullet alpha 1"/>
    <w:basedOn w:val="Normal"/>
    <w:pPr>
      <w:numPr>
        <w:numId w:val="7"/>
      </w:numPr>
      <w:spacing w:after="57"/>
      <w:ind w:left="360"/>
    </w:pPr>
    <w:rPr>
      <w:rFonts w:cs="Arial (TT)"/>
    </w:rPr>
  </w:style>
  <w:style w:type="paragraph" w:customStyle="1" w:styleId="bulletalpha1last">
    <w:name w:val="bullet alpha 1 last"/>
    <w:basedOn w:val="bulletalpha1"/>
    <w:pPr>
      <w:spacing w:after="170"/>
    </w:pPr>
  </w:style>
  <w:style w:type="paragraph" w:customStyle="1" w:styleId="bulletnumbered1">
    <w:name w:val="bullet numbered 1"/>
    <w:basedOn w:val="bulletalpha1"/>
    <w:pPr>
      <w:numPr>
        <w:numId w:val="18"/>
      </w:numPr>
      <w:ind w:left="357" w:hanging="357"/>
    </w:pPr>
  </w:style>
  <w:style w:type="paragraph" w:customStyle="1" w:styleId="Introduction">
    <w:name w:val="Introduction"/>
    <w:basedOn w:val="Normal"/>
    <w:qFormat/>
    <w:pPr>
      <w:spacing w:after="283" w:line="340" w:lineRule="atLeast"/>
    </w:pPr>
    <w:rPr>
      <w:bCs/>
      <w:color w:val="2C6365"/>
      <w:sz w:val="26"/>
      <w:szCs w:val="26"/>
    </w:rPr>
  </w:style>
  <w:style w:type="character" w:customStyle="1" w:styleId="Heading4Char">
    <w:name w:val="Heading 4 Char"/>
    <w:basedOn w:val="DefaultParagraphFont"/>
    <w:semiHidden/>
    <w:rPr>
      <w:rFonts w:ascii="Arial" w:hAnsi="Arial" w:cs="Arial"/>
      <w:b/>
      <w:bCs/>
      <w:color w:val="007073"/>
      <w:sz w:val="22"/>
      <w:szCs w:val="22"/>
      <w:lang w:val="en-US"/>
    </w:rPr>
  </w:style>
  <w:style w:type="paragraph" w:customStyle="1" w:styleId="bulletnumbered1last">
    <w:name w:val="bullet numbered 1 last"/>
    <w:basedOn w:val="bulletnumbered1"/>
    <w:pPr>
      <w:spacing w:after="170"/>
    </w:pPr>
  </w:style>
  <w:style w:type="paragraph" w:customStyle="1" w:styleId="bullet1last">
    <w:name w:val="bullet 1 last"/>
    <w:basedOn w:val="bullet1"/>
    <w:qFormat/>
    <w:rsid w:val="00D54C4C"/>
    <w:pPr>
      <w:numPr>
        <w:numId w:val="22"/>
      </w:numPr>
      <w:spacing w:after="170"/>
    </w:pPr>
  </w:style>
  <w:style w:type="character" w:customStyle="1" w:styleId="Heading5Char">
    <w:name w:val="Heading 5 Char"/>
    <w:basedOn w:val="DefaultParagraphFont"/>
    <w:semiHidden/>
    <w:rPr>
      <w:rFonts w:ascii="Arial" w:hAnsi="Arial" w:cs="Arial"/>
      <w:b/>
      <w:bCs/>
      <w:color w:val="54534C"/>
      <w:szCs w:val="22"/>
      <w:lang w:val="en-US"/>
    </w:rPr>
  </w:style>
  <w:style w:type="paragraph" w:styleId="TOC1">
    <w:name w:val="toc 1"/>
    <w:basedOn w:val="Normal"/>
    <w:next w:val="Normal"/>
    <w:autoRedefine/>
    <w:uiPriority w:val="39"/>
    <w:unhideWhenUsed/>
    <w:pPr>
      <w:tabs>
        <w:tab w:val="right" w:leader="dot" w:pos="9639"/>
      </w:tabs>
      <w:spacing w:before="510" w:after="57"/>
    </w:pPr>
    <w:rPr>
      <w:caps/>
      <w:noProof/>
      <w:color w:val="007073"/>
      <w:sz w:val="20"/>
    </w:rPr>
  </w:style>
  <w:style w:type="paragraph" w:styleId="TOC2">
    <w:name w:val="toc 2"/>
    <w:basedOn w:val="Normal"/>
    <w:next w:val="Normal"/>
    <w:autoRedefine/>
    <w:uiPriority w:val="39"/>
    <w:unhideWhenUsed/>
    <w:rsid w:val="00897C1E"/>
    <w:pPr>
      <w:tabs>
        <w:tab w:val="right" w:leader="dot" w:pos="9639"/>
      </w:tabs>
      <w:spacing w:before="57" w:after="57"/>
    </w:pPr>
    <w:rPr>
      <w:noProof/>
      <w:color w:val="auto"/>
      <w:sz w:val="20"/>
    </w:rPr>
  </w:style>
  <w:style w:type="character" w:styleId="Hyperlink">
    <w:name w:val="Hyperlink"/>
    <w:basedOn w:val="DefaultParagraphFont"/>
    <w:uiPriority w:val="99"/>
    <w:unhideWhenUsed/>
    <w:rsid w:val="001A3866"/>
    <w:rPr>
      <w:rFonts w:ascii="Arial" w:hAnsi="Arial"/>
      <w:color w:val="007073"/>
      <w:sz w:val="18"/>
      <w:szCs w:val="20"/>
      <w:u w:val="none"/>
    </w:rPr>
  </w:style>
  <w:style w:type="paragraph" w:customStyle="1" w:styleId="Heading1-NonTOC">
    <w:name w:val="Heading 1 - Non TOC"/>
    <w:basedOn w:val="Heading1"/>
    <w:qFormat/>
    <w:rsid w:val="002A7443"/>
  </w:style>
  <w:style w:type="paragraph" w:customStyle="1" w:styleId="FooterText">
    <w:name w:val="Footer Text"/>
    <w:basedOn w:val="Normal"/>
    <w:semiHidden/>
    <w:qFormat/>
    <w:pPr>
      <w:tabs>
        <w:tab w:val="center" w:pos="4513"/>
        <w:tab w:val="right" w:pos="9026"/>
      </w:tabs>
      <w:spacing w:after="0" w:line="240" w:lineRule="auto"/>
    </w:pPr>
    <w:rPr>
      <w:color w:val="007073"/>
      <w:sz w:val="16"/>
      <w:szCs w:val="16"/>
    </w:rPr>
  </w:style>
  <w:style w:type="paragraph" w:customStyle="1" w:styleId="TableHeadings">
    <w:name w:val="Table Headings"/>
    <w:basedOn w:val="BodyText"/>
    <w:semiHidden/>
    <w:qFormat/>
    <w:pPr>
      <w:framePr w:hSpace="180" w:wrap="around" w:vAnchor="page" w:hAnchor="margin" w:xAlign="center" w:y="556"/>
    </w:pPr>
    <w:rPr>
      <w:b/>
      <w:color w:val="007073"/>
      <w:sz w:val="20"/>
    </w:rPr>
  </w:style>
  <w:style w:type="paragraph" w:customStyle="1" w:styleId="ReportTitle">
    <w:name w:val="Report Title"/>
    <w:basedOn w:val="Heading1"/>
    <w:qFormat/>
    <w:rsid w:val="00A5072D"/>
    <w:pPr>
      <w:spacing w:after="240"/>
      <w:ind w:left="363"/>
    </w:pPr>
  </w:style>
  <w:style w:type="paragraph" w:customStyle="1" w:styleId="Dividerline">
    <w:name w:val="Divider line"/>
    <w:basedOn w:val="Normal"/>
    <w:semiHidden/>
    <w:qFormat/>
    <w:pPr>
      <w:pBdr>
        <w:bottom w:val="single" w:sz="2" w:space="1" w:color="E6F2F3"/>
      </w:pBdr>
      <w:spacing w:after="480"/>
      <w:ind w:left="-505" w:right="-885"/>
    </w:pPr>
    <w:rPr>
      <w:sz w:val="32"/>
    </w:rPr>
  </w:style>
  <w:style w:type="paragraph" w:customStyle="1" w:styleId="Quote1">
    <w:name w:val="Quote1"/>
    <w:basedOn w:val="Normal"/>
    <w:pPr>
      <w:spacing w:after="113"/>
    </w:pPr>
    <w:rPr>
      <w:rFonts w:cs="Arial (TT) Italic"/>
      <w:i/>
      <w:iCs/>
      <w:color w:val="007073"/>
    </w:rPr>
  </w:style>
  <w:style w:type="paragraph" w:customStyle="1" w:styleId="footnote">
    <w:name w:val="footnote"/>
    <w:basedOn w:val="Normal"/>
    <w:link w:val="footnoteChar"/>
    <w:semiHidden/>
    <w:pPr>
      <w:spacing w:after="57" w:line="220" w:lineRule="atLeast"/>
      <w:ind w:left="227" w:hanging="227"/>
    </w:pPr>
    <w:rPr>
      <w:rFonts w:ascii="Arial (TT)" w:hAnsi="Arial (TT)" w:cs="Arial (TT)"/>
      <w:sz w:val="16"/>
      <w:szCs w:val="16"/>
    </w:rPr>
  </w:style>
  <w:style w:type="paragraph" w:styleId="FootnoteText">
    <w:name w:val="footnote text"/>
    <w:basedOn w:val="footnote"/>
    <w:link w:val="FootnoteTextChar1"/>
    <w:unhideWhenUsed/>
    <w:rsid w:val="004267E4"/>
    <w:pPr>
      <w:tabs>
        <w:tab w:val="left" w:pos="227"/>
      </w:tabs>
    </w:pPr>
    <w:rPr>
      <w:rFonts w:ascii="Arial" w:hAnsi="Arial" w:cs="Arial"/>
      <w:color w:val="auto"/>
      <w:sz w:val="18"/>
    </w:rPr>
  </w:style>
  <w:style w:type="character" w:customStyle="1" w:styleId="FootnoteTextChar">
    <w:name w:val="Footnote Text Char"/>
    <w:basedOn w:val="DefaultParagraphFont"/>
    <w:rsid w:val="00C229B4"/>
    <w:rPr>
      <w:rFonts w:ascii="Arial" w:hAnsi="Arial" w:cs="Arial"/>
      <w:color w:val="007073"/>
      <w:sz w:val="20"/>
      <w:szCs w:val="16"/>
      <w:vertAlign w:val="superscript"/>
      <w:lang w:val="en-US"/>
    </w:rPr>
  </w:style>
  <w:style w:type="character" w:styleId="FootnoteReference">
    <w:name w:val="footnote reference"/>
    <w:basedOn w:val="FootnoteTextChar"/>
    <w:unhideWhenUsed/>
    <w:rPr>
      <w:rFonts w:ascii="Arial" w:hAnsi="Arial" w:cs="Arial"/>
      <w:color w:val="007073"/>
      <w:sz w:val="20"/>
      <w:szCs w:val="16"/>
      <w:vertAlign w:val="superscript"/>
      <w:lang w:val="en-US"/>
    </w:rPr>
  </w:style>
  <w:style w:type="paragraph" w:customStyle="1" w:styleId="TableText">
    <w:name w:val="Table Text"/>
    <w:basedOn w:val="BodyText"/>
    <w:qFormat/>
    <w:rsid w:val="00F7521F"/>
    <w:pPr>
      <w:spacing w:after="0" w:line="240" w:lineRule="auto"/>
    </w:pPr>
    <w:rPr>
      <w:sz w:val="16"/>
      <w:szCs w:val="16"/>
    </w:rPr>
  </w:style>
  <w:style w:type="paragraph" w:customStyle="1" w:styleId="TableSubHeading">
    <w:name w:val="Table Sub Heading"/>
    <w:basedOn w:val="BodyText"/>
    <w:qFormat/>
    <w:rsid w:val="00F7521F"/>
    <w:pPr>
      <w:spacing w:after="0" w:line="240" w:lineRule="auto"/>
    </w:pPr>
    <w:rPr>
      <w:color w:val="007073"/>
      <w:sz w:val="16"/>
      <w:szCs w:val="16"/>
    </w:rPr>
  </w:style>
  <w:style w:type="character" w:customStyle="1" w:styleId="Heading7Char">
    <w:name w:val="Heading 7 Char"/>
    <w:basedOn w:val="DefaultParagraphFont"/>
    <w:semiHidden/>
    <w:rPr>
      <w:rFonts w:ascii="Arial (TT)" w:hAnsi="Arial (TT)" w:cs="Arial (TT)"/>
      <w:caps/>
      <w:color w:val="007073"/>
      <w:sz w:val="16"/>
      <w:szCs w:val="16"/>
      <w:lang w:val="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spacing w:after="120"/>
      <w:ind w:firstLine="210"/>
    </w:pPr>
  </w:style>
  <w:style w:type="paragraph" w:styleId="BodyTextIndent0">
    <w:name w:val="Body Text Indent"/>
    <w:basedOn w:val="Normal"/>
    <w:semiHidden/>
    <w:pPr>
      <w:spacing w:after="120"/>
      <w:ind w:left="283"/>
    </w:pPr>
  </w:style>
  <w:style w:type="paragraph" w:styleId="BodyTextFirstIndent2">
    <w:name w:val="Body Text First Indent 2"/>
    <w:basedOn w:val="BodyTextIndent0"/>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E-mailSignature">
    <w:name w:val="E-mail Signature"/>
    <w:basedOn w:val="Normal"/>
    <w:semiHidden/>
  </w:style>
  <w:style w:type="character" w:styleId="Emphasis">
    <w:name w:val="Emphasis"/>
    <w:basedOn w:val="DefaultParagraphFont"/>
    <w:qFormat/>
    <w:rPr>
      <w:i/>
      <w:iCs/>
    </w:rPr>
  </w:style>
  <w:style w:type="paragraph" w:styleId="EnvelopeAddress">
    <w:name w:val="envelope address"/>
    <w:basedOn w:val="Normal"/>
    <w:semiHidden/>
    <w:pPr>
      <w:framePr w:w="7920" w:h="1980" w:hRule="exact" w:hSpace="180" w:wrap="auto" w:hAnchor="page" w:xAlign="center" w:yAlign="bottom"/>
      <w:ind w:left="2880"/>
    </w:pPr>
    <w:rPr>
      <w:sz w:val="24"/>
      <w:szCs w:val="24"/>
    </w:rPr>
  </w:style>
  <w:style w:type="paragraph" w:styleId="EnvelopeReturn">
    <w:name w:val="envelope return"/>
    <w:basedOn w:val="Normal"/>
    <w:semiHidden/>
    <w:rPr>
      <w:sz w:val="20"/>
      <w:szCs w:val="20"/>
    </w:rPr>
  </w:style>
  <w:style w:type="character" w:styleId="FollowedHyperlink">
    <w:name w:val="FollowedHyperlink"/>
    <w:basedOn w:val="DefaultParagraphFont"/>
    <w:rsid w:val="00F7521F"/>
    <w:rPr>
      <w:rFonts w:ascii="Arial" w:hAnsi="Arial"/>
      <w:color w:val="54534C"/>
      <w:sz w:val="20"/>
      <w:szCs w:val="20"/>
      <w:u w:val="non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basedOn w:val="DefaultParagraphFont"/>
    <w:semiHidden/>
    <w:rPr>
      <w:i/>
      <w:iCs/>
    </w:rPr>
  </w:style>
  <w:style w:type="character" w:styleId="HTMLCode">
    <w:name w:val="HTML Code"/>
    <w:basedOn w:val="DefaultParagraphFont"/>
    <w:semiHidden/>
    <w:rPr>
      <w:rFonts w:ascii="Courier New" w:hAnsi="Courier New" w:cs="Courier New"/>
      <w:sz w:val="20"/>
      <w:szCs w:val="20"/>
    </w:rPr>
  </w:style>
  <w:style w:type="character" w:styleId="HTMLDefinition">
    <w:name w:val="HTML Definition"/>
    <w:basedOn w:val="DefaultParagraphFont"/>
    <w:semiHidden/>
    <w:rPr>
      <w:i/>
      <w:iCs/>
    </w:rPr>
  </w:style>
  <w:style w:type="character" w:styleId="HTMLKeyboard">
    <w:name w:val="HTML Keyboard"/>
    <w:basedOn w:val="DefaultParagraphFont"/>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basedOn w:val="DefaultParagraphFont"/>
    <w:semiHidden/>
    <w:rPr>
      <w:rFonts w:ascii="Courier New" w:hAnsi="Courier New" w:cs="Courier New"/>
    </w:rPr>
  </w:style>
  <w:style w:type="character" w:styleId="HTMLTypewriter">
    <w:name w:val="HTML Typewriter"/>
    <w:basedOn w:val="DefaultParagraphFont"/>
    <w:semiHidden/>
    <w:rPr>
      <w:rFonts w:ascii="Courier New" w:hAnsi="Courier New" w:cs="Courier New"/>
      <w:sz w:val="20"/>
      <w:szCs w:val="20"/>
    </w:rPr>
  </w:style>
  <w:style w:type="character" w:styleId="HTMLVariable">
    <w:name w:val="HTML Variable"/>
    <w:basedOn w:val="DefaultParagraphFont"/>
    <w:semiHidden/>
    <w:rPr>
      <w:i/>
      <w:iCs/>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8"/>
      </w:numPr>
    </w:pPr>
  </w:style>
  <w:style w:type="paragraph" w:styleId="ListBullet2">
    <w:name w:val="List Bullet 2"/>
    <w:basedOn w:val="Normal"/>
    <w:semiHidden/>
    <w:pPr>
      <w:numPr>
        <w:numId w:val="9"/>
      </w:numPr>
    </w:pPr>
  </w:style>
  <w:style w:type="paragraph" w:styleId="ListBullet3">
    <w:name w:val="List Bullet 3"/>
    <w:basedOn w:val="Normal"/>
    <w:semiHidden/>
    <w:pPr>
      <w:numPr>
        <w:numId w:val="10"/>
      </w:numPr>
    </w:pPr>
  </w:style>
  <w:style w:type="paragraph" w:styleId="ListBullet4">
    <w:name w:val="List Bullet 4"/>
    <w:basedOn w:val="Normal"/>
    <w:semiHidden/>
    <w:pPr>
      <w:numPr>
        <w:numId w:val="11"/>
      </w:numPr>
    </w:pPr>
  </w:style>
  <w:style w:type="paragraph" w:styleId="ListBullet5">
    <w:name w:val="List Bullet 5"/>
    <w:basedOn w:val="Normal"/>
    <w:semiHidden/>
    <w:pPr>
      <w:numPr>
        <w:numId w:val="12"/>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3"/>
      </w:numPr>
    </w:pPr>
  </w:style>
  <w:style w:type="paragraph" w:styleId="ListNumber2">
    <w:name w:val="List Number 2"/>
    <w:basedOn w:val="Normal"/>
    <w:semiHidden/>
    <w:pPr>
      <w:numPr>
        <w:numId w:val="14"/>
      </w:numPr>
    </w:pPr>
  </w:style>
  <w:style w:type="paragraph" w:styleId="ListNumber3">
    <w:name w:val="List Number 3"/>
    <w:basedOn w:val="Normal"/>
    <w:semiHidden/>
    <w:pPr>
      <w:numPr>
        <w:numId w:val="15"/>
      </w:numPr>
    </w:pPr>
  </w:style>
  <w:style w:type="paragraph" w:styleId="ListNumber4">
    <w:name w:val="List Number 4"/>
    <w:basedOn w:val="Normal"/>
    <w:semiHidden/>
    <w:pPr>
      <w:numPr>
        <w:numId w:val="16"/>
      </w:numPr>
    </w:pPr>
  </w:style>
  <w:style w:type="paragraph" w:styleId="ListNumber5">
    <w:name w:val="List Number 5"/>
    <w:basedOn w:val="Normal"/>
    <w:semiHidden/>
    <w:pPr>
      <w:numPr>
        <w:numId w:val="17"/>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semiHidden/>
    <w:rPr>
      <w:rFonts w:ascii="Times New Roman" w:hAnsi="Times New Roman" w:cs="Times New Roman"/>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szCs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basedOn w:val="DefaultParagraphFont"/>
    <w:qFormat/>
    <w:rPr>
      <w:b/>
      <w:bCs/>
    </w:rPr>
  </w:style>
  <w:style w:type="paragraph" w:styleId="Subtitle">
    <w:name w:val="Subtitle"/>
    <w:basedOn w:val="Normal"/>
    <w:qFormat/>
    <w:pPr>
      <w:spacing w:after="60"/>
      <w:jc w:val="center"/>
      <w:outlineLvl w:val="1"/>
    </w:pPr>
    <w:rPr>
      <w:sz w:val="24"/>
      <w:szCs w:val="24"/>
    </w:rPr>
  </w:style>
  <w:style w:type="character" w:styleId="CommentReference">
    <w:name w:val="annotation reference"/>
    <w:basedOn w:val="DefaultParagraphFont"/>
    <w:semiHidden/>
    <w:rsid w:val="00A41261"/>
    <w:rPr>
      <w:sz w:val="16"/>
      <w:szCs w:val="16"/>
    </w:rPr>
  </w:style>
  <w:style w:type="paragraph" w:styleId="CommentText">
    <w:name w:val="annotation text"/>
    <w:basedOn w:val="Normal"/>
    <w:semiHidden/>
    <w:rsid w:val="00A41261"/>
    <w:rPr>
      <w:sz w:val="20"/>
      <w:szCs w:val="20"/>
    </w:rPr>
  </w:style>
  <w:style w:type="paragraph" w:styleId="CommentSubject">
    <w:name w:val="annotation subject"/>
    <w:basedOn w:val="CommentText"/>
    <w:next w:val="CommentText"/>
    <w:semiHidden/>
    <w:rsid w:val="00A41261"/>
    <w:rPr>
      <w:b/>
      <w:bCs/>
    </w:rPr>
  </w:style>
  <w:style w:type="numbering" w:styleId="111111">
    <w:name w:val="Outline List 2"/>
    <w:basedOn w:val="NoList"/>
    <w:semiHidden/>
    <w:rsid w:val="002A7443"/>
    <w:pPr>
      <w:numPr>
        <w:numId w:val="24"/>
      </w:numPr>
    </w:pPr>
  </w:style>
  <w:style w:type="numbering" w:styleId="1ai">
    <w:name w:val="Outline List 1"/>
    <w:basedOn w:val="NoList"/>
    <w:semiHidden/>
    <w:rsid w:val="002A7443"/>
    <w:pPr>
      <w:numPr>
        <w:numId w:val="25"/>
      </w:numPr>
    </w:pPr>
  </w:style>
  <w:style w:type="numbering" w:styleId="ArticleSection">
    <w:name w:val="Outline List 3"/>
    <w:basedOn w:val="NoList"/>
    <w:semiHidden/>
    <w:rsid w:val="002A7443"/>
    <w:pPr>
      <w:numPr>
        <w:numId w:val="26"/>
      </w:numPr>
    </w:pPr>
  </w:style>
  <w:style w:type="table" w:styleId="Table3Deffects1">
    <w:name w:val="Table 3D effects 1"/>
    <w:basedOn w:val="TableNormal"/>
    <w:semiHidden/>
    <w:rsid w:val="002A7443"/>
    <w:pPr>
      <w:suppressAutoHyphens/>
      <w:autoSpaceDE w:val="0"/>
      <w:autoSpaceDN w:val="0"/>
      <w:adjustRightInd w:val="0"/>
      <w:spacing w:after="170" w:line="280" w:lineRule="atLeast"/>
      <w:textAlignment w:val="center"/>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A7443"/>
    <w:pPr>
      <w:suppressAutoHyphens/>
      <w:autoSpaceDE w:val="0"/>
      <w:autoSpaceDN w:val="0"/>
      <w:adjustRightInd w:val="0"/>
      <w:spacing w:after="170" w:line="280" w:lineRule="atLeast"/>
      <w:textAlignment w:val="center"/>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A7443"/>
    <w:pPr>
      <w:suppressAutoHyphens/>
      <w:autoSpaceDE w:val="0"/>
      <w:autoSpaceDN w:val="0"/>
      <w:adjustRightInd w:val="0"/>
      <w:spacing w:after="170" w:line="280" w:lineRule="atLeast"/>
      <w:textAlignment w:val="center"/>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A7443"/>
    <w:pPr>
      <w:suppressAutoHyphens/>
      <w:autoSpaceDE w:val="0"/>
      <w:autoSpaceDN w:val="0"/>
      <w:adjustRightInd w:val="0"/>
      <w:spacing w:after="170" w:line="280" w:lineRule="atLeast"/>
      <w:textAlignment w:val="center"/>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A7443"/>
    <w:pPr>
      <w:suppressAutoHyphens/>
      <w:autoSpaceDE w:val="0"/>
      <w:autoSpaceDN w:val="0"/>
      <w:adjustRightInd w:val="0"/>
      <w:spacing w:after="170" w:line="280" w:lineRule="atLeast"/>
      <w:textAlignment w:val="center"/>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A7443"/>
    <w:pPr>
      <w:suppressAutoHyphens/>
      <w:autoSpaceDE w:val="0"/>
      <w:autoSpaceDN w:val="0"/>
      <w:adjustRightInd w:val="0"/>
      <w:spacing w:after="170" w:line="280" w:lineRule="atLeast"/>
      <w:textAlignment w:val="center"/>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A7443"/>
    <w:pPr>
      <w:suppressAutoHyphens/>
      <w:autoSpaceDE w:val="0"/>
      <w:autoSpaceDN w:val="0"/>
      <w:adjustRightInd w:val="0"/>
      <w:spacing w:after="170" w:line="280" w:lineRule="atLeast"/>
      <w:textAlignment w:val="center"/>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A7443"/>
    <w:pPr>
      <w:suppressAutoHyphens/>
      <w:autoSpaceDE w:val="0"/>
      <w:autoSpaceDN w:val="0"/>
      <w:adjustRightInd w:val="0"/>
      <w:spacing w:after="170" w:line="280" w:lineRule="atLeast"/>
      <w:textAlignment w:val="center"/>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A7443"/>
    <w:pPr>
      <w:suppressAutoHyphens/>
      <w:autoSpaceDE w:val="0"/>
      <w:autoSpaceDN w:val="0"/>
      <w:adjustRightInd w:val="0"/>
      <w:spacing w:after="170" w:line="280" w:lineRule="atLeast"/>
      <w:textAlignment w:val="center"/>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A7443"/>
    <w:pPr>
      <w:suppressAutoHyphens/>
      <w:autoSpaceDE w:val="0"/>
      <w:autoSpaceDN w:val="0"/>
      <w:adjustRightInd w:val="0"/>
      <w:spacing w:after="170" w:line="280" w:lineRule="atLeast"/>
      <w:textAlignment w:val="center"/>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A7443"/>
    <w:pPr>
      <w:suppressAutoHyphens/>
      <w:autoSpaceDE w:val="0"/>
      <w:autoSpaceDN w:val="0"/>
      <w:adjustRightInd w:val="0"/>
      <w:spacing w:after="170" w:line="280" w:lineRule="atLeast"/>
      <w:textAlignment w:val="center"/>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A7443"/>
    <w:pPr>
      <w:suppressAutoHyphens/>
      <w:autoSpaceDE w:val="0"/>
      <w:autoSpaceDN w:val="0"/>
      <w:adjustRightInd w:val="0"/>
      <w:spacing w:after="170" w:line="280" w:lineRule="atLeast"/>
      <w:textAlignment w:val="center"/>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A7443"/>
    <w:pPr>
      <w:suppressAutoHyphens/>
      <w:autoSpaceDE w:val="0"/>
      <w:autoSpaceDN w:val="0"/>
      <w:adjustRightInd w:val="0"/>
      <w:spacing w:after="170" w:line="280" w:lineRule="atLeast"/>
      <w:textAlignment w:val="center"/>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A7443"/>
    <w:pPr>
      <w:suppressAutoHyphens/>
      <w:autoSpaceDE w:val="0"/>
      <w:autoSpaceDN w:val="0"/>
      <w:adjustRightInd w:val="0"/>
      <w:spacing w:after="170" w:line="280" w:lineRule="atLeast"/>
      <w:textAlignment w:val="center"/>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A7443"/>
    <w:pPr>
      <w:suppressAutoHyphens/>
      <w:autoSpaceDE w:val="0"/>
      <w:autoSpaceDN w:val="0"/>
      <w:adjustRightInd w:val="0"/>
      <w:spacing w:after="170" w:line="280" w:lineRule="atLeast"/>
      <w:textAlignment w:val="center"/>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A7443"/>
    <w:pPr>
      <w:suppressAutoHyphens/>
      <w:autoSpaceDE w:val="0"/>
      <w:autoSpaceDN w:val="0"/>
      <w:adjustRightInd w:val="0"/>
      <w:spacing w:after="170" w:line="280" w:lineRule="atLeast"/>
      <w:textAlignment w:val="center"/>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A7443"/>
    <w:pPr>
      <w:suppressAutoHyphens/>
      <w:autoSpaceDE w:val="0"/>
      <w:autoSpaceDN w:val="0"/>
      <w:adjustRightInd w:val="0"/>
      <w:spacing w:after="170" w:line="280" w:lineRule="atLeast"/>
      <w:textAlignment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2A7443"/>
    <w:pPr>
      <w:suppressAutoHyphens/>
      <w:autoSpaceDE w:val="0"/>
      <w:autoSpaceDN w:val="0"/>
      <w:adjustRightInd w:val="0"/>
      <w:spacing w:after="170" w:line="280" w:lineRule="atLeast"/>
      <w:textAlignment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2A7443"/>
    <w:pPr>
      <w:suppressAutoHyphens/>
      <w:autoSpaceDE w:val="0"/>
      <w:autoSpaceDN w:val="0"/>
      <w:adjustRightInd w:val="0"/>
      <w:spacing w:after="170" w:line="280" w:lineRule="atLeast"/>
      <w:textAlignment w:val="center"/>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A7443"/>
    <w:pPr>
      <w:suppressAutoHyphens/>
      <w:autoSpaceDE w:val="0"/>
      <w:autoSpaceDN w:val="0"/>
      <w:adjustRightInd w:val="0"/>
      <w:spacing w:after="170" w:line="280" w:lineRule="atLeast"/>
      <w:textAlignment w:val="center"/>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A7443"/>
    <w:pPr>
      <w:suppressAutoHyphens/>
      <w:autoSpaceDE w:val="0"/>
      <w:autoSpaceDN w:val="0"/>
      <w:adjustRightInd w:val="0"/>
      <w:spacing w:after="170" w:line="280" w:lineRule="atLeast"/>
      <w:textAlignment w:val="center"/>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A7443"/>
    <w:pPr>
      <w:suppressAutoHyphens/>
      <w:autoSpaceDE w:val="0"/>
      <w:autoSpaceDN w:val="0"/>
      <w:adjustRightInd w:val="0"/>
      <w:spacing w:after="170" w:line="280" w:lineRule="atLeast"/>
      <w:textAlignment w:val="center"/>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A7443"/>
    <w:pPr>
      <w:suppressAutoHyphens/>
      <w:autoSpaceDE w:val="0"/>
      <w:autoSpaceDN w:val="0"/>
      <w:adjustRightInd w:val="0"/>
      <w:spacing w:after="170" w:line="280" w:lineRule="atLeast"/>
      <w:textAlignment w:val="center"/>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A7443"/>
    <w:pPr>
      <w:suppressAutoHyphens/>
      <w:autoSpaceDE w:val="0"/>
      <w:autoSpaceDN w:val="0"/>
      <w:adjustRightInd w:val="0"/>
      <w:spacing w:after="170" w:line="280" w:lineRule="atLeast"/>
      <w:textAlignment w:val="center"/>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A7443"/>
    <w:pPr>
      <w:suppressAutoHyphens/>
      <w:autoSpaceDE w:val="0"/>
      <w:autoSpaceDN w:val="0"/>
      <w:adjustRightInd w:val="0"/>
      <w:spacing w:after="170" w:line="280" w:lineRule="atLeast"/>
      <w:textAlignment w:val="center"/>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A7443"/>
    <w:pPr>
      <w:suppressAutoHyphens/>
      <w:autoSpaceDE w:val="0"/>
      <w:autoSpaceDN w:val="0"/>
      <w:adjustRightInd w:val="0"/>
      <w:spacing w:after="170" w:line="280" w:lineRule="atLeast"/>
      <w:textAlignment w:val="center"/>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A7443"/>
    <w:pPr>
      <w:suppressAutoHyphens/>
      <w:autoSpaceDE w:val="0"/>
      <w:autoSpaceDN w:val="0"/>
      <w:adjustRightInd w:val="0"/>
      <w:spacing w:after="170" w:line="280" w:lineRule="atLeast"/>
      <w:textAlignment w:val="center"/>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A7443"/>
    <w:pPr>
      <w:suppressAutoHyphens/>
      <w:autoSpaceDE w:val="0"/>
      <w:autoSpaceDN w:val="0"/>
      <w:adjustRightInd w:val="0"/>
      <w:spacing w:after="170" w:line="280" w:lineRule="atLeast"/>
      <w:textAlignment w:val="center"/>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A7443"/>
    <w:pPr>
      <w:suppressAutoHyphens/>
      <w:autoSpaceDE w:val="0"/>
      <w:autoSpaceDN w:val="0"/>
      <w:adjustRightInd w:val="0"/>
      <w:spacing w:after="170" w:line="280" w:lineRule="atLeast"/>
      <w:textAlignment w:val="center"/>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A7443"/>
    <w:pPr>
      <w:suppressAutoHyphens/>
      <w:autoSpaceDE w:val="0"/>
      <w:autoSpaceDN w:val="0"/>
      <w:adjustRightInd w:val="0"/>
      <w:spacing w:after="170" w:line="280" w:lineRule="atLeast"/>
      <w:textAlignment w:val="center"/>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A7443"/>
    <w:pPr>
      <w:suppressAutoHyphens/>
      <w:autoSpaceDE w:val="0"/>
      <w:autoSpaceDN w:val="0"/>
      <w:adjustRightInd w:val="0"/>
      <w:spacing w:after="170" w:line="280" w:lineRule="atLeast"/>
      <w:textAlignment w:val="center"/>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A7443"/>
    <w:pPr>
      <w:suppressAutoHyphens/>
      <w:autoSpaceDE w:val="0"/>
      <w:autoSpaceDN w:val="0"/>
      <w:adjustRightInd w:val="0"/>
      <w:spacing w:after="170" w:line="280" w:lineRule="atLeast"/>
      <w:textAlignment w:val="center"/>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A7443"/>
    <w:pPr>
      <w:suppressAutoHyphens/>
      <w:autoSpaceDE w:val="0"/>
      <w:autoSpaceDN w:val="0"/>
      <w:adjustRightInd w:val="0"/>
      <w:spacing w:after="170" w:line="280" w:lineRule="atLeast"/>
      <w:textAlignment w:val="center"/>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A7443"/>
    <w:pPr>
      <w:suppressAutoHyphens/>
      <w:autoSpaceDE w:val="0"/>
      <w:autoSpaceDN w:val="0"/>
      <w:adjustRightInd w:val="0"/>
      <w:spacing w:after="170" w:line="280" w:lineRule="atLeast"/>
      <w:textAlignment w:val="center"/>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A7443"/>
    <w:pPr>
      <w:suppressAutoHyphens/>
      <w:autoSpaceDE w:val="0"/>
      <w:autoSpaceDN w:val="0"/>
      <w:adjustRightInd w:val="0"/>
      <w:spacing w:after="170" w:line="280" w:lineRule="atLeast"/>
      <w:textAlignment w:val="center"/>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A7443"/>
    <w:pPr>
      <w:suppressAutoHyphens/>
      <w:autoSpaceDE w:val="0"/>
      <w:autoSpaceDN w:val="0"/>
      <w:adjustRightInd w:val="0"/>
      <w:spacing w:after="170" w:line="280" w:lineRule="atLeast"/>
      <w:textAlignment w:val="center"/>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A7443"/>
    <w:pPr>
      <w:suppressAutoHyphens/>
      <w:autoSpaceDE w:val="0"/>
      <w:autoSpaceDN w:val="0"/>
      <w:adjustRightInd w:val="0"/>
      <w:spacing w:after="170" w:line="280" w:lineRule="atLeast"/>
      <w:textAlignment w:val="center"/>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A7443"/>
    <w:pPr>
      <w:suppressAutoHyphens/>
      <w:autoSpaceDE w:val="0"/>
      <w:autoSpaceDN w:val="0"/>
      <w:adjustRightInd w:val="0"/>
      <w:spacing w:after="170" w:line="280" w:lineRule="atLeast"/>
      <w:textAlignment w:val="center"/>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A7443"/>
    <w:pPr>
      <w:suppressAutoHyphens/>
      <w:autoSpaceDE w:val="0"/>
      <w:autoSpaceDN w:val="0"/>
      <w:adjustRightInd w:val="0"/>
      <w:spacing w:after="170" w:line="280" w:lineRule="atLeast"/>
      <w:textAlignment w:val="center"/>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A7443"/>
    <w:pPr>
      <w:suppressAutoHyphens/>
      <w:autoSpaceDE w:val="0"/>
      <w:autoSpaceDN w:val="0"/>
      <w:adjustRightInd w:val="0"/>
      <w:spacing w:after="170" w:line="280" w:lineRule="atLeast"/>
      <w:textAlignment w:val="center"/>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2A7443"/>
    <w:pPr>
      <w:suppressAutoHyphens/>
      <w:autoSpaceDE w:val="0"/>
      <w:autoSpaceDN w:val="0"/>
      <w:adjustRightInd w:val="0"/>
      <w:spacing w:after="170" w:line="280" w:lineRule="atLeast"/>
      <w:textAlignment w:val="center"/>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A7443"/>
    <w:pPr>
      <w:suppressAutoHyphens/>
      <w:autoSpaceDE w:val="0"/>
      <w:autoSpaceDN w:val="0"/>
      <w:adjustRightInd w:val="0"/>
      <w:spacing w:after="170" w:line="280" w:lineRule="atLeast"/>
      <w:textAlignment w:val="center"/>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A7443"/>
    <w:pPr>
      <w:suppressAutoHyphens/>
      <w:autoSpaceDE w:val="0"/>
      <w:autoSpaceDN w:val="0"/>
      <w:adjustRightInd w:val="0"/>
      <w:spacing w:after="170" w:line="280" w:lineRule="atLeast"/>
      <w:textAlignment w:val="center"/>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DB04AB"/>
    <w:pPr>
      <w:suppressAutoHyphens/>
      <w:autoSpaceDE w:val="0"/>
      <w:autoSpaceDN w:val="0"/>
      <w:adjustRightInd w:val="0"/>
      <w:spacing w:after="170" w:line="280" w:lineRule="atLeast"/>
      <w:textAlignment w:val="center"/>
    </w:pPr>
    <w:rPr>
      <w:rFonts w:ascii="Arial" w:hAnsi="Arial"/>
      <w:color w:val="54534C"/>
      <w:sz w:val="16"/>
      <w:szCs w:val="16"/>
    </w:rPr>
    <w:tblPr>
      <w:tblInd w:w="0" w:type="dxa"/>
      <w:tblBorders>
        <w:bottom w:val="single" w:sz="4" w:space="0" w:color="2C6365"/>
        <w:insideH w:val="single" w:sz="4" w:space="0" w:color="2C6365"/>
      </w:tblBorders>
      <w:tblCellMar>
        <w:top w:w="0" w:type="dxa"/>
        <w:left w:w="108" w:type="dxa"/>
        <w:bottom w:w="0" w:type="dxa"/>
        <w:right w:w="108" w:type="dxa"/>
      </w:tblCellMar>
    </w:tblPr>
    <w:tcPr>
      <w:vAlign w:val="center"/>
    </w:tcPr>
    <w:tblStylePr w:type="firstRow">
      <w:rPr>
        <w:rFonts w:ascii="Arial" w:hAnsi="Arial"/>
        <w:b w:val="0"/>
        <w:i w:val="0"/>
        <w:caps/>
        <w:smallCaps w:val="0"/>
        <w:color w:val="FFFFFF"/>
        <w:sz w:val="20"/>
        <w:szCs w:val="20"/>
      </w:rPr>
      <w:tblPr/>
      <w:tcPr>
        <w:tcBorders>
          <w:top w:val="nil"/>
          <w:left w:val="nil"/>
          <w:bottom w:val="single" w:sz="2" w:space="0" w:color="FFFFFF"/>
          <w:right w:val="nil"/>
          <w:insideH w:val="nil"/>
          <w:insideV w:val="nil"/>
          <w:tl2br w:val="nil"/>
          <w:tr2bl w:val="nil"/>
        </w:tcBorders>
        <w:shd w:val="clear" w:color="auto" w:fill="80BDC1"/>
      </w:tcPr>
    </w:tblStylePr>
  </w:style>
  <w:style w:type="paragraph" w:customStyle="1" w:styleId="Centredepartmentname">
    <w:name w:val="Centre/department name"/>
    <w:basedOn w:val="Normal"/>
    <w:rsid w:val="00A5072D"/>
    <w:pPr>
      <w:spacing w:after="0" w:line="240" w:lineRule="auto"/>
      <w:ind w:left="396"/>
    </w:pPr>
    <w:rPr>
      <w:color w:val="007073"/>
      <w:sz w:val="16"/>
      <w:szCs w:val="16"/>
    </w:rPr>
  </w:style>
  <w:style w:type="paragraph" w:customStyle="1" w:styleId="Insidecoversubheading">
    <w:name w:val="Inside cover subheading"/>
    <w:basedOn w:val="Normal"/>
    <w:rsid w:val="00A5072D"/>
    <w:pPr>
      <w:spacing w:after="0"/>
      <w:ind w:left="408"/>
    </w:pPr>
    <w:rPr>
      <w:b/>
      <w:color w:val="007073"/>
      <w:sz w:val="20"/>
      <w:szCs w:val="20"/>
    </w:rPr>
  </w:style>
  <w:style w:type="paragraph" w:customStyle="1" w:styleId="Tableheading">
    <w:name w:val="Table heading"/>
    <w:basedOn w:val="BodyText"/>
    <w:rsid w:val="00F7521F"/>
    <w:pPr>
      <w:spacing w:before="40" w:after="40"/>
    </w:pPr>
    <w:rPr>
      <w:color w:val="FFFFFF"/>
      <w:sz w:val="20"/>
    </w:rPr>
  </w:style>
  <w:style w:type="paragraph" w:styleId="Date">
    <w:name w:val="Date"/>
    <w:basedOn w:val="Normal"/>
    <w:next w:val="Normal"/>
    <w:semiHidden/>
    <w:rsid w:val="006E3013"/>
  </w:style>
  <w:style w:type="character" w:customStyle="1" w:styleId="BodyTextChar1">
    <w:name w:val="Body Text Char1"/>
    <w:basedOn w:val="DefaultParagraphFont"/>
    <w:link w:val="BodyText"/>
    <w:rsid w:val="00CF4B80"/>
    <w:rPr>
      <w:rFonts w:ascii="Arial" w:hAnsi="Arial" w:cs="Arial"/>
      <w:sz w:val="22"/>
      <w:szCs w:val="22"/>
      <w:lang w:val="en-US" w:eastAsia="en-NZ" w:bidi="ar-SA"/>
    </w:rPr>
  </w:style>
  <w:style w:type="paragraph" w:customStyle="1" w:styleId="Default">
    <w:name w:val="Default"/>
    <w:rsid w:val="007C16D1"/>
    <w:pPr>
      <w:autoSpaceDE w:val="0"/>
      <w:autoSpaceDN w:val="0"/>
      <w:adjustRightInd w:val="0"/>
    </w:pPr>
    <w:rPr>
      <w:rFonts w:ascii="Times New Roman" w:hAnsi="Times New Roman"/>
      <w:color w:val="000000"/>
      <w:sz w:val="24"/>
      <w:szCs w:val="24"/>
      <w:lang w:val="en-US" w:eastAsia="en-US"/>
    </w:rPr>
  </w:style>
  <w:style w:type="character" w:customStyle="1" w:styleId="footnoteChar">
    <w:name w:val="footnote Char"/>
    <w:basedOn w:val="DefaultParagraphFont"/>
    <w:link w:val="footnote"/>
    <w:rsid w:val="00F224B2"/>
    <w:rPr>
      <w:rFonts w:ascii="Arial (TT)" w:hAnsi="Arial (TT)" w:cs="Arial (TT)"/>
      <w:color w:val="54534C"/>
      <w:sz w:val="16"/>
      <w:szCs w:val="16"/>
      <w:lang w:val="en-US" w:eastAsia="en-NZ" w:bidi="ar-SA"/>
    </w:rPr>
  </w:style>
  <w:style w:type="character" w:customStyle="1" w:styleId="FootnoteTextChar1">
    <w:name w:val="Footnote Text Char1"/>
    <w:basedOn w:val="footnoteChar"/>
    <w:link w:val="FootnoteText"/>
    <w:rsid w:val="004267E4"/>
    <w:rPr>
      <w:rFonts w:ascii="Arial" w:hAnsi="Arial" w:cs="Arial"/>
      <w:color w:val="54534C"/>
      <w:sz w:val="18"/>
      <w:szCs w:val="16"/>
      <w:lang w:val="en-US" w:eastAsia="en-NZ" w:bidi="ar-SA"/>
    </w:rPr>
  </w:style>
  <w:style w:type="paragraph" w:customStyle="1" w:styleId="Reference">
    <w:name w:val="Reference"/>
    <w:basedOn w:val="BodyText"/>
    <w:rsid w:val="001D6997"/>
    <w:pPr>
      <w:ind w:left="227" w:hanging="227"/>
    </w:pPr>
    <w:rPr>
      <w:sz w:val="20"/>
    </w:rPr>
  </w:style>
  <w:style w:type="paragraph" w:customStyle="1" w:styleId="CharChar1CharCharCharChar">
    <w:name w:val="Char Char1 Char Char Char Char"/>
    <w:basedOn w:val="Normal"/>
    <w:rsid w:val="003A60CD"/>
    <w:pPr>
      <w:suppressAutoHyphens w:val="0"/>
      <w:autoSpaceDE/>
      <w:autoSpaceDN/>
      <w:adjustRightInd/>
      <w:spacing w:before="360" w:after="240"/>
      <w:jc w:val="both"/>
      <w:textAlignment w:val="auto"/>
    </w:pPr>
    <w:rPr>
      <w:rFonts w:ascii="Verdana" w:hAnsi="Verdana" w:cs="Times New Roman"/>
      <w:b/>
      <w:caps/>
      <w:color w:val="auto"/>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746263">
      <w:bodyDiv w:val="1"/>
      <w:marLeft w:val="0"/>
      <w:marRight w:val="0"/>
      <w:marTop w:val="0"/>
      <w:marBottom w:val="0"/>
      <w:divBdr>
        <w:top w:val="none" w:sz="0" w:space="0" w:color="auto"/>
        <w:left w:val="none" w:sz="0" w:space="0" w:color="auto"/>
        <w:bottom w:val="none" w:sz="0" w:space="0" w:color="auto"/>
        <w:right w:val="none" w:sz="0" w:space="0" w:color="auto"/>
      </w:divBdr>
      <w:divsChild>
        <w:div w:id="509563447">
          <w:marLeft w:val="0"/>
          <w:marRight w:val="0"/>
          <w:marTop w:val="0"/>
          <w:marBottom w:val="0"/>
          <w:divBdr>
            <w:top w:val="none" w:sz="0" w:space="0" w:color="auto"/>
            <w:left w:val="none" w:sz="0" w:space="0" w:color="auto"/>
            <w:bottom w:val="none" w:sz="0" w:space="0" w:color="auto"/>
            <w:right w:val="none" w:sz="0" w:space="0" w:color="auto"/>
          </w:divBdr>
          <w:divsChild>
            <w:div w:id="639576448">
              <w:marLeft w:val="0"/>
              <w:marRight w:val="0"/>
              <w:marTop w:val="0"/>
              <w:marBottom w:val="0"/>
              <w:divBdr>
                <w:top w:val="none" w:sz="0" w:space="0" w:color="auto"/>
                <w:left w:val="none" w:sz="0" w:space="0" w:color="auto"/>
                <w:bottom w:val="none" w:sz="0" w:space="0" w:color="auto"/>
                <w:right w:val="none" w:sz="0" w:space="0" w:color="auto"/>
              </w:divBdr>
              <w:divsChild>
                <w:div w:id="2091851085">
                  <w:marLeft w:val="0"/>
                  <w:marRight w:val="0"/>
                  <w:marTop w:val="0"/>
                  <w:marBottom w:val="0"/>
                  <w:divBdr>
                    <w:top w:val="none" w:sz="0" w:space="0" w:color="auto"/>
                    <w:left w:val="none" w:sz="0" w:space="0" w:color="auto"/>
                    <w:bottom w:val="none" w:sz="0" w:space="0" w:color="auto"/>
                    <w:right w:val="none" w:sz="0" w:space="0" w:color="auto"/>
                  </w:divBdr>
                  <w:divsChild>
                    <w:div w:id="100127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462079">
      <w:bodyDiv w:val="1"/>
      <w:marLeft w:val="0"/>
      <w:marRight w:val="0"/>
      <w:marTop w:val="0"/>
      <w:marBottom w:val="0"/>
      <w:divBdr>
        <w:top w:val="none" w:sz="0" w:space="0" w:color="auto"/>
        <w:left w:val="none" w:sz="0" w:space="0" w:color="auto"/>
        <w:bottom w:val="none" w:sz="0" w:space="0" w:color="auto"/>
        <w:right w:val="none" w:sz="0" w:space="0" w:color="auto"/>
      </w:divBdr>
      <w:divsChild>
        <w:div w:id="99303579">
          <w:marLeft w:val="0"/>
          <w:marRight w:val="0"/>
          <w:marTop w:val="0"/>
          <w:marBottom w:val="0"/>
          <w:divBdr>
            <w:top w:val="none" w:sz="0" w:space="0" w:color="auto"/>
            <w:left w:val="none" w:sz="0" w:space="0" w:color="auto"/>
            <w:bottom w:val="none" w:sz="0" w:space="0" w:color="auto"/>
            <w:right w:val="none" w:sz="0" w:space="0" w:color="auto"/>
          </w:divBdr>
          <w:divsChild>
            <w:div w:id="625084573">
              <w:marLeft w:val="0"/>
              <w:marRight w:val="0"/>
              <w:marTop w:val="0"/>
              <w:marBottom w:val="0"/>
              <w:divBdr>
                <w:top w:val="none" w:sz="0" w:space="0" w:color="auto"/>
                <w:left w:val="none" w:sz="0" w:space="0" w:color="auto"/>
                <w:bottom w:val="none" w:sz="0" w:space="0" w:color="auto"/>
                <w:right w:val="none" w:sz="0" w:space="0" w:color="auto"/>
              </w:divBdr>
              <w:divsChild>
                <w:div w:id="92291127">
                  <w:marLeft w:val="0"/>
                  <w:marRight w:val="0"/>
                  <w:marTop w:val="0"/>
                  <w:marBottom w:val="0"/>
                  <w:divBdr>
                    <w:top w:val="none" w:sz="0" w:space="0" w:color="auto"/>
                    <w:left w:val="none" w:sz="0" w:space="0" w:color="auto"/>
                    <w:bottom w:val="none" w:sz="0" w:space="0" w:color="auto"/>
                    <w:right w:val="none" w:sz="0" w:space="0" w:color="auto"/>
                  </w:divBdr>
                  <w:divsChild>
                    <w:div w:id="126696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521874">
      <w:bodyDiv w:val="1"/>
      <w:marLeft w:val="0"/>
      <w:marRight w:val="0"/>
      <w:marTop w:val="0"/>
      <w:marBottom w:val="0"/>
      <w:divBdr>
        <w:top w:val="none" w:sz="0" w:space="0" w:color="auto"/>
        <w:left w:val="none" w:sz="0" w:space="0" w:color="auto"/>
        <w:bottom w:val="none" w:sz="0" w:space="0" w:color="auto"/>
        <w:right w:val="none" w:sz="0" w:space="0" w:color="auto"/>
      </w:divBdr>
      <w:divsChild>
        <w:div w:id="1664897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1.worldbank.org/finance/assets/images/3208.pdf"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oecd-ilibrary.org/finance-and-investment/pensions-at-a-glance-2011_pension_glance-2011-en"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nytimes.com/2011/02/26/opinion/26Hu.html?_r=3&amp;src=me&amp;ref=homepage" TargetMode="External"/><Relationship Id="rId25" Type="http://schemas.openxmlformats.org/officeDocument/2006/relationships/hyperlink" Target="http://www.retirement.org.nz/retirement-income-research/policy-review/2007-review" TargetMode="External"/><Relationship Id="rId2" Type="http://schemas.openxmlformats.org/officeDocument/2006/relationships/numbering" Target="numbering.xml"/><Relationship Id="rId16" Type="http://schemas.openxmlformats.org/officeDocument/2006/relationships/hyperlink" Target="http://www.med.govt.nz/business/economic-development/pdf-docs-library/cmd-capital-markets-matter-full-report.pdf%20" TargetMode="External"/><Relationship Id="rId20" Type="http://schemas.openxmlformats.org/officeDocument/2006/relationships/hyperlink" Target="http://www.mercer.co.nz/secureretiremen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ips.ac.nz/publications/files/dfa4aff8b01.pdf" TargetMode="External"/><Relationship Id="rId5" Type="http://schemas.openxmlformats.org/officeDocument/2006/relationships/settings" Target="settings.xml"/><Relationship Id="rId15" Type="http://schemas.openxmlformats.org/officeDocument/2006/relationships/hyperlink" Target="http://www.psy.vanderbilt.edu/postdocs/gregoryrsl/press/files/64a61858970765f9e550a890008c486b-16.htm" TargetMode="External"/><Relationship Id="rId23" Type="http://schemas.openxmlformats.org/officeDocument/2006/relationships/hyperlink" Target="http://www.msd.govt.nz/about-msd-and-our-work/publications-resources/monitoring/household-incomes/index.html" TargetMode="External"/><Relationship Id="rId28" Type="http://schemas.openxmlformats.org/officeDocument/2006/relationships/footer" Target="footer4.xml"/><Relationship Id="rId10" Type="http://schemas.openxmlformats.org/officeDocument/2006/relationships/image" Target="media/image4.jpeg"/><Relationship Id="rId19" Type="http://schemas.openxmlformats.org/officeDocument/2006/relationships/hyperlink" Target="http://www.ewas.net.nz/Publications/filesEWAS/Wellbeing,%20social%20connectedness%20and%20economic%20std%20of%20living.pdf" TargetMode="Externa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hyperlink" Target="http://www.msd.govt.nz/documents/about-msd-and-our-work/publications-resources/working-papers/wp-01-13.pdf" TargetMode="External"/><Relationship Id="rId22" Type="http://schemas.openxmlformats.org/officeDocument/2006/relationships/hyperlink" Target="http://www.oecd.org/finance/privatepensions/oecdpensionsoutlook2012.htm" TargetMode="External"/><Relationship Id="rId27" Type="http://schemas.openxmlformats.org/officeDocument/2006/relationships/header" Target="head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www.ratespostponement.co.nz/" TargetMode="External"/><Relationship Id="rId3" Type="http://schemas.openxmlformats.org/officeDocument/2006/relationships/hyperlink" Target="file:///C:\Users\dbrom001\AppData\Local\Microsoft\Windows\Temporary%20Internet%20Files\Content.Outlook\LQEDX9HZ\KiwiSaver%20Annual%20Report" TargetMode="External"/><Relationship Id="rId7" Type="http://schemas.openxmlformats.org/officeDocument/2006/relationships/hyperlink" Target="http://www.osc.govt.nz/her/index.html" TargetMode="External"/><Relationship Id="rId2" Type="http://schemas.openxmlformats.org/officeDocument/2006/relationships/hyperlink" Target="http://www.treasury.govt.nz/budget/2011/speech/b11-spch.pdf" TargetMode="External"/><Relationship Id="rId1" Type="http://schemas.openxmlformats.org/officeDocument/2006/relationships/hyperlink" Target="http://www.kiwisaver.govt.nz/new/about/" TargetMode="External"/><Relationship Id="rId6" Type="http://schemas.openxmlformats.org/officeDocument/2006/relationships/hyperlink" Target="http://www.actuaries.org.nz/pdfs/Annuities%20May07.pdf" TargetMode="External"/><Relationship Id="rId5" Type="http://schemas.openxmlformats.org/officeDocument/2006/relationships/hyperlink" Target="http://www.sherpa.org.nz/Portals/0/SHERPA%20Adviser%20Guide%20for%20HER%20Loans%20July%202012%20Version.pdf%20" TargetMode="External"/><Relationship Id="rId4" Type="http://schemas.openxmlformats.org/officeDocument/2006/relationships/hyperlink" Target="http://www.ird.govt.nz/aboutir/reports/research/report-ks/research-ks-annual-report-2012.html" TargetMode="External"/><Relationship Id="rId9" Type="http://schemas.openxmlformats.org/officeDocument/2006/relationships/hyperlink" Target="http://www.direct.gov.uk/en/pensionsandretirementplanning/statepension/statepensiondeferral/dg_10027570"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57588-205F-43CD-9724-099C72DAD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6841</Words>
  <Characters>38999</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WORKING PAPER / XX/12</vt:lpstr>
    </vt:vector>
  </TitlesOfParts>
  <Company>Ministry of Social Development</Company>
  <LinksUpToDate>false</LinksUpToDate>
  <CharactersWithSpaces>45749</CharactersWithSpaces>
  <SharedDoc>false</SharedDoc>
  <HLinks>
    <vt:vector size="228" baseType="variant">
      <vt:variant>
        <vt:i4>1114179</vt:i4>
      </vt:variant>
      <vt:variant>
        <vt:i4>141</vt:i4>
      </vt:variant>
      <vt:variant>
        <vt:i4>0</vt:i4>
      </vt:variant>
      <vt:variant>
        <vt:i4>5</vt:i4>
      </vt:variant>
      <vt:variant>
        <vt:lpwstr>http://www.retirement.org.nz/retirement-income-research/policy-review/2007-review</vt:lpwstr>
      </vt:variant>
      <vt:variant>
        <vt:lpwstr/>
      </vt:variant>
      <vt:variant>
        <vt:i4>6488127</vt:i4>
      </vt:variant>
      <vt:variant>
        <vt:i4>138</vt:i4>
      </vt:variant>
      <vt:variant>
        <vt:i4>0</vt:i4>
      </vt:variant>
      <vt:variant>
        <vt:i4>5</vt:i4>
      </vt:variant>
      <vt:variant>
        <vt:lpwstr>http://ips.ac.nz/publications/files/dfa4aff8b01.pdf</vt:lpwstr>
      </vt:variant>
      <vt:variant>
        <vt:lpwstr/>
      </vt:variant>
      <vt:variant>
        <vt:i4>6684734</vt:i4>
      </vt:variant>
      <vt:variant>
        <vt:i4>135</vt:i4>
      </vt:variant>
      <vt:variant>
        <vt:i4>0</vt:i4>
      </vt:variant>
      <vt:variant>
        <vt:i4>5</vt:i4>
      </vt:variant>
      <vt:variant>
        <vt:lpwstr>http://www.oecd.org/dataoecd/2/42/37811399.pdf</vt:lpwstr>
      </vt:variant>
      <vt:variant>
        <vt:lpwstr/>
      </vt:variant>
      <vt:variant>
        <vt:i4>5701726</vt:i4>
      </vt:variant>
      <vt:variant>
        <vt:i4>132</vt:i4>
      </vt:variant>
      <vt:variant>
        <vt:i4>0</vt:i4>
      </vt:variant>
      <vt:variant>
        <vt:i4>5</vt:i4>
      </vt:variant>
      <vt:variant>
        <vt:lpwstr>http://www.msd.govt.nz/about-msd-and-our-work/publications-resources/monitoring/household-incomes/index.html</vt:lpwstr>
      </vt:variant>
      <vt:variant>
        <vt:lpwstr/>
      </vt:variant>
      <vt:variant>
        <vt:i4>7471149</vt:i4>
      </vt:variant>
      <vt:variant>
        <vt:i4>129</vt:i4>
      </vt:variant>
      <vt:variant>
        <vt:i4>0</vt:i4>
      </vt:variant>
      <vt:variant>
        <vt:i4>5</vt:i4>
      </vt:variant>
      <vt:variant>
        <vt:lpwstr>http://www.oecd.org/finance/privatepensions/oecdpensionsoutlook2012.htm</vt:lpwstr>
      </vt:variant>
      <vt:variant>
        <vt:lpwstr/>
      </vt:variant>
      <vt:variant>
        <vt:i4>196628</vt:i4>
      </vt:variant>
      <vt:variant>
        <vt:i4>126</vt:i4>
      </vt:variant>
      <vt:variant>
        <vt:i4>0</vt:i4>
      </vt:variant>
      <vt:variant>
        <vt:i4>5</vt:i4>
      </vt:variant>
      <vt:variant>
        <vt:lpwstr>http://www.oecd-ilibrary.org/finance-and-investment/pensions-at-a-glance-2011_pension_glance-2011-en</vt:lpwstr>
      </vt:variant>
      <vt:variant>
        <vt:lpwstr/>
      </vt:variant>
      <vt:variant>
        <vt:i4>196616</vt:i4>
      </vt:variant>
      <vt:variant>
        <vt:i4>123</vt:i4>
      </vt:variant>
      <vt:variant>
        <vt:i4>0</vt:i4>
      </vt:variant>
      <vt:variant>
        <vt:i4>5</vt:i4>
      </vt:variant>
      <vt:variant>
        <vt:lpwstr>http://www.socialreport.msd.govt.nz/</vt:lpwstr>
      </vt:variant>
      <vt:variant>
        <vt:lpwstr/>
      </vt:variant>
      <vt:variant>
        <vt:i4>6029318</vt:i4>
      </vt:variant>
      <vt:variant>
        <vt:i4>120</vt:i4>
      </vt:variant>
      <vt:variant>
        <vt:i4>0</vt:i4>
      </vt:variant>
      <vt:variant>
        <vt:i4>5</vt:i4>
      </vt:variant>
      <vt:variant>
        <vt:lpwstr>http://www.mercer.co.nz/secureretirement</vt:lpwstr>
      </vt:variant>
      <vt:variant>
        <vt:lpwstr/>
      </vt:variant>
      <vt:variant>
        <vt:i4>5439532</vt:i4>
      </vt:variant>
      <vt:variant>
        <vt:i4>117</vt:i4>
      </vt:variant>
      <vt:variant>
        <vt:i4>0</vt:i4>
      </vt:variant>
      <vt:variant>
        <vt:i4>5</vt:i4>
      </vt:variant>
      <vt:variant>
        <vt:lpwstr>http://www.ewas.net.nz/Publications/filesEWAS/_x000b_Wellbeing, social connectedness and economic std of living.pdf</vt:lpwstr>
      </vt:variant>
      <vt:variant>
        <vt:lpwstr/>
      </vt:variant>
      <vt:variant>
        <vt:i4>393302</vt:i4>
      </vt:variant>
      <vt:variant>
        <vt:i4>114</vt:i4>
      </vt:variant>
      <vt:variant>
        <vt:i4>0</vt:i4>
      </vt:variant>
      <vt:variant>
        <vt:i4>5</vt:i4>
      </vt:variant>
      <vt:variant>
        <vt:lpwstr>http://www1.worldbank.org/finance/assets/images/3208.pdf</vt:lpwstr>
      </vt:variant>
      <vt:variant>
        <vt:lpwstr/>
      </vt:variant>
      <vt:variant>
        <vt:i4>4784218</vt:i4>
      </vt:variant>
      <vt:variant>
        <vt:i4>111</vt:i4>
      </vt:variant>
      <vt:variant>
        <vt:i4>0</vt:i4>
      </vt:variant>
      <vt:variant>
        <vt:i4>5</vt:i4>
      </vt:variant>
      <vt:variant>
        <vt:lpwstr>http://www.retirement.org.nz/node/187</vt:lpwstr>
      </vt:variant>
      <vt:variant>
        <vt:lpwstr/>
      </vt:variant>
      <vt:variant>
        <vt:i4>4784230</vt:i4>
      </vt:variant>
      <vt:variant>
        <vt:i4>108</vt:i4>
      </vt:variant>
      <vt:variant>
        <vt:i4>0</vt:i4>
      </vt:variant>
      <vt:variant>
        <vt:i4>5</vt:i4>
      </vt:variant>
      <vt:variant>
        <vt:lpwstr>http://www.nytimes.com/2011/02/26/opinion/26Hu.html?_r=3&amp;src=me&amp;ref=homepage</vt:lpwstr>
      </vt:variant>
      <vt:variant>
        <vt:lpwstr/>
      </vt:variant>
      <vt:variant>
        <vt:i4>4063270</vt:i4>
      </vt:variant>
      <vt:variant>
        <vt:i4>105</vt:i4>
      </vt:variant>
      <vt:variant>
        <vt:i4>0</vt:i4>
      </vt:variant>
      <vt:variant>
        <vt:i4>5</vt:i4>
      </vt:variant>
      <vt:variant>
        <vt:lpwstr>http://www.med.govt.nz/templates/MultipageDocumentTOC____42335.aspx</vt:lpwstr>
      </vt:variant>
      <vt:variant>
        <vt:lpwstr/>
      </vt:variant>
      <vt:variant>
        <vt:i4>4718663</vt:i4>
      </vt:variant>
      <vt:variant>
        <vt:i4>102</vt:i4>
      </vt:variant>
      <vt:variant>
        <vt:i4>0</vt:i4>
      </vt:variant>
      <vt:variant>
        <vt:i4>5</vt:i4>
      </vt:variant>
      <vt:variant>
        <vt:lpwstr>http://www.newscientist.com/article/dn18435-why-older-brains-stand-to-lose-more.html</vt:lpwstr>
      </vt:variant>
      <vt:variant>
        <vt:lpwstr/>
      </vt:variant>
      <vt:variant>
        <vt:i4>1703984</vt:i4>
      </vt:variant>
      <vt:variant>
        <vt:i4>95</vt:i4>
      </vt:variant>
      <vt:variant>
        <vt:i4>0</vt:i4>
      </vt:variant>
      <vt:variant>
        <vt:i4>5</vt:i4>
      </vt:variant>
      <vt:variant>
        <vt:lpwstr/>
      </vt:variant>
      <vt:variant>
        <vt:lpwstr>_Toc304367196</vt:lpwstr>
      </vt:variant>
      <vt:variant>
        <vt:i4>1703984</vt:i4>
      </vt:variant>
      <vt:variant>
        <vt:i4>89</vt:i4>
      </vt:variant>
      <vt:variant>
        <vt:i4>0</vt:i4>
      </vt:variant>
      <vt:variant>
        <vt:i4>5</vt:i4>
      </vt:variant>
      <vt:variant>
        <vt:lpwstr/>
      </vt:variant>
      <vt:variant>
        <vt:lpwstr>_Toc304367195</vt:lpwstr>
      </vt:variant>
      <vt:variant>
        <vt:i4>1703984</vt:i4>
      </vt:variant>
      <vt:variant>
        <vt:i4>83</vt:i4>
      </vt:variant>
      <vt:variant>
        <vt:i4>0</vt:i4>
      </vt:variant>
      <vt:variant>
        <vt:i4>5</vt:i4>
      </vt:variant>
      <vt:variant>
        <vt:lpwstr/>
      </vt:variant>
      <vt:variant>
        <vt:lpwstr>_Toc304367194</vt:lpwstr>
      </vt:variant>
      <vt:variant>
        <vt:i4>1703984</vt:i4>
      </vt:variant>
      <vt:variant>
        <vt:i4>77</vt:i4>
      </vt:variant>
      <vt:variant>
        <vt:i4>0</vt:i4>
      </vt:variant>
      <vt:variant>
        <vt:i4>5</vt:i4>
      </vt:variant>
      <vt:variant>
        <vt:lpwstr/>
      </vt:variant>
      <vt:variant>
        <vt:lpwstr>_Toc304367193</vt:lpwstr>
      </vt:variant>
      <vt:variant>
        <vt:i4>1703984</vt:i4>
      </vt:variant>
      <vt:variant>
        <vt:i4>71</vt:i4>
      </vt:variant>
      <vt:variant>
        <vt:i4>0</vt:i4>
      </vt:variant>
      <vt:variant>
        <vt:i4>5</vt:i4>
      </vt:variant>
      <vt:variant>
        <vt:lpwstr/>
      </vt:variant>
      <vt:variant>
        <vt:lpwstr>_Toc304367192</vt:lpwstr>
      </vt:variant>
      <vt:variant>
        <vt:i4>1703984</vt:i4>
      </vt:variant>
      <vt:variant>
        <vt:i4>65</vt:i4>
      </vt:variant>
      <vt:variant>
        <vt:i4>0</vt:i4>
      </vt:variant>
      <vt:variant>
        <vt:i4>5</vt:i4>
      </vt:variant>
      <vt:variant>
        <vt:lpwstr/>
      </vt:variant>
      <vt:variant>
        <vt:lpwstr>_Toc304367191</vt:lpwstr>
      </vt:variant>
      <vt:variant>
        <vt:i4>1703984</vt:i4>
      </vt:variant>
      <vt:variant>
        <vt:i4>59</vt:i4>
      </vt:variant>
      <vt:variant>
        <vt:i4>0</vt:i4>
      </vt:variant>
      <vt:variant>
        <vt:i4>5</vt:i4>
      </vt:variant>
      <vt:variant>
        <vt:lpwstr/>
      </vt:variant>
      <vt:variant>
        <vt:lpwstr>_Toc304367190</vt:lpwstr>
      </vt:variant>
      <vt:variant>
        <vt:i4>1769520</vt:i4>
      </vt:variant>
      <vt:variant>
        <vt:i4>53</vt:i4>
      </vt:variant>
      <vt:variant>
        <vt:i4>0</vt:i4>
      </vt:variant>
      <vt:variant>
        <vt:i4>5</vt:i4>
      </vt:variant>
      <vt:variant>
        <vt:lpwstr/>
      </vt:variant>
      <vt:variant>
        <vt:lpwstr>_Toc304367189</vt:lpwstr>
      </vt:variant>
      <vt:variant>
        <vt:i4>1769520</vt:i4>
      </vt:variant>
      <vt:variant>
        <vt:i4>47</vt:i4>
      </vt:variant>
      <vt:variant>
        <vt:i4>0</vt:i4>
      </vt:variant>
      <vt:variant>
        <vt:i4>5</vt:i4>
      </vt:variant>
      <vt:variant>
        <vt:lpwstr/>
      </vt:variant>
      <vt:variant>
        <vt:lpwstr>_Toc304367188</vt:lpwstr>
      </vt:variant>
      <vt:variant>
        <vt:i4>1769520</vt:i4>
      </vt:variant>
      <vt:variant>
        <vt:i4>41</vt:i4>
      </vt:variant>
      <vt:variant>
        <vt:i4>0</vt:i4>
      </vt:variant>
      <vt:variant>
        <vt:i4>5</vt:i4>
      </vt:variant>
      <vt:variant>
        <vt:lpwstr/>
      </vt:variant>
      <vt:variant>
        <vt:lpwstr>_Toc304367187</vt:lpwstr>
      </vt:variant>
      <vt:variant>
        <vt:i4>1769520</vt:i4>
      </vt:variant>
      <vt:variant>
        <vt:i4>35</vt:i4>
      </vt:variant>
      <vt:variant>
        <vt:i4>0</vt:i4>
      </vt:variant>
      <vt:variant>
        <vt:i4>5</vt:i4>
      </vt:variant>
      <vt:variant>
        <vt:lpwstr/>
      </vt:variant>
      <vt:variant>
        <vt:lpwstr>_Toc304367186</vt:lpwstr>
      </vt:variant>
      <vt:variant>
        <vt:i4>1769520</vt:i4>
      </vt:variant>
      <vt:variant>
        <vt:i4>29</vt:i4>
      </vt:variant>
      <vt:variant>
        <vt:i4>0</vt:i4>
      </vt:variant>
      <vt:variant>
        <vt:i4>5</vt:i4>
      </vt:variant>
      <vt:variant>
        <vt:lpwstr/>
      </vt:variant>
      <vt:variant>
        <vt:lpwstr>_Toc304367185</vt:lpwstr>
      </vt:variant>
      <vt:variant>
        <vt:i4>1769520</vt:i4>
      </vt:variant>
      <vt:variant>
        <vt:i4>23</vt:i4>
      </vt:variant>
      <vt:variant>
        <vt:i4>0</vt:i4>
      </vt:variant>
      <vt:variant>
        <vt:i4>5</vt:i4>
      </vt:variant>
      <vt:variant>
        <vt:lpwstr/>
      </vt:variant>
      <vt:variant>
        <vt:lpwstr>_Toc304367184</vt:lpwstr>
      </vt:variant>
      <vt:variant>
        <vt:i4>1769520</vt:i4>
      </vt:variant>
      <vt:variant>
        <vt:i4>17</vt:i4>
      </vt:variant>
      <vt:variant>
        <vt:i4>0</vt:i4>
      </vt:variant>
      <vt:variant>
        <vt:i4>5</vt:i4>
      </vt:variant>
      <vt:variant>
        <vt:lpwstr/>
      </vt:variant>
      <vt:variant>
        <vt:lpwstr>_Toc304367183</vt:lpwstr>
      </vt:variant>
      <vt:variant>
        <vt:i4>1769520</vt:i4>
      </vt:variant>
      <vt:variant>
        <vt:i4>11</vt:i4>
      </vt:variant>
      <vt:variant>
        <vt:i4>0</vt:i4>
      </vt:variant>
      <vt:variant>
        <vt:i4>5</vt:i4>
      </vt:variant>
      <vt:variant>
        <vt:lpwstr/>
      </vt:variant>
      <vt:variant>
        <vt:lpwstr>_Toc304367182</vt:lpwstr>
      </vt:variant>
      <vt:variant>
        <vt:i4>1769520</vt:i4>
      </vt:variant>
      <vt:variant>
        <vt:i4>5</vt:i4>
      </vt:variant>
      <vt:variant>
        <vt:i4>0</vt:i4>
      </vt:variant>
      <vt:variant>
        <vt:i4>5</vt:i4>
      </vt:variant>
      <vt:variant>
        <vt:lpwstr/>
      </vt:variant>
      <vt:variant>
        <vt:lpwstr>_Toc304367181</vt:lpwstr>
      </vt:variant>
      <vt:variant>
        <vt:i4>3866666</vt:i4>
      </vt:variant>
      <vt:variant>
        <vt:i4>0</vt:i4>
      </vt:variant>
      <vt:variant>
        <vt:i4>0</vt:i4>
      </vt:variant>
      <vt:variant>
        <vt:i4>5</vt:i4>
      </vt:variant>
      <vt:variant>
        <vt:lpwstr>http://www.msd.govt.nz/documents/about-msd-and-our-work/publications-resources/working-papers/wp-01-11.pdf</vt:lpwstr>
      </vt:variant>
      <vt:variant>
        <vt:lpwstr/>
      </vt:variant>
      <vt:variant>
        <vt:i4>7471183</vt:i4>
      </vt:variant>
      <vt:variant>
        <vt:i4>18</vt:i4>
      </vt:variant>
      <vt:variant>
        <vt:i4>0</vt:i4>
      </vt:variant>
      <vt:variant>
        <vt:i4>5</vt:i4>
      </vt:variant>
      <vt:variant>
        <vt:lpwstr>http://www.direct.gov.uk/en/pensionsandretirementplanning/statepension/statepensiondeferral/dg_10027570</vt:lpwstr>
      </vt:variant>
      <vt:variant>
        <vt:lpwstr/>
      </vt:variant>
      <vt:variant>
        <vt:i4>7602300</vt:i4>
      </vt:variant>
      <vt:variant>
        <vt:i4>15</vt:i4>
      </vt:variant>
      <vt:variant>
        <vt:i4>0</vt:i4>
      </vt:variant>
      <vt:variant>
        <vt:i4>5</vt:i4>
      </vt:variant>
      <vt:variant>
        <vt:lpwstr>http://www.nzdmo.govt.nz/publications/mediastatements/debtprogramme/2012-09-10</vt:lpwstr>
      </vt:variant>
      <vt:variant>
        <vt:lpwstr/>
      </vt:variant>
      <vt:variant>
        <vt:i4>6881381</vt:i4>
      </vt:variant>
      <vt:variant>
        <vt:i4>12</vt:i4>
      </vt:variant>
      <vt:variant>
        <vt:i4>0</vt:i4>
      </vt:variant>
      <vt:variant>
        <vt:i4>5</vt:i4>
      </vt:variant>
      <vt:variant>
        <vt:lpwstr>http://www.ratespostponement.co.nz/</vt:lpwstr>
      </vt:variant>
      <vt:variant>
        <vt:lpwstr/>
      </vt:variant>
      <vt:variant>
        <vt:i4>5374033</vt:i4>
      </vt:variant>
      <vt:variant>
        <vt:i4>9</vt:i4>
      </vt:variant>
      <vt:variant>
        <vt:i4>0</vt:i4>
      </vt:variant>
      <vt:variant>
        <vt:i4>5</vt:i4>
      </vt:variant>
      <vt:variant>
        <vt:lpwstr>http://www.actuaries.org.nz/pdfs/Annuities May07.pdf</vt:lpwstr>
      </vt:variant>
      <vt:variant>
        <vt:lpwstr/>
      </vt:variant>
      <vt:variant>
        <vt:i4>655446</vt:i4>
      </vt:variant>
      <vt:variant>
        <vt:i4>6</vt:i4>
      </vt:variant>
      <vt:variant>
        <vt:i4>0</vt:i4>
      </vt:variant>
      <vt:variant>
        <vt:i4>5</vt:i4>
      </vt:variant>
      <vt:variant>
        <vt:lpwstr>http://www.treasury.govt.nz/budget/2011/estimates/est11reven.pdf</vt:lpwstr>
      </vt:variant>
      <vt:variant>
        <vt:lpwstr/>
      </vt:variant>
      <vt:variant>
        <vt:i4>786523</vt:i4>
      </vt:variant>
      <vt:variant>
        <vt:i4>3</vt:i4>
      </vt:variant>
      <vt:variant>
        <vt:i4>0</vt:i4>
      </vt:variant>
      <vt:variant>
        <vt:i4>5</vt:i4>
      </vt:variant>
      <vt:variant>
        <vt:lpwstr>http://www.ird.govt.nz/aboutir/reports/research/report-ks/research-ks-annual-report-2011.html</vt:lpwstr>
      </vt:variant>
      <vt:variant>
        <vt:lpwstr/>
      </vt:variant>
      <vt:variant>
        <vt:i4>6684797</vt:i4>
      </vt:variant>
      <vt:variant>
        <vt:i4>0</vt:i4>
      </vt:variant>
      <vt:variant>
        <vt:i4>0</vt:i4>
      </vt:variant>
      <vt:variant>
        <vt:i4>5</vt:i4>
      </vt:variant>
      <vt:variant>
        <vt:lpwstr>http://www.kiwisaver.govt.nz/new/about/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PAPER / XX/12</dc:title>
  <dc:creator>Ministry of Social Development</dc:creator>
  <cp:lastModifiedBy>Margaret Styles</cp:lastModifiedBy>
  <cp:revision>2</cp:revision>
  <cp:lastPrinted>2013-05-22T01:10:00Z</cp:lastPrinted>
  <dcterms:created xsi:type="dcterms:W3CDTF">2013-05-22T01:16:00Z</dcterms:created>
  <dcterms:modified xsi:type="dcterms:W3CDTF">2013-05-22T01:16:00Z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A5816579</vt:lpwstr>
  </property>
  <property fmtid="{D5CDD505-2E9C-101B-9397-08002B2CF9AE}" pid="3" name="Objective-Comment">
    <vt:lpwstr/>
  </property>
  <property fmtid="{D5CDD505-2E9C-101B-9397-08002B2CF9AE}" pid="4" name="Objective-CreationStamp">
    <vt:filetime>2011-09-21T00:00:00Z</vt:filetime>
  </property>
  <property fmtid="{D5CDD505-2E9C-101B-9397-08002B2CF9AE}" pid="5" name="Objective-IsApproved">
    <vt:lpwstr>No</vt:lpwstr>
  </property>
  <property fmtid="{D5CDD505-2E9C-101B-9397-08002B2CF9AE}" pid="6" name="Objective-IsPublished">
    <vt:lpwstr>Yes</vt:lpwstr>
  </property>
  <property fmtid="{D5CDD505-2E9C-101B-9397-08002B2CF9AE}" pid="7" name="Objective-DatePublished">
    <vt:filetime>2011-09-21T00:00:00Z</vt:filetime>
  </property>
  <property fmtid="{D5CDD505-2E9C-101B-9397-08002B2CF9AE}" pid="8" name="Objective-ModificationStamp">
    <vt:filetime>2011-09-21T00:00:00Z</vt:filetime>
  </property>
  <property fmtid="{D5CDD505-2E9C-101B-9397-08002B2CF9AE}" pid="9" name="Objective-Owner">
    <vt:lpwstr>David Bromell</vt:lpwstr>
  </property>
  <property fmtid="{D5CDD505-2E9C-101B-9397-08002B2CF9AE}" pid="10" name="Objective-Path">
    <vt:lpwstr>Global Folder:MSD INFORMATION REPOSITORY:Social Research &amp; Evaluation:Publications:Working Papers:2011:Assuring Retirement Income:</vt:lpwstr>
  </property>
  <property fmtid="{D5CDD505-2E9C-101B-9397-08002B2CF9AE}" pid="11" name="Objective-Parent">
    <vt:lpwstr>Assuring Retirement Income</vt:lpwstr>
  </property>
  <property fmtid="{D5CDD505-2E9C-101B-9397-08002B2CF9AE}" pid="12" name="Objective-State">
    <vt:lpwstr>Published</vt:lpwstr>
  </property>
  <property fmtid="{D5CDD505-2E9C-101B-9397-08002B2CF9AE}" pid="13" name="Objective-Title">
    <vt:lpwstr>Working paper 11-01 Berthold final to publish 110921</vt:lpwstr>
  </property>
  <property fmtid="{D5CDD505-2E9C-101B-9397-08002B2CF9AE}" pid="14" name="Objective-Version">
    <vt:lpwstr>1.0</vt:lpwstr>
  </property>
  <property fmtid="{D5CDD505-2E9C-101B-9397-08002B2CF9AE}" pid="15" name="Objective-VersionComment">
    <vt:lpwstr>Version 2</vt:lpwstr>
  </property>
  <property fmtid="{D5CDD505-2E9C-101B-9397-08002B2CF9AE}" pid="16" name="Objective-VersionNumber">
    <vt:i4>2</vt:i4>
  </property>
  <property fmtid="{D5CDD505-2E9C-101B-9397-08002B2CF9AE}" pid="17" name="Objective-FileNumber">
    <vt:lpwstr>SR/PU/04/01/11-17838</vt:lpwstr>
  </property>
  <property fmtid="{D5CDD505-2E9C-101B-9397-08002B2CF9AE}" pid="18" name="Objective-Classification">
    <vt:lpwstr>Not classified</vt:lpwstr>
  </property>
  <property fmtid="{D5CDD505-2E9C-101B-9397-08002B2CF9AE}" pid="19" name="Objective-Caveats">
    <vt:lpwstr/>
  </property>
  <property fmtid="{D5CDD505-2E9C-101B-9397-08002B2CF9AE}" pid="20" name="Objective-Document Status [system]">
    <vt:lpwstr>Work in Progress</vt:lpwstr>
  </property>
</Properties>
</file>