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12B74" w14:textId="3A7F3FFC" w:rsidR="003727A8" w:rsidRDefault="003727A8" w:rsidP="00720E7F">
      <w:pPr>
        <w:pStyle w:val="Heading2"/>
        <w:rPr>
          <w:lang w:val="en" w:eastAsia="en-NZ"/>
        </w:rPr>
      </w:pPr>
      <w:r>
        <w:rPr>
          <w:rFonts w:asciiTheme="minorHAnsi" w:eastAsia="Times New Roman" w:hAnsiTheme="minorHAnsi" w:cstheme="minorHAnsi"/>
          <w:b w:val="0"/>
          <w:bCs/>
          <w:noProof/>
          <w:kern w:val="36"/>
          <w:lang w:eastAsia="en-NZ"/>
        </w:rPr>
        <w:drawing>
          <wp:anchor distT="0" distB="0" distL="114300" distR="114300" simplePos="0" relativeHeight="251659264" behindDoc="0" locked="0" layoutInCell="1" allowOverlap="1" wp14:anchorId="2AC67998" wp14:editId="5D8C996B">
            <wp:simplePos x="0" y="0"/>
            <wp:positionH relativeFrom="margin">
              <wp:align>left</wp:align>
            </wp:positionH>
            <wp:positionV relativeFrom="margin">
              <wp:align>top</wp:align>
            </wp:positionV>
            <wp:extent cx="2628900" cy="7524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89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79127" w14:textId="77777777" w:rsidR="003727A8" w:rsidRDefault="003727A8" w:rsidP="00720E7F">
      <w:pPr>
        <w:pStyle w:val="Heading2"/>
        <w:rPr>
          <w:lang w:val="en" w:eastAsia="en-NZ"/>
        </w:rPr>
      </w:pPr>
    </w:p>
    <w:p w14:paraId="25BF1077" w14:textId="77777777" w:rsidR="003727A8" w:rsidRDefault="003727A8" w:rsidP="00720E7F">
      <w:pPr>
        <w:pStyle w:val="Heading2"/>
        <w:rPr>
          <w:lang w:val="en" w:eastAsia="en-NZ"/>
        </w:rPr>
      </w:pPr>
    </w:p>
    <w:p w14:paraId="568DF1E3" w14:textId="75E6790E" w:rsidR="00736233" w:rsidRDefault="00736233" w:rsidP="00720E7F">
      <w:pPr>
        <w:pStyle w:val="Heading2"/>
        <w:rPr>
          <w:lang w:val="en" w:eastAsia="en-NZ"/>
        </w:rPr>
      </w:pPr>
      <w:r>
        <w:rPr>
          <w:lang w:val="en" w:eastAsia="en-NZ"/>
        </w:rPr>
        <w:t>Information on Quarterly Welfare Assistance open-data machine</w:t>
      </w:r>
      <w:r w:rsidR="00DD6D26">
        <w:rPr>
          <w:lang w:val="en" w:eastAsia="en-NZ"/>
        </w:rPr>
        <w:t>-</w:t>
      </w:r>
      <w:r>
        <w:rPr>
          <w:lang w:val="en" w:eastAsia="en-NZ"/>
        </w:rPr>
        <w:t>readable files</w:t>
      </w:r>
    </w:p>
    <w:p w14:paraId="77845C77" w14:textId="3B212764" w:rsidR="00736233" w:rsidRDefault="00736233" w:rsidP="00736233">
      <w:pPr>
        <w:rPr>
          <w:lang w:val="en" w:eastAsia="en-NZ"/>
        </w:rPr>
      </w:pPr>
      <w:r>
        <w:rPr>
          <w:lang w:val="en" w:eastAsia="en-NZ"/>
        </w:rPr>
        <w:t>Machine</w:t>
      </w:r>
      <w:r w:rsidR="00FA2D3C">
        <w:rPr>
          <w:lang w:val="en" w:eastAsia="en-NZ"/>
        </w:rPr>
        <w:t>-</w:t>
      </w:r>
      <w:r>
        <w:rPr>
          <w:lang w:val="en" w:eastAsia="en-NZ"/>
        </w:rPr>
        <w:t>readable Comma</w:t>
      </w:r>
      <w:r w:rsidR="00FA2D3C">
        <w:rPr>
          <w:lang w:val="en" w:eastAsia="en-NZ"/>
        </w:rPr>
        <w:t>-</w:t>
      </w:r>
      <w:r w:rsidR="003444E4">
        <w:rPr>
          <w:lang w:val="en" w:eastAsia="en-NZ"/>
        </w:rPr>
        <w:t>S</w:t>
      </w:r>
      <w:r>
        <w:rPr>
          <w:lang w:val="en" w:eastAsia="en-NZ"/>
        </w:rPr>
        <w:t>eparated</w:t>
      </w:r>
      <w:r w:rsidR="00FA2D3C">
        <w:rPr>
          <w:lang w:val="en" w:eastAsia="en-NZ"/>
        </w:rPr>
        <w:t xml:space="preserve"> Values f</w:t>
      </w:r>
      <w:r>
        <w:rPr>
          <w:lang w:val="en" w:eastAsia="en-NZ"/>
        </w:rPr>
        <w:t xml:space="preserve">iles (CSV) were provided with Benefit Fact Sheet releases between 2013 and 2019. During </w:t>
      </w:r>
      <w:r w:rsidR="003444E4">
        <w:rPr>
          <w:lang w:val="en" w:eastAsia="en-NZ"/>
        </w:rPr>
        <w:t xml:space="preserve">the </w:t>
      </w:r>
      <w:r>
        <w:rPr>
          <w:lang w:val="en" w:eastAsia="en-NZ"/>
        </w:rPr>
        <w:t xml:space="preserve">2020 production of </w:t>
      </w:r>
      <w:r w:rsidR="003444E4">
        <w:rPr>
          <w:lang w:val="en" w:eastAsia="en-NZ"/>
        </w:rPr>
        <w:t xml:space="preserve">these </w:t>
      </w:r>
      <w:r>
        <w:rPr>
          <w:lang w:val="en" w:eastAsia="en-NZ"/>
        </w:rPr>
        <w:t xml:space="preserve">files was paused as part of the </w:t>
      </w:r>
      <w:r w:rsidRPr="00736233">
        <w:rPr>
          <w:lang w:val="en" w:eastAsia="en-NZ"/>
        </w:rPr>
        <w:t>Ministry of Social Development</w:t>
      </w:r>
      <w:r w:rsidR="003444E4">
        <w:rPr>
          <w:lang w:val="en" w:eastAsia="en-NZ"/>
        </w:rPr>
        <w:t>’s</w:t>
      </w:r>
      <w:r>
        <w:rPr>
          <w:lang w:val="en" w:eastAsia="en-NZ"/>
        </w:rPr>
        <w:t xml:space="preserve"> </w:t>
      </w:r>
      <w:r w:rsidR="00F03741">
        <w:rPr>
          <w:lang w:val="en" w:eastAsia="en-NZ"/>
        </w:rPr>
        <w:t xml:space="preserve">(MSD) </w:t>
      </w:r>
      <w:r>
        <w:rPr>
          <w:lang w:val="en" w:eastAsia="en-NZ"/>
        </w:rPr>
        <w:t>response to COVID-19</w:t>
      </w:r>
      <w:r w:rsidR="003444E4">
        <w:rPr>
          <w:lang w:val="en" w:eastAsia="en-NZ"/>
        </w:rPr>
        <w:t xml:space="preserve"> </w:t>
      </w:r>
      <w:r w:rsidR="00DC53E7">
        <w:rPr>
          <w:lang w:val="en" w:eastAsia="en-NZ"/>
        </w:rPr>
        <w:t>to</w:t>
      </w:r>
      <w:r w:rsidR="00FA2D3C">
        <w:rPr>
          <w:lang w:val="en" w:eastAsia="en-NZ"/>
        </w:rPr>
        <w:t xml:space="preserve"> </w:t>
      </w:r>
      <w:r w:rsidR="003444E4">
        <w:rPr>
          <w:lang w:val="en" w:eastAsia="en-NZ"/>
        </w:rPr>
        <w:t xml:space="preserve">be able to </w:t>
      </w:r>
      <w:r w:rsidR="00803AD8">
        <w:rPr>
          <w:lang w:val="en" w:eastAsia="en-NZ"/>
        </w:rPr>
        <w:t>focus on</w:t>
      </w:r>
      <w:r w:rsidR="00EC5CB5">
        <w:rPr>
          <w:lang w:val="en" w:eastAsia="en-NZ"/>
        </w:rPr>
        <w:t xml:space="preserve"> producing</w:t>
      </w:r>
      <w:r w:rsidR="00803AD8">
        <w:rPr>
          <w:lang w:val="en" w:eastAsia="en-NZ"/>
        </w:rPr>
        <w:t xml:space="preserve"> </w:t>
      </w:r>
      <w:r w:rsidR="00FA2D3C">
        <w:rPr>
          <w:lang w:val="en" w:eastAsia="en-NZ"/>
        </w:rPr>
        <w:t>weekly and monthly reporting</w:t>
      </w:r>
      <w:r>
        <w:rPr>
          <w:lang w:val="en" w:eastAsia="en-NZ"/>
        </w:rPr>
        <w:t>. During 2021</w:t>
      </w:r>
      <w:r w:rsidR="009E3D80">
        <w:rPr>
          <w:lang w:val="en" w:eastAsia="en-NZ"/>
        </w:rPr>
        <w:t>,</w:t>
      </w:r>
      <w:r>
        <w:rPr>
          <w:lang w:val="en" w:eastAsia="en-NZ"/>
        </w:rPr>
        <w:t xml:space="preserve"> </w:t>
      </w:r>
      <w:r w:rsidR="00F03741">
        <w:rPr>
          <w:lang w:val="en" w:eastAsia="en-NZ"/>
        </w:rPr>
        <w:t>MSD</w:t>
      </w:r>
      <w:r>
        <w:rPr>
          <w:lang w:val="en" w:eastAsia="en-NZ"/>
        </w:rPr>
        <w:t xml:space="preserve"> is restarting publication of </w:t>
      </w:r>
      <w:r w:rsidR="00FA2D3C">
        <w:rPr>
          <w:lang w:val="en" w:eastAsia="en-NZ"/>
        </w:rPr>
        <w:t>these machine-readable files.</w:t>
      </w:r>
    </w:p>
    <w:p w14:paraId="01F1055E" w14:textId="77777777" w:rsidR="0056019C" w:rsidRDefault="0056019C" w:rsidP="00736233">
      <w:pPr>
        <w:rPr>
          <w:lang w:val="en" w:eastAsia="en-NZ"/>
        </w:rPr>
      </w:pPr>
    </w:p>
    <w:p w14:paraId="0A9CBD85" w14:textId="7D6B69A0" w:rsidR="00FA2D3C" w:rsidRPr="00FA2D3C" w:rsidRDefault="00E25E3C" w:rsidP="000D6789">
      <w:pPr>
        <w:pStyle w:val="Heading3"/>
        <w:rPr>
          <w:lang w:val="en" w:eastAsia="en-NZ"/>
        </w:rPr>
      </w:pPr>
      <w:r>
        <w:rPr>
          <w:lang w:val="en" w:eastAsia="en-NZ"/>
        </w:rPr>
        <w:t>Protecting our client’s information – confidentiality procedures</w:t>
      </w:r>
    </w:p>
    <w:p w14:paraId="78731F8C" w14:textId="209A02B8" w:rsidR="009B6CE2" w:rsidRDefault="009B6CE2" w:rsidP="00FA2D3C">
      <w:pPr>
        <w:rPr>
          <w:lang w:val="en" w:eastAsia="en-NZ"/>
        </w:rPr>
      </w:pPr>
      <w:r w:rsidRPr="009B6CE2">
        <w:rPr>
          <w:lang w:val="en" w:eastAsia="en-NZ"/>
        </w:rPr>
        <w:t>All information in the</w:t>
      </w:r>
      <w:r>
        <w:rPr>
          <w:lang w:val="en" w:eastAsia="en-NZ"/>
        </w:rPr>
        <w:t xml:space="preserve">se machine-readable files </w:t>
      </w:r>
      <w:r w:rsidRPr="009B6CE2">
        <w:rPr>
          <w:lang w:val="en" w:eastAsia="en-NZ"/>
        </w:rPr>
        <w:t>has been randomly rounded to a base of 3</w:t>
      </w:r>
      <w:r>
        <w:rPr>
          <w:lang w:val="en" w:eastAsia="en-NZ"/>
        </w:rPr>
        <w:t xml:space="preserve"> and has had MSD confidentiality rules applied</w:t>
      </w:r>
      <w:r w:rsidRPr="009B6CE2">
        <w:rPr>
          <w:lang w:val="en" w:eastAsia="en-NZ"/>
        </w:rPr>
        <w:t xml:space="preserve">. Note that all data has been rounded independently from other products published by MSD, and therefore may not match when compared. </w:t>
      </w:r>
    </w:p>
    <w:p w14:paraId="03639985" w14:textId="5C565E79" w:rsidR="00AD0C8E" w:rsidRDefault="00FA2D3C" w:rsidP="00FA2D3C">
      <w:pPr>
        <w:rPr>
          <w:lang w:val="en" w:eastAsia="en-NZ"/>
        </w:rPr>
      </w:pPr>
      <w:r w:rsidRPr="00FA2D3C">
        <w:rPr>
          <w:lang w:val="en" w:eastAsia="en-NZ"/>
        </w:rPr>
        <w:t>From 12 February 2021</w:t>
      </w:r>
      <w:r w:rsidR="00DF17EF">
        <w:rPr>
          <w:lang w:val="en" w:eastAsia="en-NZ"/>
        </w:rPr>
        <w:t>,</w:t>
      </w:r>
      <w:r w:rsidRPr="00FA2D3C">
        <w:rPr>
          <w:lang w:val="en" w:eastAsia="en-NZ"/>
        </w:rPr>
        <w:t xml:space="preserve"> MSD is applying a range of new confidentiality procedures to public data releases. These procedures will continue to protect client information, while making more data available. To find out how we have changed the way we work with client information</w:t>
      </w:r>
      <w:r w:rsidR="00DF17EF">
        <w:rPr>
          <w:lang w:val="en" w:eastAsia="en-NZ"/>
        </w:rPr>
        <w:t>,</w:t>
      </w:r>
      <w:r w:rsidRPr="00FA2D3C">
        <w:rPr>
          <w:lang w:val="en" w:eastAsia="en-NZ"/>
        </w:rPr>
        <w:t xml:space="preserve"> visit:</w:t>
      </w:r>
      <w:r>
        <w:rPr>
          <w:lang w:val="en" w:eastAsia="en-NZ"/>
        </w:rPr>
        <w:t xml:space="preserve"> </w:t>
      </w:r>
    </w:p>
    <w:p w14:paraId="492E5B93" w14:textId="7AE00468" w:rsidR="00FA2D3C" w:rsidRDefault="00ED670F" w:rsidP="00FA2D3C">
      <w:pPr>
        <w:rPr>
          <w:lang w:val="en" w:eastAsia="en-NZ"/>
        </w:rPr>
      </w:pPr>
      <w:hyperlink r:id="rId7" w:history="1">
        <w:r w:rsidR="00AD0C8E" w:rsidRPr="001F4FC6">
          <w:rPr>
            <w:rStyle w:val="Hyperlink"/>
            <w:lang w:val="en" w:eastAsia="en-NZ"/>
          </w:rPr>
          <w:t>https://www.msd.govt.nz/about-msd-and-our-work/tools/how-we-keep-data-private.html</w:t>
        </w:r>
      </w:hyperlink>
      <w:r w:rsidR="00FA2D3C">
        <w:rPr>
          <w:lang w:val="en" w:eastAsia="en-NZ"/>
        </w:rPr>
        <w:t xml:space="preserve"> </w:t>
      </w:r>
    </w:p>
    <w:p w14:paraId="143BB8C8" w14:textId="47EF5469" w:rsidR="00FA2D3C" w:rsidRDefault="00FA2D3C" w:rsidP="00FA2D3C">
      <w:pPr>
        <w:rPr>
          <w:lang w:val="en" w:eastAsia="en-NZ"/>
        </w:rPr>
      </w:pPr>
      <w:r>
        <w:rPr>
          <w:lang w:val="en" w:eastAsia="en-NZ"/>
        </w:rPr>
        <w:t>To meet the requirements for confidential</w:t>
      </w:r>
      <w:r w:rsidR="00DF17EF">
        <w:rPr>
          <w:lang w:val="en" w:eastAsia="en-NZ"/>
        </w:rPr>
        <w:t>it</w:t>
      </w:r>
      <w:r>
        <w:rPr>
          <w:lang w:val="en" w:eastAsia="en-NZ"/>
        </w:rPr>
        <w:t>y and to protect our client</w:t>
      </w:r>
      <w:r w:rsidR="003D26D1">
        <w:rPr>
          <w:lang w:val="en" w:eastAsia="en-NZ"/>
        </w:rPr>
        <w:t>s’</w:t>
      </w:r>
      <w:r>
        <w:rPr>
          <w:lang w:val="en" w:eastAsia="en-NZ"/>
        </w:rPr>
        <w:t xml:space="preserve"> data, we have suppressed all matrices tables with average values less than </w:t>
      </w:r>
      <w:r w:rsidR="002F1F36">
        <w:rPr>
          <w:lang w:val="en" w:eastAsia="en-NZ"/>
        </w:rPr>
        <w:t>2</w:t>
      </w:r>
      <w:r w:rsidR="00BA08A6">
        <w:rPr>
          <w:lang w:val="en" w:eastAsia="en-NZ"/>
        </w:rPr>
        <w:t>,</w:t>
      </w:r>
      <w:r w:rsidR="002F1F36">
        <w:rPr>
          <w:lang w:val="en" w:eastAsia="en-NZ"/>
        </w:rPr>
        <w:t xml:space="preserve"> and</w:t>
      </w:r>
      <w:r w:rsidR="000743D1">
        <w:rPr>
          <w:lang w:val="en" w:eastAsia="en-NZ"/>
        </w:rPr>
        <w:t xml:space="preserve"> provided an aggregate</w:t>
      </w:r>
      <w:r w:rsidR="002F1F36">
        <w:rPr>
          <w:lang w:val="en" w:eastAsia="en-NZ"/>
        </w:rPr>
        <w:t xml:space="preserve"> total</w:t>
      </w:r>
      <w:r w:rsidR="000743D1">
        <w:rPr>
          <w:lang w:val="en" w:eastAsia="en-NZ"/>
        </w:rPr>
        <w:t xml:space="preserve"> of the suppressed value</w:t>
      </w:r>
      <w:r w:rsidR="00C80AAA">
        <w:rPr>
          <w:lang w:val="en" w:eastAsia="en-NZ"/>
        </w:rPr>
        <w:t>. When using any particular column</w:t>
      </w:r>
      <w:r w:rsidR="006561E3">
        <w:rPr>
          <w:lang w:val="en" w:eastAsia="en-NZ"/>
        </w:rPr>
        <w:t xml:space="preserve"> in</w:t>
      </w:r>
      <w:r w:rsidR="00BA08A6">
        <w:rPr>
          <w:lang w:val="en" w:eastAsia="en-NZ"/>
        </w:rPr>
        <w:t xml:space="preserve"> </w:t>
      </w:r>
      <w:r w:rsidR="006561E3">
        <w:rPr>
          <w:lang w:val="en" w:eastAsia="en-NZ"/>
        </w:rPr>
        <w:t xml:space="preserve">these files, they </w:t>
      </w:r>
      <w:r w:rsidR="00C80AAA">
        <w:rPr>
          <w:lang w:val="en" w:eastAsia="en-NZ"/>
        </w:rPr>
        <w:t xml:space="preserve">will contain an </w:t>
      </w:r>
      <w:r w:rsidR="006561E3">
        <w:rPr>
          <w:lang w:val="en" w:eastAsia="en-NZ"/>
        </w:rPr>
        <w:t>“</w:t>
      </w:r>
      <w:r w:rsidR="00C80AAA">
        <w:rPr>
          <w:lang w:val="en" w:eastAsia="en-NZ"/>
        </w:rPr>
        <w:t>Aggregate</w:t>
      </w:r>
      <w:r w:rsidR="006561E3">
        <w:rPr>
          <w:lang w:val="en" w:eastAsia="en-NZ"/>
        </w:rPr>
        <w:t>”</w:t>
      </w:r>
      <w:r w:rsidR="00C80AAA">
        <w:rPr>
          <w:lang w:val="en" w:eastAsia="en-NZ"/>
        </w:rPr>
        <w:t xml:space="preserve"> variable</w:t>
      </w:r>
      <w:r w:rsidR="006561E3">
        <w:rPr>
          <w:lang w:val="en" w:eastAsia="en-NZ"/>
        </w:rPr>
        <w:t>,</w:t>
      </w:r>
      <w:r w:rsidR="00C80AAA">
        <w:rPr>
          <w:lang w:val="en" w:eastAsia="en-NZ"/>
        </w:rPr>
        <w:t xml:space="preserve"> which sums the value of </w:t>
      </w:r>
      <w:r w:rsidR="00A04E91">
        <w:rPr>
          <w:lang w:val="en" w:eastAsia="en-NZ"/>
        </w:rPr>
        <w:t xml:space="preserve">any </w:t>
      </w:r>
      <w:r w:rsidR="00C80AAA">
        <w:rPr>
          <w:lang w:val="en" w:eastAsia="en-NZ"/>
        </w:rPr>
        <w:t>suppressed variables.</w:t>
      </w:r>
    </w:p>
    <w:p w14:paraId="66A6EAC8" w14:textId="630B5203" w:rsidR="00C80AAA" w:rsidRDefault="00C80AAA" w:rsidP="00FA2D3C">
      <w:pPr>
        <w:rPr>
          <w:lang w:val="en" w:eastAsia="en-NZ"/>
        </w:rPr>
      </w:pPr>
      <w:r>
        <w:rPr>
          <w:lang w:val="en" w:eastAsia="en-NZ"/>
        </w:rPr>
        <w:t>To account for the variation in the data created by random rounding</w:t>
      </w:r>
      <w:r w:rsidR="00A04E91">
        <w:rPr>
          <w:lang w:val="en" w:eastAsia="en-NZ"/>
        </w:rPr>
        <w:t>,</w:t>
      </w:r>
      <w:r>
        <w:rPr>
          <w:lang w:val="en" w:eastAsia="en-NZ"/>
        </w:rPr>
        <w:t xml:space="preserve"> we have provided every possible total. To make these usable to a</w:t>
      </w:r>
      <w:r w:rsidR="00A04E91">
        <w:rPr>
          <w:lang w:val="en" w:eastAsia="en-NZ"/>
        </w:rPr>
        <w:t>ny</w:t>
      </w:r>
      <w:r>
        <w:rPr>
          <w:lang w:val="en" w:eastAsia="en-NZ"/>
        </w:rPr>
        <w:t xml:space="preserve"> user with a program equivalent to </w:t>
      </w:r>
      <w:r w:rsidR="00A04E91">
        <w:rPr>
          <w:lang w:val="en" w:eastAsia="en-NZ"/>
        </w:rPr>
        <w:t>E</w:t>
      </w:r>
      <w:r>
        <w:rPr>
          <w:lang w:val="en" w:eastAsia="en-NZ"/>
        </w:rPr>
        <w:t>xcel</w:t>
      </w:r>
      <w:r w:rsidR="00A04E91">
        <w:rPr>
          <w:lang w:val="en" w:eastAsia="en-NZ"/>
        </w:rPr>
        <w:t>,</w:t>
      </w:r>
      <w:r>
        <w:rPr>
          <w:lang w:val="en" w:eastAsia="en-NZ"/>
        </w:rPr>
        <w:t xml:space="preserve"> we have provided four different CSV files, one for Jobseeker Support,</w:t>
      </w:r>
      <w:r w:rsidR="00E25E3C">
        <w:rPr>
          <w:lang w:val="en" w:eastAsia="en-NZ"/>
        </w:rPr>
        <w:t xml:space="preserve"> one</w:t>
      </w:r>
      <w:r>
        <w:rPr>
          <w:lang w:val="en" w:eastAsia="en-NZ"/>
        </w:rPr>
        <w:t xml:space="preserve"> </w:t>
      </w:r>
      <w:r w:rsidR="0058095A">
        <w:rPr>
          <w:lang w:val="en" w:eastAsia="en-NZ"/>
        </w:rPr>
        <w:t xml:space="preserve">for </w:t>
      </w:r>
      <w:r>
        <w:rPr>
          <w:lang w:val="en" w:eastAsia="en-NZ"/>
        </w:rPr>
        <w:t>Supported Living Payment,</w:t>
      </w:r>
      <w:r w:rsidR="00E25E3C">
        <w:rPr>
          <w:lang w:val="en" w:eastAsia="en-NZ"/>
        </w:rPr>
        <w:t xml:space="preserve"> one</w:t>
      </w:r>
      <w:r>
        <w:rPr>
          <w:lang w:val="en" w:eastAsia="en-NZ"/>
        </w:rPr>
        <w:t xml:space="preserve"> </w:t>
      </w:r>
      <w:r w:rsidR="0058095A">
        <w:rPr>
          <w:lang w:val="en" w:eastAsia="en-NZ"/>
        </w:rPr>
        <w:t xml:space="preserve">for </w:t>
      </w:r>
      <w:r>
        <w:rPr>
          <w:lang w:val="en" w:eastAsia="en-NZ"/>
        </w:rPr>
        <w:t xml:space="preserve">Sole Parent Support, and </w:t>
      </w:r>
      <w:r w:rsidR="00E25E3C">
        <w:rPr>
          <w:lang w:val="en" w:eastAsia="en-NZ"/>
        </w:rPr>
        <w:t>one for</w:t>
      </w:r>
      <w:r w:rsidR="0058095A">
        <w:rPr>
          <w:lang w:val="en" w:eastAsia="en-NZ"/>
        </w:rPr>
        <w:t xml:space="preserve"> </w:t>
      </w:r>
      <w:r>
        <w:rPr>
          <w:lang w:val="en" w:eastAsia="en-NZ"/>
        </w:rPr>
        <w:t>all other main benefits.</w:t>
      </w:r>
    </w:p>
    <w:p w14:paraId="44563AF8" w14:textId="77777777" w:rsidR="0056019C" w:rsidRDefault="0056019C" w:rsidP="00FA2D3C">
      <w:pPr>
        <w:rPr>
          <w:lang w:val="en" w:eastAsia="en-NZ"/>
        </w:rPr>
      </w:pPr>
    </w:p>
    <w:p w14:paraId="12323AB9" w14:textId="07BB4152" w:rsidR="000D6789" w:rsidRDefault="000D6789" w:rsidP="000D6789">
      <w:pPr>
        <w:pStyle w:val="Heading3"/>
      </w:pPr>
      <w:r>
        <w:t>Content of machine</w:t>
      </w:r>
      <w:r w:rsidR="00BA08A6">
        <w:t>-</w:t>
      </w:r>
      <w:r>
        <w:t>readable files</w:t>
      </w:r>
      <w:r w:rsidR="004F5E24">
        <w:t>:</w:t>
      </w:r>
    </w:p>
    <w:p w14:paraId="51E548BE" w14:textId="08BF9FD2" w:rsidR="002B7C70" w:rsidRDefault="004F5E24" w:rsidP="004F5E24">
      <w:r>
        <w:t>The CSV file</w:t>
      </w:r>
      <w:r w:rsidR="002B7C70">
        <w:t>s</w:t>
      </w:r>
      <w:r>
        <w:t xml:space="preserve"> contain 5 years or 21 quarters of dat</w:t>
      </w:r>
      <w:r w:rsidR="002B7C70">
        <w:t>a and are spilt into the following files:</w:t>
      </w:r>
    </w:p>
    <w:p w14:paraId="4F79FC66" w14:textId="7603188F" w:rsidR="002B7C70" w:rsidRDefault="002B7C70" w:rsidP="002B7C70">
      <w:pPr>
        <w:pStyle w:val="ListParagraph"/>
        <w:numPr>
          <w:ilvl w:val="0"/>
          <w:numId w:val="35"/>
        </w:numPr>
      </w:pPr>
      <w:r w:rsidRPr="002B7C70">
        <w:t>quarterly_regional_JS_comma_separated_values_</w:t>
      </w:r>
      <w:r w:rsidR="00D471E4">
        <w:t>march</w:t>
      </w:r>
      <w:r w:rsidRPr="002B7C70">
        <w:t>_202</w:t>
      </w:r>
      <w:r w:rsidR="00D471E4">
        <w:t>1</w:t>
      </w:r>
      <w:r w:rsidRPr="002B7C70">
        <w:t>.csv</w:t>
      </w:r>
      <w:r>
        <w:t xml:space="preserve"> [Jobseeker Support]</w:t>
      </w:r>
    </w:p>
    <w:p w14:paraId="33595E2B" w14:textId="6BA98DE3" w:rsidR="002B7C70" w:rsidRDefault="002B7C70" w:rsidP="002B7C70">
      <w:pPr>
        <w:pStyle w:val="ListParagraph"/>
        <w:numPr>
          <w:ilvl w:val="0"/>
          <w:numId w:val="35"/>
        </w:numPr>
      </w:pPr>
      <w:r w:rsidRPr="002B7C70">
        <w:t>quarterly_regional_</w:t>
      </w:r>
      <w:r>
        <w:t>SLP</w:t>
      </w:r>
      <w:r w:rsidRPr="002B7C70">
        <w:t>_comma_separated_values_</w:t>
      </w:r>
      <w:r w:rsidR="00D471E4">
        <w:t>march</w:t>
      </w:r>
      <w:r w:rsidRPr="002B7C70">
        <w:t>_202</w:t>
      </w:r>
      <w:r w:rsidR="00D471E4">
        <w:t>1</w:t>
      </w:r>
      <w:r w:rsidRPr="002B7C70">
        <w:t>.csv</w:t>
      </w:r>
      <w:r>
        <w:t xml:space="preserve"> [Supported Living Payment]</w:t>
      </w:r>
    </w:p>
    <w:p w14:paraId="194D283D" w14:textId="66C80545" w:rsidR="002B7C70" w:rsidRDefault="002B7C70" w:rsidP="002B7C70">
      <w:pPr>
        <w:pStyle w:val="ListParagraph"/>
        <w:numPr>
          <w:ilvl w:val="0"/>
          <w:numId w:val="35"/>
        </w:numPr>
      </w:pPr>
      <w:r w:rsidRPr="002B7C70">
        <w:lastRenderedPageBreak/>
        <w:t>quarterly_regional_</w:t>
      </w:r>
      <w:r>
        <w:t>SPS</w:t>
      </w:r>
      <w:r w:rsidRPr="002B7C70">
        <w:t>_comma_separated_values_</w:t>
      </w:r>
      <w:r w:rsidR="00D471E4">
        <w:t>march</w:t>
      </w:r>
      <w:r w:rsidRPr="002B7C70">
        <w:t>_202</w:t>
      </w:r>
      <w:r w:rsidR="00D471E4">
        <w:t>1</w:t>
      </w:r>
      <w:r w:rsidRPr="002B7C70">
        <w:t>.csv</w:t>
      </w:r>
      <w:r>
        <w:t xml:space="preserve"> [Sole Parent Support]</w:t>
      </w:r>
    </w:p>
    <w:p w14:paraId="28140C36" w14:textId="66992A5C" w:rsidR="002B7C70" w:rsidRDefault="002B7C70" w:rsidP="002B7C70">
      <w:pPr>
        <w:pStyle w:val="ListParagraph"/>
        <w:numPr>
          <w:ilvl w:val="0"/>
          <w:numId w:val="35"/>
        </w:numPr>
      </w:pPr>
      <w:r w:rsidRPr="002B7C70">
        <w:t>quarterly_regional_</w:t>
      </w:r>
      <w:r>
        <w:t>OMB</w:t>
      </w:r>
      <w:r w:rsidRPr="002B7C70">
        <w:t>_comma_separated_values_</w:t>
      </w:r>
      <w:r w:rsidR="00D471E4">
        <w:t>march</w:t>
      </w:r>
      <w:r w:rsidRPr="002B7C70">
        <w:t>_202</w:t>
      </w:r>
      <w:r w:rsidR="00D471E4">
        <w:t>1</w:t>
      </w:r>
      <w:r w:rsidRPr="002B7C70">
        <w:t>.csv</w:t>
      </w:r>
      <w:r>
        <w:t xml:space="preserve"> [</w:t>
      </w:r>
      <w:r w:rsidR="0058095A">
        <w:t>A</w:t>
      </w:r>
      <w:r w:rsidR="00581A84">
        <w:t>ll other main benefits]</w:t>
      </w:r>
    </w:p>
    <w:p w14:paraId="3334E27D" w14:textId="64858257" w:rsidR="00C80AAA" w:rsidRDefault="0058095A" w:rsidP="004F5E24">
      <w:r>
        <w:t>The</w:t>
      </w:r>
      <w:r w:rsidR="00555FAB">
        <w:t>se</w:t>
      </w:r>
      <w:r>
        <w:t xml:space="preserve"> </w:t>
      </w:r>
      <w:r w:rsidR="00555FAB">
        <w:t>can be found here:</w:t>
      </w:r>
    </w:p>
    <w:p w14:paraId="7CFBF3A3" w14:textId="11743C2A" w:rsidR="00C80AAA" w:rsidRDefault="00ED670F" w:rsidP="004F5E24">
      <w:hyperlink r:id="rId8" w:history="1">
        <w:r w:rsidR="00C80AAA" w:rsidRPr="00A42E97">
          <w:rPr>
            <w:rStyle w:val="Hyperlink"/>
          </w:rPr>
          <w:t>https://msd.govt.nz/about-msd-and-our-work/publications-resources/statistics/benefit/index.html</w:t>
        </w:r>
      </w:hyperlink>
    </w:p>
    <w:p w14:paraId="3395DE3A" w14:textId="6F53BD17" w:rsidR="00AD0C8E" w:rsidRDefault="00AD0C8E" w:rsidP="00AD0C8E">
      <w:pPr>
        <w:spacing w:after="0" w:line="240" w:lineRule="auto"/>
        <w:outlineLvl w:val="1"/>
        <w:rPr>
          <w:rFonts w:eastAsia="Times New Roman" w:cstheme="minorHAnsi"/>
          <w:bCs/>
          <w:szCs w:val="20"/>
          <w:lang w:val="en" w:eastAsia="en-NZ"/>
        </w:rPr>
      </w:pPr>
      <w:r>
        <w:t xml:space="preserve">For more detailed information on the types of assistance </w:t>
      </w:r>
      <w:r w:rsidR="0058095A">
        <w:t>MSD</w:t>
      </w:r>
      <w:r w:rsidR="0088035E">
        <w:t xml:space="preserve"> </w:t>
      </w:r>
      <w:r>
        <w:t>provides</w:t>
      </w:r>
      <w:r w:rsidR="0058095A">
        <w:t>,</w:t>
      </w:r>
      <w:r>
        <w:t xml:space="preserve"> visit: </w:t>
      </w:r>
      <w:hyperlink r:id="rId9" w:history="1">
        <w:r>
          <w:rPr>
            <w:rStyle w:val="Hyperlink"/>
          </w:rPr>
          <w:t>https://www.workandincome.govt.nz/map/</w:t>
        </w:r>
      </w:hyperlink>
    </w:p>
    <w:p w14:paraId="4657F60F" w14:textId="77777777" w:rsidR="00581A84" w:rsidRDefault="00581A84" w:rsidP="00581A84">
      <w:pPr>
        <w:pStyle w:val="Heading3"/>
      </w:pPr>
    </w:p>
    <w:p w14:paraId="203A7A1C" w14:textId="37ADCFDE" w:rsidR="00BD21D1" w:rsidRDefault="00BD21D1" w:rsidP="00581A84">
      <w:pPr>
        <w:pStyle w:val="Heading3"/>
      </w:pPr>
      <w:r>
        <w:t xml:space="preserve">Using these CSVs as </w:t>
      </w:r>
      <w:r w:rsidR="0010394A">
        <w:t xml:space="preserve">Excel </w:t>
      </w:r>
      <w:r>
        <w:t xml:space="preserve">pivot tables or </w:t>
      </w:r>
      <w:r w:rsidR="0010394A">
        <w:t xml:space="preserve">with </w:t>
      </w:r>
      <w:r>
        <w:t>other statistical programs</w:t>
      </w:r>
    </w:p>
    <w:p w14:paraId="5AB71ED1" w14:textId="3A63F1BC" w:rsidR="00BD21D1" w:rsidRDefault="0010394A" w:rsidP="00BD21D1">
      <w:r>
        <w:t>To find the</w:t>
      </w:r>
      <w:r w:rsidR="00BD21D1">
        <w:t xml:space="preserve"> totals for a</w:t>
      </w:r>
      <w:r>
        <w:t>ny</w:t>
      </w:r>
      <w:r w:rsidR="00BD21D1">
        <w:t xml:space="preserve"> particular variable, the most accurate figure is achieved by using the </w:t>
      </w:r>
      <w:r>
        <w:t>”</w:t>
      </w:r>
      <w:r w:rsidR="00BA08A6">
        <w:t>Total</w:t>
      </w:r>
      <w:r>
        <w:t>”</w:t>
      </w:r>
      <w:r w:rsidR="00BA08A6">
        <w:t xml:space="preserve"> variable</w:t>
      </w:r>
      <w:r w:rsidR="00BD21D1">
        <w:t xml:space="preserve">, rather </w:t>
      </w:r>
      <w:r w:rsidR="00BA08A6">
        <w:t>than a sum of</w:t>
      </w:r>
      <w:r w:rsidR="00BD21D1">
        <w:t xml:space="preserve"> individual variables. Random rounding adds a degree of variance to summed variables</w:t>
      </w:r>
      <w:r w:rsidR="00BA08A6">
        <w:t>, so c</w:t>
      </w:r>
      <w:r w:rsidR="00BD21D1">
        <w:t>aution must be used when calculating totals</w:t>
      </w:r>
      <w:r w:rsidR="00BA08A6">
        <w:t>. W</w:t>
      </w:r>
      <w:r w:rsidR="00BD21D1">
        <w:t>e suggest</w:t>
      </w:r>
      <w:r w:rsidR="00BA08A6">
        <w:t xml:space="preserve"> the</w:t>
      </w:r>
      <w:r w:rsidR="00BD21D1">
        <w:t xml:space="preserve"> use of the Benefit Fact Sheets to compare totals for accuracy.</w:t>
      </w:r>
    </w:p>
    <w:p w14:paraId="273D8C78" w14:textId="1438BE59" w:rsidR="00845BC6" w:rsidRDefault="00845BC6" w:rsidP="00BD21D1">
      <w:r>
        <w:t>Make sure that when you select a particular total that all other variables are set at total as well, as per figure 1 below</w:t>
      </w:r>
      <w:r w:rsidR="007F4B08">
        <w:t>.</w:t>
      </w:r>
    </w:p>
    <w:p w14:paraId="5FEB253C" w14:textId="52DC718A" w:rsidR="007F4B08" w:rsidRPr="007F4B08" w:rsidRDefault="007F4B08" w:rsidP="00BD21D1">
      <w:pPr>
        <w:rPr>
          <w:i/>
          <w:iCs/>
        </w:rPr>
      </w:pPr>
      <w:r w:rsidRPr="007F4B08">
        <w:rPr>
          <w:i/>
          <w:iCs/>
        </w:rPr>
        <w:t>Figure 1:</w:t>
      </w:r>
      <w:r w:rsidR="00E25E3C">
        <w:rPr>
          <w:i/>
          <w:iCs/>
        </w:rPr>
        <w:t xml:space="preserve"> </w:t>
      </w:r>
      <w:r>
        <w:rPr>
          <w:i/>
          <w:iCs/>
        </w:rPr>
        <w:t>Use of machine</w:t>
      </w:r>
      <w:r w:rsidR="00E25E3C">
        <w:rPr>
          <w:i/>
          <w:iCs/>
        </w:rPr>
        <w:t>-</w:t>
      </w:r>
      <w:r>
        <w:rPr>
          <w:i/>
          <w:iCs/>
        </w:rPr>
        <w:t>readable files as a pivot table in excel</w:t>
      </w:r>
      <w:r w:rsidR="00F0232C">
        <w:rPr>
          <w:i/>
          <w:iCs/>
        </w:rPr>
        <w:t xml:space="preserve"> with totals selected</w:t>
      </w:r>
    </w:p>
    <w:p w14:paraId="31FBAC60" w14:textId="2B83E446" w:rsidR="007F4B08" w:rsidRPr="00BD21D1" w:rsidRDefault="007F4B08" w:rsidP="00BD21D1">
      <w:r>
        <w:rPr>
          <w:noProof/>
        </w:rPr>
        <w:drawing>
          <wp:inline distT="0" distB="0" distL="0" distR="0" wp14:anchorId="7DD90A39" wp14:editId="583A778C">
            <wp:extent cx="5731510" cy="1371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6574"/>
                    <a:stretch/>
                  </pic:blipFill>
                  <pic:spPr bwMode="auto">
                    <a:xfrm>
                      <a:off x="0" y="0"/>
                      <a:ext cx="5731510" cy="1371600"/>
                    </a:xfrm>
                    <a:prstGeom prst="rect">
                      <a:avLst/>
                    </a:prstGeom>
                    <a:ln>
                      <a:noFill/>
                    </a:ln>
                    <a:extLst>
                      <a:ext uri="{53640926-AAD7-44D8-BBD7-CCE9431645EC}">
                        <a14:shadowObscured xmlns:a14="http://schemas.microsoft.com/office/drawing/2010/main"/>
                      </a:ext>
                    </a:extLst>
                  </pic:spPr>
                </pic:pic>
              </a:graphicData>
            </a:graphic>
          </wp:inline>
        </w:drawing>
      </w:r>
    </w:p>
    <w:p w14:paraId="73FD590F" w14:textId="77777777" w:rsidR="00BD21D1" w:rsidRPr="00BD21D1" w:rsidRDefault="00BD21D1" w:rsidP="00BD21D1"/>
    <w:p w14:paraId="208DBB48" w14:textId="5FDF9A97" w:rsidR="00AD0C8E" w:rsidRPr="004F5E24" w:rsidRDefault="00581A84" w:rsidP="00581A84">
      <w:pPr>
        <w:pStyle w:val="Heading3"/>
      </w:pPr>
      <w:r>
        <w:t>List of information contained in CSV files</w:t>
      </w:r>
    </w:p>
    <w:tbl>
      <w:tblPr>
        <w:tblStyle w:val="TableGrid"/>
        <w:tblW w:w="9322" w:type="dxa"/>
        <w:tblLayout w:type="fixed"/>
        <w:tblLook w:val="04A0" w:firstRow="1" w:lastRow="0" w:firstColumn="1" w:lastColumn="0" w:noHBand="0" w:noVBand="1"/>
      </w:tblPr>
      <w:tblGrid>
        <w:gridCol w:w="1560"/>
        <w:gridCol w:w="2835"/>
        <w:gridCol w:w="4831"/>
        <w:gridCol w:w="96"/>
      </w:tblGrid>
      <w:tr w:rsidR="004F5E24" w:rsidRPr="008E250A" w14:paraId="6118B8BD" w14:textId="77777777" w:rsidTr="00D56011">
        <w:trPr>
          <w:gridAfter w:val="1"/>
          <w:wAfter w:w="96" w:type="dxa"/>
        </w:trPr>
        <w:tc>
          <w:tcPr>
            <w:tcW w:w="1560" w:type="dxa"/>
            <w:vMerge w:val="restart"/>
            <w:tcBorders>
              <w:top w:val="single" w:sz="4" w:space="0" w:color="auto"/>
              <w:left w:val="nil"/>
              <w:bottom w:val="single" w:sz="4" w:space="0" w:color="auto"/>
              <w:right w:val="nil"/>
            </w:tcBorders>
          </w:tcPr>
          <w:p w14:paraId="6AA75A18" w14:textId="77777777" w:rsidR="004F5E24" w:rsidRPr="0065169A" w:rsidRDefault="004F5E24" w:rsidP="007E1A87">
            <w:pPr>
              <w:spacing w:after="0" w:line="240" w:lineRule="auto"/>
              <w:outlineLvl w:val="1"/>
              <w:rPr>
                <w:rFonts w:eastAsia="Times New Roman" w:cstheme="minorHAnsi"/>
                <w:bCs/>
                <w:sz w:val="19"/>
                <w:szCs w:val="19"/>
                <w:lang w:val="en" w:eastAsia="en-NZ"/>
              </w:rPr>
            </w:pPr>
            <w:r w:rsidRPr="0065169A">
              <w:rPr>
                <w:rFonts w:eastAsia="Times New Roman" w:cstheme="minorHAnsi"/>
                <w:bCs/>
                <w:sz w:val="19"/>
                <w:szCs w:val="19"/>
                <w:lang w:val="en" w:eastAsia="en-NZ"/>
              </w:rPr>
              <w:t>Classifications used</w:t>
            </w:r>
          </w:p>
          <w:p w14:paraId="31384B86" w14:textId="6F7D8970" w:rsidR="00845BC6" w:rsidRPr="008E250A" w:rsidRDefault="00845BC6" w:rsidP="00D56011">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57B6105F" w14:textId="4432F4D3"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Gender</w:t>
            </w:r>
          </w:p>
          <w:p w14:paraId="71E70E41" w14:textId="481AB804" w:rsidR="00845BC6" w:rsidRDefault="00845BC6" w:rsidP="007E1A87">
            <w:pPr>
              <w:spacing w:after="0" w:line="240" w:lineRule="auto"/>
              <w:outlineLvl w:val="1"/>
              <w:rPr>
                <w:rFonts w:eastAsia="Times New Roman" w:cstheme="minorHAnsi"/>
                <w:bCs/>
                <w:i/>
                <w:sz w:val="19"/>
                <w:szCs w:val="19"/>
                <w:lang w:val="en" w:eastAsia="en-NZ"/>
              </w:rPr>
            </w:pPr>
          </w:p>
          <w:p w14:paraId="7E9EEB4B" w14:textId="727CF0A5" w:rsidR="004F5E24"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‘Gender’]</w:t>
            </w:r>
          </w:p>
        </w:tc>
        <w:tc>
          <w:tcPr>
            <w:tcW w:w="4831" w:type="dxa"/>
            <w:tcBorders>
              <w:top w:val="single" w:sz="4" w:space="0" w:color="auto"/>
              <w:left w:val="nil"/>
              <w:bottom w:val="single" w:sz="4" w:space="0" w:color="auto"/>
              <w:right w:val="nil"/>
            </w:tcBorders>
          </w:tcPr>
          <w:p w14:paraId="31B593D5" w14:textId="2CA0F305" w:rsidR="004F5E24" w:rsidRPr="008E250A" w:rsidRDefault="004F5E24" w:rsidP="007E1A87">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 xml:space="preserve">Male; Female; Gender Diverse; </w:t>
            </w:r>
            <w:r w:rsidR="00C80AAA">
              <w:rPr>
                <w:rFonts w:eastAsia="Times New Roman" w:cstheme="minorHAnsi"/>
                <w:bCs/>
                <w:sz w:val="19"/>
                <w:szCs w:val="19"/>
                <w:lang w:val="en" w:eastAsia="en-NZ"/>
              </w:rPr>
              <w:t>Aggregated</w:t>
            </w:r>
          </w:p>
          <w:p w14:paraId="1DF52853" w14:textId="77777777" w:rsidR="004F5E24" w:rsidRPr="008E250A" w:rsidRDefault="004F5E24" w:rsidP="007E1A87">
            <w:pPr>
              <w:spacing w:after="0" w:line="240" w:lineRule="auto"/>
              <w:outlineLvl w:val="1"/>
              <w:rPr>
                <w:rFonts w:eastAsia="Times New Roman" w:cstheme="minorHAnsi"/>
                <w:bCs/>
                <w:sz w:val="19"/>
                <w:szCs w:val="19"/>
                <w:lang w:val="en" w:eastAsia="en-NZ"/>
              </w:rPr>
            </w:pPr>
          </w:p>
        </w:tc>
      </w:tr>
      <w:tr w:rsidR="004F5E24" w:rsidRPr="008E250A" w14:paraId="37196DB7" w14:textId="77777777" w:rsidTr="00D56011">
        <w:trPr>
          <w:gridAfter w:val="1"/>
          <w:wAfter w:w="96" w:type="dxa"/>
        </w:trPr>
        <w:tc>
          <w:tcPr>
            <w:tcW w:w="1560" w:type="dxa"/>
            <w:vMerge/>
            <w:tcBorders>
              <w:top w:val="single" w:sz="4" w:space="0" w:color="auto"/>
              <w:left w:val="nil"/>
              <w:bottom w:val="single" w:sz="4" w:space="0" w:color="auto"/>
              <w:right w:val="nil"/>
            </w:tcBorders>
          </w:tcPr>
          <w:p w14:paraId="0C741A88"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6EC89845" w14:textId="77777777"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Ethnic group</w:t>
            </w:r>
          </w:p>
          <w:p w14:paraId="64F99E66" w14:textId="77777777" w:rsidR="00845BC6" w:rsidRDefault="00845BC6" w:rsidP="007E1A87">
            <w:pPr>
              <w:spacing w:after="0" w:line="240" w:lineRule="auto"/>
              <w:outlineLvl w:val="1"/>
              <w:rPr>
                <w:rFonts w:eastAsia="Times New Roman" w:cstheme="minorHAnsi"/>
                <w:bCs/>
                <w:i/>
                <w:sz w:val="19"/>
                <w:szCs w:val="19"/>
                <w:lang w:val="en" w:eastAsia="en-NZ"/>
              </w:rPr>
            </w:pPr>
          </w:p>
          <w:p w14:paraId="5D2A8E26" w14:textId="11FA2390" w:rsidR="00845BC6"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Pr="00845BC6">
              <w:rPr>
                <w:rFonts w:eastAsia="Times New Roman" w:cstheme="minorHAnsi"/>
                <w:bCs/>
                <w:i/>
                <w:sz w:val="19"/>
                <w:szCs w:val="19"/>
                <w:lang w:val="en" w:eastAsia="en-NZ"/>
              </w:rPr>
              <w:t>prioritised_Ethnic_group</w:t>
            </w:r>
            <w:proofErr w:type="spellEnd"/>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49C313B" w14:textId="69E00427" w:rsidR="004F5E24" w:rsidRPr="008E250A" w:rsidRDefault="004F5E24" w:rsidP="007E1A87">
            <w:pPr>
              <w:spacing w:after="0" w:line="240" w:lineRule="auto"/>
              <w:outlineLvl w:val="1"/>
              <w:rPr>
                <w:rFonts w:eastAsia="Times New Roman" w:cstheme="minorHAnsi"/>
                <w:bCs/>
                <w:sz w:val="19"/>
                <w:szCs w:val="19"/>
                <w:lang w:val="en" w:eastAsia="en-NZ"/>
              </w:rPr>
            </w:pPr>
            <w:r>
              <w:rPr>
                <w:rFonts w:eastAsia="Times New Roman" w:cstheme="minorHAnsi"/>
                <w:bCs/>
                <w:sz w:val="19"/>
                <w:szCs w:val="19"/>
                <w:lang w:val="en" w:eastAsia="en-NZ"/>
              </w:rPr>
              <w:t>NZ</w:t>
            </w:r>
            <w:r w:rsidRPr="008E250A">
              <w:rPr>
                <w:rFonts w:eastAsia="Times New Roman" w:cstheme="minorHAnsi"/>
                <w:bCs/>
                <w:sz w:val="19"/>
                <w:szCs w:val="19"/>
                <w:lang w:val="en" w:eastAsia="en-NZ"/>
              </w:rPr>
              <w:t xml:space="preserve"> European; Māori; Pacific </w:t>
            </w:r>
            <w:r>
              <w:rPr>
                <w:rFonts w:eastAsia="Times New Roman" w:cstheme="minorHAnsi"/>
                <w:bCs/>
                <w:sz w:val="19"/>
                <w:szCs w:val="19"/>
                <w:lang w:val="en" w:eastAsia="en-NZ"/>
              </w:rPr>
              <w:t>Island</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Other</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U</w:t>
            </w:r>
            <w:r w:rsidRPr="008E250A">
              <w:rPr>
                <w:rFonts w:eastAsia="Times New Roman" w:cstheme="minorHAnsi"/>
                <w:bCs/>
                <w:sz w:val="19"/>
                <w:szCs w:val="19"/>
                <w:lang w:val="en" w:eastAsia="en-NZ"/>
              </w:rPr>
              <w:t>nspecified</w:t>
            </w:r>
            <w:r>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Aggregated</w:t>
            </w:r>
            <w:r w:rsidRPr="008E250A">
              <w:rPr>
                <w:rFonts w:eastAsia="Times New Roman" w:cstheme="minorHAnsi"/>
                <w:bCs/>
                <w:sz w:val="19"/>
                <w:szCs w:val="19"/>
                <w:lang w:val="en" w:eastAsia="en-NZ"/>
              </w:rPr>
              <w:br/>
            </w:r>
          </w:p>
        </w:tc>
      </w:tr>
      <w:tr w:rsidR="004F5E24" w:rsidRPr="00FE1CC8" w14:paraId="2263F3AB" w14:textId="77777777" w:rsidTr="00D56011">
        <w:trPr>
          <w:gridAfter w:val="1"/>
          <w:wAfter w:w="96" w:type="dxa"/>
        </w:trPr>
        <w:tc>
          <w:tcPr>
            <w:tcW w:w="1560" w:type="dxa"/>
            <w:vMerge/>
            <w:tcBorders>
              <w:top w:val="single" w:sz="4" w:space="0" w:color="auto"/>
              <w:left w:val="nil"/>
              <w:bottom w:val="single" w:sz="4" w:space="0" w:color="auto"/>
              <w:right w:val="nil"/>
            </w:tcBorders>
          </w:tcPr>
          <w:p w14:paraId="6592D1AE"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4C91882C" w14:textId="77777777" w:rsidR="004F5E24" w:rsidRDefault="004F5E24" w:rsidP="004F5E24">
            <w:pPr>
              <w:spacing w:after="0" w:line="240" w:lineRule="auto"/>
              <w:outlineLvl w:val="1"/>
              <w:rPr>
                <w:rFonts w:eastAsia="Times New Roman" w:cstheme="minorHAnsi"/>
                <w:bCs/>
                <w:i/>
                <w:sz w:val="19"/>
                <w:szCs w:val="19"/>
                <w:lang w:val="en" w:eastAsia="en-NZ"/>
              </w:rPr>
            </w:pPr>
            <w:r w:rsidRPr="00FE1CC8">
              <w:rPr>
                <w:rFonts w:eastAsia="Times New Roman" w:cstheme="minorHAnsi"/>
                <w:bCs/>
                <w:i/>
                <w:sz w:val="19"/>
                <w:szCs w:val="19"/>
                <w:lang w:val="en" w:eastAsia="en-NZ"/>
              </w:rPr>
              <w:t>Age group</w:t>
            </w:r>
          </w:p>
          <w:p w14:paraId="5B7D6785" w14:textId="77777777" w:rsidR="00845BC6" w:rsidRDefault="00845BC6" w:rsidP="004F5E24">
            <w:pPr>
              <w:spacing w:after="0" w:line="240" w:lineRule="auto"/>
              <w:outlineLvl w:val="1"/>
              <w:rPr>
                <w:rFonts w:eastAsia="Times New Roman" w:cstheme="minorHAnsi"/>
                <w:bCs/>
                <w:i/>
                <w:sz w:val="19"/>
                <w:szCs w:val="19"/>
                <w:lang w:val="en" w:eastAsia="en-NZ"/>
              </w:rPr>
            </w:pPr>
          </w:p>
          <w:p w14:paraId="3B30A203" w14:textId="77777777" w:rsidR="00845BC6" w:rsidRDefault="00845BC6" w:rsidP="004F5E24">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 xml:space="preserve">[Included under </w:t>
            </w:r>
          </w:p>
          <w:p w14:paraId="4976DB24" w14:textId="5FFCD2FF" w:rsidR="00845BC6" w:rsidRPr="00FE1CC8" w:rsidRDefault="00845BC6" w:rsidP="004F5E24">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w:t>
            </w:r>
            <w:proofErr w:type="spellStart"/>
            <w:r w:rsidRPr="00845BC6">
              <w:rPr>
                <w:rFonts w:eastAsia="Times New Roman" w:cstheme="minorHAnsi"/>
                <w:bCs/>
                <w:i/>
                <w:sz w:val="19"/>
                <w:szCs w:val="19"/>
                <w:lang w:val="en" w:eastAsia="en-NZ"/>
              </w:rPr>
              <w:t>broad_Age_group</w:t>
            </w:r>
            <w:proofErr w:type="spellEnd"/>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6FC1DD20" w14:textId="38851C1B" w:rsidR="004F5E24" w:rsidRPr="00FE1CC8" w:rsidRDefault="004F5E24" w:rsidP="007E1A87">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t>18</w:t>
            </w:r>
            <w:r>
              <w:rPr>
                <w:rFonts w:eastAsia="Times New Roman" w:cstheme="minorHAnsi"/>
                <w:bCs/>
                <w:sz w:val="19"/>
                <w:szCs w:val="19"/>
                <w:lang w:val="en" w:eastAsia="en-NZ"/>
              </w:rPr>
              <w:t>–</w:t>
            </w:r>
            <w:r w:rsidRPr="00FE1CC8">
              <w:rPr>
                <w:rFonts w:eastAsia="Times New Roman" w:cstheme="minorHAnsi"/>
                <w:bCs/>
                <w:sz w:val="19"/>
                <w:szCs w:val="19"/>
                <w:lang w:val="en" w:eastAsia="en-NZ"/>
              </w:rPr>
              <w:t>24 years; 25</w:t>
            </w:r>
            <w:r>
              <w:rPr>
                <w:rFonts w:eastAsia="Times New Roman" w:cstheme="minorHAnsi"/>
                <w:bCs/>
                <w:sz w:val="19"/>
                <w:szCs w:val="19"/>
                <w:lang w:val="en" w:eastAsia="en-NZ"/>
              </w:rPr>
              <w:t>–</w:t>
            </w:r>
            <w:r w:rsidRPr="00FE1CC8">
              <w:rPr>
                <w:rFonts w:eastAsia="Times New Roman" w:cstheme="minorHAnsi"/>
                <w:bCs/>
                <w:sz w:val="19"/>
                <w:szCs w:val="19"/>
                <w:lang w:val="en" w:eastAsia="en-NZ"/>
              </w:rPr>
              <w:t>39 years; 40</w:t>
            </w:r>
            <w:r>
              <w:rPr>
                <w:rFonts w:eastAsia="Times New Roman" w:cstheme="minorHAnsi"/>
                <w:bCs/>
                <w:sz w:val="19"/>
                <w:szCs w:val="19"/>
                <w:lang w:val="en" w:eastAsia="en-NZ"/>
              </w:rPr>
              <w:t>–</w:t>
            </w:r>
            <w:r w:rsidRPr="00FE1CC8">
              <w:rPr>
                <w:rFonts w:eastAsia="Times New Roman" w:cstheme="minorHAnsi"/>
                <w:bCs/>
                <w:sz w:val="19"/>
                <w:szCs w:val="19"/>
                <w:lang w:val="en" w:eastAsia="en-NZ"/>
              </w:rPr>
              <w:t>54 years; 55</w:t>
            </w:r>
            <w:r>
              <w:rPr>
                <w:rFonts w:eastAsia="Times New Roman" w:cstheme="minorHAnsi"/>
                <w:bCs/>
                <w:sz w:val="19"/>
                <w:szCs w:val="19"/>
                <w:lang w:val="en" w:eastAsia="en-NZ"/>
              </w:rPr>
              <w:t>–</w:t>
            </w:r>
            <w:r w:rsidRPr="00FE1CC8">
              <w:rPr>
                <w:rFonts w:eastAsia="Times New Roman" w:cstheme="minorHAnsi"/>
                <w:bCs/>
                <w:sz w:val="19"/>
                <w:szCs w:val="19"/>
                <w:lang w:val="en" w:eastAsia="en-NZ"/>
              </w:rPr>
              <w:t>64 years</w:t>
            </w:r>
            <w:r>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Aggregated</w:t>
            </w:r>
          </w:p>
          <w:p w14:paraId="421B0A39" w14:textId="77777777" w:rsidR="004F5E24" w:rsidRPr="00FE1CC8" w:rsidRDefault="004F5E24" w:rsidP="007E1A87">
            <w:pPr>
              <w:spacing w:after="0" w:line="240" w:lineRule="auto"/>
              <w:outlineLvl w:val="1"/>
              <w:rPr>
                <w:rFonts w:eastAsia="Times New Roman" w:cstheme="minorHAnsi"/>
                <w:bCs/>
                <w:sz w:val="19"/>
                <w:szCs w:val="19"/>
                <w:lang w:val="en" w:eastAsia="en-NZ"/>
              </w:rPr>
            </w:pPr>
            <w:r w:rsidRPr="00FE1CC8">
              <w:rPr>
                <w:rFonts w:eastAsia="Times New Roman" w:cstheme="minorHAnsi"/>
                <w:bCs/>
                <w:sz w:val="19"/>
                <w:szCs w:val="19"/>
                <w:lang w:val="en" w:eastAsia="en-NZ"/>
              </w:rPr>
              <w:br/>
            </w:r>
          </w:p>
        </w:tc>
      </w:tr>
      <w:tr w:rsidR="004F5E24" w:rsidRPr="008E250A" w14:paraId="68941F62" w14:textId="77777777" w:rsidTr="00D56011">
        <w:trPr>
          <w:gridAfter w:val="1"/>
          <w:wAfter w:w="96" w:type="dxa"/>
        </w:trPr>
        <w:tc>
          <w:tcPr>
            <w:tcW w:w="1560" w:type="dxa"/>
            <w:vMerge/>
            <w:tcBorders>
              <w:top w:val="single" w:sz="4" w:space="0" w:color="auto"/>
              <w:left w:val="nil"/>
              <w:bottom w:val="single" w:sz="4" w:space="0" w:color="auto"/>
              <w:right w:val="nil"/>
            </w:tcBorders>
          </w:tcPr>
          <w:p w14:paraId="1E849533"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28413B25" w14:textId="77777777" w:rsidR="004F5E24"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Benefit</w:t>
            </w:r>
            <w:r w:rsidR="000743D1">
              <w:rPr>
                <w:rFonts w:eastAsia="Times New Roman" w:cstheme="minorHAnsi"/>
                <w:bCs/>
                <w:i/>
                <w:sz w:val="19"/>
                <w:szCs w:val="19"/>
                <w:lang w:val="en" w:eastAsia="en-NZ"/>
              </w:rPr>
              <w:t xml:space="preserve"> </w:t>
            </w:r>
            <w:r w:rsidRPr="00FA2393">
              <w:rPr>
                <w:rFonts w:eastAsia="Times New Roman" w:cstheme="minorHAnsi"/>
                <w:bCs/>
                <w:i/>
                <w:sz w:val="19"/>
                <w:szCs w:val="19"/>
                <w:lang w:val="en" w:eastAsia="en-NZ"/>
              </w:rPr>
              <w:t>group</w:t>
            </w:r>
            <w:r>
              <w:rPr>
                <w:rFonts w:eastAsia="Times New Roman" w:cstheme="minorHAnsi"/>
                <w:bCs/>
                <w:i/>
                <w:sz w:val="19"/>
                <w:szCs w:val="19"/>
                <w:lang w:val="en" w:eastAsia="en-NZ"/>
              </w:rPr>
              <w:t xml:space="preserve"> </w:t>
            </w:r>
            <w:r>
              <w:rPr>
                <w:rFonts w:eastAsia="Times New Roman" w:cstheme="minorHAnsi"/>
                <w:bCs/>
                <w:i/>
                <w:sz w:val="19"/>
                <w:szCs w:val="19"/>
                <w:lang w:val="en" w:eastAsia="en-NZ"/>
              </w:rPr>
              <w:br/>
            </w:r>
          </w:p>
          <w:p w14:paraId="5F5C89A3" w14:textId="20131025" w:rsidR="00845BC6" w:rsidRPr="00FA2393"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Pr="00845BC6">
              <w:rPr>
                <w:rFonts w:eastAsia="Times New Roman" w:cstheme="minorHAnsi"/>
                <w:bCs/>
                <w:i/>
                <w:sz w:val="19"/>
                <w:szCs w:val="19"/>
                <w:lang w:val="en" w:eastAsia="en-NZ"/>
              </w:rPr>
              <w:t>Benefit_group_incl_subgroup</w:t>
            </w:r>
            <w:proofErr w:type="spellEnd"/>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7C191052" w14:textId="767D1149" w:rsidR="004F5E24" w:rsidRPr="008E250A"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Jobseeker</w:t>
            </w:r>
            <w:r>
              <w:rPr>
                <w:rFonts w:eastAsia="Times New Roman" w:cstheme="minorHAnsi"/>
                <w:bCs/>
                <w:sz w:val="19"/>
                <w:szCs w:val="19"/>
                <w:lang w:val="en" w:eastAsia="en-NZ"/>
              </w:rPr>
              <w:t xml:space="preserve"> Support</w:t>
            </w:r>
            <w:r w:rsidR="00BD21D1">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 xml:space="preserve"> Work Ready,</w:t>
            </w:r>
            <w:r w:rsidR="00BD21D1">
              <w:rPr>
                <w:rFonts w:eastAsia="Times New Roman" w:cstheme="minorHAnsi"/>
                <w:bCs/>
                <w:sz w:val="19"/>
                <w:szCs w:val="19"/>
                <w:lang w:val="en" w:eastAsia="en-NZ"/>
              </w:rPr>
              <w:t xml:space="preserve"> Jobseeker Support -</w:t>
            </w:r>
            <w:r w:rsidR="00C80AAA">
              <w:rPr>
                <w:rFonts w:eastAsia="Times New Roman" w:cstheme="minorHAnsi"/>
                <w:bCs/>
                <w:sz w:val="19"/>
                <w:szCs w:val="19"/>
                <w:lang w:val="en" w:eastAsia="en-NZ"/>
              </w:rPr>
              <w:t xml:space="preserve"> Health Condition or Disability</w:t>
            </w:r>
            <w:r w:rsidRPr="008E250A">
              <w:rPr>
                <w:rFonts w:eastAsia="Times New Roman" w:cstheme="minorHAnsi"/>
                <w:bCs/>
                <w:sz w:val="19"/>
                <w:szCs w:val="19"/>
                <w:lang w:val="en" w:eastAsia="en-NZ"/>
              </w:rPr>
              <w:t>; Supported Living</w:t>
            </w:r>
            <w:r w:rsidR="00C80AAA">
              <w:rPr>
                <w:rFonts w:eastAsia="Times New Roman" w:cstheme="minorHAnsi"/>
                <w:bCs/>
                <w:sz w:val="19"/>
                <w:szCs w:val="19"/>
                <w:lang w:val="en" w:eastAsia="en-NZ"/>
              </w:rPr>
              <w:t xml:space="preserve"> Payment </w:t>
            </w:r>
            <w:r w:rsidR="00BD21D1">
              <w:rPr>
                <w:rFonts w:eastAsia="Times New Roman" w:cstheme="minorHAnsi"/>
                <w:bCs/>
                <w:sz w:val="19"/>
                <w:szCs w:val="19"/>
                <w:lang w:val="en" w:eastAsia="en-NZ"/>
              </w:rPr>
              <w:t xml:space="preserve">- </w:t>
            </w:r>
            <w:r w:rsidR="00C80AAA">
              <w:rPr>
                <w:rFonts w:eastAsia="Times New Roman" w:cstheme="minorHAnsi"/>
                <w:bCs/>
                <w:sz w:val="19"/>
                <w:szCs w:val="19"/>
                <w:lang w:val="en" w:eastAsia="en-NZ"/>
              </w:rPr>
              <w:t xml:space="preserve">Caring, </w:t>
            </w:r>
            <w:r w:rsidR="00BD21D1" w:rsidRPr="008E250A">
              <w:rPr>
                <w:rFonts w:eastAsia="Times New Roman" w:cstheme="minorHAnsi"/>
                <w:bCs/>
                <w:sz w:val="19"/>
                <w:szCs w:val="19"/>
                <w:lang w:val="en" w:eastAsia="en-NZ"/>
              </w:rPr>
              <w:t>Supported Living</w:t>
            </w:r>
            <w:r w:rsidR="00BD21D1">
              <w:rPr>
                <w:rFonts w:eastAsia="Times New Roman" w:cstheme="minorHAnsi"/>
                <w:bCs/>
                <w:sz w:val="19"/>
                <w:szCs w:val="19"/>
                <w:lang w:val="en" w:eastAsia="en-NZ"/>
              </w:rPr>
              <w:t xml:space="preserve"> Payment - </w:t>
            </w:r>
            <w:r w:rsidR="00C80AAA">
              <w:rPr>
                <w:rFonts w:eastAsia="Times New Roman" w:cstheme="minorHAnsi"/>
                <w:bCs/>
                <w:sz w:val="19"/>
                <w:szCs w:val="19"/>
                <w:lang w:val="en" w:eastAsia="en-NZ"/>
              </w:rPr>
              <w:t>Health Condition or Disability</w:t>
            </w:r>
            <w:r>
              <w:rPr>
                <w:rFonts w:eastAsia="Times New Roman" w:cstheme="minorHAnsi"/>
                <w:bCs/>
                <w:sz w:val="19"/>
                <w:szCs w:val="19"/>
                <w:lang w:val="en" w:eastAsia="en-NZ"/>
              </w:rPr>
              <w:t>; Sole Parent</w:t>
            </w:r>
            <w:r w:rsidR="000743D1">
              <w:rPr>
                <w:rFonts w:eastAsia="Times New Roman" w:cstheme="minorHAnsi"/>
                <w:bCs/>
                <w:sz w:val="19"/>
                <w:szCs w:val="19"/>
                <w:lang w:val="en" w:eastAsia="en-NZ"/>
              </w:rPr>
              <w:t xml:space="preserve"> Support</w:t>
            </w:r>
            <w:r>
              <w:rPr>
                <w:rFonts w:eastAsia="Times New Roman" w:cstheme="minorHAnsi"/>
                <w:bCs/>
                <w:sz w:val="19"/>
                <w:szCs w:val="19"/>
                <w:lang w:val="en" w:eastAsia="en-NZ"/>
              </w:rPr>
              <w:t xml:space="preserve">; </w:t>
            </w:r>
            <w:r w:rsidR="000743D1">
              <w:rPr>
                <w:rFonts w:eastAsia="Times New Roman" w:cstheme="minorHAnsi"/>
                <w:bCs/>
                <w:sz w:val="19"/>
                <w:szCs w:val="19"/>
                <w:lang w:val="en" w:eastAsia="en-NZ"/>
              </w:rPr>
              <w:t xml:space="preserve">Other Main Benefits </w:t>
            </w:r>
            <w:r w:rsidR="000743D1">
              <w:rPr>
                <w:rFonts w:eastAsia="Times New Roman" w:cstheme="minorHAnsi"/>
                <w:bCs/>
                <w:sz w:val="19"/>
                <w:szCs w:val="19"/>
                <w:lang w:val="en" w:eastAsia="en-NZ"/>
              </w:rPr>
              <w:lastRenderedPageBreak/>
              <w:t>[</w:t>
            </w:r>
            <w:r w:rsidR="00BD21D1">
              <w:rPr>
                <w:rFonts w:eastAsia="Times New Roman" w:cstheme="minorHAnsi"/>
                <w:bCs/>
                <w:sz w:val="19"/>
                <w:szCs w:val="19"/>
                <w:lang w:val="en" w:eastAsia="en-NZ"/>
              </w:rPr>
              <w:t>which is an aggregate of</w:t>
            </w:r>
            <w:r w:rsidR="000743D1">
              <w:rPr>
                <w:rFonts w:eastAsia="Times New Roman" w:cstheme="minorHAnsi"/>
                <w:bCs/>
                <w:sz w:val="19"/>
                <w:szCs w:val="19"/>
                <w:lang w:val="en" w:eastAsia="en-NZ"/>
              </w:rPr>
              <w:t>: Emergency Benefit, Emergency Maintenance Allowance, Jobseeker Support Student Hardship, DPB Sole Parent Overseas, Youth Payment, and Young Parent Payment]</w:t>
            </w:r>
            <w:r w:rsidRPr="008E250A">
              <w:rPr>
                <w:rFonts w:eastAsia="Times New Roman" w:cstheme="minorHAnsi"/>
                <w:bCs/>
                <w:sz w:val="19"/>
                <w:szCs w:val="19"/>
                <w:lang w:val="en" w:eastAsia="en-NZ"/>
              </w:rPr>
              <w:br/>
            </w:r>
          </w:p>
        </w:tc>
      </w:tr>
      <w:tr w:rsidR="004F5E24" w:rsidRPr="008E250A" w14:paraId="7D9635C8" w14:textId="77777777" w:rsidTr="00D56011">
        <w:trPr>
          <w:gridAfter w:val="1"/>
          <w:wAfter w:w="96" w:type="dxa"/>
          <w:trHeight w:val="1277"/>
        </w:trPr>
        <w:tc>
          <w:tcPr>
            <w:tcW w:w="1560" w:type="dxa"/>
            <w:vMerge/>
            <w:tcBorders>
              <w:top w:val="single" w:sz="4" w:space="0" w:color="auto"/>
              <w:left w:val="nil"/>
              <w:bottom w:val="single" w:sz="4" w:space="0" w:color="auto"/>
              <w:right w:val="nil"/>
            </w:tcBorders>
          </w:tcPr>
          <w:p w14:paraId="1584EDB6"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1ADBD006"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Incapacity group Jobseeker Support</w:t>
            </w:r>
          </w:p>
          <w:p w14:paraId="028B685D" w14:textId="278CD780" w:rsidR="00845BC6" w:rsidRDefault="00845BC6" w:rsidP="007E1A87">
            <w:pPr>
              <w:spacing w:after="0" w:line="240" w:lineRule="auto"/>
              <w:outlineLvl w:val="1"/>
              <w:rPr>
                <w:rFonts w:eastAsia="Times New Roman" w:cstheme="minorHAnsi"/>
                <w:bCs/>
                <w:i/>
                <w:sz w:val="19"/>
                <w:szCs w:val="19"/>
                <w:lang w:val="en" w:eastAsia="en-NZ"/>
              </w:rPr>
            </w:pPr>
          </w:p>
          <w:p w14:paraId="613415DA" w14:textId="4DB6AFAA" w:rsidR="00D56011" w:rsidRPr="00D56011" w:rsidRDefault="00D56011" w:rsidP="007E1A87">
            <w:pPr>
              <w:spacing w:after="0" w:line="240" w:lineRule="auto"/>
              <w:outlineLvl w:val="1"/>
              <w:rPr>
                <w:rFonts w:eastAsia="Times New Roman" w:cstheme="minorHAnsi"/>
                <w:b/>
                <w:i/>
                <w:sz w:val="19"/>
                <w:szCs w:val="19"/>
                <w:lang w:val="en" w:eastAsia="en-NZ"/>
              </w:rPr>
            </w:pPr>
            <w:r>
              <w:rPr>
                <w:rFonts w:eastAsia="Times New Roman" w:cstheme="minorHAnsi"/>
                <w:b/>
                <w:i/>
                <w:sz w:val="19"/>
                <w:szCs w:val="19"/>
                <w:lang w:val="en" w:eastAsia="en-NZ"/>
              </w:rPr>
              <w:t>Only for Jobseeker Support – Health Condition and Disability</w:t>
            </w:r>
          </w:p>
          <w:p w14:paraId="2D4212DD" w14:textId="77777777" w:rsidR="00D56011" w:rsidRDefault="00D56011" w:rsidP="007E1A87">
            <w:pPr>
              <w:spacing w:after="0" w:line="240" w:lineRule="auto"/>
              <w:outlineLvl w:val="1"/>
              <w:rPr>
                <w:rFonts w:eastAsia="Times New Roman" w:cstheme="minorHAnsi"/>
                <w:bCs/>
                <w:i/>
                <w:sz w:val="19"/>
                <w:szCs w:val="19"/>
                <w:lang w:val="en" w:eastAsia="en-NZ"/>
              </w:rPr>
            </w:pPr>
          </w:p>
          <w:p w14:paraId="27A0234E" w14:textId="0680123D" w:rsidR="00845BC6" w:rsidRPr="00FA2393"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00845BC6" w:rsidRPr="00845BC6">
              <w:rPr>
                <w:rFonts w:eastAsia="Times New Roman" w:cstheme="minorHAnsi"/>
                <w:bCs/>
                <w:i/>
                <w:sz w:val="19"/>
                <w:szCs w:val="19"/>
                <w:lang w:val="en" w:eastAsia="en-NZ"/>
              </w:rPr>
              <w:t>Child_Age_or_broad_Incapacity</w:t>
            </w:r>
            <w:proofErr w:type="spellEnd"/>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577260D" w14:textId="2A63F130" w:rsidR="004F5E24"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Psychological or psychiatric conditions;</w:t>
            </w:r>
            <w:r>
              <w:rPr>
                <w:rFonts w:eastAsia="Times New Roman" w:cstheme="minorHAnsi"/>
                <w:bCs/>
                <w:sz w:val="19"/>
                <w:szCs w:val="19"/>
                <w:lang w:val="en" w:eastAsia="en-NZ"/>
              </w:rPr>
              <w:t xml:space="preserve"> A</w:t>
            </w:r>
            <w:r w:rsidRPr="008E250A">
              <w:rPr>
                <w:rFonts w:eastAsia="Times New Roman" w:cstheme="minorHAnsi"/>
                <w:bCs/>
                <w:sz w:val="19"/>
                <w:szCs w:val="19"/>
                <w:lang w:val="en" w:eastAsia="en-NZ"/>
              </w:rPr>
              <w:t>ccidents</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M</w:t>
            </w:r>
            <w:r w:rsidRPr="008E250A">
              <w:rPr>
                <w:rFonts w:eastAsia="Times New Roman" w:cstheme="minorHAnsi"/>
                <w:bCs/>
                <w:sz w:val="19"/>
                <w:szCs w:val="19"/>
                <w:lang w:val="en" w:eastAsia="en-NZ"/>
              </w:rPr>
              <w:t>usculo</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skeletal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Pr>
                <w:rFonts w:eastAsia="Times New Roman" w:cstheme="minorHAnsi"/>
                <w:bCs/>
                <w:sz w:val="19"/>
                <w:szCs w:val="19"/>
                <w:lang w:val="en" w:eastAsia="en-NZ"/>
              </w:rPr>
              <w:t xml:space="preserve">; No Incapacity; </w:t>
            </w:r>
            <w:r w:rsidR="00C80AAA">
              <w:rPr>
                <w:rFonts w:eastAsia="Times New Roman" w:cstheme="minorHAnsi"/>
                <w:bCs/>
                <w:sz w:val="19"/>
                <w:szCs w:val="19"/>
                <w:lang w:val="en" w:eastAsia="en-NZ"/>
              </w:rPr>
              <w:t>Aggregated</w:t>
            </w:r>
          </w:p>
          <w:p w14:paraId="17E99BF2" w14:textId="77777777" w:rsidR="004F5E24" w:rsidRDefault="004F5E24" w:rsidP="007E1A87">
            <w:pPr>
              <w:spacing w:after="0" w:line="240" w:lineRule="auto"/>
              <w:outlineLvl w:val="1"/>
              <w:rPr>
                <w:rFonts w:eastAsia="Times New Roman" w:cstheme="minorHAnsi"/>
                <w:bCs/>
                <w:sz w:val="19"/>
                <w:szCs w:val="19"/>
                <w:lang w:val="en" w:eastAsia="en-NZ"/>
              </w:rPr>
            </w:pPr>
          </w:p>
          <w:p w14:paraId="06FB9BD7" w14:textId="715F3D01" w:rsidR="00F523F4" w:rsidRPr="00DC53E7" w:rsidRDefault="00F523F4" w:rsidP="007E1A87">
            <w:pPr>
              <w:spacing w:after="0" w:line="240" w:lineRule="auto"/>
              <w:outlineLvl w:val="1"/>
              <w:rPr>
                <w:rFonts w:eastAsia="Times New Roman" w:cstheme="minorHAnsi"/>
                <w:b/>
                <w:sz w:val="19"/>
                <w:szCs w:val="19"/>
                <w:lang w:val="en" w:eastAsia="en-NZ"/>
              </w:rPr>
            </w:pPr>
            <w:r w:rsidRPr="00DC53E7">
              <w:rPr>
                <w:rFonts w:eastAsia="Times New Roman" w:cstheme="minorHAnsi"/>
                <w:b/>
                <w:sz w:val="19"/>
                <w:szCs w:val="19"/>
                <w:lang w:val="en" w:eastAsia="en-NZ"/>
              </w:rPr>
              <w:t>Note that</w:t>
            </w:r>
            <w:r w:rsidR="00DC53E7" w:rsidRPr="00DC53E7">
              <w:rPr>
                <w:rFonts w:eastAsia="Times New Roman" w:cstheme="minorHAnsi"/>
                <w:b/>
                <w:sz w:val="19"/>
                <w:szCs w:val="19"/>
                <w:lang w:val="en" w:eastAsia="en-NZ"/>
              </w:rPr>
              <w:t xml:space="preserve"> information relating to</w:t>
            </w:r>
            <w:r w:rsidRPr="00DC53E7">
              <w:rPr>
                <w:rFonts w:eastAsia="Times New Roman" w:cstheme="minorHAnsi"/>
                <w:b/>
                <w:sz w:val="19"/>
                <w:szCs w:val="19"/>
                <w:lang w:val="en" w:eastAsia="en-NZ"/>
              </w:rPr>
              <w:t xml:space="preserve"> Pregnancy related conditions</w:t>
            </w:r>
            <w:r w:rsidR="00DC53E7" w:rsidRPr="00DC53E7">
              <w:rPr>
                <w:rFonts w:eastAsia="Times New Roman" w:cstheme="minorHAnsi"/>
                <w:b/>
                <w:sz w:val="19"/>
                <w:szCs w:val="19"/>
                <w:lang w:val="en" w:eastAsia="en-NZ"/>
              </w:rPr>
              <w:t>, which is usually available</w:t>
            </w:r>
            <w:r w:rsidR="00ED670F">
              <w:rPr>
                <w:rFonts w:eastAsia="Times New Roman" w:cstheme="minorHAnsi"/>
                <w:b/>
                <w:sz w:val="19"/>
                <w:szCs w:val="19"/>
                <w:lang w:val="en" w:eastAsia="en-NZ"/>
              </w:rPr>
              <w:t>,</w:t>
            </w:r>
            <w:r w:rsidRPr="00DC53E7">
              <w:rPr>
                <w:rFonts w:eastAsia="Times New Roman" w:cstheme="minorHAnsi"/>
                <w:b/>
                <w:sz w:val="19"/>
                <w:szCs w:val="19"/>
                <w:lang w:val="en" w:eastAsia="en-NZ"/>
              </w:rPr>
              <w:t xml:space="preserve"> </w:t>
            </w:r>
            <w:r w:rsidR="00DC53E7" w:rsidRPr="00DC53E7">
              <w:rPr>
                <w:rFonts w:eastAsia="Times New Roman" w:cstheme="minorHAnsi"/>
                <w:b/>
                <w:sz w:val="19"/>
                <w:szCs w:val="19"/>
                <w:lang w:val="en" w:eastAsia="en-NZ"/>
              </w:rPr>
              <w:t>is aggregated into ‘Other disorders and conditions’</w:t>
            </w:r>
            <w:r w:rsidRPr="00DC53E7">
              <w:rPr>
                <w:rFonts w:eastAsia="Times New Roman" w:cstheme="minorHAnsi"/>
                <w:b/>
                <w:sz w:val="19"/>
                <w:szCs w:val="19"/>
                <w:lang w:val="en" w:eastAsia="en-NZ"/>
              </w:rPr>
              <w:t xml:space="preserve"> due to low numbers</w:t>
            </w:r>
            <w:r w:rsidR="00DC53E7" w:rsidRPr="00DC53E7">
              <w:rPr>
                <w:rFonts w:eastAsia="Times New Roman" w:cstheme="minorHAnsi"/>
                <w:b/>
                <w:sz w:val="19"/>
                <w:szCs w:val="19"/>
                <w:lang w:val="en" w:eastAsia="en-NZ"/>
              </w:rPr>
              <w:t>.</w:t>
            </w:r>
          </w:p>
        </w:tc>
      </w:tr>
      <w:tr w:rsidR="004F5E24" w:rsidRPr="008E250A" w14:paraId="63031182" w14:textId="77777777" w:rsidTr="00D56011">
        <w:trPr>
          <w:gridAfter w:val="1"/>
          <w:wAfter w:w="96" w:type="dxa"/>
        </w:trPr>
        <w:tc>
          <w:tcPr>
            <w:tcW w:w="1560" w:type="dxa"/>
            <w:vMerge/>
            <w:tcBorders>
              <w:top w:val="single" w:sz="4" w:space="0" w:color="auto"/>
              <w:left w:val="nil"/>
              <w:bottom w:val="single" w:sz="4" w:space="0" w:color="auto"/>
              <w:right w:val="nil"/>
            </w:tcBorders>
          </w:tcPr>
          <w:p w14:paraId="069A4015"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106F8A5C"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 xml:space="preserve">Incapacity group Supported Living Payment </w:t>
            </w:r>
          </w:p>
          <w:p w14:paraId="17473F44" w14:textId="1FAE7D88" w:rsidR="00845BC6" w:rsidRDefault="00845BC6" w:rsidP="007E1A87">
            <w:pPr>
              <w:spacing w:after="0" w:line="240" w:lineRule="auto"/>
              <w:outlineLvl w:val="1"/>
              <w:rPr>
                <w:rFonts w:eastAsia="Times New Roman" w:cstheme="minorHAnsi"/>
                <w:bCs/>
                <w:i/>
                <w:sz w:val="19"/>
                <w:szCs w:val="19"/>
                <w:lang w:val="en" w:eastAsia="en-NZ"/>
              </w:rPr>
            </w:pPr>
          </w:p>
          <w:p w14:paraId="282B8FA2" w14:textId="559670D6" w:rsidR="00D56011" w:rsidRPr="00D56011" w:rsidRDefault="00D56011" w:rsidP="00D56011">
            <w:pPr>
              <w:spacing w:after="0" w:line="240" w:lineRule="auto"/>
              <w:outlineLvl w:val="1"/>
              <w:rPr>
                <w:rFonts w:eastAsia="Times New Roman" w:cstheme="minorHAnsi"/>
                <w:b/>
                <w:i/>
                <w:sz w:val="19"/>
                <w:szCs w:val="19"/>
                <w:lang w:val="en" w:eastAsia="en-NZ"/>
              </w:rPr>
            </w:pPr>
            <w:r>
              <w:rPr>
                <w:rFonts w:eastAsia="Times New Roman" w:cstheme="minorHAnsi"/>
                <w:b/>
                <w:i/>
                <w:sz w:val="19"/>
                <w:szCs w:val="19"/>
                <w:lang w:val="en" w:eastAsia="en-NZ"/>
              </w:rPr>
              <w:t>Only for Supported Living Payment – Health Condition and Disability</w:t>
            </w:r>
          </w:p>
          <w:p w14:paraId="106FB2D0" w14:textId="77777777" w:rsidR="00D56011" w:rsidRDefault="00D56011" w:rsidP="007E1A87">
            <w:pPr>
              <w:spacing w:after="0" w:line="240" w:lineRule="auto"/>
              <w:outlineLvl w:val="1"/>
              <w:rPr>
                <w:rFonts w:eastAsia="Times New Roman" w:cstheme="minorHAnsi"/>
                <w:bCs/>
                <w:i/>
                <w:sz w:val="19"/>
                <w:szCs w:val="19"/>
                <w:lang w:val="en" w:eastAsia="en-NZ"/>
              </w:rPr>
            </w:pPr>
          </w:p>
          <w:p w14:paraId="66991402" w14:textId="221B959C" w:rsidR="004F5E24" w:rsidRPr="00FA2393"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00845BC6" w:rsidRPr="00845BC6">
              <w:rPr>
                <w:rFonts w:eastAsia="Times New Roman" w:cstheme="minorHAnsi"/>
                <w:bCs/>
                <w:i/>
                <w:sz w:val="19"/>
                <w:szCs w:val="19"/>
                <w:lang w:val="en" w:eastAsia="en-NZ"/>
              </w:rPr>
              <w:t>Child_Age_or_broad_Incapacity</w:t>
            </w:r>
            <w:proofErr w:type="spellEnd"/>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tc>
        <w:tc>
          <w:tcPr>
            <w:tcW w:w="4831" w:type="dxa"/>
            <w:tcBorders>
              <w:top w:val="single" w:sz="4" w:space="0" w:color="auto"/>
              <w:left w:val="nil"/>
              <w:bottom w:val="single" w:sz="4" w:space="0" w:color="auto"/>
              <w:right w:val="nil"/>
            </w:tcBorders>
          </w:tcPr>
          <w:p w14:paraId="40C2B52D" w14:textId="77777777" w:rsidR="00845BC6"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Psychologi</w:t>
            </w:r>
            <w:r>
              <w:rPr>
                <w:rFonts w:eastAsia="Times New Roman" w:cstheme="minorHAnsi"/>
                <w:bCs/>
                <w:sz w:val="19"/>
                <w:szCs w:val="19"/>
                <w:lang w:val="en" w:eastAsia="en-NZ"/>
              </w:rPr>
              <w:t>cal or psychiatric conditions; I</w:t>
            </w:r>
            <w:r w:rsidRPr="008E250A">
              <w:rPr>
                <w:rFonts w:eastAsia="Times New Roman" w:cstheme="minorHAnsi"/>
                <w:bCs/>
                <w:sz w:val="19"/>
                <w:szCs w:val="19"/>
                <w:lang w:val="en" w:eastAsia="en-NZ"/>
              </w:rPr>
              <w:t xml:space="preserve">ntellectual disability; </w:t>
            </w:r>
            <w:r>
              <w:rPr>
                <w:rFonts w:eastAsia="Times New Roman" w:cstheme="minorHAnsi"/>
                <w:bCs/>
                <w:sz w:val="19"/>
                <w:szCs w:val="19"/>
                <w:lang w:val="en" w:eastAsia="en-NZ"/>
              </w:rPr>
              <w:t>M</w:t>
            </w:r>
            <w:r w:rsidRPr="008E250A">
              <w:rPr>
                <w:rFonts w:eastAsia="Times New Roman" w:cstheme="minorHAnsi"/>
                <w:bCs/>
                <w:sz w:val="19"/>
                <w:szCs w:val="19"/>
                <w:lang w:val="en" w:eastAsia="en-NZ"/>
              </w:rPr>
              <w:t xml:space="preserve">usculo-skeletal system disorders; </w:t>
            </w:r>
            <w:r>
              <w:rPr>
                <w:rFonts w:eastAsia="Times New Roman" w:cstheme="minorHAnsi"/>
                <w:bCs/>
                <w:sz w:val="19"/>
                <w:szCs w:val="19"/>
                <w:lang w:val="en" w:eastAsia="en-NZ"/>
              </w:rPr>
              <w:t>N</w:t>
            </w:r>
            <w:r w:rsidRPr="008E250A">
              <w:rPr>
                <w:rFonts w:eastAsia="Times New Roman" w:cstheme="minorHAnsi"/>
                <w:bCs/>
                <w:sz w:val="19"/>
                <w:szCs w:val="19"/>
                <w:lang w:val="en" w:eastAsia="en-NZ"/>
              </w:rPr>
              <w:t xml:space="preserve">ervous system disorders;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ardio-vascular disorders; </w:t>
            </w:r>
            <w:r>
              <w:rPr>
                <w:rFonts w:eastAsia="Times New Roman" w:cstheme="minorHAnsi"/>
                <w:bCs/>
                <w:sz w:val="19"/>
                <w:szCs w:val="19"/>
                <w:lang w:val="en" w:eastAsia="en-NZ"/>
              </w:rPr>
              <w:t>A</w:t>
            </w:r>
            <w:r w:rsidRPr="008E250A">
              <w:rPr>
                <w:rFonts w:eastAsia="Times New Roman" w:cstheme="minorHAnsi"/>
                <w:bCs/>
                <w:sz w:val="19"/>
                <w:szCs w:val="19"/>
                <w:lang w:val="en" w:eastAsia="en-NZ"/>
              </w:rPr>
              <w:t xml:space="preserve">ccidents; </w:t>
            </w: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ancer and congenital conditions; </w:t>
            </w:r>
            <w:r>
              <w:rPr>
                <w:rFonts w:eastAsia="Times New Roman" w:cstheme="minorHAnsi"/>
                <w:bCs/>
                <w:sz w:val="19"/>
                <w:szCs w:val="19"/>
                <w:lang w:val="en" w:eastAsia="en-NZ"/>
              </w:rPr>
              <w:t>O</w:t>
            </w:r>
            <w:r w:rsidRPr="008E250A">
              <w:rPr>
                <w:rFonts w:eastAsia="Times New Roman" w:cstheme="minorHAnsi"/>
                <w:bCs/>
                <w:sz w:val="19"/>
                <w:szCs w:val="19"/>
                <w:lang w:val="en" w:eastAsia="en-NZ"/>
              </w:rPr>
              <w:t>ther disorders and conditions</w:t>
            </w:r>
            <w:r>
              <w:rPr>
                <w:rFonts w:eastAsia="Times New Roman" w:cstheme="minorHAnsi"/>
                <w:bCs/>
                <w:sz w:val="19"/>
                <w:szCs w:val="19"/>
                <w:lang w:val="en" w:eastAsia="en-NZ"/>
              </w:rPr>
              <w:t xml:space="preserve">; No Incapacity; </w:t>
            </w:r>
            <w:r w:rsidR="00C80AAA">
              <w:rPr>
                <w:rFonts w:eastAsia="Times New Roman" w:cstheme="minorHAnsi"/>
                <w:bCs/>
                <w:sz w:val="19"/>
                <w:szCs w:val="19"/>
                <w:lang w:val="en" w:eastAsia="en-NZ"/>
              </w:rPr>
              <w:t>Aggregated</w:t>
            </w:r>
            <w:r w:rsidRPr="008E250A">
              <w:rPr>
                <w:rFonts w:eastAsia="Times New Roman" w:cstheme="minorHAnsi"/>
                <w:bCs/>
                <w:sz w:val="19"/>
                <w:szCs w:val="19"/>
                <w:lang w:val="en" w:eastAsia="en-NZ"/>
              </w:rPr>
              <w:br/>
            </w:r>
          </w:p>
          <w:p w14:paraId="79FEDDBD" w14:textId="77777777" w:rsidR="00845BC6" w:rsidRDefault="00845BC6" w:rsidP="007E1A87">
            <w:pPr>
              <w:spacing w:after="0" w:line="240" w:lineRule="auto"/>
              <w:outlineLvl w:val="1"/>
              <w:rPr>
                <w:rFonts w:eastAsia="Times New Roman" w:cstheme="minorHAnsi"/>
                <w:bCs/>
                <w:sz w:val="19"/>
                <w:szCs w:val="19"/>
                <w:lang w:val="en" w:eastAsia="en-NZ"/>
              </w:rPr>
            </w:pPr>
          </w:p>
          <w:p w14:paraId="12458C9A" w14:textId="77777777" w:rsidR="00845BC6" w:rsidRDefault="00845BC6" w:rsidP="007E1A87">
            <w:pPr>
              <w:spacing w:after="0" w:line="240" w:lineRule="auto"/>
              <w:outlineLvl w:val="1"/>
              <w:rPr>
                <w:rFonts w:eastAsia="Times New Roman" w:cstheme="minorHAnsi"/>
                <w:bCs/>
                <w:sz w:val="19"/>
                <w:szCs w:val="19"/>
                <w:lang w:val="en" w:eastAsia="en-NZ"/>
              </w:rPr>
            </w:pPr>
          </w:p>
          <w:p w14:paraId="19A17B47" w14:textId="29ED5E40" w:rsidR="00845BC6" w:rsidRPr="008E250A" w:rsidRDefault="00845BC6" w:rsidP="007E1A87">
            <w:pPr>
              <w:spacing w:after="0" w:line="240" w:lineRule="auto"/>
              <w:outlineLvl w:val="1"/>
              <w:rPr>
                <w:rFonts w:eastAsia="Times New Roman" w:cstheme="minorHAnsi"/>
                <w:bCs/>
                <w:sz w:val="19"/>
                <w:szCs w:val="19"/>
                <w:lang w:val="en" w:eastAsia="en-NZ"/>
              </w:rPr>
            </w:pPr>
          </w:p>
        </w:tc>
      </w:tr>
      <w:tr w:rsidR="004F5E24" w:rsidRPr="008E250A" w14:paraId="739A62AA" w14:textId="77777777" w:rsidTr="00D56011">
        <w:trPr>
          <w:gridAfter w:val="1"/>
          <w:wAfter w:w="96" w:type="dxa"/>
        </w:trPr>
        <w:tc>
          <w:tcPr>
            <w:tcW w:w="1560" w:type="dxa"/>
            <w:vMerge/>
            <w:tcBorders>
              <w:top w:val="single" w:sz="4" w:space="0" w:color="auto"/>
              <w:left w:val="nil"/>
              <w:bottom w:val="single" w:sz="4" w:space="0" w:color="auto"/>
              <w:right w:val="nil"/>
            </w:tcBorders>
          </w:tcPr>
          <w:p w14:paraId="07C38358"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0E6A8F8A" w14:textId="77777777" w:rsidR="00845BC6" w:rsidRDefault="004F5E24" w:rsidP="007E1A87">
            <w:pPr>
              <w:spacing w:after="0" w:line="240" w:lineRule="auto"/>
              <w:outlineLvl w:val="1"/>
              <w:rPr>
                <w:rFonts w:eastAsia="Times New Roman" w:cstheme="minorHAnsi"/>
                <w:bCs/>
                <w:i/>
                <w:sz w:val="19"/>
                <w:szCs w:val="19"/>
                <w:lang w:val="en" w:eastAsia="en-NZ"/>
              </w:rPr>
            </w:pPr>
            <w:r w:rsidRPr="00FA2393">
              <w:rPr>
                <w:rFonts w:eastAsia="Times New Roman" w:cstheme="minorHAnsi"/>
                <w:bCs/>
                <w:i/>
                <w:sz w:val="19"/>
                <w:szCs w:val="19"/>
                <w:lang w:val="en" w:eastAsia="en-NZ"/>
              </w:rPr>
              <w:t>Age of youngest dependent child</w:t>
            </w:r>
            <w:r w:rsidR="000743D1">
              <w:rPr>
                <w:rFonts w:eastAsia="Times New Roman" w:cstheme="minorHAnsi"/>
                <w:bCs/>
                <w:i/>
                <w:sz w:val="19"/>
                <w:szCs w:val="19"/>
                <w:lang w:val="en" w:eastAsia="en-NZ"/>
              </w:rPr>
              <w:t xml:space="preserve"> for Sole Parent Support </w:t>
            </w:r>
          </w:p>
          <w:p w14:paraId="19A56DD0" w14:textId="77777777" w:rsidR="00845BC6" w:rsidRDefault="00845BC6" w:rsidP="007E1A87">
            <w:pPr>
              <w:spacing w:after="0" w:line="240" w:lineRule="auto"/>
              <w:outlineLvl w:val="1"/>
              <w:rPr>
                <w:rFonts w:eastAsia="Times New Roman" w:cstheme="minorHAnsi"/>
                <w:bCs/>
                <w:i/>
                <w:sz w:val="19"/>
                <w:szCs w:val="19"/>
                <w:lang w:val="en" w:eastAsia="en-NZ"/>
              </w:rPr>
            </w:pPr>
          </w:p>
          <w:p w14:paraId="729275A5" w14:textId="2911598E" w:rsidR="004F5E24" w:rsidRDefault="000743D1"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00845BC6" w:rsidRPr="00845BC6">
              <w:rPr>
                <w:rFonts w:eastAsia="Times New Roman" w:cstheme="minorHAnsi"/>
                <w:bCs/>
                <w:i/>
                <w:sz w:val="19"/>
                <w:szCs w:val="19"/>
                <w:lang w:val="en" w:eastAsia="en-NZ"/>
              </w:rPr>
              <w:t>Child_Age_or_broad_Incapacity</w:t>
            </w:r>
            <w:proofErr w:type="spellEnd"/>
            <w:r w:rsidR="00845BC6">
              <w:rPr>
                <w:rFonts w:eastAsia="Times New Roman" w:cstheme="minorHAnsi"/>
                <w:bCs/>
                <w:i/>
                <w:sz w:val="19"/>
                <w:szCs w:val="19"/>
                <w:lang w:val="en" w:eastAsia="en-NZ"/>
              </w:rPr>
              <w:t>’</w:t>
            </w:r>
            <w:r>
              <w:rPr>
                <w:rFonts w:eastAsia="Times New Roman" w:cstheme="minorHAnsi"/>
                <w:bCs/>
                <w:i/>
                <w:sz w:val="19"/>
                <w:szCs w:val="19"/>
                <w:lang w:val="en" w:eastAsia="en-NZ"/>
              </w:rPr>
              <w:t>]</w:t>
            </w:r>
          </w:p>
          <w:p w14:paraId="77B8415C" w14:textId="77777777" w:rsidR="004F5E24" w:rsidRPr="00FA2393" w:rsidRDefault="004F5E24" w:rsidP="007E1A87">
            <w:pPr>
              <w:spacing w:after="0" w:line="240" w:lineRule="auto"/>
              <w:outlineLvl w:val="1"/>
              <w:rPr>
                <w:rFonts w:eastAsia="Times New Roman" w:cstheme="minorHAnsi"/>
                <w:bCs/>
                <w:i/>
                <w:sz w:val="19"/>
                <w:szCs w:val="19"/>
                <w:lang w:val="en" w:eastAsia="en-NZ"/>
              </w:rPr>
            </w:pPr>
          </w:p>
        </w:tc>
        <w:tc>
          <w:tcPr>
            <w:tcW w:w="4831" w:type="dxa"/>
            <w:tcBorders>
              <w:top w:val="single" w:sz="4" w:space="0" w:color="auto"/>
              <w:left w:val="nil"/>
              <w:bottom w:val="single" w:sz="4" w:space="0" w:color="auto"/>
              <w:right w:val="nil"/>
            </w:tcBorders>
          </w:tcPr>
          <w:p w14:paraId="13DE7008" w14:textId="77777777" w:rsidR="004F5E24"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Under 5 years; ages 5</w:t>
            </w:r>
            <w:r>
              <w:rPr>
                <w:rFonts w:eastAsia="Times New Roman" w:cstheme="minorHAnsi"/>
                <w:bCs/>
                <w:sz w:val="19"/>
                <w:szCs w:val="19"/>
                <w:lang w:val="en" w:eastAsia="en-NZ"/>
              </w:rPr>
              <w:t>–</w:t>
            </w:r>
            <w:r w:rsidRPr="008E250A">
              <w:rPr>
                <w:rFonts w:eastAsia="Times New Roman" w:cstheme="minorHAnsi"/>
                <w:bCs/>
                <w:sz w:val="19"/>
                <w:szCs w:val="19"/>
                <w:lang w:val="en" w:eastAsia="en-NZ"/>
              </w:rPr>
              <w:t>13 years</w:t>
            </w:r>
            <w:r>
              <w:rPr>
                <w:rFonts w:eastAsia="Times New Roman" w:cstheme="minorHAnsi"/>
                <w:bCs/>
                <w:sz w:val="19"/>
                <w:szCs w:val="19"/>
                <w:lang w:val="en" w:eastAsia="en-NZ"/>
              </w:rPr>
              <w:t xml:space="preserve">; Aged 14+; No Children; </w:t>
            </w:r>
            <w:r w:rsidR="00C80AAA">
              <w:rPr>
                <w:rFonts w:eastAsia="Times New Roman" w:cstheme="minorHAnsi"/>
                <w:bCs/>
                <w:sz w:val="19"/>
                <w:szCs w:val="19"/>
                <w:lang w:val="en" w:eastAsia="en-NZ"/>
              </w:rPr>
              <w:t>Aggregated</w:t>
            </w:r>
          </w:p>
          <w:p w14:paraId="72B06187" w14:textId="229CA521" w:rsidR="00845BC6" w:rsidRPr="008E250A" w:rsidRDefault="00845BC6" w:rsidP="007E1A87">
            <w:pPr>
              <w:spacing w:after="0" w:line="240" w:lineRule="auto"/>
              <w:outlineLvl w:val="1"/>
              <w:rPr>
                <w:rFonts w:eastAsia="Times New Roman" w:cstheme="minorHAnsi"/>
                <w:bCs/>
                <w:sz w:val="19"/>
                <w:szCs w:val="19"/>
                <w:lang w:val="en" w:eastAsia="en-NZ"/>
              </w:rPr>
            </w:pPr>
          </w:p>
        </w:tc>
      </w:tr>
      <w:tr w:rsidR="004F5E24" w:rsidRPr="008E250A" w14:paraId="2229A23F" w14:textId="77777777" w:rsidTr="00D56011">
        <w:trPr>
          <w:gridAfter w:val="1"/>
          <w:wAfter w:w="96" w:type="dxa"/>
        </w:trPr>
        <w:tc>
          <w:tcPr>
            <w:tcW w:w="1560" w:type="dxa"/>
            <w:vMerge/>
            <w:tcBorders>
              <w:top w:val="single" w:sz="4" w:space="0" w:color="auto"/>
              <w:left w:val="nil"/>
              <w:bottom w:val="single" w:sz="4" w:space="0" w:color="auto"/>
              <w:right w:val="nil"/>
            </w:tcBorders>
          </w:tcPr>
          <w:p w14:paraId="7AFB88D2" w14:textId="77777777" w:rsidR="004F5E24" w:rsidRPr="008E250A" w:rsidRDefault="004F5E24" w:rsidP="007E1A87">
            <w:pPr>
              <w:spacing w:after="0" w:line="240" w:lineRule="auto"/>
              <w:outlineLvl w:val="1"/>
              <w:rPr>
                <w:rFonts w:eastAsia="Times New Roman" w:cstheme="minorHAnsi"/>
                <w:b/>
                <w:bCs/>
                <w:sz w:val="19"/>
                <w:szCs w:val="19"/>
                <w:lang w:val="en" w:eastAsia="en-NZ"/>
              </w:rPr>
            </w:pPr>
          </w:p>
        </w:tc>
        <w:tc>
          <w:tcPr>
            <w:tcW w:w="2835" w:type="dxa"/>
            <w:tcBorders>
              <w:top w:val="single" w:sz="4" w:space="0" w:color="auto"/>
              <w:left w:val="nil"/>
              <w:bottom w:val="single" w:sz="4" w:space="0" w:color="auto"/>
              <w:right w:val="nil"/>
            </w:tcBorders>
          </w:tcPr>
          <w:p w14:paraId="6DAB403D" w14:textId="77777777" w:rsidR="00845BC6" w:rsidRDefault="004F5E24" w:rsidP="007E1A87">
            <w:pPr>
              <w:spacing w:after="0" w:line="240" w:lineRule="auto"/>
              <w:outlineLvl w:val="1"/>
              <w:rPr>
                <w:rFonts w:eastAsia="Times New Roman" w:cstheme="minorHAnsi"/>
                <w:bCs/>
                <w:i/>
                <w:sz w:val="19"/>
                <w:szCs w:val="19"/>
                <w:lang w:val="en" w:eastAsia="en-NZ"/>
              </w:rPr>
            </w:pPr>
            <w:r w:rsidRPr="00A714B2">
              <w:rPr>
                <w:rFonts w:eastAsia="Times New Roman" w:cstheme="minorHAnsi"/>
                <w:bCs/>
                <w:i/>
                <w:sz w:val="19"/>
                <w:szCs w:val="19"/>
                <w:lang w:val="en" w:eastAsia="en-NZ"/>
              </w:rPr>
              <w:t>Work and Income regions</w:t>
            </w:r>
            <w:r w:rsidR="00845BC6">
              <w:rPr>
                <w:rFonts w:eastAsia="Times New Roman" w:cstheme="minorHAnsi"/>
                <w:bCs/>
                <w:i/>
                <w:sz w:val="19"/>
                <w:szCs w:val="19"/>
                <w:lang w:val="en" w:eastAsia="en-NZ"/>
              </w:rPr>
              <w:t xml:space="preserve"> </w:t>
            </w:r>
          </w:p>
          <w:p w14:paraId="015921D2" w14:textId="77777777" w:rsidR="00845BC6" w:rsidRDefault="00845BC6" w:rsidP="007E1A87">
            <w:pPr>
              <w:spacing w:after="0" w:line="240" w:lineRule="auto"/>
              <w:outlineLvl w:val="1"/>
              <w:rPr>
                <w:rFonts w:eastAsia="Times New Roman" w:cstheme="minorHAnsi"/>
                <w:bCs/>
                <w:i/>
                <w:sz w:val="19"/>
                <w:szCs w:val="19"/>
                <w:lang w:val="en" w:eastAsia="en-NZ"/>
              </w:rPr>
            </w:pPr>
          </w:p>
          <w:p w14:paraId="1EBCCA64" w14:textId="5DCC4AA9" w:rsidR="004F5E24" w:rsidRPr="00A714B2" w:rsidRDefault="00845BC6" w:rsidP="007E1A87">
            <w:pPr>
              <w:spacing w:after="0" w:line="240" w:lineRule="auto"/>
              <w:outlineLvl w:val="1"/>
              <w:rPr>
                <w:rFonts w:eastAsia="Times New Roman" w:cstheme="minorHAnsi"/>
                <w:bCs/>
                <w:i/>
                <w:sz w:val="19"/>
                <w:szCs w:val="19"/>
                <w:lang w:val="en" w:eastAsia="en-NZ"/>
              </w:rPr>
            </w:pPr>
            <w:r>
              <w:rPr>
                <w:rFonts w:eastAsia="Times New Roman" w:cstheme="minorHAnsi"/>
                <w:bCs/>
                <w:i/>
                <w:sz w:val="19"/>
                <w:szCs w:val="19"/>
                <w:lang w:val="en" w:eastAsia="en-NZ"/>
              </w:rPr>
              <w:t>[Included under ‘</w:t>
            </w:r>
            <w:proofErr w:type="spellStart"/>
            <w:r w:rsidRPr="00845BC6">
              <w:rPr>
                <w:rFonts w:eastAsia="Times New Roman" w:cstheme="minorHAnsi"/>
                <w:bCs/>
                <w:i/>
                <w:sz w:val="19"/>
                <w:szCs w:val="19"/>
                <w:lang w:val="en" w:eastAsia="en-NZ"/>
              </w:rPr>
              <w:t>Work_and_Income_region</w:t>
            </w:r>
            <w:proofErr w:type="spellEnd"/>
            <w:r>
              <w:rPr>
                <w:rFonts w:eastAsia="Times New Roman" w:cstheme="minorHAnsi"/>
                <w:bCs/>
                <w:i/>
                <w:sz w:val="19"/>
                <w:szCs w:val="19"/>
                <w:lang w:val="en" w:eastAsia="en-NZ"/>
              </w:rPr>
              <w:t>’]</w:t>
            </w:r>
          </w:p>
          <w:p w14:paraId="4BAD1999" w14:textId="3D5D9A73" w:rsidR="004F5E24" w:rsidRPr="00A714B2" w:rsidRDefault="004F5E24" w:rsidP="007E1A87">
            <w:pPr>
              <w:spacing w:after="0" w:line="240" w:lineRule="auto"/>
              <w:outlineLvl w:val="1"/>
              <w:rPr>
                <w:rFonts w:eastAsia="Times New Roman" w:cstheme="minorHAnsi"/>
                <w:bCs/>
                <w:i/>
                <w:sz w:val="19"/>
                <w:szCs w:val="19"/>
                <w:lang w:val="en" w:eastAsia="en-NZ"/>
              </w:rPr>
            </w:pPr>
          </w:p>
        </w:tc>
        <w:tc>
          <w:tcPr>
            <w:tcW w:w="4831" w:type="dxa"/>
            <w:tcBorders>
              <w:top w:val="single" w:sz="4" w:space="0" w:color="auto"/>
              <w:left w:val="nil"/>
              <w:bottom w:val="single" w:sz="4" w:space="0" w:color="auto"/>
              <w:right w:val="nil"/>
            </w:tcBorders>
          </w:tcPr>
          <w:p w14:paraId="4ABBD00F" w14:textId="77777777" w:rsidR="004F5E24" w:rsidRPr="008E250A" w:rsidRDefault="004F5E24"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Auckland; Bay of Plenty; Canterbury;</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Central;</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East Coast;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 xml:space="preserve">Nelson </w:t>
            </w:r>
            <w:r>
              <w:rPr>
                <w:rFonts w:eastAsia="Times New Roman" w:cstheme="minorHAnsi"/>
                <w:bCs/>
                <w:sz w:val="19"/>
                <w:szCs w:val="19"/>
                <w:lang w:val="en" w:eastAsia="en-NZ"/>
              </w:rPr>
              <w:t>(</w:t>
            </w:r>
            <w:r w:rsidRPr="008E250A">
              <w:rPr>
                <w:rFonts w:eastAsia="Times New Roman" w:cstheme="minorHAnsi"/>
                <w:bCs/>
                <w:sz w:val="19"/>
                <w:szCs w:val="19"/>
                <w:lang w:val="en" w:eastAsia="en-NZ"/>
              </w:rPr>
              <w:t>Nelson</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Marlborough</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West Coast</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Northland; Southern;</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w:t>
            </w:r>
            <w:r>
              <w:rPr>
                <w:rFonts w:eastAsia="Times New Roman" w:cstheme="minorHAnsi"/>
                <w:bCs/>
                <w:sz w:val="19"/>
                <w:szCs w:val="19"/>
                <w:lang w:val="en" w:eastAsia="en-NZ"/>
              </w:rPr>
              <w:t xml:space="preserve"> (</w:t>
            </w:r>
            <w:r w:rsidRPr="008E250A">
              <w:rPr>
                <w:rFonts w:eastAsia="Times New Roman" w:cstheme="minorHAnsi"/>
                <w:bCs/>
                <w:sz w:val="19"/>
                <w:szCs w:val="19"/>
                <w:lang w:val="en" w:eastAsia="en-NZ"/>
              </w:rPr>
              <w:t>Taranaki, King Country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and W</w:t>
            </w:r>
            <w:r>
              <w:rPr>
                <w:rFonts w:eastAsia="Times New Roman" w:cstheme="minorHAnsi"/>
                <w:bCs/>
                <w:sz w:val="19"/>
                <w:szCs w:val="19"/>
                <w:lang w:val="en" w:eastAsia="en-NZ"/>
              </w:rPr>
              <w:t>h</w:t>
            </w:r>
            <w:r w:rsidRPr="008E250A">
              <w:rPr>
                <w:rFonts w:eastAsia="Times New Roman" w:cstheme="minorHAnsi"/>
                <w:bCs/>
                <w:sz w:val="19"/>
                <w:szCs w:val="19"/>
                <w:lang w:val="en" w:eastAsia="en-NZ"/>
              </w:rPr>
              <w:t>anganui</w:t>
            </w:r>
            <w:r>
              <w:rPr>
                <w:rFonts w:eastAsia="Times New Roman" w:cstheme="minorHAnsi"/>
                <w:bCs/>
                <w:sz w:val="19"/>
                <w:szCs w:val="19"/>
                <w:lang w:val="en" w:eastAsia="en-NZ"/>
              </w:rPr>
              <w:t>)</w:t>
            </w:r>
            <w:r w:rsidRPr="008E250A">
              <w:rPr>
                <w:rFonts w:eastAsia="Times New Roman" w:cstheme="minorHAnsi"/>
                <w:bCs/>
                <w:sz w:val="19"/>
                <w:szCs w:val="19"/>
                <w:lang w:val="en" w:eastAsia="en-NZ"/>
              </w:rPr>
              <w:t>; Waikato; Wellington; Other (i</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clients managed by national units </w:t>
            </w:r>
            <w:r>
              <w:rPr>
                <w:rFonts w:eastAsia="Times New Roman" w:cstheme="minorHAnsi"/>
                <w:bCs/>
                <w:sz w:val="19"/>
                <w:szCs w:val="19"/>
                <w:lang w:val="en" w:eastAsia="en-NZ"/>
              </w:rPr>
              <w:t>such as</w:t>
            </w:r>
            <w:r w:rsidRPr="008E250A">
              <w:rPr>
                <w:rFonts w:eastAsia="Times New Roman" w:cstheme="minorHAnsi"/>
                <w:bCs/>
                <w:sz w:val="19"/>
                <w:szCs w:val="19"/>
                <w:lang w:val="en" w:eastAsia="en-NZ"/>
              </w:rPr>
              <w:t xml:space="preserve"> contact </w:t>
            </w:r>
            <w:proofErr w:type="spellStart"/>
            <w:r w:rsidRPr="008E250A">
              <w:rPr>
                <w:rFonts w:eastAsia="Times New Roman" w:cstheme="minorHAnsi"/>
                <w:bCs/>
                <w:sz w:val="19"/>
                <w:szCs w:val="19"/>
                <w:lang w:val="en" w:eastAsia="en-NZ"/>
              </w:rPr>
              <w:t>centres</w:t>
            </w:r>
            <w:proofErr w:type="spellEnd"/>
            <w:r w:rsidRPr="008E250A">
              <w:rPr>
                <w:rFonts w:eastAsia="Times New Roman" w:cstheme="minorHAnsi"/>
                <w:bCs/>
                <w:sz w:val="19"/>
                <w:szCs w:val="19"/>
                <w:lang w:val="en" w:eastAsia="en-NZ"/>
              </w:rPr>
              <w:t xml:space="preserve"> and</w:t>
            </w:r>
            <w:r>
              <w:rPr>
                <w:rFonts w:eastAsia="Times New Roman" w:cstheme="minorHAnsi"/>
                <w:bCs/>
                <w:sz w:val="19"/>
                <w:szCs w:val="19"/>
                <w:lang w:val="en" w:eastAsia="en-NZ"/>
              </w:rPr>
              <w:t xml:space="preserve"> some</w:t>
            </w:r>
            <w:r w:rsidRPr="008E250A">
              <w:rPr>
                <w:rFonts w:eastAsia="Times New Roman" w:cstheme="minorHAnsi"/>
                <w:bCs/>
                <w:sz w:val="19"/>
                <w:szCs w:val="19"/>
                <w:lang w:val="en" w:eastAsia="en-NZ"/>
              </w:rPr>
              <w:t xml:space="preserve"> processing </w:t>
            </w:r>
            <w:proofErr w:type="spellStart"/>
            <w:r w:rsidRPr="008E250A">
              <w:rPr>
                <w:rFonts w:eastAsia="Times New Roman" w:cstheme="minorHAnsi"/>
                <w:bCs/>
                <w:sz w:val="19"/>
                <w:szCs w:val="19"/>
                <w:lang w:val="en" w:eastAsia="en-NZ"/>
              </w:rPr>
              <w:t>centres</w:t>
            </w:r>
            <w:proofErr w:type="spellEnd"/>
            <w:r w:rsidRPr="008E250A">
              <w:rPr>
                <w:rFonts w:eastAsia="Times New Roman" w:cstheme="minorHAnsi"/>
                <w:bCs/>
                <w:sz w:val="19"/>
                <w:szCs w:val="19"/>
                <w:lang w:val="en" w:eastAsia="en-NZ"/>
              </w:rPr>
              <w:t>)</w:t>
            </w:r>
            <w:r w:rsidRPr="008E250A">
              <w:rPr>
                <w:rFonts w:eastAsia="Times New Roman" w:cstheme="minorHAnsi"/>
                <w:bCs/>
                <w:sz w:val="19"/>
                <w:szCs w:val="19"/>
                <w:lang w:val="en" w:eastAsia="en-NZ"/>
              </w:rPr>
              <w:br/>
            </w:r>
          </w:p>
        </w:tc>
      </w:tr>
      <w:tr w:rsidR="00AD0C8E" w:rsidRPr="008E250A" w14:paraId="035D09F9" w14:textId="77777777" w:rsidTr="00D56011">
        <w:tc>
          <w:tcPr>
            <w:tcW w:w="1560" w:type="dxa"/>
            <w:tcBorders>
              <w:top w:val="single" w:sz="4" w:space="0" w:color="auto"/>
              <w:left w:val="nil"/>
              <w:bottom w:val="single" w:sz="4" w:space="0" w:color="auto"/>
              <w:right w:val="nil"/>
            </w:tcBorders>
          </w:tcPr>
          <w:p w14:paraId="4093D5D3" w14:textId="77777777" w:rsidR="00AD0C8E" w:rsidRDefault="00AD0C8E"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Contact details for further information</w:t>
            </w:r>
          </w:p>
          <w:p w14:paraId="027EE509" w14:textId="77777777" w:rsidR="00AD0C8E" w:rsidRPr="008E250A" w:rsidRDefault="00AD0C8E" w:rsidP="007E1A87">
            <w:pPr>
              <w:spacing w:after="0" w:line="240" w:lineRule="auto"/>
              <w:outlineLvl w:val="1"/>
              <w:rPr>
                <w:rFonts w:eastAsia="Times New Roman" w:cstheme="minorHAnsi"/>
                <w:bCs/>
                <w:sz w:val="19"/>
                <w:szCs w:val="19"/>
                <w:lang w:val="en" w:eastAsia="en-NZ"/>
              </w:rPr>
            </w:pPr>
          </w:p>
        </w:tc>
        <w:tc>
          <w:tcPr>
            <w:tcW w:w="7762" w:type="dxa"/>
            <w:gridSpan w:val="3"/>
            <w:tcBorders>
              <w:top w:val="single" w:sz="4" w:space="0" w:color="auto"/>
              <w:left w:val="nil"/>
              <w:bottom w:val="single" w:sz="4" w:space="0" w:color="auto"/>
              <w:right w:val="nil"/>
            </w:tcBorders>
          </w:tcPr>
          <w:p w14:paraId="59253487" w14:textId="77777777" w:rsidR="00AD0C8E" w:rsidRPr="008E250A" w:rsidRDefault="00ED670F" w:rsidP="007E1A87">
            <w:pPr>
              <w:spacing w:after="0" w:line="240" w:lineRule="auto"/>
              <w:outlineLvl w:val="1"/>
              <w:rPr>
                <w:rFonts w:eastAsia="Times New Roman" w:cstheme="minorHAnsi"/>
                <w:bCs/>
                <w:sz w:val="19"/>
                <w:szCs w:val="19"/>
                <w:lang w:val="en" w:eastAsia="en-NZ"/>
              </w:rPr>
            </w:pPr>
            <w:hyperlink r:id="rId11" w:history="1">
              <w:r w:rsidR="00AD0C8E" w:rsidRPr="008E250A">
                <w:rPr>
                  <w:rStyle w:val="Hyperlink"/>
                  <w:rFonts w:eastAsia="Times New Roman" w:cstheme="minorHAnsi"/>
                  <w:bCs/>
                  <w:sz w:val="19"/>
                  <w:szCs w:val="19"/>
                  <w:lang w:val="en" w:eastAsia="en-NZ"/>
                </w:rPr>
                <w:t>https://www.msd.govt.nz/about-msd-and-our-work/contact-us/index.html</w:t>
              </w:r>
            </w:hyperlink>
            <w:r w:rsidR="00AD0C8E" w:rsidRPr="008E250A">
              <w:rPr>
                <w:rFonts w:eastAsia="Times New Roman" w:cstheme="minorHAnsi"/>
                <w:bCs/>
                <w:sz w:val="19"/>
                <w:szCs w:val="19"/>
                <w:lang w:val="en" w:eastAsia="en-NZ"/>
              </w:rPr>
              <w:t xml:space="preserve"> </w:t>
            </w:r>
          </w:p>
        </w:tc>
      </w:tr>
    </w:tbl>
    <w:tbl>
      <w:tblPr>
        <w:tblStyle w:val="TableGrid10"/>
        <w:tblW w:w="9322" w:type="dxa"/>
        <w:tblLook w:val="04A0" w:firstRow="1" w:lastRow="0" w:firstColumn="1" w:lastColumn="0" w:noHBand="0" w:noVBand="1"/>
      </w:tblPr>
      <w:tblGrid>
        <w:gridCol w:w="1681"/>
        <w:gridCol w:w="7641"/>
      </w:tblGrid>
      <w:tr w:rsidR="00AD0C8E" w:rsidRPr="00530A54" w14:paraId="19D5462C" w14:textId="77777777" w:rsidTr="007E1A87">
        <w:tc>
          <w:tcPr>
            <w:tcW w:w="1681" w:type="dxa"/>
            <w:tcBorders>
              <w:top w:val="single" w:sz="4" w:space="0" w:color="auto"/>
              <w:left w:val="nil"/>
              <w:bottom w:val="single" w:sz="4" w:space="0" w:color="auto"/>
              <w:right w:val="nil"/>
            </w:tcBorders>
          </w:tcPr>
          <w:p w14:paraId="2851DF15" w14:textId="77777777" w:rsidR="00AD0C8E" w:rsidRPr="008E250A" w:rsidRDefault="00AD0C8E" w:rsidP="007E1A87">
            <w:pPr>
              <w:spacing w:after="0" w:line="240" w:lineRule="auto"/>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Major data limitations</w:t>
            </w:r>
          </w:p>
          <w:p w14:paraId="67E7F8CD" w14:textId="77777777" w:rsidR="00AD0C8E" w:rsidRPr="008E250A" w:rsidRDefault="00AD0C8E" w:rsidP="007E1A87">
            <w:pPr>
              <w:spacing w:after="0" w:line="240" w:lineRule="auto"/>
              <w:outlineLvl w:val="1"/>
              <w:rPr>
                <w:rFonts w:eastAsia="Times New Roman" w:cstheme="minorHAnsi"/>
                <w:bCs/>
                <w:sz w:val="19"/>
                <w:szCs w:val="19"/>
                <w:lang w:val="en" w:eastAsia="en-NZ"/>
              </w:rPr>
            </w:pPr>
          </w:p>
        </w:tc>
        <w:tc>
          <w:tcPr>
            <w:tcW w:w="7641" w:type="dxa"/>
            <w:tcBorders>
              <w:top w:val="single" w:sz="4" w:space="0" w:color="auto"/>
              <w:left w:val="nil"/>
              <w:bottom w:val="single" w:sz="4" w:space="0" w:color="auto"/>
              <w:right w:val="nil"/>
            </w:tcBorders>
          </w:tcPr>
          <w:p w14:paraId="4940B7F3" w14:textId="77777777" w:rsidR="00AD0C8E" w:rsidRPr="008E250A" w:rsidRDefault="00AD0C8E" w:rsidP="007E1A87">
            <w:pPr>
              <w:spacing w:after="0"/>
              <w:outlineLvl w:val="1"/>
              <w:rPr>
                <w:rFonts w:eastAsia="Times New Roman" w:cstheme="minorHAnsi"/>
                <w:bCs/>
                <w:sz w:val="19"/>
                <w:szCs w:val="19"/>
                <w:lang w:val="en" w:eastAsia="en-NZ"/>
              </w:rPr>
            </w:pPr>
            <w:r w:rsidRPr="008E250A">
              <w:rPr>
                <w:rFonts w:eastAsia="Times New Roman" w:cstheme="minorHAnsi"/>
                <w:bCs/>
                <w:sz w:val="19"/>
                <w:szCs w:val="19"/>
                <w:lang w:val="en" w:eastAsia="en-NZ"/>
              </w:rPr>
              <w:t>The usual limitations for administrative data apply</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including:</w:t>
            </w:r>
          </w:p>
          <w:p w14:paraId="52DDB932" w14:textId="77777777" w:rsidR="00AD0C8E" w:rsidRPr="003F6987" w:rsidRDefault="00AD0C8E" w:rsidP="00AD0C8E">
            <w:pPr>
              <w:pStyle w:val="ListParagraph"/>
              <w:numPr>
                <w:ilvl w:val="0"/>
                <w:numId w:val="34"/>
              </w:numPr>
              <w:spacing w:before="120"/>
              <w:ind w:left="714" w:hanging="357"/>
              <w:outlineLvl w:val="1"/>
              <w:rPr>
                <w:rFonts w:eastAsia="Times New Roman" w:cstheme="minorHAnsi"/>
                <w:b/>
                <w:bCs/>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he possibility of human error in entering data in the administrative system or when processing</w:t>
            </w:r>
            <w:r>
              <w:rPr>
                <w:rFonts w:eastAsia="Times New Roman" w:cstheme="minorHAnsi"/>
                <w:bCs/>
                <w:sz w:val="19"/>
                <w:szCs w:val="19"/>
                <w:lang w:val="en" w:eastAsia="en-NZ"/>
              </w:rPr>
              <w:t xml:space="preserve"> data</w:t>
            </w:r>
          </w:p>
          <w:p w14:paraId="1F169DCA" w14:textId="77777777" w:rsidR="00AD0C8E" w:rsidRPr="008E250A" w:rsidRDefault="00AD0C8E" w:rsidP="00AD0C8E">
            <w:pPr>
              <w:pStyle w:val="ListParagraph"/>
              <w:numPr>
                <w:ilvl w:val="0"/>
                <w:numId w:val="34"/>
              </w:numPr>
              <w:spacing w:before="120"/>
              <w:ind w:left="714" w:hanging="357"/>
              <w:outlineLvl w:val="1"/>
              <w:rPr>
                <w:rFonts w:eastAsia="Times New Roman" w:cstheme="minorHAnsi"/>
                <w:b/>
                <w:bCs/>
                <w:color w:val="FF0000"/>
                <w:sz w:val="19"/>
                <w:szCs w:val="19"/>
                <w:lang w:val="en" w:eastAsia="en-NZ"/>
              </w:rPr>
            </w:pPr>
            <w:r>
              <w:rPr>
                <w:rFonts w:eastAsia="Times New Roman" w:cstheme="minorHAnsi"/>
                <w:bCs/>
                <w:sz w:val="19"/>
                <w:szCs w:val="19"/>
                <w:lang w:val="en" w:eastAsia="en-NZ"/>
              </w:rPr>
              <w:t>t</w:t>
            </w:r>
            <w:r w:rsidRPr="006605E4">
              <w:rPr>
                <w:rFonts w:eastAsia="Times New Roman" w:cstheme="minorHAnsi"/>
                <w:bCs/>
                <w:sz w:val="19"/>
                <w:szCs w:val="19"/>
                <w:lang w:val="en" w:eastAsia="en-NZ"/>
              </w:rPr>
              <w:t>he possibility of having missing items, incomplete files or duplicates</w:t>
            </w:r>
          </w:p>
          <w:p w14:paraId="41B01411" w14:textId="77777777" w:rsidR="00AD0C8E" w:rsidRPr="008E250A" w:rsidRDefault="00AD0C8E" w:rsidP="00AD0C8E">
            <w:pPr>
              <w:pStyle w:val="ListParagraph"/>
              <w:numPr>
                <w:ilvl w:val="0"/>
                <w:numId w:val="34"/>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t</w:t>
            </w:r>
            <w:r w:rsidRPr="008E250A">
              <w:rPr>
                <w:rFonts w:eastAsia="Times New Roman" w:cstheme="minorHAnsi"/>
                <w:bCs/>
                <w:sz w:val="19"/>
                <w:szCs w:val="19"/>
                <w:lang w:val="en" w:eastAsia="en-NZ"/>
              </w:rPr>
              <w:t>he possibility of under-reporting (not everyone eligible for a benefit or assistance applies</w:t>
            </w:r>
            <w:r>
              <w:rPr>
                <w:rFonts w:eastAsia="Times New Roman" w:cstheme="minorHAnsi"/>
                <w:bCs/>
                <w:sz w:val="19"/>
                <w:szCs w:val="19"/>
                <w:lang w:val="en" w:eastAsia="en-NZ"/>
              </w:rPr>
              <w:t xml:space="preserve"> for a benefit or assistance</w:t>
            </w:r>
            <w:r w:rsidRPr="008E250A">
              <w:rPr>
                <w:rFonts w:eastAsia="Times New Roman" w:cstheme="minorHAnsi"/>
                <w:bCs/>
                <w:sz w:val="19"/>
                <w:szCs w:val="19"/>
                <w:lang w:val="en" w:eastAsia="en-NZ"/>
              </w:rPr>
              <w:t>)</w:t>
            </w:r>
          </w:p>
          <w:p w14:paraId="1AFEA72C" w14:textId="77777777" w:rsidR="00AD0C8E" w:rsidRDefault="00AD0C8E" w:rsidP="00AD0C8E">
            <w:pPr>
              <w:pStyle w:val="ListParagraph"/>
              <w:numPr>
                <w:ilvl w:val="0"/>
                <w:numId w:val="34"/>
              </w:numPr>
              <w:spacing w:before="120"/>
              <w:ind w:left="714" w:hanging="357"/>
              <w:outlineLvl w:val="1"/>
              <w:rPr>
                <w:rFonts w:eastAsia="Times New Roman" w:cstheme="minorHAnsi"/>
                <w:bCs/>
                <w:sz w:val="19"/>
                <w:szCs w:val="19"/>
                <w:lang w:val="en" w:eastAsia="en-NZ"/>
              </w:rPr>
            </w:pPr>
            <w:r>
              <w:rPr>
                <w:rFonts w:eastAsia="Times New Roman" w:cstheme="minorHAnsi"/>
                <w:bCs/>
                <w:sz w:val="19"/>
                <w:szCs w:val="19"/>
                <w:lang w:val="en" w:eastAsia="en-NZ"/>
              </w:rPr>
              <w:t>c</w:t>
            </w:r>
            <w:r w:rsidRPr="008E250A">
              <w:rPr>
                <w:rFonts w:eastAsia="Times New Roman" w:cstheme="minorHAnsi"/>
                <w:bCs/>
                <w:sz w:val="19"/>
                <w:szCs w:val="19"/>
                <w:lang w:val="en" w:eastAsia="en-NZ"/>
              </w:rPr>
              <w:t xml:space="preserve">ircumstances that affect recipient responses </w:t>
            </w:r>
            <w:r>
              <w:rPr>
                <w:rFonts w:eastAsia="Times New Roman" w:cstheme="minorHAnsi"/>
                <w:bCs/>
                <w:sz w:val="19"/>
                <w:szCs w:val="19"/>
                <w:lang w:val="en" w:eastAsia="en-NZ"/>
              </w:rPr>
              <w:t>(</w:t>
            </w:r>
            <w:r w:rsidRPr="008E250A">
              <w:rPr>
                <w:rFonts w:eastAsia="Times New Roman" w:cstheme="minorHAnsi"/>
                <w:bCs/>
                <w:sz w:val="19"/>
                <w:szCs w:val="19"/>
                <w:lang w:val="en" w:eastAsia="en-NZ"/>
              </w:rPr>
              <w:t>e</w:t>
            </w:r>
            <w:r>
              <w:rPr>
                <w:rFonts w:eastAsia="Times New Roman" w:cstheme="minorHAnsi"/>
                <w:bCs/>
                <w:sz w:val="19"/>
                <w:szCs w:val="19"/>
                <w:lang w:val="en" w:eastAsia="en-NZ"/>
              </w:rPr>
              <w:t>.</w:t>
            </w:r>
            <w:r w:rsidRPr="008E250A">
              <w:rPr>
                <w:rFonts w:eastAsia="Times New Roman" w:cstheme="minorHAnsi"/>
                <w:bCs/>
                <w:sz w:val="19"/>
                <w:szCs w:val="19"/>
                <w:lang w:val="en" w:eastAsia="en-NZ"/>
              </w:rPr>
              <w:t>g</w:t>
            </w:r>
            <w:r>
              <w:rPr>
                <w:rFonts w:eastAsia="Times New Roman" w:cstheme="minorHAnsi"/>
                <w:bCs/>
                <w:sz w:val="19"/>
                <w:szCs w:val="19"/>
                <w:lang w:val="en" w:eastAsia="en-NZ"/>
              </w:rPr>
              <w:t>.</w:t>
            </w:r>
            <w:r w:rsidRPr="008E250A">
              <w:rPr>
                <w:rFonts w:eastAsia="Times New Roman" w:cstheme="minorHAnsi"/>
                <w:bCs/>
                <w:sz w:val="19"/>
                <w:szCs w:val="19"/>
                <w:lang w:val="en" w:eastAsia="en-NZ"/>
              </w:rPr>
              <w:t xml:space="preserve"> </w:t>
            </w:r>
            <w:r>
              <w:rPr>
                <w:rFonts w:eastAsia="Times New Roman" w:cstheme="minorHAnsi"/>
                <w:bCs/>
                <w:sz w:val="19"/>
                <w:szCs w:val="19"/>
                <w:lang w:val="en" w:eastAsia="en-NZ"/>
              </w:rPr>
              <w:t xml:space="preserve">changes to </w:t>
            </w:r>
            <w:r w:rsidRPr="008E250A">
              <w:rPr>
                <w:rFonts w:eastAsia="Times New Roman" w:cstheme="minorHAnsi"/>
                <w:bCs/>
                <w:sz w:val="19"/>
                <w:szCs w:val="19"/>
                <w:lang w:val="en" w:eastAsia="en-NZ"/>
              </w:rPr>
              <w:t>the ethnicity</w:t>
            </w:r>
            <w:r>
              <w:rPr>
                <w:rFonts w:eastAsia="Times New Roman" w:cstheme="minorHAnsi"/>
                <w:bCs/>
                <w:sz w:val="19"/>
                <w:szCs w:val="19"/>
                <w:lang w:val="en" w:eastAsia="en-NZ"/>
              </w:rPr>
              <w:t xml:space="preserve"> that</w:t>
            </w:r>
            <w:r w:rsidRPr="008E250A">
              <w:rPr>
                <w:rFonts w:eastAsia="Times New Roman" w:cstheme="minorHAnsi"/>
                <w:bCs/>
                <w:sz w:val="19"/>
                <w:szCs w:val="19"/>
                <w:lang w:val="en" w:eastAsia="en-NZ"/>
              </w:rPr>
              <w:t xml:space="preserve"> they report themselves</w:t>
            </w:r>
            <w:r>
              <w:rPr>
                <w:rFonts w:eastAsia="Times New Roman" w:cstheme="minorHAnsi"/>
                <w:bCs/>
                <w:sz w:val="19"/>
                <w:szCs w:val="19"/>
                <w:lang w:val="en" w:eastAsia="en-NZ"/>
              </w:rPr>
              <w:t>)</w:t>
            </w:r>
            <w:r w:rsidRPr="008E250A">
              <w:rPr>
                <w:rFonts w:eastAsia="Times New Roman" w:cstheme="minorHAnsi"/>
                <w:bCs/>
                <w:sz w:val="19"/>
                <w:szCs w:val="19"/>
                <w:lang w:val="en" w:eastAsia="en-NZ"/>
              </w:rPr>
              <w:t>.</w:t>
            </w:r>
          </w:p>
          <w:p w14:paraId="365FF20A" w14:textId="77777777" w:rsidR="00AD0C8E" w:rsidRPr="00530A54" w:rsidRDefault="00AD0C8E" w:rsidP="007E1A87">
            <w:pPr>
              <w:pStyle w:val="ListParagraph"/>
              <w:spacing w:before="120"/>
              <w:ind w:left="714"/>
              <w:outlineLvl w:val="1"/>
              <w:rPr>
                <w:rFonts w:eastAsia="Times New Roman" w:cstheme="minorHAnsi"/>
                <w:bCs/>
                <w:sz w:val="19"/>
                <w:szCs w:val="19"/>
                <w:lang w:val="en" w:eastAsia="en-NZ"/>
              </w:rPr>
            </w:pPr>
          </w:p>
        </w:tc>
      </w:tr>
    </w:tbl>
    <w:p w14:paraId="5563EEBB" w14:textId="734CF6DC" w:rsidR="001B5700" w:rsidRPr="000D6789" w:rsidRDefault="001B5700" w:rsidP="004F5E24"/>
    <w:sectPr w:rsidR="001B5700" w:rsidRPr="000D6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1579E8"/>
    <w:multiLevelType w:val="hybridMultilevel"/>
    <w:tmpl w:val="5B36C39C"/>
    <w:lvl w:ilvl="0" w:tplc="B7166EA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EB54C74"/>
    <w:multiLevelType w:val="hybridMultilevel"/>
    <w:tmpl w:val="96CC7BB2"/>
    <w:lvl w:ilvl="0" w:tplc="CBB449F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09B1A83"/>
    <w:multiLevelType w:val="hybridMultilevel"/>
    <w:tmpl w:val="15E2E4CC"/>
    <w:lvl w:ilvl="0" w:tplc="848A47B4">
      <w:numFmt w:val="bullet"/>
      <w:lvlText w:val="-"/>
      <w:lvlJc w:val="left"/>
      <w:pPr>
        <w:ind w:left="720" w:hanging="360"/>
      </w:pPr>
      <w:rPr>
        <w:rFonts w:ascii="Verdana" w:eastAsia="Calibri" w:hAnsi="Verdana"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5"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25"/>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0"/>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7"/>
  </w:num>
  <w:num w:numId="26">
    <w:abstractNumId w:val="28"/>
  </w:num>
  <w:num w:numId="27">
    <w:abstractNumId w:val="26"/>
  </w:num>
  <w:num w:numId="28">
    <w:abstractNumId w:val="18"/>
  </w:num>
  <w:num w:numId="29">
    <w:abstractNumId w:val="11"/>
  </w:num>
  <w:num w:numId="30">
    <w:abstractNumId w:val="19"/>
  </w:num>
  <w:num w:numId="31">
    <w:abstractNumId w:val="29"/>
  </w:num>
  <w:num w:numId="32">
    <w:abstractNumId w:val="22"/>
  </w:num>
  <w:num w:numId="33">
    <w:abstractNumId w:val="23"/>
  </w:num>
  <w:num w:numId="34">
    <w:abstractNumId w:val="1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55"/>
    <w:rsid w:val="00000B4C"/>
    <w:rsid w:val="00005BBE"/>
    <w:rsid w:val="000106D0"/>
    <w:rsid w:val="00034336"/>
    <w:rsid w:val="00037CB0"/>
    <w:rsid w:val="000743D1"/>
    <w:rsid w:val="000A576B"/>
    <w:rsid w:val="000D6789"/>
    <w:rsid w:val="000E3BB9"/>
    <w:rsid w:val="0010394A"/>
    <w:rsid w:val="00106AED"/>
    <w:rsid w:val="001B5700"/>
    <w:rsid w:val="001D3744"/>
    <w:rsid w:val="001F64D0"/>
    <w:rsid w:val="00213DA6"/>
    <w:rsid w:val="00216302"/>
    <w:rsid w:val="00236D2D"/>
    <w:rsid w:val="00245A2B"/>
    <w:rsid w:val="002B7C70"/>
    <w:rsid w:val="002D1C62"/>
    <w:rsid w:val="002D367B"/>
    <w:rsid w:val="002F1F36"/>
    <w:rsid w:val="003444E4"/>
    <w:rsid w:val="00354EC2"/>
    <w:rsid w:val="003727A8"/>
    <w:rsid w:val="00397220"/>
    <w:rsid w:val="003B0A38"/>
    <w:rsid w:val="003D26D1"/>
    <w:rsid w:val="003E2869"/>
    <w:rsid w:val="003E3722"/>
    <w:rsid w:val="004227ED"/>
    <w:rsid w:val="00445BCE"/>
    <w:rsid w:val="00454F25"/>
    <w:rsid w:val="004710B8"/>
    <w:rsid w:val="004F5E24"/>
    <w:rsid w:val="00533E65"/>
    <w:rsid w:val="00555FAB"/>
    <w:rsid w:val="0056019C"/>
    <w:rsid w:val="0056681E"/>
    <w:rsid w:val="00572AA9"/>
    <w:rsid w:val="0058095A"/>
    <w:rsid w:val="00581A84"/>
    <w:rsid w:val="00595906"/>
    <w:rsid w:val="005B11F9"/>
    <w:rsid w:val="00631D73"/>
    <w:rsid w:val="006561E3"/>
    <w:rsid w:val="006B19BD"/>
    <w:rsid w:val="00720E7F"/>
    <w:rsid w:val="00736233"/>
    <w:rsid w:val="007B201A"/>
    <w:rsid w:val="007C2143"/>
    <w:rsid w:val="007F3ACD"/>
    <w:rsid w:val="007F4B08"/>
    <w:rsid w:val="0080133F"/>
    <w:rsid w:val="00803AD8"/>
    <w:rsid w:val="0080498F"/>
    <w:rsid w:val="00845BC6"/>
    <w:rsid w:val="00850CCB"/>
    <w:rsid w:val="00860654"/>
    <w:rsid w:val="0088035E"/>
    <w:rsid w:val="008C493C"/>
    <w:rsid w:val="00903467"/>
    <w:rsid w:val="00906EAA"/>
    <w:rsid w:val="00970DD2"/>
    <w:rsid w:val="009B6CE2"/>
    <w:rsid w:val="009D15F1"/>
    <w:rsid w:val="009D2B10"/>
    <w:rsid w:val="009E3D80"/>
    <w:rsid w:val="009F4855"/>
    <w:rsid w:val="00A04E91"/>
    <w:rsid w:val="00A2199C"/>
    <w:rsid w:val="00A43896"/>
    <w:rsid w:val="00A6244E"/>
    <w:rsid w:val="00AD0C8E"/>
    <w:rsid w:val="00AD243A"/>
    <w:rsid w:val="00B41635"/>
    <w:rsid w:val="00B46E86"/>
    <w:rsid w:val="00B5357A"/>
    <w:rsid w:val="00BA08A6"/>
    <w:rsid w:val="00BD21D1"/>
    <w:rsid w:val="00C503A7"/>
    <w:rsid w:val="00C5215F"/>
    <w:rsid w:val="00C80AAA"/>
    <w:rsid w:val="00CB4A28"/>
    <w:rsid w:val="00D34EA0"/>
    <w:rsid w:val="00D471E4"/>
    <w:rsid w:val="00D56011"/>
    <w:rsid w:val="00DC53E7"/>
    <w:rsid w:val="00DD6907"/>
    <w:rsid w:val="00DD6D26"/>
    <w:rsid w:val="00DD7526"/>
    <w:rsid w:val="00DF17EF"/>
    <w:rsid w:val="00E220E3"/>
    <w:rsid w:val="00E25E3C"/>
    <w:rsid w:val="00E6406B"/>
    <w:rsid w:val="00E671C3"/>
    <w:rsid w:val="00E90142"/>
    <w:rsid w:val="00E9269E"/>
    <w:rsid w:val="00EC5CB5"/>
    <w:rsid w:val="00ED670F"/>
    <w:rsid w:val="00F0232C"/>
    <w:rsid w:val="00F03741"/>
    <w:rsid w:val="00F06EE8"/>
    <w:rsid w:val="00F07349"/>
    <w:rsid w:val="00F113EF"/>
    <w:rsid w:val="00F126F3"/>
    <w:rsid w:val="00F22AE5"/>
    <w:rsid w:val="00F43BCB"/>
    <w:rsid w:val="00F523F4"/>
    <w:rsid w:val="00F829C0"/>
    <w:rsid w:val="00F829F6"/>
    <w:rsid w:val="00FA2D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75F2"/>
  <w15:chartTrackingRefBased/>
  <w15:docId w15:val="{FDCF0D4C-4C93-4081-BB3A-26606C0C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FA2D3C"/>
    <w:rPr>
      <w:color w:val="0000FF" w:themeColor="hyperlink"/>
      <w:u w:val="single"/>
    </w:rPr>
  </w:style>
  <w:style w:type="character" w:styleId="UnresolvedMention">
    <w:name w:val="Unresolved Mention"/>
    <w:basedOn w:val="DefaultParagraphFont"/>
    <w:uiPriority w:val="99"/>
    <w:semiHidden/>
    <w:unhideWhenUsed/>
    <w:rsid w:val="00FA2D3C"/>
    <w:rPr>
      <w:color w:val="605E5C"/>
      <w:shd w:val="clear" w:color="auto" w:fill="E1DFDD"/>
    </w:rPr>
  </w:style>
  <w:style w:type="table" w:customStyle="1" w:styleId="TableGrid10">
    <w:name w:val="Table Grid1"/>
    <w:basedOn w:val="TableNormal"/>
    <w:next w:val="TableGrid"/>
    <w:uiPriority w:val="59"/>
    <w:rsid w:val="00AD0C8E"/>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d.govt.nz/about-msd-and-our-work/publications-resources/statistics/benefit/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msd.govt.nz/about-msd-and-our-work/tools/how-we-keep-data-privat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msd.govt.nz/about-msd-and-our-work/contact-us/index.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workandincome.govt.nz/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763C-CA73-44B2-9F91-509387800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Weatherall</dc:creator>
  <cp:keywords/>
  <dc:description/>
  <cp:lastModifiedBy>Paul Weatherall</cp:lastModifiedBy>
  <cp:revision>18</cp:revision>
  <dcterms:created xsi:type="dcterms:W3CDTF">2021-03-19T02:59:00Z</dcterms:created>
  <dcterms:modified xsi:type="dcterms:W3CDTF">2021-04-14T03:13:00Z</dcterms:modified>
</cp:coreProperties>
</file>