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B4" w:rsidRDefault="00890AD7" w:rsidP="000D1EB4">
      <w:pPr>
        <w:spacing w:after="0" w:line="0" w:lineRule="atLeast"/>
        <w:rPr>
          <w:sz w:val="6"/>
        </w:rPr>
      </w:pPr>
      <w:r>
        <w:rPr>
          <w:noProof/>
          <w:lang w:val="en-N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-419100</wp:posOffset>
            </wp:positionV>
            <wp:extent cx="2628900" cy="7524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27D">
        <w:rPr>
          <w:sz w:val="6"/>
        </w:rPr>
        <w:t xml:space="preserve"> </w:t>
      </w:r>
    </w:p>
    <w:p w:rsidR="0059327D" w:rsidRDefault="0059327D" w:rsidP="000D1EB4">
      <w:pPr>
        <w:spacing w:after="0" w:line="0" w:lineRule="atLeast"/>
        <w:rPr>
          <w:sz w:val="6"/>
        </w:rPr>
      </w:pPr>
    </w:p>
    <w:p w:rsidR="0059327D" w:rsidRDefault="0059327D" w:rsidP="000D1EB4">
      <w:pPr>
        <w:spacing w:after="0" w:line="0" w:lineRule="atLeast"/>
        <w:rPr>
          <w:sz w:val="6"/>
        </w:rPr>
      </w:pPr>
    </w:p>
    <w:p w:rsidR="0059327D" w:rsidRDefault="0059327D" w:rsidP="000D1EB4">
      <w:pPr>
        <w:spacing w:after="0" w:line="0" w:lineRule="atLeast"/>
        <w:rPr>
          <w:sz w:val="6"/>
        </w:rPr>
      </w:pPr>
    </w:p>
    <w:p w:rsidR="0059327D" w:rsidRDefault="0059327D" w:rsidP="004C7599">
      <w:pPr>
        <w:spacing w:after="0" w:line="0" w:lineRule="atLeast"/>
        <w:rPr>
          <w:sz w:val="6"/>
        </w:rPr>
      </w:pPr>
    </w:p>
    <w:p w:rsidR="0059327D" w:rsidRDefault="0059327D" w:rsidP="004C7599">
      <w:pPr>
        <w:spacing w:after="0" w:line="0" w:lineRule="atLeast"/>
        <w:rPr>
          <w:sz w:val="6"/>
        </w:rPr>
      </w:pPr>
    </w:p>
    <w:p w:rsidR="0059327D" w:rsidRDefault="0059327D" w:rsidP="004C7599">
      <w:pPr>
        <w:spacing w:after="0" w:line="0" w:lineRule="atLeast"/>
        <w:rPr>
          <w:sz w:val="6"/>
        </w:rPr>
      </w:pPr>
    </w:p>
    <w:p w:rsidR="0059327D" w:rsidRDefault="0059327D" w:rsidP="004C7599">
      <w:pPr>
        <w:spacing w:after="0" w:line="0" w:lineRule="atLeast"/>
        <w:rPr>
          <w:sz w:val="6"/>
        </w:rPr>
      </w:pPr>
    </w:p>
    <w:p w:rsidR="0059327D" w:rsidRPr="000D1EB4" w:rsidRDefault="0059327D" w:rsidP="004C7599">
      <w:pPr>
        <w:spacing w:after="0" w:line="0" w:lineRule="atLeast"/>
        <w:rPr>
          <w:sz w:val="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76491" w:rsidRPr="004677E4" w:rsidTr="004677E4">
        <w:trPr>
          <w:trHeight w:val="699"/>
        </w:trPr>
        <w:tc>
          <w:tcPr>
            <w:tcW w:w="10598" w:type="dxa"/>
            <w:shd w:val="clear" w:color="auto" w:fill="002060"/>
            <w:vAlign w:val="center"/>
          </w:tcPr>
          <w:p w:rsidR="00176491" w:rsidRPr="004677E4" w:rsidRDefault="008A2D63" w:rsidP="00AA2D1B">
            <w:pPr>
              <w:pStyle w:val="Heading1"/>
              <w:numPr>
                <w:ilvl w:val="0"/>
                <w:numId w:val="0"/>
              </w:numPr>
              <w:spacing w:after="0"/>
              <w:ind w:right="0"/>
              <w:rPr>
                <w:color w:val="FFFFFF"/>
              </w:rPr>
            </w:pPr>
            <w:r>
              <w:rPr>
                <w:color w:val="FFFFFF"/>
              </w:rPr>
              <w:t>Benefit Sanctions</w:t>
            </w:r>
            <w:r w:rsidR="000D1EB4" w:rsidRPr="004677E4">
              <w:rPr>
                <w:color w:val="FFFFFF"/>
              </w:rPr>
              <w:t xml:space="preserve"> – </w:t>
            </w:r>
            <w:r w:rsidR="00AA2D1B">
              <w:rPr>
                <w:color w:val="FFFFFF"/>
              </w:rPr>
              <w:t>June</w:t>
            </w:r>
            <w:r w:rsidR="00B754A4">
              <w:rPr>
                <w:color w:val="FFFFFF"/>
              </w:rPr>
              <w:t xml:space="preserve"> 2017</w:t>
            </w:r>
            <w:r w:rsidR="000D1EB4" w:rsidRPr="004677E4">
              <w:rPr>
                <w:color w:val="FFFFFF"/>
              </w:rPr>
              <w:t xml:space="preserve"> Quarter</w:t>
            </w:r>
          </w:p>
        </w:tc>
      </w:tr>
    </w:tbl>
    <w:p w:rsidR="0040389C" w:rsidRDefault="0040389C" w:rsidP="004C7599">
      <w:pPr>
        <w:spacing w:line="24" w:lineRule="atLeast"/>
      </w:pPr>
    </w:p>
    <w:p w:rsidR="004C219C" w:rsidRPr="00B00300" w:rsidRDefault="00E3183E" w:rsidP="004C7599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 xml:space="preserve">A sanction is a penalty imposed on a client’s benefit for failure to fulfill their </w:t>
      </w:r>
      <w:r w:rsidR="00B109A4">
        <w:rPr>
          <w:color w:val="000000" w:themeColor="text1"/>
        </w:rPr>
        <w:t xml:space="preserve">work </w:t>
      </w:r>
      <w:r w:rsidRPr="00B00300">
        <w:rPr>
          <w:color w:val="000000" w:themeColor="text1"/>
        </w:rPr>
        <w:t xml:space="preserve">obligations. </w:t>
      </w:r>
    </w:p>
    <w:p w:rsidR="00656DAE" w:rsidRPr="00B00300" w:rsidRDefault="004C219C" w:rsidP="004C219C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 xml:space="preserve">Sanctions </w:t>
      </w:r>
      <w:r w:rsidR="009F042B" w:rsidRPr="00B00300">
        <w:rPr>
          <w:color w:val="000000" w:themeColor="text1"/>
        </w:rPr>
        <w:t xml:space="preserve">can </w:t>
      </w:r>
      <w:r w:rsidRPr="00B00300">
        <w:rPr>
          <w:color w:val="000000" w:themeColor="text1"/>
        </w:rPr>
        <w:t xml:space="preserve">affect clients in a number of ways depending on their circumstances and the number of times they have had a sanction imposed over the last 12 months. </w:t>
      </w:r>
      <w:r w:rsidR="00656DAE" w:rsidRPr="00B00300">
        <w:rPr>
          <w:color w:val="000000" w:themeColor="text1"/>
        </w:rPr>
        <w:t>There are three types of sanctions: graduated (ie percentage reduction in benefit amount), suspended and cancelled.</w:t>
      </w:r>
      <w:r w:rsidR="006A4B20" w:rsidRPr="00B00300">
        <w:rPr>
          <w:color w:val="000000" w:themeColor="text1"/>
        </w:rPr>
        <w:t xml:space="preserve"> Not everyone who fails their obligations gets sanctioned; if clients recomply or provide additional information, their failure to fulfill their obligations </w:t>
      </w:r>
      <w:r w:rsidR="00D90E07" w:rsidRPr="00B00300">
        <w:rPr>
          <w:color w:val="000000" w:themeColor="text1"/>
        </w:rPr>
        <w:t>can be</w:t>
      </w:r>
      <w:r w:rsidR="006A4B20" w:rsidRPr="00B00300">
        <w:rPr>
          <w:color w:val="000000" w:themeColor="text1"/>
        </w:rPr>
        <w:t xml:space="preserve"> withdrawn.</w:t>
      </w:r>
    </w:p>
    <w:p w:rsidR="004C219C" w:rsidRPr="00B00300" w:rsidRDefault="004C219C" w:rsidP="004C219C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>Sole parents and couples with dependent</w:t>
      </w:r>
      <w:r w:rsidR="00A26117">
        <w:rPr>
          <w:color w:val="000000" w:themeColor="text1"/>
        </w:rPr>
        <w:t xml:space="preserve"> children face a maximum 50 per</w:t>
      </w:r>
      <w:r w:rsidRPr="00B00300">
        <w:rPr>
          <w:color w:val="000000" w:themeColor="text1"/>
        </w:rPr>
        <w:t>cent reduction of their main benefit when sanctioned</w:t>
      </w:r>
      <w:r w:rsidR="00A26117">
        <w:rPr>
          <w:color w:val="000000" w:themeColor="text1"/>
        </w:rPr>
        <w:t xml:space="preserve"> within a 12-</w:t>
      </w:r>
      <w:r w:rsidR="00165E1B" w:rsidRPr="00B00300">
        <w:rPr>
          <w:color w:val="000000" w:themeColor="text1"/>
        </w:rPr>
        <w:t>month period</w:t>
      </w:r>
      <w:r w:rsidRPr="00B00300">
        <w:rPr>
          <w:color w:val="000000" w:themeColor="text1"/>
        </w:rPr>
        <w:t>. For single clients with no dependent children, the fir</w:t>
      </w:r>
      <w:r w:rsidR="00A26117">
        <w:rPr>
          <w:color w:val="000000" w:themeColor="text1"/>
        </w:rPr>
        <w:t>st sanction is a maximum 50 per</w:t>
      </w:r>
      <w:r w:rsidRPr="00B00300">
        <w:rPr>
          <w:color w:val="000000" w:themeColor="text1"/>
        </w:rPr>
        <w:t>cent reduction of their main benefit; for a second failure</w:t>
      </w:r>
      <w:r w:rsidR="00A26117">
        <w:rPr>
          <w:color w:val="000000" w:themeColor="text1"/>
        </w:rPr>
        <w:t>,</w:t>
      </w:r>
      <w:r w:rsidRPr="00B00300">
        <w:rPr>
          <w:color w:val="000000" w:themeColor="text1"/>
        </w:rPr>
        <w:t xml:space="preserve"> they face a 100 percent suspension of their main</w:t>
      </w:r>
      <w:r w:rsidR="00A26117">
        <w:rPr>
          <w:color w:val="000000" w:themeColor="text1"/>
        </w:rPr>
        <w:t xml:space="preserve"> benefit; a third sanction will</w:t>
      </w:r>
      <w:r w:rsidRPr="00B00300">
        <w:rPr>
          <w:color w:val="000000" w:themeColor="text1"/>
        </w:rPr>
        <w:t xml:space="preserve"> result in the main benefit being cancelled. </w:t>
      </w:r>
    </w:p>
    <w:p w:rsidR="00062883" w:rsidRPr="00B00300" w:rsidRDefault="00062883" w:rsidP="004C219C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>Sanctions data is reported in two different ways</w:t>
      </w:r>
      <w:r w:rsidR="00BF0BE8" w:rsidRPr="00B00300">
        <w:rPr>
          <w:color w:val="000000" w:themeColor="text1"/>
        </w:rPr>
        <w:t xml:space="preserve"> to show different aspects of the data</w:t>
      </w:r>
      <w:r w:rsidR="00A26117">
        <w:rPr>
          <w:color w:val="000000" w:themeColor="text1"/>
        </w:rPr>
        <w:t>:</w:t>
      </w:r>
      <w:r w:rsidR="00552A2C" w:rsidRPr="00B00300">
        <w:rPr>
          <w:color w:val="000000" w:themeColor="text1"/>
        </w:rPr>
        <w:t xml:space="preserve"> </w:t>
      </w:r>
      <w:r w:rsidR="001975A0" w:rsidRPr="00B00300">
        <w:rPr>
          <w:i/>
          <w:color w:val="000000" w:themeColor="text1"/>
        </w:rPr>
        <w:t>flow</w:t>
      </w:r>
      <w:r w:rsidR="001975A0">
        <w:rPr>
          <w:i/>
          <w:color w:val="000000" w:themeColor="text1"/>
        </w:rPr>
        <w:t xml:space="preserve"> data</w:t>
      </w:r>
      <w:r w:rsidR="001975A0" w:rsidRPr="00B00300">
        <w:rPr>
          <w:i/>
          <w:color w:val="000000" w:themeColor="text1"/>
        </w:rPr>
        <w:t xml:space="preserve"> </w:t>
      </w:r>
      <w:r w:rsidR="001975A0" w:rsidRPr="001975A0">
        <w:rPr>
          <w:color w:val="000000" w:themeColor="text1"/>
        </w:rPr>
        <w:t xml:space="preserve">and </w:t>
      </w:r>
      <w:r w:rsidR="001B4B64" w:rsidRPr="00B00300">
        <w:rPr>
          <w:i/>
          <w:color w:val="000000" w:themeColor="text1"/>
        </w:rPr>
        <w:t>point-in-time</w:t>
      </w:r>
      <w:r w:rsidR="001B4B64" w:rsidRPr="00B00300">
        <w:rPr>
          <w:color w:val="000000" w:themeColor="text1"/>
        </w:rPr>
        <w:t xml:space="preserve"> data. </w:t>
      </w:r>
    </w:p>
    <w:p w:rsidR="00B12CEE" w:rsidRPr="00B00300" w:rsidRDefault="00062883" w:rsidP="004C219C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>Flow data</w:t>
      </w:r>
      <w:r w:rsidR="001B4B64" w:rsidRPr="00B00300">
        <w:rPr>
          <w:color w:val="000000" w:themeColor="text1"/>
        </w:rPr>
        <w:t xml:space="preserve"> </w:t>
      </w:r>
      <w:r w:rsidR="00B12CEE" w:rsidRPr="00B00300">
        <w:rPr>
          <w:color w:val="000000" w:themeColor="text1"/>
        </w:rPr>
        <w:t xml:space="preserve">is the sum of all sanction events that occur in the quarter (eg for the </w:t>
      </w:r>
      <w:r w:rsidR="00AA2D1B">
        <w:rPr>
          <w:color w:val="000000" w:themeColor="text1"/>
        </w:rPr>
        <w:t>June</w:t>
      </w:r>
      <w:r w:rsidR="00B754A4">
        <w:rPr>
          <w:color w:val="000000" w:themeColor="text1"/>
        </w:rPr>
        <w:t xml:space="preserve"> </w:t>
      </w:r>
      <w:r w:rsidR="00B12CEE" w:rsidRPr="00B00300">
        <w:rPr>
          <w:color w:val="000000" w:themeColor="text1"/>
        </w:rPr>
        <w:t xml:space="preserve">quarter, it is the sum of all sanction events in </w:t>
      </w:r>
      <w:r w:rsidR="00AA2D1B">
        <w:rPr>
          <w:color w:val="000000" w:themeColor="text1"/>
        </w:rPr>
        <w:t>April</w:t>
      </w:r>
      <w:r w:rsidR="00B12CEE" w:rsidRPr="00B00300">
        <w:rPr>
          <w:color w:val="000000" w:themeColor="text1"/>
        </w:rPr>
        <w:t xml:space="preserve">, </w:t>
      </w:r>
      <w:r w:rsidR="00AA2D1B">
        <w:rPr>
          <w:color w:val="000000" w:themeColor="text1"/>
        </w:rPr>
        <w:t>May</w:t>
      </w:r>
      <w:r w:rsidR="00B12CEE" w:rsidRPr="00B00300">
        <w:rPr>
          <w:color w:val="000000" w:themeColor="text1"/>
        </w:rPr>
        <w:t xml:space="preserve"> and </w:t>
      </w:r>
      <w:r w:rsidR="00AA2D1B">
        <w:rPr>
          <w:color w:val="000000" w:themeColor="text1"/>
        </w:rPr>
        <w:t>June</w:t>
      </w:r>
      <w:r w:rsidR="00B12CEE" w:rsidRPr="00B00300">
        <w:rPr>
          <w:color w:val="000000" w:themeColor="text1"/>
        </w:rPr>
        <w:t>). This data contains graduated, suspended and cancelled sanctions</w:t>
      </w:r>
      <w:r w:rsidR="00B109A4">
        <w:rPr>
          <w:color w:val="000000" w:themeColor="text1"/>
        </w:rPr>
        <w:t xml:space="preserve"> imposed due to the failure to fulfill work obligations</w:t>
      </w:r>
      <w:r w:rsidR="00B12CEE" w:rsidRPr="00B00300">
        <w:rPr>
          <w:color w:val="000000" w:themeColor="text1"/>
        </w:rPr>
        <w:t>.</w:t>
      </w:r>
    </w:p>
    <w:p w:rsidR="001975A0" w:rsidRDefault="001975A0" w:rsidP="001975A0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 xml:space="preserve">Point-in-time data is the number of sanctions </w:t>
      </w:r>
      <w:r>
        <w:rPr>
          <w:color w:val="000000" w:themeColor="text1"/>
        </w:rPr>
        <w:t xml:space="preserve">imposed </w:t>
      </w:r>
      <w:r w:rsidRPr="00B00300">
        <w:rPr>
          <w:color w:val="000000" w:themeColor="text1"/>
        </w:rPr>
        <w:t xml:space="preserve">at </w:t>
      </w:r>
      <w:r>
        <w:rPr>
          <w:color w:val="000000" w:themeColor="text1"/>
        </w:rPr>
        <w:t>a</w:t>
      </w:r>
      <w:r w:rsidRPr="00B00300">
        <w:rPr>
          <w:color w:val="000000" w:themeColor="text1"/>
        </w:rPr>
        <w:t xml:space="preserve"> point in time </w:t>
      </w:r>
      <w:r>
        <w:rPr>
          <w:color w:val="000000" w:themeColor="text1"/>
        </w:rPr>
        <w:t xml:space="preserve">due to the failure to fulfill work obligations </w:t>
      </w:r>
      <w:r w:rsidRPr="00B00300">
        <w:rPr>
          <w:color w:val="000000" w:themeColor="text1"/>
        </w:rPr>
        <w:t xml:space="preserve">(eg for </w:t>
      </w:r>
      <w:r w:rsidR="00AA2D1B">
        <w:rPr>
          <w:color w:val="000000" w:themeColor="text1"/>
        </w:rPr>
        <w:t>June</w:t>
      </w:r>
      <w:r w:rsidRPr="00B00300">
        <w:rPr>
          <w:color w:val="000000" w:themeColor="text1"/>
        </w:rPr>
        <w:t xml:space="preserve">, it is the number of sanctions as at </w:t>
      </w:r>
      <w:r w:rsidR="00AA2D1B">
        <w:rPr>
          <w:color w:val="000000" w:themeColor="text1"/>
        </w:rPr>
        <w:t>30 June</w:t>
      </w:r>
      <w:r w:rsidRPr="00B00300">
        <w:rPr>
          <w:color w:val="000000" w:themeColor="text1"/>
        </w:rPr>
        <w:t>). Only graduated sanctions can be reported using point-in-time data.</w:t>
      </w:r>
    </w:p>
    <w:p w:rsidR="001975A0" w:rsidRPr="00B00300" w:rsidRDefault="001975A0" w:rsidP="001975A0">
      <w:pPr>
        <w:pStyle w:val="Heading2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10795</wp:posOffset>
            </wp:positionV>
            <wp:extent cx="539750" cy="3848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</w:rPr>
        <w:t xml:space="preserve">         </w:t>
      </w:r>
      <w:r w:rsidR="0018252C">
        <w:rPr>
          <w:color w:val="000000" w:themeColor="text1"/>
        </w:rPr>
        <w:t>Two-year t</w:t>
      </w:r>
      <w:r w:rsidR="006D62B6">
        <w:rPr>
          <w:color w:val="000000" w:themeColor="text1"/>
        </w:rPr>
        <w:t>rend</w:t>
      </w:r>
      <w:r w:rsidRPr="00B00300">
        <w:rPr>
          <w:color w:val="000000" w:themeColor="text1"/>
        </w:rPr>
        <w:t xml:space="preserve"> for all sanctions</w:t>
      </w:r>
      <w:r w:rsidR="006D62B6">
        <w:rPr>
          <w:color w:val="000000" w:themeColor="text1"/>
        </w:rPr>
        <w:t xml:space="preserve"> (flow data)</w:t>
      </w:r>
    </w:p>
    <w:p w:rsidR="001975A0" w:rsidRPr="00B00300" w:rsidRDefault="001975A0" w:rsidP="001975A0">
      <w:pPr>
        <w:spacing w:line="24" w:lineRule="atLeast"/>
        <w:rPr>
          <w:color w:val="000000" w:themeColor="text1"/>
        </w:rPr>
      </w:pPr>
      <w:r w:rsidRPr="00CF6AE9">
        <w:rPr>
          <w:color w:val="000000" w:themeColor="text1"/>
        </w:rPr>
        <w:t xml:space="preserve">The number of benefit sanctions imposed due to the failure to fulfill work obligations was </w:t>
      </w:r>
      <w:r w:rsidRPr="00CF6AE9">
        <w:t xml:space="preserve">lower </w:t>
      </w:r>
      <w:r w:rsidRPr="00CF6AE9">
        <w:rPr>
          <w:color w:val="000000" w:themeColor="text1"/>
        </w:rPr>
        <w:t xml:space="preserve">in the </w:t>
      </w:r>
      <w:r w:rsidR="00CF6AE9" w:rsidRPr="00CF6AE9">
        <w:rPr>
          <w:color w:val="000000" w:themeColor="text1"/>
        </w:rPr>
        <w:t>June</w:t>
      </w:r>
      <w:r w:rsidRPr="00CF6AE9">
        <w:rPr>
          <w:color w:val="000000" w:themeColor="text1"/>
        </w:rPr>
        <w:t xml:space="preserve"> 2017 quarter when compared to the </w:t>
      </w:r>
      <w:r w:rsidR="00CF6AE9" w:rsidRPr="00CF6AE9">
        <w:rPr>
          <w:color w:val="000000" w:themeColor="text1"/>
        </w:rPr>
        <w:t>June</w:t>
      </w:r>
      <w:r w:rsidRPr="00CF6AE9">
        <w:rPr>
          <w:color w:val="000000" w:themeColor="text1"/>
        </w:rPr>
        <w:t xml:space="preserve"> 2015 quarter</w:t>
      </w:r>
      <w:r w:rsidR="001129FB">
        <w:rPr>
          <w:color w:val="000000" w:themeColor="text1"/>
        </w:rPr>
        <w:t>, but higher than in the June 2016 quarter</w:t>
      </w:r>
      <w:r w:rsidR="00023043" w:rsidRPr="00CF6AE9">
        <w:rPr>
          <w:color w:val="000000" w:themeColor="text1"/>
        </w:rPr>
        <w:t xml:space="preserve"> (Figure 1)</w:t>
      </w:r>
      <w:r w:rsidRPr="00CF6AE9">
        <w:rPr>
          <w:color w:val="000000" w:themeColor="text1"/>
        </w:rPr>
        <w:t>.</w:t>
      </w:r>
    </w:p>
    <w:p w:rsidR="001975A0" w:rsidRPr="00583A39" w:rsidRDefault="001975A0" w:rsidP="001975A0">
      <w:pPr>
        <w:pStyle w:val="TableHeadings"/>
        <w:rPr>
          <w:b w:val="0"/>
          <w:color w:val="000000" w:themeColor="text1"/>
          <w:highlight w:val="yellow"/>
          <w:lang w:val="en-NZ"/>
        </w:rPr>
      </w:pPr>
      <w:r w:rsidRPr="00B00300">
        <w:rPr>
          <w:b w:val="0"/>
          <w:color w:val="000000" w:themeColor="text1"/>
          <w:sz w:val="20"/>
          <w:lang w:val="en-NZ"/>
        </w:rPr>
        <w:t xml:space="preserve">Figure 1: Quarterly benefit sanctions numbers, </w:t>
      </w:r>
      <w:r w:rsidR="00AA2D1B">
        <w:rPr>
          <w:b w:val="0"/>
          <w:color w:val="000000" w:themeColor="text1"/>
          <w:sz w:val="20"/>
          <w:lang w:val="en-NZ"/>
        </w:rPr>
        <w:t>June</w:t>
      </w:r>
      <w:r>
        <w:rPr>
          <w:b w:val="0"/>
          <w:color w:val="000000" w:themeColor="text1"/>
          <w:sz w:val="20"/>
          <w:lang w:val="en-NZ"/>
        </w:rPr>
        <w:t xml:space="preserve"> 2015 to </w:t>
      </w:r>
      <w:r w:rsidR="00AA2D1B">
        <w:rPr>
          <w:b w:val="0"/>
          <w:color w:val="000000" w:themeColor="text1"/>
          <w:sz w:val="20"/>
          <w:lang w:val="en-NZ"/>
        </w:rPr>
        <w:t>June</w:t>
      </w:r>
      <w:r>
        <w:rPr>
          <w:b w:val="0"/>
          <w:color w:val="000000" w:themeColor="text1"/>
          <w:sz w:val="20"/>
          <w:lang w:val="en-NZ"/>
        </w:rPr>
        <w:t xml:space="preserve"> 2017</w:t>
      </w:r>
      <w:r w:rsidR="00CF6AE9">
        <w:rPr>
          <w:b w:val="0"/>
          <w:color w:val="000000" w:themeColor="text1"/>
          <w:sz w:val="20"/>
          <w:lang w:val="en-NZ"/>
        </w:rPr>
        <w:br/>
      </w:r>
      <w:r w:rsidR="00A43EE7" w:rsidRPr="00A43EE7">
        <w:rPr>
          <w:noProof/>
          <w:lang w:val="en-NZ"/>
        </w:rPr>
        <w:drawing>
          <wp:inline distT="0" distB="0" distL="0" distR="0">
            <wp:extent cx="5686425" cy="2733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color w:val="000000" w:themeColor="text1"/>
          <w:sz w:val="20"/>
          <w:lang w:val="en-NZ"/>
        </w:rPr>
        <w:br/>
      </w:r>
    </w:p>
    <w:p w:rsidR="001975A0" w:rsidRDefault="001975A0" w:rsidP="001975A0">
      <w:pPr>
        <w:spacing w:line="24" w:lineRule="atLeast"/>
        <w:rPr>
          <w:color w:val="000000" w:themeColor="text1"/>
        </w:rPr>
      </w:pPr>
    </w:p>
    <w:p w:rsidR="001975A0" w:rsidRPr="00C52575" w:rsidRDefault="001975A0" w:rsidP="001975A0">
      <w:pPr>
        <w:spacing w:line="24" w:lineRule="atLeast"/>
      </w:pPr>
      <w:r w:rsidRPr="00C52575">
        <w:rPr>
          <w:color w:val="000000" w:themeColor="text1"/>
        </w:rPr>
        <w:t xml:space="preserve">Between </w:t>
      </w:r>
      <w:r w:rsidR="00C52575" w:rsidRPr="00C52575">
        <w:rPr>
          <w:color w:val="000000" w:themeColor="text1"/>
        </w:rPr>
        <w:t>June</w:t>
      </w:r>
      <w:r w:rsidRPr="00C52575">
        <w:rPr>
          <w:color w:val="000000" w:themeColor="text1"/>
        </w:rPr>
        <w:t xml:space="preserve"> 2015 and </w:t>
      </w:r>
      <w:r w:rsidR="00C52575" w:rsidRPr="00C52575">
        <w:rPr>
          <w:color w:val="000000" w:themeColor="text1"/>
        </w:rPr>
        <w:t>June</w:t>
      </w:r>
      <w:r w:rsidRPr="00C52575">
        <w:rPr>
          <w:color w:val="000000" w:themeColor="text1"/>
        </w:rPr>
        <w:t xml:space="preserve"> 2017, the main reason for sanctions due to the failure to fulfill work obligations being imposed was the </w:t>
      </w:r>
      <w:r w:rsidRPr="00C52575">
        <w:t>failure of clients to attend arranged appointment</w:t>
      </w:r>
      <w:r w:rsidR="00C52575" w:rsidRPr="00C52575">
        <w:t>(</w:t>
      </w:r>
      <w:r w:rsidRPr="00C52575">
        <w:t>s</w:t>
      </w:r>
      <w:r w:rsidR="00C52575" w:rsidRPr="00C52575">
        <w:t>)</w:t>
      </w:r>
      <w:r w:rsidRPr="00C52575">
        <w:t xml:space="preserve"> (</w:t>
      </w:r>
      <w:r w:rsidR="00C52575" w:rsidRPr="00C52575">
        <w:t xml:space="preserve">9,942 </w:t>
      </w:r>
      <w:r w:rsidRPr="00C52575">
        <w:t xml:space="preserve">or </w:t>
      </w:r>
      <w:r w:rsidR="00C52575" w:rsidRPr="00C52575">
        <w:t>63.7</w:t>
      </w:r>
      <w:r w:rsidRPr="00C52575">
        <w:t xml:space="preserve"> percent of reasons in </w:t>
      </w:r>
      <w:r w:rsidR="00C52575" w:rsidRPr="00C52575">
        <w:t>June</w:t>
      </w:r>
      <w:r w:rsidRPr="00C52575">
        <w:t xml:space="preserve"> 2017 quarter)</w:t>
      </w:r>
      <w:r w:rsidR="00FA16F8">
        <w:t xml:space="preserve"> </w:t>
      </w:r>
      <w:bookmarkStart w:id="0" w:name="_GoBack"/>
      <w:bookmarkEnd w:id="0"/>
      <w:r w:rsidR="00023043" w:rsidRPr="00C52575">
        <w:t>(Figure 2)</w:t>
      </w:r>
      <w:r w:rsidRPr="00C52575">
        <w:t xml:space="preserve">. </w:t>
      </w:r>
    </w:p>
    <w:p w:rsidR="001975A0" w:rsidRPr="00B00300" w:rsidRDefault="001975A0" w:rsidP="001975A0">
      <w:pPr>
        <w:spacing w:line="24" w:lineRule="atLeast"/>
        <w:rPr>
          <w:color w:val="000000" w:themeColor="text1"/>
        </w:rPr>
      </w:pPr>
      <w:r w:rsidRPr="00C52575">
        <w:t xml:space="preserve">Not everyone who fails their obligations gets sanctioned; if </w:t>
      </w:r>
      <w:r w:rsidRPr="00C52575">
        <w:rPr>
          <w:color w:val="000000" w:themeColor="text1"/>
        </w:rPr>
        <w:t>clients recomply or provide additional information, their failure to fulfill their obligations can be withdrawn.</w:t>
      </w:r>
    </w:p>
    <w:p w:rsidR="001975A0" w:rsidRDefault="001975A0" w:rsidP="001975A0">
      <w:pPr>
        <w:pStyle w:val="TableHeadings"/>
        <w:rPr>
          <w:b w:val="0"/>
          <w:color w:val="000000" w:themeColor="text1"/>
          <w:sz w:val="20"/>
          <w:lang w:val="en-NZ"/>
        </w:rPr>
      </w:pPr>
      <w:r w:rsidRPr="00B00300">
        <w:rPr>
          <w:b w:val="0"/>
          <w:color w:val="000000" w:themeColor="text1"/>
          <w:sz w:val="20"/>
          <w:lang w:val="en-NZ"/>
        </w:rPr>
        <w:t xml:space="preserve">Figure 2: Quarterly benefit sanctions reasons, </w:t>
      </w:r>
      <w:r w:rsidR="00E16105">
        <w:rPr>
          <w:b w:val="0"/>
          <w:color w:val="000000" w:themeColor="text1"/>
          <w:sz w:val="20"/>
          <w:lang w:val="en-NZ"/>
        </w:rPr>
        <w:t>June</w:t>
      </w:r>
      <w:r>
        <w:rPr>
          <w:b w:val="0"/>
          <w:color w:val="000000" w:themeColor="text1"/>
          <w:sz w:val="20"/>
          <w:lang w:val="en-NZ"/>
        </w:rPr>
        <w:t xml:space="preserve"> 2015 to </w:t>
      </w:r>
      <w:r w:rsidR="00E16105">
        <w:rPr>
          <w:b w:val="0"/>
          <w:color w:val="000000" w:themeColor="text1"/>
          <w:sz w:val="20"/>
          <w:lang w:val="en-NZ"/>
        </w:rPr>
        <w:t>June</w:t>
      </w:r>
      <w:r>
        <w:rPr>
          <w:b w:val="0"/>
          <w:color w:val="000000" w:themeColor="text1"/>
          <w:sz w:val="20"/>
          <w:lang w:val="en-NZ"/>
        </w:rPr>
        <w:t xml:space="preserve"> 2017</w:t>
      </w:r>
    </w:p>
    <w:p w:rsidR="001975A0" w:rsidRDefault="00A43EE7" w:rsidP="001975A0">
      <w:pPr>
        <w:pStyle w:val="TableHeadings"/>
        <w:rPr>
          <w:b w:val="0"/>
          <w:color w:val="000000" w:themeColor="text1"/>
          <w:sz w:val="20"/>
          <w:lang w:val="en-NZ"/>
        </w:rPr>
      </w:pPr>
      <w:r w:rsidRPr="00A43EE7">
        <w:rPr>
          <w:noProof/>
          <w:lang w:val="en-NZ"/>
        </w:rPr>
        <w:drawing>
          <wp:inline distT="0" distB="0" distL="0" distR="0" wp14:anchorId="2013D2A5" wp14:editId="3384BC37">
            <wp:extent cx="5731510" cy="331575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1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A0" w:rsidRDefault="001975A0" w:rsidP="001975A0">
      <w:pPr>
        <w:pStyle w:val="TableHeadings"/>
        <w:rPr>
          <w:rFonts w:eastAsia="Calibri" w:cs="Arial"/>
          <w:b w:val="0"/>
          <w:bCs w:val="0"/>
          <w:iCs/>
          <w:color w:val="000000"/>
          <w:sz w:val="20"/>
        </w:rPr>
      </w:pPr>
    </w:p>
    <w:p w:rsidR="001975A0" w:rsidRPr="001F71B9" w:rsidRDefault="001975A0" w:rsidP="001975A0">
      <w:pPr>
        <w:pStyle w:val="Heading2"/>
      </w:pPr>
      <w:r w:rsidRPr="001975A0">
        <w:rPr>
          <w:b w:val="0"/>
          <w:noProof/>
          <w:color w:val="000000" w:themeColor="text1"/>
          <w:sz w:val="17"/>
          <w:szCs w:val="17"/>
        </w:rPr>
        <w:drawing>
          <wp:anchor distT="0" distB="0" distL="114300" distR="114300" simplePos="0" relativeHeight="251660800" behindDoc="0" locked="0" layoutInCell="1" allowOverlap="1" wp14:anchorId="7399F19B" wp14:editId="73D6C975">
            <wp:simplePos x="0" y="0"/>
            <wp:positionH relativeFrom="column">
              <wp:posOffset>-116205</wp:posOffset>
            </wp:positionH>
            <wp:positionV relativeFrom="paragraph">
              <wp:posOffset>80645</wp:posOffset>
            </wp:positionV>
            <wp:extent cx="539750" cy="3835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2B6">
        <w:t xml:space="preserve">         Annual comparison</w:t>
      </w:r>
      <w:r>
        <w:t xml:space="preserve"> – all sanctions </w:t>
      </w:r>
      <w:r w:rsidR="006D62B6">
        <w:t>(flow data)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268"/>
      </w:tblGrid>
      <w:tr w:rsidR="0035161F" w:rsidTr="00EB50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1F" w:rsidRPr="00945305" w:rsidRDefault="0035161F" w:rsidP="001975A0">
            <w:pPr>
              <w:spacing w:line="24" w:lineRule="atLeast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1F" w:rsidRPr="00945305" w:rsidRDefault="0035161F" w:rsidP="00EB13AB">
            <w:pPr>
              <w:spacing w:line="24" w:lineRule="atLeast"/>
              <w:jc w:val="center"/>
              <w:rPr>
                <w:b/>
                <w:sz w:val="16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Jun-16</w:t>
            </w:r>
            <w:r w:rsidRPr="00B00300">
              <w:rPr>
                <w:b/>
                <w:color w:val="000000" w:themeColor="text1"/>
                <w:sz w:val="17"/>
                <w:szCs w:val="17"/>
              </w:rPr>
              <w:t xml:space="preserve"> quarter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1F" w:rsidRPr="00945305" w:rsidRDefault="0035161F" w:rsidP="00555F5F">
            <w:pPr>
              <w:spacing w:line="24" w:lineRule="atLeast"/>
              <w:jc w:val="center"/>
              <w:rPr>
                <w:b/>
                <w:sz w:val="16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Jun-17</w:t>
            </w:r>
            <w:r w:rsidRPr="00B00300">
              <w:rPr>
                <w:b/>
                <w:color w:val="000000" w:themeColor="text1"/>
                <w:sz w:val="17"/>
                <w:szCs w:val="17"/>
              </w:rPr>
              <w:t xml:space="preserve"> quarter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1F" w:rsidRPr="00945305" w:rsidRDefault="0035161F" w:rsidP="00555F5F">
            <w:pPr>
              <w:spacing w:line="24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Annual change </w:t>
            </w:r>
          </w:p>
        </w:tc>
      </w:tr>
      <w:tr w:rsidR="0035161F" w:rsidTr="00EB507A"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35161F" w:rsidRDefault="0035161F" w:rsidP="00555F5F">
            <w:pPr>
              <w:spacing w:line="24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Total number of sanctions</w:t>
            </w:r>
          </w:p>
          <w:p w:rsidR="0035161F" w:rsidRPr="001975A0" w:rsidRDefault="0035161F" w:rsidP="00555F5F">
            <w:pPr>
              <w:spacing w:line="24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161F" w:rsidRPr="00D053B8" w:rsidRDefault="0035161F" w:rsidP="00EB13AB">
            <w:pPr>
              <w:spacing w:line="24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14,438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5161F" w:rsidRPr="00CF6AE9" w:rsidRDefault="0035161F" w:rsidP="00CF6AE9">
            <w:pPr>
              <w:spacing w:line="24" w:lineRule="atLeast"/>
              <w:jc w:val="center"/>
              <w:rPr>
                <w:sz w:val="18"/>
                <w:szCs w:val="18"/>
              </w:rPr>
            </w:pPr>
            <w:r w:rsidRPr="00CF6AE9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,</w:t>
            </w:r>
            <w:r w:rsidRPr="00CF6AE9">
              <w:rPr>
                <w:sz w:val="18"/>
                <w:szCs w:val="18"/>
              </w:rPr>
              <w:t>619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161F" w:rsidRPr="00C52575" w:rsidRDefault="0035161F" w:rsidP="00555F5F">
            <w:pPr>
              <w:spacing w:line="24" w:lineRule="atLeast"/>
              <w:rPr>
                <w:sz w:val="18"/>
                <w:szCs w:val="18"/>
              </w:rPr>
            </w:pPr>
            <w:r w:rsidRPr="00C52575">
              <w:rPr>
                <w:sz w:val="18"/>
                <w:szCs w:val="18"/>
              </w:rPr>
              <w:t>8.2 percent increase</w:t>
            </w:r>
          </w:p>
        </w:tc>
      </w:tr>
      <w:tr w:rsidR="0035161F" w:rsidTr="00EB507A"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35161F" w:rsidRPr="001975A0" w:rsidRDefault="0035161F" w:rsidP="00555F5F">
            <w:pPr>
              <w:spacing w:line="24" w:lineRule="atLeast"/>
              <w:rPr>
                <w:sz w:val="18"/>
                <w:szCs w:val="18"/>
              </w:rPr>
            </w:pPr>
            <w:r w:rsidRPr="001975A0">
              <w:rPr>
                <w:color w:val="000000" w:themeColor="text1"/>
                <w:sz w:val="18"/>
                <w:szCs w:val="18"/>
              </w:rPr>
              <w:t>Number of sanctions imposed on Jobseeker Support recipients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161F" w:rsidRPr="00D053B8" w:rsidRDefault="0035161F" w:rsidP="00EB13AB">
            <w:pPr>
              <w:spacing w:line="24" w:lineRule="atLeast"/>
              <w:jc w:val="center"/>
              <w:rPr>
                <w:sz w:val="18"/>
                <w:szCs w:val="18"/>
              </w:rPr>
            </w:pPr>
            <w:r w:rsidRPr="00D053B8">
              <w:rPr>
                <w:sz w:val="18"/>
                <w:szCs w:val="18"/>
              </w:rPr>
              <w:t>10,772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5161F" w:rsidRPr="00CF6AE9" w:rsidRDefault="0035161F" w:rsidP="00CF6AE9">
            <w:pPr>
              <w:spacing w:line="24" w:lineRule="atLeast"/>
              <w:jc w:val="center"/>
              <w:rPr>
                <w:sz w:val="18"/>
                <w:szCs w:val="18"/>
              </w:rPr>
            </w:pPr>
            <w:r w:rsidRPr="00CF6AE9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,</w:t>
            </w:r>
            <w:r w:rsidRPr="00CF6AE9">
              <w:rPr>
                <w:sz w:val="18"/>
                <w:szCs w:val="18"/>
              </w:rPr>
              <w:t>076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161F" w:rsidRPr="00C52575" w:rsidRDefault="0035161F" w:rsidP="00555F5F">
            <w:pPr>
              <w:spacing w:line="24" w:lineRule="atLeast"/>
              <w:rPr>
                <w:sz w:val="18"/>
                <w:szCs w:val="18"/>
              </w:rPr>
            </w:pPr>
            <w:r w:rsidRPr="00C52575">
              <w:rPr>
                <w:sz w:val="18"/>
                <w:szCs w:val="18"/>
              </w:rPr>
              <w:t>12.1 percent increase</w:t>
            </w:r>
          </w:p>
        </w:tc>
      </w:tr>
      <w:tr w:rsidR="0035161F" w:rsidTr="00EB507A">
        <w:tc>
          <w:tcPr>
            <w:tcW w:w="2376" w:type="dxa"/>
            <w:shd w:val="clear" w:color="auto" w:fill="auto"/>
          </w:tcPr>
          <w:p w:rsidR="0035161F" w:rsidRPr="001975A0" w:rsidRDefault="0035161F" w:rsidP="00555F5F">
            <w:pPr>
              <w:spacing w:line="24" w:lineRule="atLeast"/>
              <w:rPr>
                <w:sz w:val="18"/>
                <w:szCs w:val="18"/>
              </w:rPr>
            </w:pPr>
            <w:r w:rsidRPr="001975A0">
              <w:rPr>
                <w:color w:val="000000" w:themeColor="text1"/>
                <w:sz w:val="18"/>
                <w:szCs w:val="18"/>
              </w:rPr>
              <w:t>Number of sanctions imposed on Sole Parent Support recipients</w:t>
            </w:r>
          </w:p>
        </w:tc>
        <w:tc>
          <w:tcPr>
            <w:tcW w:w="2268" w:type="dxa"/>
          </w:tcPr>
          <w:p w:rsidR="0035161F" w:rsidRPr="00D053B8" w:rsidRDefault="0035161F" w:rsidP="00EB13AB">
            <w:pPr>
              <w:spacing w:line="24" w:lineRule="atLeast"/>
              <w:jc w:val="center"/>
              <w:rPr>
                <w:sz w:val="18"/>
                <w:szCs w:val="18"/>
              </w:rPr>
            </w:pPr>
            <w:r w:rsidRPr="00D053B8">
              <w:rPr>
                <w:sz w:val="18"/>
                <w:szCs w:val="18"/>
              </w:rPr>
              <w:t>3,579</w:t>
            </w:r>
          </w:p>
        </w:tc>
        <w:tc>
          <w:tcPr>
            <w:tcW w:w="2268" w:type="dxa"/>
            <w:shd w:val="clear" w:color="auto" w:fill="auto"/>
          </w:tcPr>
          <w:p w:rsidR="0035161F" w:rsidRPr="00CF6AE9" w:rsidRDefault="0035161F" w:rsidP="00CF6AE9">
            <w:pPr>
              <w:spacing w:line="24" w:lineRule="atLeast"/>
              <w:jc w:val="center"/>
              <w:rPr>
                <w:sz w:val="18"/>
                <w:szCs w:val="18"/>
              </w:rPr>
            </w:pPr>
            <w:r w:rsidRPr="00CF6AE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CF6AE9">
              <w:rPr>
                <w:sz w:val="18"/>
                <w:szCs w:val="18"/>
              </w:rPr>
              <w:t>414</w:t>
            </w:r>
          </w:p>
        </w:tc>
        <w:tc>
          <w:tcPr>
            <w:tcW w:w="2268" w:type="dxa"/>
          </w:tcPr>
          <w:p w:rsidR="0035161F" w:rsidRPr="00C52575" w:rsidRDefault="0035161F" w:rsidP="00555F5F">
            <w:pPr>
              <w:spacing w:line="24" w:lineRule="atLeast"/>
              <w:rPr>
                <w:sz w:val="18"/>
                <w:szCs w:val="18"/>
              </w:rPr>
            </w:pPr>
            <w:r w:rsidRPr="00C52575">
              <w:rPr>
                <w:sz w:val="18"/>
                <w:szCs w:val="18"/>
              </w:rPr>
              <w:t>4.6 percent decrease</w:t>
            </w:r>
          </w:p>
        </w:tc>
      </w:tr>
      <w:tr w:rsidR="0035161F" w:rsidTr="00EB507A">
        <w:tc>
          <w:tcPr>
            <w:tcW w:w="2376" w:type="dxa"/>
            <w:shd w:val="clear" w:color="auto" w:fill="auto"/>
          </w:tcPr>
          <w:p w:rsidR="0035161F" w:rsidRDefault="0035161F" w:rsidP="00555F5F">
            <w:pPr>
              <w:spacing w:line="24" w:lineRule="atLeast"/>
              <w:rPr>
                <w:sz w:val="18"/>
                <w:szCs w:val="18"/>
              </w:rPr>
            </w:pPr>
            <w:r w:rsidRPr="001975A0">
              <w:rPr>
                <w:sz w:val="18"/>
                <w:szCs w:val="18"/>
              </w:rPr>
              <w:t>Number of graduated sanctions</w:t>
            </w:r>
          </w:p>
          <w:p w:rsidR="0035161F" w:rsidRPr="001975A0" w:rsidRDefault="0035161F" w:rsidP="00555F5F">
            <w:pPr>
              <w:spacing w:line="24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5161F" w:rsidRPr="00D053B8" w:rsidRDefault="0035161F" w:rsidP="00EB13AB">
            <w:pPr>
              <w:spacing w:line="24" w:lineRule="atLeast"/>
              <w:jc w:val="center"/>
              <w:rPr>
                <w:sz w:val="18"/>
                <w:szCs w:val="18"/>
              </w:rPr>
            </w:pPr>
            <w:r w:rsidRPr="00D053B8">
              <w:rPr>
                <w:sz w:val="18"/>
                <w:szCs w:val="18"/>
              </w:rPr>
              <w:t>11,728</w:t>
            </w:r>
          </w:p>
        </w:tc>
        <w:tc>
          <w:tcPr>
            <w:tcW w:w="2268" w:type="dxa"/>
            <w:shd w:val="clear" w:color="auto" w:fill="auto"/>
          </w:tcPr>
          <w:p w:rsidR="0035161F" w:rsidRPr="00CF6AE9" w:rsidRDefault="0035161F" w:rsidP="00CF6AE9">
            <w:pPr>
              <w:spacing w:line="24" w:lineRule="atLeast"/>
              <w:jc w:val="center"/>
              <w:rPr>
                <w:sz w:val="18"/>
                <w:szCs w:val="18"/>
              </w:rPr>
            </w:pPr>
            <w:r w:rsidRPr="00CF6AE9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,</w:t>
            </w:r>
            <w:r w:rsidRPr="00CF6AE9">
              <w:rPr>
                <w:sz w:val="18"/>
                <w:szCs w:val="18"/>
              </w:rPr>
              <w:t>865</w:t>
            </w:r>
          </w:p>
        </w:tc>
        <w:tc>
          <w:tcPr>
            <w:tcW w:w="2268" w:type="dxa"/>
          </w:tcPr>
          <w:p w:rsidR="0035161F" w:rsidRPr="00C52575" w:rsidRDefault="0035161F" w:rsidP="00555F5F">
            <w:pPr>
              <w:spacing w:line="24" w:lineRule="atLeast"/>
              <w:rPr>
                <w:sz w:val="18"/>
                <w:szCs w:val="18"/>
              </w:rPr>
            </w:pPr>
            <w:r w:rsidRPr="00C52575">
              <w:rPr>
                <w:sz w:val="18"/>
                <w:szCs w:val="18"/>
              </w:rPr>
              <w:t>9.7 percent increase</w:t>
            </w:r>
          </w:p>
        </w:tc>
      </w:tr>
      <w:tr w:rsidR="0035161F" w:rsidTr="00EB507A">
        <w:tc>
          <w:tcPr>
            <w:tcW w:w="2376" w:type="dxa"/>
            <w:shd w:val="clear" w:color="auto" w:fill="auto"/>
          </w:tcPr>
          <w:p w:rsidR="0035161F" w:rsidRPr="001975A0" w:rsidRDefault="0035161F" w:rsidP="00555F5F">
            <w:pPr>
              <w:spacing w:line="24" w:lineRule="atLeast"/>
              <w:rPr>
                <w:sz w:val="18"/>
                <w:szCs w:val="18"/>
              </w:rPr>
            </w:pPr>
            <w:r w:rsidRPr="001975A0">
              <w:rPr>
                <w:sz w:val="18"/>
                <w:szCs w:val="18"/>
              </w:rPr>
              <w:t>Number of suspended/cancelled sanctions</w:t>
            </w:r>
          </w:p>
        </w:tc>
        <w:tc>
          <w:tcPr>
            <w:tcW w:w="2268" w:type="dxa"/>
          </w:tcPr>
          <w:p w:rsidR="0035161F" w:rsidRPr="00D053B8" w:rsidRDefault="0035161F" w:rsidP="00EB13AB">
            <w:pPr>
              <w:spacing w:line="24" w:lineRule="atLeast"/>
              <w:jc w:val="center"/>
              <w:rPr>
                <w:sz w:val="18"/>
                <w:szCs w:val="18"/>
              </w:rPr>
            </w:pPr>
            <w:r w:rsidRPr="00D053B8">
              <w:rPr>
                <w:sz w:val="18"/>
                <w:szCs w:val="18"/>
              </w:rPr>
              <w:t>2,710</w:t>
            </w:r>
          </w:p>
        </w:tc>
        <w:tc>
          <w:tcPr>
            <w:tcW w:w="2268" w:type="dxa"/>
            <w:shd w:val="clear" w:color="auto" w:fill="auto"/>
          </w:tcPr>
          <w:p w:rsidR="0035161F" w:rsidRPr="00CF6AE9" w:rsidRDefault="0035161F" w:rsidP="00CF6AE9">
            <w:pPr>
              <w:spacing w:line="24" w:lineRule="atLeast"/>
              <w:jc w:val="center"/>
              <w:rPr>
                <w:sz w:val="18"/>
                <w:szCs w:val="18"/>
              </w:rPr>
            </w:pPr>
            <w:r w:rsidRPr="00CF6AE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Pr="00CF6AE9">
              <w:rPr>
                <w:sz w:val="18"/>
                <w:szCs w:val="18"/>
              </w:rPr>
              <w:t>754</w:t>
            </w:r>
          </w:p>
        </w:tc>
        <w:tc>
          <w:tcPr>
            <w:tcW w:w="2268" w:type="dxa"/>
          </w:tcPr>
          <w:p w:rsidR="0035161F" w:rsidRPr="00C52575" w:rsidRDefault="0035161F" w:rsidP="00555F5F">
            <w:pPr>
              <w:spacing w:line="24" w:lineRule="atLeast"/>
              <w:rPr>
                <w:sz w:val="18"/>
                <w:szCs w:val="18"/>
              </w:rPr>
            </w:pPr>
            <w:r w:rsidRPr="00C52575">
              <w:rPr>
                <w:sz w:val="18"/>
                <w:szCs w:val="18"/>
              </w:rPr>
              <w:t>1.6 percent increase</w:t>
            </w:r>
          </w:p>
        </w:tc>
      </w:tr>
    </w:tbl>
    <w:p w:rsidR="001975A0" w:rsidRDefault="001975A0">
      <w:pPr>
        <w:spacing w:after="0" w:line="240" w:lineRule="auto"/>
        <w:rPr>
          <w:rFonts w:eastAsia="Times New Roman" w:cs="Times New Roman"/>
          <w:b/>
          <w:bCs/>
          <w:iCs/>
          <w:color w:val="000000" w:themeColor="text1"/>
          <w:sz w:val="24"/>
          <w:szCs w:val="28"/>
          <w:lang w:val="en-NZ"/>
        </w:rPr>
      </w:pPr>
      <w:r>
        <w:rPr>
          <w:color w:val="000000" w:themeColor="text1"/>
        </w:rPr>
        <w:br w:type="page"/>
      </w:r>
    </w:p>
    <w:p w:rsidR="001975A0" w:rsidRPr="001F71B9" w:rsidRDefault="001975A0" w:rsidP="001975A0">
      <w:pPr>
        <w:pStyle w:val="Heading2"/>
      </w:pPr>
      <w:r w:rsidRPr="001975A0">
        <w:rPr>
          <w:b w:val="0"/>
          <w:noProof/>
          <w:color w:val="000000" w:themeColor="text1"/>
          <w:sz w:val="17"/>
          <w:szCs w:val="17"/>
        </w:rPr>
        <w:lastRenderedPageBreak/>
        <w:drawing>
          <wp:anchor distT="0" distB="0" distL="114300" distR="114300" simplePos="0" relativeHeight="251662848" behindDoc="0" locked="0" layoutInCell="1" allowOverlap="1" wp14:anchorId="681CE245" wp14:editId="3721625C">
            <wp:simplePos x="0" y="0"/>
            <wp:positionH relativeFrom="column">
              <wp:posOffset>-173355</wp:posOffset>
            </wp:positionH>
            <wp:positionV relativeFrom="paragraph">
              <wp:posOffset>-71755</wp:posOffset>
            </wp:positionV>
            <wp:extent cx="539750" cy="3835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2B6">
        <w:t xml:space="preserve">         Annual comparison</w:t>
      </w:r>
      <w:r>
        <w:t xml:space="preserve"> – graduated sanctions </w:t>
      </w:r>
      <w:r w:rsidR="006D62B6">
        <w:t xml:space="preserve">(point-in-time </w:t>
      </w:r>
      <w:r w:rsidR="006D62B6">
        <w:br/>
        <w:t xml:space="preserve">         data)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268"/>
      </w:tblGrid>
      <w:tr w:rsidR="0035161F" w:rsidTr="00EB50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1F" w:rsidRPr="00945305" w:rsidRDefault="0035161F" w:rsidP="00555F5F">
            <w:pPr>
              <w:spacing w:line="24" w:lineRule="atLeast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1F" w:rsidRPr="00945305" w:rsidRDefault="0035161F" w:rsidP="00B839FC">
            <w:pPr>
              <w:spacing w:line="24" w:lineRule="atLeast"/>
              <w:jc w:val="center"/>
              <w:rPr>
                <w:b/>
                <w:sz w:val="16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As at 30 Jun-16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1F" w:rsidRPr="00945305" w:rsidRDefault="0035161F" w:rsidP="00556688">
            <w:pPr>
              <w:spacing w:line="24" w:lineRule="atLeast"/>
              <w:jc w:val="center"/>
              <w:rPr>
                <w:b/>
                <w:sz w:val="16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As at 30 Jun-17</w:t>
            </w:r>
            <w:r w:rsidRPr="00B00300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1F" w:rsidRPr="00945305" w:rsidRDefault="0035161F" w:rsidP="00555F5F">
            <w:pPr>
              <w:spacing w:line="24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Annual change </w:t>
            </w:r>
          </w:p>
        </w:tc>
      </w:tr>
      <w:tr w:rsidR="0035161F" w:rsidTr="00EB507A"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35161F" w:rsidRPr="001975A0" w:rsidRDefault="0035161F" w:rsidP="00555F5F">
            <w:pPr>
              <w:spacing w:line="2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1975A0">
              <w:rPr>
                <w:sz w:val="18"/>
                <w:szCs w:val="18"/>
              </w:rPr>
              <w:t>umber of work-tested clients with graduated sanctions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161F" w:rsidRPr="00596167" w:rsidRDefault="0035161F" w:rsidP="00B839FC">
            <w:pPr>
              <w:jc w:val="center"/>
            </w:pPr>
            <w:r w:rsidRPr="00D053B8">
              <w:t>2,212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5161F" w:rsidRPr="00F1764C" w:rsidRDefault="0035161F" w:rsidP="00C52575">
            <w:pPr>
              <w:jc w:val="center"/>
            </w:pPr>
            <w:r w:rsidRPr="00F1764C">
              <w:t>2,160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161F" w:rsidRPr="00C52575" w:rsidRDefault="0035161F" w:rsidP="00555F5F">
            <w:pPr>
              <w:spacing w:line="24" w:lineRule="atLeast"/>
              <w:rPr>
                <w:sz w:val="18"/>
                <w:szCs w:val="18"/>
              </w:rPr>
            </w:pPr>
            <w:r w:rsidRPr="00C52575">
              <w:rPr>
                <w:sz w:val="18"/>
                <w:szCs w:val="18"/>
              </w:rPr>
              <w:t>2.4 percent decrease</w:t>
            </w:r>
          </w:p>
        </w:tc>
      </w:tr>
      <w:tr w:rsidR="0035161F" w:rsidTr="00EB507A">
        <w:tc>
          <w:tcPr>
            <w:tcW w:w="2376" w:type="dxa"/>
            <w:shd w:val="clear" w:color="auto" w:fill="auto"/>
          </w:tcPr>
          <w:p w:rsidR="0035161F" w:rsidRPr="001975A0" w:rsidRDefault="0035161F" w:rsidP="00555F5F">
            <w:pPr>
              <w:spacing w:line="2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1975A0">
              <w:rPr>
                <w:sz w:val="18"/>
                <w:szCs w:val="18"/>
              </w:rPr>
              <w:t>umber of clients with work obligations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268" w:type="dxa"/>
          </w:tcPr>
          <w:p w:rsidR="0035161F" w:rsidRPr="00596167" w:rsidRDefault="0035161F" w:rsidP="00B839FC">
            <w:pPr>
              <w:jc w:val="center"/>
            </w:pPr>
            <w:r w:rsidRPr="00D053B8">
              <w:t>201,220</w:t>
            </w:r>
          </w:p>
        </w:tc>
        <w:tc>
          <w:tcPr>
            <w:tcW w:w="2268" w:type="dxa"/>
            <w:shd w:val="clear" w:color="auto" w:fill="auto"/>
          </w:tcPr>
          <w:p w:rsidR="0035161F" w:rsidRPr="00F1764C" w:rsidRDefault="0035161F" w:rsidP="00C52575">
            <w:pPr>
              <w:jc w:val="center"/>
            </w:pPr>
            <w:r w:rsidRPr="00F1764C">
              <w:t>196,942</w:t>
            </w:r>
          </w:p>
        </w:tc>
        <w:tc>
          <w:tcPr>
            <w:tcW w:w="2268" w:type="dxa"/>
          </w:tcPr>
          <w:p w:rsidR="0035161F" w:rsidRPr="00C52575" w:rsidRDefault="0035161F" w:rsidP="00555F5F">
            <w:pPr>
              <w:spacing w:line="24" w:lineRule="atLeast"/>
              <w:rPr>
                <w:sz w:val="18"/>
                <w:szCs w:val="18"/>
              </w:rPr>
            </w:pPr>
            <w:r w:rsidRPr="00C52575">
              <w:rPr>
                <w:sz w:val="18"/>
                <w:szCs w:val="18"/>
              </w:rPr>
              <w:t>2.1 percent decrease</w:t>
            </w:r>
          </w:p>
        </w:tc>
      </w:tr>
      <w:tr w:rsidR="0035161F" w:rsidTr="00EB507A">
        <w:tc>
          <w:tcPr>
            <w:tcW w:w="2376" w:type="dxa"/>
            <w:shd w:val="clear" w:color="auto" w:fill="auto"/>
          </w:tcPr>
          <w:p w:rsidR="0035161F" w:rsidRPr="001975A0" w:rsidRDefault="0035161F" w:rsidP="00555F5F">
            <w:pPr>
              <w:spacing w:line="24" w:lineRule="atLeast"/>
              <w:rPr>
                <w:sz w:val="18"/>
                <w:szCs w:val="18"/>
              </w:rPr>
            </w:pPr>
            <w:r w:rsidRPr="001975A0">
              <w:rPr>
                <w:sz w:val="18"/>
                <w:szCs w:val="18"/>
              </w:rPr>
              <w:t>Percentage of work-tested clients with graduated sanctions</w:t>
            </w:r>
          </w:p>
        </w:tc>
        <w:tc>
          <w:tcPr>
            <w:tcW w:w="2268" w:type="dxa"/>
          </w:tcPr>
          <w:p w:rsidR="0035161F" w:rsidRDefault="0035161F" w:rsidP="00B839FC">
            <w:pPr>
              <w:jc w:val="center"/>
            </w:pPr>
            <w:r w:rsidRPr="00D053B8">
              <w:t>1.1%</w:t>
            </w:r>
          </w:p>
        </w:tc>
        <w:tc>
          <w:tcPr>
            <w:tcW w:w="2268" w:type="dxa"/>
            <w:shd w:val="clear" w:color="auto" w:fill="auto"/>
          </w:tcPr>
          <w:p w:rsidR="0035161F" w:rsidRDefault="0035161F" w:rsidP="00C52575">
            <w:pPr>
              <w:jc w:val="center"/>
            </w:pPr>
            <w:r w:rsidRPr="00F1764C">
              <w:t>1.1%</w:t>
            </w:r>
          </w:p>
        </w:tc>
        <w:tc>
          <w:tcPr>
            <w:tcW w:w="2268" w:type="dxa"/>
          </w:tcPr>
          <w:p w:rsidR="0035161F" w:rsidRPr="00C52575" w:rsidRDefault="0035161F" w:rsidP="00C52575">
            <w:pPr>
              <w:spacing w:line="2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C52575">
              <w:rPr>
                <w:sz w:val="18"/>
                <w:szCs w:val="18"/>
              </w:rPr>
              <w:t xml:space="preserve"> percentage point </w:t>
            </w:r>
            <w:r>
              <w:rPr>
                <w:sz w:val="18"/>
                <w:szCs w:val="18"/>
              </w:rPr>
              <w:t>change</w:t>
            </w:r>
          </w:p>
        </w:tc>
      </w:tr>
    </w:tbl>
    <w:p w:rsidR="001975A0" w:rsidRPr="00023043" w:rsidRDefault="00023043" w:rsidP="00023043">
      <w:pPr>
        <w:pStyle w:val="Heading2"/>
        <w:spacing w:before="0" w:after="0"/>
        <w:rPr>
          <w:b w:val="0"/>
          <w:color w:val="000000" w:themeColor="text1"/>
        </w:rPr>
      </w:pPr>
      <w:r w:rsidRPr="00023043">
        <w:rPr>
          <w:b w:val="0"/>
          <w:color w:val="000000" w:themeColor="text1"/>
          <w:sz w:val="16"/>
          <w:szCs w:val="16"/>
        </w:rPr>
        <w:t>Note 1: A small number of non-work tested clients may be included in point-in-time data because they had a sanction on a previous benefit but have since transferred to a benefit which is not work-tested.</w:t>
      </w:r>
    </w:p>
    <w:sectPr w:rsidR="001975A0" w:rsidRPr="00023043" w:rsidSect="00BF435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40" w:bottom="709" w:left="1440" w:header="454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73" w:rsidRDefault="00F75973" w:rsidP="000D1EB4">
      <w:pPr>
        <w:spacing w:after="0" w:line="240" w:lineRule="auto"/>
      </w:pPr>
      <w:r>
        <w:separator/>
      </w:r>
    </w:p>
  </w:endnote>
  <w:endnote w:type="continuationSeparator" w:id="0">
    <w:p w:rsidR="00F75973" w:rsidRDefault="00F75973" w:rsidP="000D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39" w:rsidRDefault="00291A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52" w:rsidRPr="000722A4" w:rsidRDefault="00AA2D1B" w:rsidP="00075F52">
    <w:pPr>
      <w:pStyle w:val="Footer"/>
      <w:rPr>
        <w:b/>
        <w:sz w:val="16"/>
      </w:rPr>
    </w:pPr>
    <w:r>
      <w:rPr>
        <w:b/>
        <w:sz w:val="16"/>
      </w:rPr>
      <w:t>JUNE</w:t>
    </w:r>
    <w:r w:rsidR="00B754A4">
      <w:rPr>
        <w:b/>
        <w:sz w:val="16"/>
      </w:rPr>
      <w:t xml:space="preserve"> 2017</w:t>
    </w:r>
    <w:r w:rsidR="00BF4355">
      <w:rPr>
        <w:b/>
        <w:sz w:val="16"/>
      </w:rPr>
      <w:tab/>
    </w:r>
    <w:r w:rsidR="00BF4355">
      <w:rPr>
        <w:b/>
        <w:sz w:val="16"/>
      </w:rPr>
      <w:tab/>
    </w:r>
    <w:r w:rsidR="00890AD7">
      <w:rPr>
        <w:noProof/>
        <w:szCs w:val="22"/>
        <w:lang w:val="en-NZ"/>
      </w:rPr>
      <w:drawing>
        <wp:inline distT="0" distB="0" distL="0" distR="0" wp14:anchorId="5E01F956" wp14:editId="0CC746C4">
          <wp:extent cx="1543050" cy="180975"/>
          <wp:effectExtent l="0" t="0" r="0" b="9525"/>
          <wp:docPr id="1" name="Picture 1" descr="Cap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6B7" w:rsidRPr="00A616B7" w:rsidRDefault="00A616B7" w:rsidP="00A616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39" w:rsidRDefault="00291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73" w:rsidRDefault="00F75973" w:rsidP="000D1EB4">
      <w:pPr>
        <w:spacing w:after="0" w:line="240" w:lineRule="auto"/>
      </w:pPr>
      <w:r>
        <w:separator/>
      </w:r>
    </w:p>
  </w:footnote>
  <w:footnote w:type="continuationSeparator" w:id="0">
    <w:p w:rsidR="00F75973" w:rsidRDefault="00F75973" w:rsidP="000D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39" w:rsidRDefault="00291A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39" w:rsidRDefault="00291A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39" w:rsidRDefault="00291A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6BA0BB4"/>
    <w:lvl w:ilvl="0">
      <w:start w:val="1"/>
      <w:numFmt w:val="bullet"/>
      <w:pStyle w:val="alphali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50C80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C2453E"/>
    <w:multiLevelType w:val="multilevel"/>
    <w:tmpl w:val="09AEC216"/>
    <w:styleLink w:val="RecList"/>
    <w:lvl w:ilvl="0">
      <w:start w:val="1"/>
      <w:numFmt w:val="decimal"/>
      <w:pStyle w:val="RecNumber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3">
    <w:nsid w:val="0373032E"/>
    <w:multiLevelType w:val="multilevel"/>
    <w:tmpl w:val="6688D9D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E15DC"/>
    <w:multiLevelType w:val="hybridMultilevel"/>
    <w:tmpl w:val="EB34A7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661D0"/>
    <w:multiLevelType w:val="hybridMultilevel"/>
    <w:tmpl w:val="D16474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8">
    <w:nsid w:val="1E990D26"/>
    <w:multiLevelType w:val="hybridMultilevel"/>
    <w:tmpl w:val="16AE8BA2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C56127"/>
    <w:multiLevelType w:val="hybridMultilevel"/>
    <w:tmpl w:val="E690D6D6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A82B5B"/>
    <w:multiLevelType w:val="hybridMultilevel"/>
    <w:tmpl w:val="7FA8D99A"/>
    <w:lvl w:ilvl="0" w:tplc="7FFA14D8">
      <w:start w:val="1"/>
      <w:numFmt w:val="decimal"/>
      <w:lvlText w:val="A.%1"/>
      <w:lvlJc w:val="left"/>
      <w:pPr>
        <w:ind w:left="720" w:hanging="360"/>
      </w:pPr>
      <w:rPr>
        <w:rFonts w:hint="default"/>
        <w:sz w:val="20"/>
        <w:szCs w:val="21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71FF1"/>
    <w:multiLevelType w:val="hybridMultilevel"/>
    <w:tmpl w:val="12DE20E8"/>
    <w:lvl w:ilvl="0" w:tplc="9866E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romannumbering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3">
    <w:nsid w:val="310B2E2D"/>
    <w:multiLevelType w:val="hybridMultilevel"/>
    <w:tmpl w:val="694C0B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72F54"/>
    <w:multiLevelType w:val="hybridMultilevel"/>
    <w:tmpl w:val="96D275DC"/>
    <w:lvl w:ilvl="0" w:tplc="E9E497F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7E50705"/>
    <w:multiLevelType w:val="hybridMultilevel"/>
    <w:tmpl w:val="EDBE31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B34BF"/>
    <w:multiLevelType w:val="hybridMultilevel"/>
    <w:tmpl w:val="8CD447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9692B"/>
    <w:multiLevelType w:val="multilevel"/>
    <w:tmpl w:val="564AD9F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numberedpara"/>
      <w:lvlText w:val="%1.%2"/>
      <w:lvlJc w:val="left"/>
      <w:pPr>
        <w:tabs>
          <w:tab w:val="num" w:pos="1277"/>
        </w:tabs>
        <w:ind w:left="127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8">
    <w:nsid w:val="52AE2CBD"/>
    <w:multiLevelType w:val="hybridMultilevel"/>
    <w:tmpl w:val="0486DA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B346D"/>
    <w:multiLevelType w:val="hybridMultilevel"/>
    <w:tmpl w:val="453EED1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1077F1"/>
    <w:multiLevelType w:val="hybridMultilevel"/>
    <w:tmpl w:val="713EE7B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pStyle w:val="Bullet2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>
    <w:nsid w:val="5ADA139A"/>
    <w:multiLevelType w:val="hybridMultilevel"/>
    <w:tmpl w:val="7A7E99C4"/>
    <w:lvl w:ilvl="0" w:tplc="6F5212DE">
      <w:start w:val="1"/>
      <w:numFmt w:val="bullet"/>
      <w:pStyle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923659"/>
    <w:multiLevelType w:val="hybridMultilevel"/>
    <w:tmpl w:val="6DE2F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161F8"/>
    <w:multiLevelType w:val="multilevel"/>
    <w:tmpl w:val="BA446CE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  <w:sz w:val="21"/>
        <w:szCs w:val="21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5">
    <w:nsid w:val="64A56132"/>
    <w:multiLevelType w:val="hybridMultilevel"/>
    <w:tmpl w:val="B0DA42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5212D4"/>
    <w:multiLevelType w:val="hybridMultilevel"/>
    <w:tmpl w:val="9A9AA7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56C13"/>
    <w:multiLevelType w:val="hybridMultilevel"/>
    <w:tmpl w:val="31A020DE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C0137B"/>
    <w:multiLevelType w:val="hybridMultilevel"/>
    <w:tmpl w:val="FCEC9D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BE1742"/>
    <w:multiLevelType w:val="hybridMultilevel"/>
    <w:tmpl w:val="B88688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401E9"/>
    <w:multiLevelType w:val="hybridMultilevel"/>
    <w:tmpl w:val="E3B8A1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94A9C"/>
    <w:multiLevelType w:val="hybridMultilevel"/>
    <w:tmpl w:val="2BFA9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663F45"/>
    <w:multiLevelType w:val="hybridMultilevel"/>
    <w:tmpl w:val="DB3290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C848C5"/>
    <w:multiLevelType w:val="hybridMultilevel"/>
    <w:tmpl w:val="2B7213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C52E1"/>
    <w:multiLevelType w:val="hybridMultilevel"/>
    <w:tmpl w:val="C4B846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55332"/>
    <w:multiLevelType w:val="hybridMultilevel"/>
    <w:tmpl w:val="B0205FAA"/>
    <w:lvl w:ilvl="0" w:tplc="E9E497F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4B0A360">
      <w:start w:val="1"/>
      <w:numFmt w:val="bullet"/>
      <w:lvlText w:val="-"/>
      <w:lvlJc w:val="left"/>
      <w:pPr>
        <w:ind w:left="1647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22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33"/>
  </w:num>
  <w:num w:numId="12">
    <w:abstractNumId w:val="13"/>
  </w:num>
  <w:num w:numId="13">
    <w:abstractNumId w:val="34"/>
  </w:num>
  <w:num w:numId="14">
    <w:abstractNumId w:val="16"/>
  </w:num>
  <w:num w:numId="15">
    <w:abstractNumId w:val="32"/>
  </w:num>
  <w:num w:numId="16">
    <w:abstractNumId w:val="30"/>
  </w:num>
  <w:num w:numId="17">
    <w:abstractNumId w:val="27"/>
  </w:num>
  <w:num w:numId="18">
    <w:abstractNumId w:val="19"/>
  </w:num>
  <w:num w:numId="19">
    <w:abstractNumId w:val="20"/>
  </w:num>
  <w:num w:numId="20">
    <w:abstractNumId w:val="6"/>
  </w:num>
  <w:num w:numId="21">
    <w:abstractNumId w:val="18"/>
  </w:num>
  <w:num w:numId="22">
    <w:abstractNumId w:val="5"/>
  </w:num>
  <w:num w:numId="23">
    <w:abstractNumId w:val="8"/>
  </w:num>
  <w:num w:numId="24">
    <w:abstractNumId w:val="9"/>
  </w:num>
  <w:num w:numId="25">
    <w:abstractNumId w:val="29"/>
  </w:num>
  <w:num w:numId="26">
    <w:abstractNumId w:val="25"/>
  </w:num>
  <w:num w:numId="27">
    <w:abstractNumId w:val="26"/>
  </w:num>
  <w:num w:numId="28">
    <w:abstractNumId w:val="31"/>
  </w:num>
  <w:num w:numId="29">
    <w:abstractNumId w:val="23"/>
  </w:num>
  <w:num w:numId="30">
    <w:abstractNumId w:val="15"/>
  </w:num>
  <w:num w:numId="31">
    <w:abstractNumId w:val="28"/>
  </w:num>
  <w:num w:numId="32">
    <w:abstractNumId w:val="2"/>
  </w:num>
  <w:num w:numId="33">
    <w:abstractNumId w:val="2"/>
    <w:lvlOverride w:ilvl="0">
      <w:lvl w:ilvl="0">
        <w:start w:val="1"/>
        <w:numFmt w:val="decimal"/>
        <w:pStyle w:val="RecNumber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  <w:b/>
          <w:sz w:val="22"/>
          <w:szCs w:val="22"/>
        </w:rPr>
      </w:lvl>
    </w:lvlOverride>
  </w:num>
  <w:num w:numId="34">
    <w:abstractNumId w:val="17"/>
  </w:num>
  <w:num w:numId="35">
    <w:abstractNumId w:val="14"/>
  </w:num>
  <w:num w:numId="36">
    <w:abstractNumId w:val="24"/>
  </w:num>
  <w:num w:numId="37">
    <w:abstractNumId w:val="3"/>
  </w:num>
  <w:num w:numId="38">
    <w:abstractNumId w:val="10"/>
  </w:num>
  <w:num w:numId="39">
    <w:abstractNumId w:val="17"/>
  </w:num>
  <w:num w:numId="40">
    <w:abstractNumId w:val="17"/>
  </w:num>
  <w:num w:numId="41">
    <w:abstractNumId w:val="14"/>
  </w:num>
  <w:num w:numId="42">
    <w:abstractNumId w:val="24"/>
  </w:num>
  <w:num w:numId="43">
    <w:abstractNumId w:val="3"/>
  </w:num>
  <w:num w:numId="44">
    <w:abstractNumId w:val="10"/>
  </w:num>
  <w:num w:numId="45">
    <w:abstractNumId w:val="3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F6"/>
    <w:rsid w:val="00000808"/>
    <w:rsid w:val="00000B4C"/>
    <w:rsid w:val="0000303E"/>
    <w:rsid w:val="000106D0"/>
    <w:rsid w:val="00014DE2"/>
    <w:rsid w:val="0001547C"/>
    <w:rsid w:val="0001675E"/>
    <w:rsid w:val="0001695A"/>
    <w:rsid w:val="000203E1"/>
    <w:rsid w:val="000208EA"/>
    <w:rsid w:val="00023043"/>
    <w:rsid w:val="00030DED"/>
    <w:rsid w:val="0003142D"/>
    <w:rsid w:val="000319EB"/>
    <w:rsid w:val="00035157"/>
    <w:rsid w:val="000367F9"/>
    <w:rsid w:val="00037CB0"/>
    <w:rsid w:val="000409CC"/>
    <w:rsid w:val="00042738"/>
    <w:rsid w:val="0004665F"/>
    <w:rsid w:val="00047A6F"/>
    <w:rsid w:val="000512B5"/>
    <w:rsid w:val="00051F0F"/>
    <w:rsid w:val="00056B00"/>
    <w:rsid w:val="00057C74"/>
    <w:rsid w:val="00062883"/>
    <w:rsid w:val="00063FFF"/>
    <w:rsid w:val="000722A4"/>
    <w:rsid w:val="000727F0"/>
    <w:rsid w:val="00075F52"/>
    <w:rsid w:val="00081CD8"/>
    <w:rsid w:val="000851D4"/>
    <w:rsid w:val="00085C45"/>
    <w:rsid w:val="0009268F"/>
    <w:rsid w:val="00092A53"/>
    <w:rsid w:val="00095C1B"/>
    <w:rsid w:val="000A1734"/>
    <w:rsid w:val="000A4880"/>
    <w:rsid w:val="000A48E4"/>
    <w:rsid w:val="000A5F11"/>
    <w:rsid w:val="000B2E86"/>
    <w:rsid w:val="000B35BF"/>
    <w:rsid w:val="000D0E07"/>
    <w:rsid w:val="000D1EB4"/>
    <w:rsid w:val="000D68E4"/>
    <w:rsid w:val="000E1931"/>
    <w:rsid w:val="000E2F61"/>
    <w:rsid w:val="000E3BB9"/>
    <w:rsid w:val="000E5312"/>
    <w:rsid w:val="000E6EFC"/>
    <w:rsid w:val="000E6F92"/>
    <w:rsid w:val="000F2A3D"/>
    <w:rsid w:val="000F2F66"/>
    <w:rsid w:val="000F313A"/>
    <w:rsid w:val="000F402B"/>
    <w:rsid w:val="000F42FF"/>
    <w:rsid w:val="000F6099"/>
    <w:rsid w:val="000F6677"/>
    <w:rsid w:val="00100678"/>
    <w:rsid w:val="00103314"/>
    <w:rsid w:val="00106AED"/>
    <w:rsid w:val="00110377"/>
    <w:rsid w:val="001129FB"/>
    <w:rsid w:val="00114235"/>
    <w:rsid w:val="00121843"/>
    <w:rsid w:val="001222B0"/>
    <w:rsid w:val="001222C4"/>
    <w:rsid w:val="00122E9C"/>
    <w:rsid w:val="001231A6"/>
    <w:rsid w:val="0012373F"/>
    <w:rsid w:val="00125794"/>
    <w:rsid w:val="00126596"/>
    <w:rsid w:val="00133A30"/>
    <w:rsid w:val="00136B8E"/>
    <w:rsid w:val="0014072B"/>
    <w:rsid w:val="00142501"/>
    <w:rsid w:val="001445FD"/>
    <w:rsid w:val="001476EF"/>
    <w:rsid w:val="0015330F"/>
    <w:rsid w:val="001547D9"/>
    <w:rsid w:val="00162914"/>
    <w:rsid w:val="00165540"/>
    <w:rsid w:val="00165E1B"/>
    <w:rsid w:val="0017052E"/>
    <w:rsid w:val="00172E95"/>
    <w:rsid w:val="00175E5C"/>
    <w:rsid w:val="00176491"/>
    <w:rsid w:val="001809F0"/>
    <w:rsid w:val="00180FDA"/>
    <w:rsid w:val="0018252C"/>
    <w:rsid w:val="00182A6E"/>
    <w:rsid w:val="001878A9"/>
    <w:rsid w:val="00195F76"/>
    <w:rsid w:val="001975A0"/>
    <w:rsid w:val="001A2F2D"/>
    <w:rsid w:val="001A5988"/>
    <w:rsid w:val="001A6CC9"/>
    <w:rsid w:val="001B49C9"/>
    <w:rsid w:val="001B4B64"/>
    <w:rsid w:val="001B53C1"/>
    <w:rsid w:val="001B583A"/>
    <w:rsid w:val="001B7B3B"/>
    <w:rsid w:val="001D3744"/>
    <w:rsid w:val="001E18D5"/>
    <w:rsid w:val="001E4A9A"/>
    <w:rsid w:val="001E52BA"/>
    <w:rsid w:val="001E5E11"/>
    <w:rsid w:val="001F1E97"/>
    <w:rsid w:val="001F71B9"/>
    <w:rsid w:val="002002A1"/>
    <w:rsid w:val="002016C7"/>
    <w:rsid w:val="002039E6"/>
    <w:rsid w:val="00204AD5"/>
    <w:rsid w:val="0020701D"/>
    <w:rsid w:val="0020760F"/>
    <w:rsid w:val="002135EC"/>
    <w:rsid w:val="00213DA6"/>
    <w:rsid w:val="00213DB5"/>
    <w:rsid w:val="00216302"/>
    <w:rsid w:val="002165C9"/>
    <w:rsid w:val="00220379"/>
    <w:rsid w:val="002217FD"/>
    <w:rsid w:val="00223E71"/>
    <w:rsid w:val="00227DE3"/>
    <w:rsid w:val="002304E7"/>
    <w:rsid w:val="00232C1A"/>
    <w:rsid w:val="002358AB"/>
    <w:rsid w:val="0024151A"/>
    <w:rsid w:val="00243030"/>
    <w:rsid w:val="00245A2B"/>
    <w:rsid w:val="0024787C"/>
    <w:rsid w:val="0025009C"/>
    <w:rsid w:val="0025377F"/>
    <w:rsid w:val="0026050A"/>
    <w:rsid w:val="002617E8"/>
    <w:rsid w:val="0026300E"/>
    <w:rsid w:val="0026427F"/>
    <w:rsid w:val="00267F7B"/>
    <w:rsid w:val="00273851"/>
    <w:rsid w:val="00273B24"/>
    <w:rsid w:val="00275945"/>
    <w:rsid w:val="00282061"/>
    <w:rsid w:val="00283141"/>
    <w:rsid w:val="00284530"/>
    <w:rsid w:val="00291A39"/>
    <w:rsid w:val="00291AD2"/>
    <w:rsid w:val="002A4B48"/>
    <w:rsid w:val="002A55A6"/>
    <w:rsid w:val="002A5CF0"/>
    <w:rsid w:val="002A677C"/>
    <w:rsid w:val="002B0CA6"/>
    <w:rsid w:val="002B4E17"/>
    <w:rsid w:val="002B6401"/>
    <w:rsid w:val="002B7A23"/>
    <w:rsid w:val="002C372A"/>
    <w:rsid w:val="002C38C6"/>
    <w:rsid w:val="002C3AF1"/>
    <w:rsid w:val="002C3B81"/>
    <w:rsid w:val="002C656D"/>
    <w:rsid w:val="002C7907"/>
    <w:rsid w:val="002D0AA8"/>
    <w:rsid w:val="002D1C62"/>
    <w:rsid w:val="002D71C9"/>
    <w:rsid w:val="002E4696"/>
    <w:rsid w:val="002E52A2"/>
    <w:rsid w:val="002E62C3"/>
    <w:rsid w:val="002F0DA9"/>
    <w:rsid w:val="002F14F7"/>
    <w:rsid w:val="002F4FE7"/>
    <w:rsid w:val="003065C5"/>
    <w:rsid w:val="003105BC"/>
    <w:rsid w:val="00312D7E"/>
    <w:rsid w:val="00322EB5"/>
    <w:rsid w:val="00323714"/>
    <w:rsid w:val="00323A95"/>
    <w:rsid w:val="00326F76"/>
    <w:rsid w:val="003306DE"/>
    <w:rsid w:val="00334032"/>
    <w:rsid w:val="00334717"/>
    <w:rsid w:val="003348B4"/>
    <w:rsid w:val="0033567A"/>
    <w:rsid w:val="003361ED"/>
    <w:rsid w:val="00344669"/>
    <w:rsid w:val="00347187"/>
    <w:rsid w:val="00350661"/>
    <w:rsid w:val="0035161F"/>
    <w:rsid w:val="00351F64"/>
    <w:rsid w:val="00352B5C"/>
    <w:rsid w:val="00353EAF"/>
    <w:rsid w:val="003545E1"/>
    <w:rsid w:val="003545F5"/>
    <w:rsid w:val="00354AAC"/>
    <w:rsid w:val="00354EC2"/>
    <w:rsid w:val="003569EC"/>
    <w:rsid w:val="003601D4"/>
    <w:rsid w:val="00362F64"/>
    <w:rsid w:val="003632C9"/>
    <w:rsid w:val="0037184B"/>
    <w:rsid w:val="00372950"/>
    <w:rsid w:val="00376A97"/>
    <w:rsid w:val="00383C46"/>
    <w:rsid w:val="003859BE"/>
    <w:rsid w:val="0039332D"/>
    <w:rsid w:val="003A0A0D"/>
    <w:rsid w:val="003A4F3F"/>
    <w:rsid w:val="003A5483"/>
    <w:rsid w:val="003C05C4"/>
    <w:rsid w:val="003C0C7E"/>
    <w:rsid w:val="003C1746"/>
    <w:rsid w:val="003C3B89"/>
    <w:rsid w:val="003C6308"/>
    <w:rsid w:val="003D06A8"/>
    <w:rsid w:val="003D085B"/>
    <w:rsid w:val="003D31AA"/>
    <w:rsid w:val="003D5217"/>
    <w:rsid w:val="003D5E5A"/>
    <w:rsid w:val="003D6DCE"/>
    <w:rsid w:val="003E0275"/>
    <w:rsid w:val="003E192E"/>
    <w:rsid w:val="003E22F4"/>
    <w:rsid w:val="003E5FE5"/>
    <w:rsid w:val="003E6F88"/>
    <w:rsid w:val="003E7812"/>
    <w:rsid w:val="003F10A3"/>
    <w:rsid w:val="003F115F"/>
    <w:rsid w:val="003F1331"/>
    <w:rsid w:val="003F1DD3"/>
    <w:rsid w:val="003F30B5"/>
    <w:rsid w:val="003F77E2"/>
    <w:rsid w:val="00401C28"/>
    <w:rsid w:val="0040389C"/>
    <w:rsid w:val="00405C29"/>
    <w:rsid w:val="0040623D"/>
    <w:rsid w:val="00411B16"/>
    <w:rsid w:val="00416B7A"/>
    <w:rsid w:val="0041796A"/>
    <w:rsid w:val="0042126B"/>
    <w:rsid w:val="00421424"/>
    <w:rsid w:val="00421FCE"/>
    <w:rsid w:val="004227ED"/>
    <w:rsid w:val="0042473E"/>
    <w:rsid w:val="00432081"/>
    <w:rsid w:val="00435392"/>
    <w:rsid w:val="00436A3E"/>
    <w:rsid w:val="004370D5"/>
    <w:rsid w:val="004373D3"/>
    <w:rsid w:val="004422A8"/>
    <w:rsid w:val="00443F90"/>
    <w:rsid w:val="00444177"/>
    <w:rsid w:val="00444A93"/>
    <w:rsid w:val="00445BCE"/>
    <w:rsid w:val="00445EA7"/>
    <w:rsid w:val="00446149"/>
    <w:rsid w:val="00447DAC"/>
    <w:rsid w:val="004539DD"/>
    <w:rsid w:val="00454F25"/>
    <w:rsid w:val="004558E8"/>
    <w:rsid w:val="00460AC6"/>
    <w:rsid w:val="00461CA6"/>
    <w:rsid w:val="00464E8F"/>
    <w:rsid w:val="004677E4"/>
    <w:rsid w:val="00470C57"/>
    <w:rsid w:val="00471493"/>
    <w:rsid w:val="0047382E"/>
    <w:rsid w:val="0047690F"/>
    <w:rsid w:val="00480E43"/>
    <w:rsid w:val="0048114F"/>
    <w:rsid w:val="00481AAD"/>
    <w:rsid w:val="00484BA7"/>
    <w:rsid w:val="0048506D"/>
    <w:rsid w:val="0048761F"/>
    <w:rsid w:val="00491C45"/>
    <w:rsid w:val="00493E4A"/>
    <w:rsid w:val="00496DB5"/>
    <w:rsid w:val="004A051B"/>
    <w:rsid w:val="004A0B05"/>
    <w:rsid w:val="004A1139"/>
    <w:rsid w:val="004A2CE2"/>
    <w:rsid w:val="004A41F5"/>
    <w:rsid w:val="004A6FF2"/>
    <w:rsid w:val="004B0A36"/>
    <w:rsid w:val="004B425E"/>
    <w:rsid w:val="004B5A53"/>
    <w:rsid w:val="004B609E"/>
    <w:rsid w:val="004C02F1"/>
    <w:rsid w:val="004C1756"/>
    <w:rsid w:val="004C219C"/>
    <w:rsid w:val="004C36DB"/>
    <w:rsid w:val="004C6FC8"/>
    <w:rsid w:val="004C7599"/>
    <w:rsid w:val="004C79B8"/>
    <w:rsid w:val="004D2144"/>
    <w:rsid w:val="004D3108"/>
    <w:rsid w:val="004D5FE6"/>
    <w:rsid w:val="004E106C"/>
    <w:rsid w:val="004E2C92"/>
    <w:rsid w:val="004E7423"/>
    <w:rsid w:val="004F6B40"/>
    <w:rsid w:val="004F7672"/>
    <w:rsid w:val="004F7CB8"/>
    <w:rsid w:val="00501418"/>
    <w:rsid w:val="00502DB0"/>
    <w:rsid w:val="005042E4"/>
    <w:rsid w:val="00507197"/>
    <w:rsid w:val="0051690F"/>
    <w:rsid w:val="00523443"/>
    <w:rsid w:val="00533CE9"/>
    <w:rsid w:val="00533E65"/>
    <w:rsid w:val="00546711"/>
    <w:rsid w:val="005477D1"/>
    <w:rsid w:val="00552A2C"/>
    <w:rsid w:val="0055574E"/>
    <w:rsid w:val="00556688"/>
    <w:rsid w:val="0055708F"/>
    <w:rsid w:val="0056156E"/>
    <w:rsid w:val="00563AE8"/>
    <w:rsid w:val="00563F8E"/>
    <w:rsid w:val="00565674"/>
    <w:rsid w:val="005704F7"/>
    <w:rsid w:val="00570B1C"/>
    <w:rsid w:val="005711D5"/>
    <w:rsid w:val="00571742"/>
    <w:rsid w:val="0057177D"/>
    <w:rsid w:val="00572AA9"/>
    <w:rsid w:val="00574165"/>
    <w:rsid w:val="00574454"/>
    <w:rsid w:val="005766CE"/>
    <w:rsid w:val="005776CC"/>
    <w:rsid w:val="00583A39"/>
    <w:rsid w:val="00592138"/>
    <w:rsid w:val="0059327D"/>
    <w:rsid w:val="005957C6"/>
    <w:rsid w:val="00595906"/>
    <w:rsid w:val="00596BD7"/>
    <w:rsid w:val="005A000D"/>
    <w:rsid w:val="005A043B"/>
    <w:rsid w:val="005A6FF2"/>
    <w:rsid w:val="005B00ED"/>
    <w:rsid w:val="005B11F9"/>
    <w:rsid w:val="005B6F59"/>
    <w:rsid w:val="005C0182"/>
    <w:rsid w:val="005C0EF4"/>
    <w:rsid w:val="005C100A"/>
    <w:rsid w:val="005C31A5"/>
    <w:rsid w:val="005C33B8"/>
    <w:rsid w:val="005C4986"/>
    <w:rsid w:val="005C53FD"/>
    <w:rsid w:val="005C5C9F"/>
    <w:rsid w:val="005C6DE8"/>
    <w:rsid w:val="005C7F4E"/>
    <w:rsid w:val="005D3094"/>
    <w:rsid w:val="005D37F8"/>
    <w:rsid w:val="005D48B1"/>
    <w:rsid w:val="005E2838"/>
    <w:rsid w:val="005E572B"/>
    <w:rsid w:val="005E605D"/>
    <w:rsid w:val="005E734B"/>
    <w:rsid w:val="005F0DD5"/>
    <w:rsid w:val="005F13EE"/>
    <w:rsid w:val="005F1CCC"/>
    <w:rsid w:val="005F2A8C"/>
    <w:rsid w:val="005F3D8D"/>
    <w:rsid w:val="005F4BAB"/>
    <w:rsid w:val="005F4C91"/>
    <w:rsid w:val="005F5705"/>
    <w:rsid w:val="005F6163"/>
    <w:rsid w:val="006004B5"/>
    <w:rsid w:val="00606176"/>
    <w:rsid w:val="006112AF"/>
    <w:rsid w:val="00612AC9"/>
    <w:rsid w:val="00613E23"/>
    <w:rsid w:val="0062247A"/>
    <w:rsid w:val="00623341"/>
    <w:rsid w:val="0062541D"/>
    <w:rsid w:val="00626840"/>
    <w:rsid w:val="00631D73"/>
    <w:rsid w:val="00635327"/>
    <w:rsid w:val="0063560B"/>
    <w:rsid w:val="0063721E"/>
    <w:rsid w:val="006453D5"/>
    <w:rsid w:val="00656DAE"/>
    <w:rsid w:val="00660DC7"/>
    <w:rsid w:val="0066326F"/>
    <w:rsid w:val="006638D7"/>
    <w:rsid w:val="00671246"/>
    <w:rsid w:val="0067608E"/>
    <w:rsid w:val="006773B3"/>
    <w:rsid w:val="0068047A"/>
    <w:rsid w:val="00682091"/>
    <w:rsid w:val="00682B77"/>
    <w:rsid w:val="00684EA7"/>
    <w:rsid w:val="006855CB"/>
    <w:rsid w:val="006869D1"/>
    <w:rsid w:val="0068760D"/>
    <w:rsid w:val="0069295C"/>
    <w:rsid w:val="00694712"/>
    <w:rsid w:val="006A0689"/>
    <w:rsid w:val="006A0AAA"/>
    <w:rsid w:val="006A3364"/>
    <w:rsid w:val="006A4B20"/>
    <w:rsid w:val="006A5B46"/>
    <w:rsid w:val="006A6EB5"/>
    <w:rsid w:val="006B0665"/>
    <w:rsid w:val="006B27DC"/>
    <w:rsid w:val="006B2DDB"/>
    <w:rsid w:val="006B3F02"/>
    <w:rsid w:val="006C03AC"/>
    <w:rsid w:val="006C330A"/>
    <w:rsid w:val="006C57A3"/>
    <w:rsid w:val="006C7770"/>
    <w:rsid w:val="006D093C"/>
    <w:rsid w:val="006D2BD2"/>
    <w:rsid w:val="006D33EB"/>
    <w:rsid w:val="006D3BE8"/>
    <w:rsid w:val="006D62B6"/>
    <w:rsid w:val="006D6B3E"/>
    <w:rsid w:val="006D7746"/>
    <w:rsid w:val="006E68C4"/>
    <w:rsid w:val="006E6ECE"/>
    <w:rsid w:val="006E732B"/>
    <w:rsid w:val="006F1ABC"/>
    <w:rsid w:val="006F3763"/>
    <w:rsid w:val="006F7FCC"/>
    <w:rsid w:val="00700604"/>
    <w:rsid w:val="007007A5"/>
    <w:rsid w:val="00703E51"/>
    <w:rsid w:val="00705FCA"/>
    <w:rsid w:val="007159FD"/>
    <w:rsid w:val="00716DBF"/>
    <w:rsid w:val="007178E4"/>
    <w:rsid w:val="00722046"/>
    <w:rsid w:val="00722A8D"/>
    <w:rsid w:val="00731048"/>
    <w:rsid w:val="0073355F"/>
    <w:rsid w:val="00734434"/>
    <w:rsid w:val="00734C42"/>
    <w:rsid w:val="007359FE"/>
    <w:rsid w:val="00736391"/>
    <w:rsid w:val="0074011A"/>
    <w:rsid w:val="00743D85"/>
    <w:rsid w:val="007453DB"/>
    <w:rsid w:val="007563F8"/>
    <w:rsid w:val="007631DD"/>
    <w:rsid w:val="007652F4"/>
    <w:rsid w:val="00765520"/>
    <w:rsid w:val="00767A9C"/>
    <w:rsid w:val="00772BED"/>
    <w:rsid w:val="007732CF"/>
    <w:rsid w:val="0077506F"/>
    <w:rsid w:val="00780D34"/>
    <w:rsid w:val="00780FE1"/>
    <w:rsid w:val="007811A1"/>
    <w:rsid w:val="00790C47"/>
    <w:rsid w:val="007927E2"/>
    <w:rsid w:val="007934B9"/>
    <w:rsid w:val="00795D45"/>
    <w:rsid w:val="007A2571"/>
    <w:rsid w:val="007A56B2"/>
    <w:rsid w:val="007A6B92"/>
    <w:rsid w:val="007B201A"/>
    <w:rsid w:val="007B448F"/>
    <w:rsid w:val="007B44C9"/>
    <w:rsid w:val="007B7CE9"/>
    <w:rsid w:val="007C4CA4"/>
    <w:rsid w:val="007D10B1"/>
    <w:rsid w:val="007D3BDE"/>
    <w:rsid w:val="007D434B"/>
    <w:rsid w:val="007D6317"/>
    <w:rsid w:val="007E10BD"/>
    <w:rsid w:val="007E190C"/>
    <w:rsid w:val="007E2C45"/>
    <w:rsid w:val="007F11EA"/>
    <w:rsid w:val="007F2E92"/>
    <w:rsid w:val="007F2F5A"/>
    <w:rsid w:val="007F3DBF"/>
    <w:rsid w:val="007F4289"/>
    <w:rsid w:val="007F4D4F"/>
    <w:rsid w:val="00801974"/>
    <w:rsid w:val="0080205F"/>
    <w:rsid w:val="0080498F"/>
    <w:rsid w:val="0081471D"/>
    <w:rsid w:val="0081670A"/>
    <w:rsid w:val="00817DD3"/>
    <w:rsid w:val="008231C9"/>
    <w:rsid w:val="00823275"/>
    <w:rsid w:val="00823FAA"/>
    <w:rsid w:val="008259A5"/>
    <w:rsid w:val="008272C8"/>
    <w:rsid w:val="00831CAF"/>
    <w:rsid w:val="0083218A"/>
    <w:rsid w:val="00832644"/>
    <w:rsid w:val="00833FF7"/>
    <w:rsid w:val="00834CC6"/>
    <w:rsid w:val="00835F2E"/>
    <w:rsid w:val="00835F36"/>
    <w:rsid w:val="00836476"/>
    <w:rsid w:val="008369E6"/>
    <w:rsid w:val="008373A6"/>
    <w:rsid w:val="00837889"/>
    <w:rsid w:val="00837B21"/>
    <w:rsid w:val="0084112C"/>
    <w:rsid w:val="00841F8C"/>
    <w:rsid w:val="00843939"/>
    <w:rsid w:val="008522C0"/>
    <w:rsid w:val="00860654"/>
    <w:rsid w:val="00861C99"/>
    <w:rsid w:val="00862581"/>
    <w:rsid w:val="00873C97"/>
    <w:rsid w:val="0087592F"/>
    <w:rsid w:val="00880638"/>
    <w:rsid w:val="00880729"/>
    <w:rsid w:val="00880F74"/>
    <w:rsid w:val="00881AB5"/>
    <w:rsid w:val="008822A7"/>
    <w:rsid w:val="008901AD"/>
    <w:rsid w:val="00890AD7"/>
    <w:rsid w:val="00893808"/>
    <w:rsid w:val="00897899"/>
    <w:rsid w:val="00897D1D"/>
    <w:rsid w:val="008A2535"/>
    <w:rsid w:val="008A2D63"/>
    <w:rsid w:val="008A7272"/>
    <w:rsid w:val="008B1E24"/>
    <w:rsid w:val="008B5171"/>
    <w:rsid w:val="008B6CB4"/>
    <w:rsid w:val="008B7971"/>
    <w:rsid w:val="008C1367"/>
    <w:rsid w:val="008C57B7"/>
    <w:rsid w:val="008C6111"/>
    <w:rsid w:val="008D1BDA"/>
    <w:rsid w:val="008D5747"/>
    <w:rsid w:val="008D7C31"/>
    <w:rsid w:val="008E04FE"/>
    <w:rsid w:val="008E0934"/>
    <w:rsid w:val="008E275C"/>
    <w:rsid w:val="008E5703"/>
    <w:rsid w:val="008E5B5C"/>
    <w:rsid w:val="008E65E1"/>
    <w:rsid w:val="008F3C67"/>
    <w:rsid w:val="008F6B42"/>
    <w:rsid w:val="008F7B7C"/>
    <w:rsid w:val="008F7BD8"/>
    <w:rsid w:val="00903467"/>
    <w:rsid w:val="009061F3"/>
    <w:rsid w:val="00906EAA"/>
    <w:rsid w:val="00910812"/>
    <w:rsid w:val="00914F18"/>
    <w:rsid w:val="00917D73"/>
    <w:rsid w:val="00920FFC"/>
    <w:rsid w:val="00921EEA"/>
    <w:rsid w:val="0093361D"/>
    <w:rsid w:val="00934D77"/>
    <w:rsid w:val="00935366"/>
    <w:rsid w:val="00936AB0"/>
    <w:rsid w:val="009378CF"/>
    <w:rsid w:val="00937C56"/>
    <w:rsid w:val="00946588"/>
    <w:rsid w:val="0094716E"/>
    <w:rsid w:val="0096027B"/>
    <w:rsid w:val="00961AB7"/>
    <w:rsid w:val="0096206B"/>
    <w:rsid w:val="00963204"/>
    <w:rsid w:val="0096344B"/>
    <w:rsid w:val="00964D5D"/>
    <w:rsid w:val="00970DD2"/>
    <w:rsid w:val="009746FA"/>
    <w:rsid w:val="0097569F"/>
    <w:rsid w:val="00984E78"/>
    <w:rsid w:val="0098514D"/>
    <w:rsid w:val="00993B0D"/>
    <w:rsid w:val="009962B2"/>
    <w:rsid w:val="009A2C60"/>
    <w:rsid w:val="009A501A"/>
    <w:rsid w:val="009A5355"/>
    <w:rsid w:val="009A6155"/>
    <w:rsid w:val="009A7914"/>
    <w:rsid w:val="009B0E9A"/>
    <w:rsid w:val="009B4436"/>
    <w:rsid w:val="009C1003"/>
    <w:rsid w:val="009C1320"/>
    <w:rsid w:val="009D02CB"/>
    <w:rsid w:val="009D15F1"/>
    <w:rsid w:val="009D2B10"/>
    <w:rsid w:val="009D4070"/>
    <w:rsid w:val="009D44B4"/>
    <w:rsid w:val="009D5CBE"/>
    <w:rsid w:val="009D6A18"/>
    <w:rsid w:val="009D7B96"/>
    <w:rsid w:val="009D7F2A"/>
    <w:rsid w:val="009E4399"/>
    <w:rsid w:val="009F042B"/>
    <w:rsid w:val="009F37C1"/>
    <w:rsid w:val="009F4E99"/>
    <w:rsid w:val="009F507D"/>
    <w:rsid w:val="009F5CCC"/>
    <w:rsid w:val="00A15E51"/>
    <w:rsid w:val="00A17572"/>
    <w:rsid w:val="00A24114"/>
    <w:rsid w:val="00A26117"/>
    <w:rsid w:val="00A30D95"/>
    <w:rsid w:val="00A326E9"/>
    <w:rsid w:val="00A40F76"/>
    <w:rsid w:val="00A43EE7"/>
    <w:rsid w:val="00A45024"/>
    <w:rsid w:val="00A46197"/>
    <w:rsid w:val="00A52052"/>
    <w:rsid w:val="00A53109"/>
    <w:rsid w:val="00A54822"/>
    <w:rsid w:val="00A54AE7"/>
    <w:rsid w:val="00A56EC1"/>
    <w:rsid w:val="00A616B7"/>
    <w:rsid w:val="00A623E4"/>
    <w:rsid w:val="00A6244E"/>
    <w:rsid w:val="00A66BD1"/>
    <w:rsid w:val="00A67910"/>
    <w:rsid w:val="00A67DC7"/>
    <w:rsid w:val="00A702DC"/>
    <w:rsid w:val="00A7155F"/>
    <w:rsid w:val="00A76D3F"/>
    <w:rsid w:val="00A76D93"/>
    <w:rsid w:val="00A776B2"/>
    <w:rsid w:val="00A77D4A"/>
    <w:rsid w:val="00A80F59"/>
    <w:rsid w:val="00A850A2"/>
    <w:rsid w:val="00A8606B"/>
    <w:rsid w:val="00AA0130"/>
    <w:rsid w:val="00AA0BC6"/>
    <w:rsid w:val="00AA2D1B"/>
    <w:rsid w:val="00AA3D82"/>
    <w:rsid w:val="00AA474B"/>
    <w:rsid w:val="00AA4E84"/>
    <w:rsid w:val="00AB0172"/>
    <w:rsid w:val="00AB294D"/>
    <w:rsid w:val="00AB2B46"/>
    <w:rsid w:val="00AB324E"/>
    <w:rsid w:val="00AB4329"/>
    <w:rsid w:val="00AB5F8E"/>
    <w:rsid w:val="00AB653D"/>
    <w:rsid w:val="00AC1FFF"/>
    <w:rsid w:val="00AC417F"/>
    <w:rsid w:val="00AC421C"/>
    <w:rsid w:val="00AC4B32"/>
    <w:rsid w:val="00AC6DDC"/>
    <w:rsid w:val="00AC7BA9"/>
    <w:rsid w:val="00AD0D94"/>
    <w:rsid w:val="00AD0F37"/>
    <w:rsid w:val="00AD259B"/>
    <w:rsid w:val="00AD3EAA"/>
    <w:rsid w:val="00AD54DA"/>
    <w:rsid w:val="00AE0029"/>
    <w:rsid w:val="00AE1BDB"/>
    <w:rsid w:val="00AE47B8"/>
    <w:rsid w:val="00AE5546"/>
    <w:rsid w:val="00AF4624"/>
    <w:rsid w:val="00AF5343"/>
    <w:rsid w:val="00AF6A3D"/>
    <w:rsid w:val="00B00300"/>
    <w:rsid w:val="00B0182A"/>
    <w:rsid w:val="00B02C7A"/>
    <w:rsid w:val="00B0355F"/>
    <w:rsid w:val="00B0466E"/>
    <w:rsid w:val="00B04975"/>
    <w:rsid w:val="00B061A8"/>
    <w:rsid w:val="00B1070F"/>
    <w:rsid w:val="00B109A4"/>
    <w:rsid w:val="00B12CEE"/>
    <w:rsid w:val="00B1362A"/>
    <w:rsid w:val="00B15CA8"/>
    <w:rsid w:val="00B17B3A"/>
    <w:rsid w:val="00B21EA4"/>
    <w:rsid w:val="00B225DB"/>
    <w:rsid w:val="00B23A5B"/>
    <w:rsid w:val="00B25211"/>
    <w:rsid w:val="00B2560B"/>
    <w:rsid w:val="00B25C88"/>
    <w:rsid w:val="00B27BF6"/>
    <w:rsid w:val="00B333DF"/>
    <w:rsid w:val="00B33A0D"/>
    <w:rsid w:val="00B41635"/>
    <w:rsid w:val="00B4592D"/>
    <w:rsid w:val="00B45A0D"/>
    <w:rsid w:val="00B45DD3"/>
    <w:rsid w:val="00B4620C"/>
    <w:rsid w:val="00B51D59"/>
    <w:rsid w:val="00B5357A"/>
    <w:rsid w:val="00B55BC2"/>
    <w:rsid w:val="00B5667A"/>
    <w:rsid w:val="00B5793B"/>
    <w:rsid w:val="00B60244"/>
    <w:rsid w:val="00B60359"/>
    <w:rsid w:val="00B60FB8"/>
    <w:rsid w:val="00B63F98"/>
    <w:rsid w:val="00B70389"/>
    <w:rsid w:val="00B710AA"/>
    <w:rsid w:val="00B754A4"/>
    <w:rsid w:val="00B854F1"/>
    <w:rsid w:val="00B874A5"/>
    <w:rsid w:val="00B87B88"/>
    <w:rsid w:val="00B914FE"/>
    <w:rsid w:val="00B94C35"/>
    <w:rsid w:val="00B97BF2"/>
    <w:rsid w:val="00BA66C0"/>
    <w:rsid w:val="00BA690A"/>
    <w:rsid w:val="00BA7EB0"/>
    <w:rsid w:val="00BB3FF0"/>
    <w:rsid w:val="00BB592A"/>
    <w:rsid w:val="00BB5C27"/>
    <w:rsid w:val="00BC2B00"/>
    <w:rsid w:val="00BC670A"/>
    <w:rsid w:val="00BC789A"/>
    <w:rsid w:val="00BC7FBA"/>
    <w:rsid w:val="00BD0D36"/>
    <w:rsid w:val="00BD201B"/>
    <w:rsid w:val="00BD24B2"/>
    <w:rsid w:val="00BD31B4"/>
    <w:rsid w:val="00BD3512"/>
    <w:rsid w:val="00BD4F71"/>
    <w:rsid w:val="00BD690B"/>
    <w:rsid w:val="00BD6A1F"/>
    <w:rsid w:val="00BE0DD9"/>
    <w:rsid w:val="00BE27DC"/>
    <w:rsid w:val="00BE311A"/>
    <w:rsid w:val="00BE3817"/>
    <w:rsid w:val="00BE50D4"/>
    <w:rsid w:val="00BE5563"/>
    <w:rsid w:val="00BE5DAC"/>
    <w:rsid w:val="00BE7B5C"/>
    <w:rsid w:val="00BF00AD"/>
    <w:rsid w:val="00BF0BE8"/>
    <w:rsid w:val="00BF4355"/>
    <w:rsid w:val="00BF43EF"/>
    <w:rsid w:val="00BF4A01"/>
    <w:rsid w:val="00BF599A"/>
    <w:rsid w:val="00BF60AD"/>
    <w:rsid w:val="00BF6D56"/>
    <w:rsid w:val="00BF7B15"/>
    <w:rsid w:val="00C02BDA"/>
    <w:rsid w:val="00C02F5E"/>
    <w:rsid w:val="00C03C3A"/>
    <w:rsid w:val="00C147BE"/>
    <w:rsid w:val="00C14C42"/>
    <w:rsid w:val="00C14F20"/>
    <w:rsid w:val="00C214F3"/>
    <w:rsid w:val="00C216B0"/>
    <w:rsid w:val="00C22148"/>
    <w:rsid w:val="00C2260A"/>
    <w:rsid w:val="00C23181"/>
    <w:rsid w:val="00C23FD7"/>
    <w:rsid w:val="00C301DD"/>
    <w:rsid w:val="00C3357B"/>
    <w:rsid w:val="00C33DF6"/>
    <w:rsid w:val="00C45E89"/>
    <w:rsid w:val="00C47CE7"/>
    <w:rsid w:val="00C51569"/>
    <w:rsid w:val="00C5215F"/>
    <w:rsid w:val="00C52575"/>
    <w:rsid w:val="00C526D2"/>
    <w:rsid w:val="00C547A2"/>
    <w:rsid w:val="00C5500A"/>
    <w:rsid w:val="00C67F82"/>
    <w:rsid w:val="00C70298"/>
    <w:rsid w:val="00C71E49"/>
    <w:rsid w:val="00C725C0"/>
    <w:rsid w:val="00C73DFB"/>
    <w:rsid w:val="00C76DD2"/>
    <w:rsid w:val="00C81C62"/>
    <w:rsid w:val="00C87562"/>
    <w:rsid w:val="00C900A1"/>
    <w:rsid w:val="00C91995"/>
    <w:rsid w:val="00C92A7C"/>
    <w:rsid w:val="00CA46E0"/>
    <w:rsid w:val="00CB36A4"/>
    <w:rsid w:val="00CB4A28"/>
    <w:rsid w:val="00CC0377"/>
    <w:rsid w:val="00CC1DE8"/>
    <w:rsid w:val="00CC282A"/>
    <w:rsid w:val="00CC64BB"/>
    <w:rsid w:val="00CC72A7"/>
    <w:rsid w:val="00CC7522"/>
    <w:rsid w:val="00CD0668"/>
    <w:rsid w:val="00CD0E4B"/>
    <w:rsid w:val="00CD15C2"/>
    <w:rsid w:val="00CD58B0"/>
    <w:rsid w:val="00CD6992"/>
    <w:rsid w:val="00CD762C"/>
    <w:rsid w:val="00CE04A7"/>
    <w:rsid w:val="00CE05E0"/>
    <w:rsid w:val="00CF27B7"/>
    <w:rsid w:val="00CF6AE9"/>
    <w:rsid w:val="00CF70EE"/>
    <w:rsid w:val="00CF7770"/>
    <w:rsid w:val="00CF7978"/>
    <w:rsid w:val="00D01FD1"/>
    <w:rsid w:val="00D053B8"/>
    <w:rsid w:val="00D06A1E"/>
    <w:rsid w:val="00D07338"/>
    <w:rsid w:val="00D07DD6"/>
    <w:rsid w:val="00D10839"/>
    <w:rsid w:val="00D1202B"/>
    <w:rsid w:val="00D12161"/>
    <w:rsid w:val="00D122DA"/>
    <w:rsid w:val="00D14AFB"/>
    <w:rsid w:val="00D22772"/>
    <w:rsid w:val="00D22E85"/>
    <w:rsid w:val="00D25BD7"/>
    <w:rsid w:val="00D25DF4"/>
    <w:rsid w:val="00D268F5"/>
    <w:rsid w:val="00D269CF"/>
    <w:rsid w:val="00D31170"/>
    <w:rsid w:val="00D3260E"/>
    <w:rsid w:val="00D33ACE"/>
    <w:rsid w:val="00D34EA0"/>
    <w:rsid w:val="00D413C6"/>
    <w:rsid w:val="00D5258E"/>
    <w:rsid w:val="00D5542F"/>
    <w:rsid w:val="00D64758"/>
    <w:rsid w:val="00D64C48"/>
    <w:rsid w:val="00D663F0"/>
    <w:rsid w:val="00D716C2"/>
    <w:rsid w:val="00D7390B"/>
    <w:rsid w:val="00D753FB"/>
    <w:rsid w:val="00D762AE"/>
    <w:rsid w:val="00D802B9"/>
    <w:rsid w:val="00D80428"/>
    <w:rsid w:val="00D808CE"/>
    <w:rsid w:val="00D81F57"/>
    <w:rsid w:val="00D83AC4"/>
    <w:rsid w:val="00D87A4F"/>
    <w:rsid w:val="00D90E07"/>
    <w:rsid w:val="00D91DFB"/>
    <w:rsid w:val="00D92881"/>
    <w:rsid w:val="00D9434A"/>
    <w:rsid w:val="00D96E75"/>
    <w:rsid w:val="00DA4319"/>
    <w:rsid w:val="00DA44F2"/>
    <w:rsid w:val="00DA55A4"/>
    <w:rsid w:val="00DB0A9E"/>
    <w:rsid w:val="00DB3F44"/>
    <w:rsid w:val="00DB51C7"/>
    <w:rsid w:val="00DB561A"/>
    <w:rsid w:val="00DC3E9F"/>
    <w:rsid w:val="00DD0014"/>
    <w:rsid w:val="00DD483E"/>
    <w:rsid w:val="00DD7526"/>
    <w:rsid w:val="00DE18CF"/>
    <w:rsid w:val="00DE4EA5"/>
    <w:rsid w:val="00DE4FCE"/>
    <w:rsid w:val="00DE5052"/>
    <w:rsid w:val="00DF64D7"/>
    <w:rsid w:val="00DF7D3B"/>
    <w:rsid w:val="00E0277A"/>
    <w:rsid w:val="00E034B1"/>
    <w:rsid w:val="00E16105"/>
    <w:rsid w:val="00E21EFF"/>
    <w:rsid w:val="00E3183E"/>
    <w:rsid w:val="00E3607F"/>
    <w:rsid w:val="00E36438"/>
    <w:rsid w:val="00E36E26"/>
    <w:rsid w:val="00E440DD"/>
    <w:rsid w:val="00E44A20"/>
    <w:rsid w:val="00E4549F"/>
    <w:rsid w:val="00E51C4A"/>
    <w:rsid w:val="00E523EA"/>
    <w:rsid w:val="00E6386C"/>
    <w:rsid w:val="00E671C3"/>
    <w:rsid w:val="00E678EC"/>
    <w:rsid w:val="00E70619"/>
    <w:rsid w:val="00E70E52"/>
    <w:rsid w:val="00E740E6"/>
    <w:rsid w:val="00E76C9E"/>
    <w:rsid w:val="00E83491"/>
    <w:rsid w:val="00E847A6"/>
    <w:rsid w:val="00E84C1A"/>
    <w:rsid w:val="00E90142"/>
    <w:rsid w:val="00E90F0F"/>
    <w:rsid w:val="00E91EBE"/>
    <w:rsid w:val="00E9269E"/>
    <w:rsid w:val="00E93768"/>
    <w:rsid w:val="00EA08DD"/>
    <w:rsid w:val="00EB1B07"/>
    <w:rsid w:val="00EB30B9"/>
    <w:rsid w:val="00EB3B5A"/>
    <w:rsid w:val="00EB507A"/>
    <w:rsid w:val="00EB5CF0"/>
    <w:rsid w:val="00EC2879"/>
    <w:rsid w:val="00ED72AB"/>
    <w:rsid w:val="00EE5E18"/>
    <w:rsid w:val="00EE755D"/>
    <w:rsid w:val="00EE7ADE"/>
    <w:rsid w:val="00EF2706"/>
    <w:rsid w:val="00EF3188"/>
    <w:rsid w:val="00EF4A64"/>
    <w:rsid w:val="00EF6960"/>
    <w:rsid w:val="00EF7B1D"/>
    <w:rsid w:val="00F0179B"/>
    <w:rsid w:val="00F069C7"/>
    <w:rsid w:val="00F06EE8"/>
    <w:rsid w:val="00F07349"/>
    <w:rsid w:val="00F12294"/>
    <w:rsid w:val="00F22303"/>
    <w:rsid w:val="00F22AE5"/>
    <w:rsid w:val="00F235C7"/>
    <w:rsid w:val="00F30EFB"/>
    <w:rsid w:val="00F3193A"/>
    <w:rsid w:val="00F31F52"/>
    <w:rsid w:val="00F323DE"/>
    <w:rsid w:val="00F3310E"/>
    <w:rsid w:val="00F333E6"/>
    <w:rsid w:val="00F54C33"/>
    <w:rsid w:val="00F56AE7"/>
    <w:rsid w:val="00F5763D"/>
    <w:rsid w:val="00F57C53"/>
    <w:rsid w:val="00F63C0A"/>
    <w:rsid w:val="00F645D1"/>
    <w:rsid w:val="00F65FF6"/>
    <w:rsid w:val="00F6605C"/>
    <w:rsid w:val="00F71DF7"/>
    <w:rsid w:val="00F75973"/>
    <w:rsid w:val="00F80070"/>
    <w:rsid w:val="00F82046"/>
    <w:rsid w:val="00F84FA6"/>
    <w:rsid w:val="00F84FB8"/>
    <w:rsid w:val="00F84FFC"/>
    <w:rsid w:val="00F878C8"/>
    <w:rsid w:val="00F91D93"/>
    <w:rsid w:val="00F940CF"/>
    <w:rsid w:val="00F9418B"/>
    <w:rsid w:val="00F9622F"/>
    <w:rsid w:val="00F96BF2"/>
    <w:rsid w:val="00F96E05"/>
    <w:rsid w:val="00FA16F8"/>
    <w:rsid w:val="00FA4AE1"/>
    <w:rsid w:val="00FB03FB"/>
    <w:rsid w:val="00FB0586"/>
    <w:rsid w:val="00FB5A25"/>
    <w:rsid w:val="00FB7A1D"/>
    <w:rsid w:val="00FC2AE0"/>
    <w:rsid w:val="00FC2F83"/>
    <w:rsid w:val="00FC3231"/>
    <w:rsid w:val="00FC4A2E"/>
    <w:rsid w:val="00FC7AFA"/>
    <w:rsid w:val="00FD4295"/>
    <w:rsid w:val="00FE118E"/>
    <w:rsid w:val="00FE450B"/>
    <w:rsid w:val="00FF2C89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semiHidden="0" w:uiPriority="9" w:qFormat="1"/>
    <w:lsdException w:name="heading 4" w:semiHidden="0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/>
    <w:lsdException w:name="Default Paragraph Font" w:uiPriority="1" w:unhideWhenUsed="1"/>
    <w:lsdException w:name="Body Text" w:qFormat="1"/>
    <w:lsdException w:name="Subtitle" w:semiHidden="0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176491"/>
    <w:pPr>
      <w:spacing w:after="120" w:line="22" w:lineRule="atLeast"/>
    </w:pPr>
    <w:rPr>
      <w:rFonts w:ascii="Verdana" w:hAnsi="Verdana" w:cs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176491"/>
    <w:pPr>
      <w:keepNext/>
      <w:keepLines/>
      <w:numPr>
        <w:numId w:val="40"/>
      </w:numPr>
      <w:spacing w:after="240"/>
      <w:ind w:right="-2"/>
      <w:outlineLvl w:val="0"/>
    </w:pPr>
    <w:rPr>
      <w:rFonts w:ascii="Georgia" w:eastAsia="Times New Roman" w:hAnsi="Georgia"/>
      <w:b/>
      <w:bCs/>
      <w:color w:val="121F6B"/>
      <w:sz w:val="40"/>
      <w:szCs w:val="28"/>
      <w:lang w:val="en-NZ"/>
    </w:rPr>
  </w:style>
  <w:style w:type="paragraph" w:styleId="Heading2">
    <w:name w:val="heading 2"/>
    <w:basedOn w:val="Normal"/>
    <w:next w:val="Normal"/>
    <w:link w:val="Heading2Char"/>
    <w:qFormat/>
    <w:rsid w:val="00176491"/>
    <w:pPr>
      <w:keepNext/>
      <w:spacing w:before="240" w:after="240" w:line="240" w:lineRule="auto"/>
      <w:outlineLvl w:val="1"/>
    </w:pPr>
    <w:rPr>
      <w:rFonts w:eastAsia="Times New Roman" w:cs="Times New Roman"/>
      <w:b/>
      <w:bCs/>
      <w:iCs/>
      <w:sz w:val="24"/>
      <w:szCs w:val="28"/>
      <w:lang w:val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491"/>
    <w:pPr>
      <w:outlineLvl w:val="2"/>
    </w:pPr>
    <w:rPr>
      <w:b/>
      <w:lang w:val="en-N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491"/>
    <w:pPr>
      <w:keepNext/>
      <w:keepLines/>
      <w:spacing w:before="200" w:after="0"/>
      <w:outlineLvl w:val="3"/>
    </w:pPr>
    <w:rPr>
      <w:rFonts w:eastAsia="Times New Roman" w:cs="Times New Roman"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17649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6491"/>
    <w:rPr>
      <w:rFonts w:ascii="Georgia" w:eastAsia="Times New Roman" w:hAnsi="Georgia" w:cs="Arial"/>
      <w:b/>
      <w:bCs/>
      <w:color w:val="121F6B"/>
      <w:sz w:val="40"/>
      <w:szCs w:val="28"/>
    </w:rPr>
  </w:style>
  <w:style w:type="character" w:customStyle="1" w:styleId="Heading2Char">
    <w:name w:val="Heading 2 Char"/>
    <w:link w:val="Heading2"/>
    <w:rsid w:val="00176491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176491"/>
    <w:rPr>
      <w:rFonts w:ascii="Verdana" w:hAnsi="Verdana"/>
      <w:b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176491"/>
    <w:rPr>
      <w:rFonts w:ascii="Verdana" w:eastAsia="Times New Roman" w:hAnsi="Verdana" w:cs="Times New Roman"/>
      <w:bCs/>
      <w:i/>
      <w:iCs/>
      <w:szCs w:val="20"/>
      <w:lang w:val="en-US"/>
    </w:rPr>
  </w:style>
  <w:style w:type="paragraph" w:styleId="ListParagraph">
    <w:name w:val="List Paragraph"/>
    <w:basedOn w:val="Normal"/>
    <w:link w:val="ListParagraphChar"/>
    <w:qFormat/>
    <w:rsid w:val="00176491"/>
    <w:pPr>
      <w:ind w:left="567"/>
      <w:contextualSpacing/>
    </w:pPr>
    <w:rPr>
      <w:szCs w:val="22"/>
      <w:lang w:val="en-NZ"/>
    </w:r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rsid w:val="00533E65"/>
    <w:pPr>
      <w:spacing w:after="300"/>
      <w:contextualSpacing/>
    </w:pPr>
    <w:rPr>
      <w:rFonts w:eastAsia="Times New Roman" w:cs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semiHidden/>
    <w:rsid w:val="00213DA6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33E65"/>
    <w:pPr>
      <w:numPr>
        <w:ilvl w:val="1"/>
      </w:numPr>
    </w:pPr>
    <w:rPr>
      <w:rFonts w:eastAsia="Times New Roman" w:cs="Times New Roman"/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213DA6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SubtleEmphasis">
    <w:name w:val="Subtle Emphasis"/>
    <w:uiPriority w:val="19"/>
    <w:semiHidden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/>
    </w:rPr>
  </w:style>
  <w:style w:type="paragraph" w:customStyle="1" w:styleId="Bullet2">
    <w:name w:val="Bullet2"/>
    <w:basedOn w:val="Bullet"/>
    <w:link w:val="Bullet2Char"/>
    <w:qFormat/>
    <w:rsid w:val="00176491"/>
    <w:pPr>
      <w:numPr>
        <w:ilvl w:val="1"/>
        <w:numId w:val="8"/>
      </w:numPr>
      <w:tabs>
        <w:tab w:val="clear" w:pos="453"/>
      </w:tabs>
      <w:ind w:left="1276" w:hanging="324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33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3DF6"/>
    <w:rPr>
      <w:rFonts w:ascii="Tahoma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5C0E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83788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5C100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732C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RecList">
    <w:name w:val="Rec List"/>
    <w:basedOn w:val="NoList"/>
    <w:rsid w:val="00110377"/>
    <w:pPr>
      <w:numPr>
        <w:numId w:val="32"/>
      </w:numPr>
    </w:pPr>
  </w:style>
  <w:style w:type="paragraph" w:customStyle="1" w:styleId="RecNumber">
    <w:name w:val="Rec Number"/>
    <w:basedOn w:val="Normal"/>
    <w:rsid w:val="00110377"/>
    <w:pPr>
      <w:numPr>
        <w:numId w:val="32"/>
      </w:numPr>
      <w:spacing w:before="240" w:line="260" w:lineRule="exact"/>
      <w:jc w:val="both"/>
    </w:pPr>
    <w:rPr>
      <w:rFonts w:eastAsia="Times New Roman" w:cs="Times New Roman"/>
      <w:kern w:val="22"/>
    </w:rPr>
  </w:style>
  <w:style w:type="paragraph" w:styleId="NormalWeb">
    <w:name w:val="Normal (Web)"/>
    <w:basedOn w:val="Normal"/>
    <w:uiPriority w:val="99"/>
    <w:semiHidden/>
    <w:unhideWhenUsed/>
    <w:rsid w:val="00BE2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rsid w:val="00BE27DC"/>
    <w:rPr>
      <w:b/>
      <w:bCs/>
    </w:rPr>
  </w:style>
  <w:style w:type="paragraph" w:customStyle="1" w:styleId="numberedpara">
    <w:name w:val="numbered para"/>
    <w:basedOn w:val="Normal"/>
    <w:qFormat/>
    <w:rsid w:val="00176491"/>
    <w:pPr>
      <w:widowControl w:val="0"/>
      <w:numPr>
        <w:ilvl w:val="1"/>
        <w:numId w:val="40"/>
      </w:numPr>
      <w:spacing w:after="0"/>
    </w:pPr>
    <w:rPr>
      <w:color w:val="000000"/>
    </w:rPr>
  </w:style>
  <w:style w:type="paragraph" w:customStyle="1" w:styleId="Bullet">
    <w:name w:val="Bullet"/>
    <w:basedOn w:val="ListParagraph"/>
    <w:link w:val="BulletChar"/>
    <w:qFormat/>
    <w:rsid w:val="00A616B7"/>
    <w:pPr>
      <w:numPr>
        <w:numId w:val="7"/>
      </w:numPr>
      <w:tabs>
        <w:tab w:val="clear" w:pos="1134"/>
      </w:tabs>
      <w:spacing w:line="24" w:lineRule="atLeast"/>
      <w:ind w:left="425" w:hanging="425"/>
      <w:contextualSpacing w:val="0"/>
    </w:pPr>
    <w:rPr>
      <w:szCs w:val="20"/>
    </w:rPr>
  </w:style>
  <w:style w:type="character" w:customStyle="1" w:styleId="BulletChar">
    <w:name w:val="Bullet Char"/>
    <w:link w:val="Bullet"/>
    <w:rsid w:val="00A616B7"/>
    <w:rPr>
      <w:rFonts w:ascii="Verdana" w:hAnsi="Verdana" w:cs="Arial"/>
      <w:sz w:val="20"/>
      <w:szCs w:val="20"/>
    </w:rPr>
  </w:style>
  <w:style w:type="paragraph" w:customStyle="1" w:styleId="romannumbering">
    <w:name w:val="roman numbering"/>
    <w:basedOn w:val="Normal"/>
    <w:link w:val="romannumberingChar"/>
    <w:qFormat/>
    <w:rsid w:val="00176491"/>
    <w:pPr>
      <w:numPr>
        <w:ilvl w:val="3"/>
        <w:numId w:val="1"/>
      </w:numPr>
      <w:suppressAutoHyphens/>
      <w:autoSpaceDE w:val="0"/>
      <w:autoSpaceDN w:val="0"/>
      <w:adjustRightInd w:val="0"/>
      <w:spacing w:after="0" w:line="240" w:lineRule="auto"/>
      <w:ind w:left="1559" w:hanging="425"/>
      <w:textAlignment w:val="center"/>
    </w:pPr>
    <w:rPr>
      <w:rFonts w:eastAsia="Times New Roman"/>
    </w:rPr>
  </w:style>
  <w:style w:type="character" w:customStyle="1" w:styleId="romannumberingChar">
    <w:name w:val="roman numbering Char"/>
    <w:link w:val="romannumbering"/>
    <w:rsid w:val="00176491"/>
    <w:rPr>
      <w:rFonts w:ascii="Verdana" w:eastAsia="Times New Roman" w:hAnsi="Verdana" w:cs="Arial"/>
      <w:sz w:val="20"/>
      <w:szCs w:val="20"/>
      <w:lang w:val="en-US"/>
    </w:rPr>
  </w:style>
  <w:style w:type="paragraph" w:customStyle="1" w:styleId="Tabletext">
    <w:name w:val="Table text"/>
    <w:basedOn w:val="Normal"/>
    <w:link w:val="TabletextChar"/>
    <w:qFormat/>
    <w:rsid w:val="00176491"/>
    <w:pPr>
      <w:spacing w:after="0"/>
    </w:pPr>
    <w:rPr>
      <w:rFonts w:eastAsia="Times New Roman" w:cs="Times New Roman"/>
      <w:bCs/>
      <w:sz w:val="18"/>
      <w:szCs w:val="18"/>
      <w:lang w:val="en-NZ"/>
    </w:rPr>
  </w:style>
  <w:style w:type="character" w:customStyle="1" w:styleId="TabletextChar">
    <w:name w:val="Table text Char"/>
    <w:link w:val="Tabletext"/>
    <w:rsid w:val="00176491"/>
    <w:rPr>
      <w:rFonts w:ascii="Verdana" w:eastAsia="Times New Roman" w:hAnsi="Verdana" w:cs="Times New Roman"/>
      <w:bCs/>
      <w:sz w:val="18"/>
      <w:szCs w:val="18"/>
    </w:rPr>
  </w:style>
  <w:style w:type="paragraph" w:customStyle="1" w:styleId="TableHeadings">
    <w:name w:val="Table Headings"/>
    <w:basedOn w:val="Normal"/>
    <w:link w:val="TableHeadingsChar"/>
    <w:qFormat/>
    <w:rsid w:val="00176491"/>
    <w:pPr>
      <w:spacing w:after="0"/>
    </w:pPr>
    <w:rPr>
      <w:rFonts w:eastAsia="Times New Roman" w:cs="Times New Roman"/>
      <w:b/>
      <w:bCs/>
      <w:color w:val="FFFFFF"/>
      <w:sz w:val="18"/>
    </w:rPr>
  </w:style>
  <w:style w:type="character" w:customStyle="1" w:styleId="TableHeadingsChar">
    <w:name w:val="Table Headings Char"/>
    <w:link w:val="TableHeadings"/>
    <w:rsid w:val="00176491"/>
    <w:rPr>
      <w:rFonts w:ascii="Verdana" w:eastAsia="Times New Roman" w:hAnsi="Verdana" w:cs="Times New Roman"/>
      <w:b/>
      <w:bCs/>
      <w:color w:val="FFFFFF"/>
      <w:sz w:val="18"/>
      <w:szCs w:val="20"/>
      <w:lang w:val="en-US"/>
    </w:rPr>
  </w:style>
  <w:style w:type="paragraph" w:customStyle="1" w:styleId="alphalist">
    <w:name w:val="alpha list"/>
    <w:basedOn w:val="Normal"/>
    <w:link w:val="alphalistChar"/>
    <w:qFormat/>
    <w:rsid w:val="00176491"/>
    <w:pPr>
      <w:numPr>
        <w:ilvl w:val="2"/>
        <w:numId w:val="6"/>
      </w:numPr>
      <w:tabs>
        <w:tab w:val="clear" w:pos="643"/>
        <w:tab w:val="num" w:pos="993"/>
      </w:tabs>
      <w:suppressAutoHyphens/>
      <w:autoSpaceDE w:val="0"/>
      <w:autoSpaceDN w:val="0"/>
      <w:adjustRightInd w:val="0"/>
      <w:spacing w:before="240" w:after="0" w:line="240" w:lineRule="auto"/>
      <w:ind w:left="993" w:hanging="426"/>
      <w:textAlignment w:val="center"/>
    </w:pPr>
    <w:rPr>
      <w:rFonts w:eastAsia="Times New Roman"/>
    </w:rPr>
  </w:style>
  <w:style w:type="character" w:customStyle="1" w:styleId="alphalistChar">
    <w:name w:val="alpha list Char"/>
    <w:link w:val="alphalist"/>
    <w:rsid w:val="00176491"/>
    <w:rPr>
      <w:rFonts w:ascii="Verdana" w:eastAsia="Times New Roman" w:hAnsi="Verdana" w:cs="Arial"/>
      <w:sz w:val="20"/>
      <w:szCs w:val="20"/>
      <w:lang w:val="en-US"/>
    </w:rPr>
  </w:style>
  <w:style w:type="paragraph" w:customStyle="1" w:styleId="Alphanumeric">
    <w:name w:val="Alphanumeric"/>
    <w:basedOn w:val="Normal"/>
    <w:link w:val="AlphanumericChar"/>
    <w:qFormat/>
    <w:rsid w:val="00176491"/>
    <w:pPr>
      <w:suppressAutoHyphens/>
      <w:autoSpaceDE w:val="0"/>
      <w:autoSpaceDN w:val="0"/>
      <w:adjustRightInd w:val="0"/>
      <w:spacing w:before="240" w:after="0" w:line="240" w:lineRule="auto"/>
      <w:ind w:left="567" w:hanging="567"/>
      <w:textAlignment w:val="center"/>
    </w:pPr>
    <w:rPr>
      <w:rFonts w:eastAsia="Times New Roman" w:cs="Times New Roman"/>
      <w:szCs w:val="21"/>
    </w:rPr>
  </w:style>
  <w:style w:type="character" w:customStyle="1" w:styleId="AlphanumericChar">
    <w:name w:val="Alphanumeric Char"/>
    <w:link w:val="Alphanumeric"/>
    <w:rsid w:val="00176491"/>
    <w:rPr>
      <w:rFonts w:ascii="Verdana" w:eastAsia="Times New Roman" w:hAnsi="Verdana"/>
      <w:szCs w:val="21"/>
      <w:lang w:val="en-US"/>
    </w:rPr>
  </w:style>
  <w:style w:type="paragraph" w:customStyle="1" w:styleId="Table">
    <w:name w:val="Table"/>
    <w:basedOn w:val="Normal"/>
    <w:qFormat/>
    <w:rsid w:val="00176491"/>
    <w:pPr>
      <w:suppressAutoHyphens/>
      <w:autoSpaceDE w:val="0"/>
      <w:autoSpaceDN w:val="0"/>
      <w:adjustRightInd w:val="0"/>
      <w:spacing w:before="60" w:after="60" w:line="240" w:lineRule="auto"/>
      <w:textAlignment w:val="center"/>
    </w:pPr>
    <w:rPr>
      <w:rFonts w:eastAsia="Times New Roman" w:cs="Times New Roman"/>
      <w:color w:val="000000"/>
      <w:sz w:val="18"/>
      <w:szCs w:val="22"/>
      <w:lang w:val="en-NZ"/>
    </w:rPr>
  </w:style>
  <w:style w:type="paragraph" w:customStyle="1" w:styleId="AppendixHeading">
    <w:name w:val="Appendix Heading"/>
    <w:basedOn w:val="Normal"/>
    <w:link w:val="AppendixHeadingChar"/>
    <w:qFormat/>
    <w:rsid w:val="00176491"/>
    <w:rPr>
      <w:rFonts w:ascii="Georgia" w:hAnsi="Georgia"/>
      <w:b/>
      <w:color w:val="121F6B"/>
      <w:sz w:val="40"/>
      <w:szCs w:val="40"/>
    </w:rPr>
  </w:style>
  <w:style w:type="character" w:customStyle="1" w:styleId="AppendixHeadingChar">
    <w:name w:val="Appendix Heading Char"/>
    <w:link w:val="AppendixHeading"/>
    <w:rsid w:val="00176491"/>
    <w:rPr>
      <w:rFonts w:ascii="Georgia" w:hAnsi="Georgia"/>
      <w:b/>
      <w:color w:val="121F6B"/>
      <w:sz w:val="40"/>
      <w:szCs w:val="40"/>
      <w:lang w:val="en-US"/>
    </w:rPr>
  </w:style>
  <w:style w:type="paragraph" w:customStyle="1" w:styleId="AppendixPara">
    <w:name w:val="Appendix Para"/>
    <w:basedOn w:val="AppendixHeading"/>
    <w:link w:val="AppendixParaChar"/>
    <w:qFormat/>
    <w:rsid w:val="00176491"/>
    <w:pPr>
      <w:numPr>
        <w:ilvl w:val="1"/>
      </w:numPr>
      <w:ind w:left="567" w:hanging="567"/>
    </w:pPr>
    <w:rPr>
      <w:rFonts w:ascii="Verdana" w:hAnsi="Verdana"/>
      <w:b w:val="0"/>
      <w:color w:val="000000"/>
      <w:sz w:val="20"/>
      <w:szCs w:val="20"/>
    </w:rPr>
  </w:style>
  <w:style w:type="character" w:customStyle="1" w:styleId="AppendixParaChar">
    <w:name w:val="Appendix Para Char"/>
    <w:link w:val="AppendixPara"/>
    <w:rsid w:val="00176491"/>
    <w:rPr>
      <w:rFonts w:ascii="Verdana" w:hAnsi="Verdana"/>
      <w:color w:val="000000"/>
      <w:sz w:val="20"/>
      <w:szCs w:val="20"/>
      <w:lang w:val="en-US"/>
    </w:rPr>
  </w:style>
  <w:style w:type="character" w:customStyle="1" w:styleId="Heading9Char">
    <w:name w:val="Heading 9 Char"/>
    <w:link w:val="Heading9"/>
    <w:uiPriority w:val="99"/>
    <w:semiHidden/>
    <w:rsid w:val="0017649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uiPriority w:val="99"/>
    <w:qFormat/>
    <w:rsid w:val="00176491"/>
    <w:pPr>
      <w:ind w:left="567"/>
    </w:pPr>
  </w:style>
  <w:style w:type="character" w:customStyle="1" w:styleId="BodyTextChar">
    <w:name w:val="Body Text Char"/>
    <w:link w:val="BodyText"/>
    <w:uiPriority w:val="99"/>
    <w:rsid w:val="00176491"/>
    <w:rPr>
      <w:rFonts w:ascii="Verdana" w:hAnsi="Verdana"/>
      <w:sz w:val="20"/>
      <w:szCs w:val="20"/>
      <w:lang w:val="en-US"/>
    </w:rPr>
  </w:style>
  <w:style w:type="paragraph" w:styleId="NoSpacing">
    <w:name w:val="No Spacing"/>
    <w:uiPriority w:val="1"/>
    <w:qFormat/>
    <w:rsid w:val="00176491"/>
    <w:rPr>
      <w:rFonts w:ascii="Arial" w:eastAsia="Times New Roman" w:hAnsi="Arial" w:cs="Arial"/>
      <w:sz w:val="22"/>
      <w:szCs w:val="22"/>
      <w:lang w:val="en-AU"/>
    </w:rPr>
  </w:style>
  <w:style w:type="character" w:customStyle="1" w:styleId="ListParagraphChar">
    <w:name w:val="List Paragraph Char"/>
    <w:link w:val="ListParagraph"/>
    <w:locked/>
    <w:rsid w:val="00176491"/>
    <w:rPr>
      <w:rFonts w:ascii="Verdana" w:hAnsi="Verdana"/>
      <w:sz w:val="20"/>
    </w:rPr>
  </w:style>
  <w:style w:type="character" w:customStyle="1" w:styleId="Bullet2Char">
    <w:name w:val="Bullet2 Char"/>
    <w:link w:val="Bullet2"/>
    <w:rsid w:val="00176491"/>
  </w:style>
  <w:style w:type="paragraph" w:styleId="Header">
    <w:name w:val="header"/>
    <w:basedOn w:val="Normal"/>
    <w:link w:val="HeaderChar"/>
    <w:uiPriority w:val="99"/>
    <w:semiHidden/>
    <w:rsid w:val="000D1EB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0D1EB4"/>
    <w:rPr>
      <w:rFonts w:ascii="Verdana" w:hAnsi="Verdana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0D1E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0D1EB4"/>
    <w:rPr>
      <w:rFonts w:ascii="Verdana" w:hAnsi="Verdana" w:cs="Arial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BD201B"/>
  </w:style>
  <w:style w:type="character" w:customStyle="1" w:styleId="FootnoteTextChar">
    <w:name w:val="Footnote Text Char"/>
    <w:link w:val="FootnoteText"/>
    <w:uiPriority w:val="99"/>
    <w:semiHidden/>
    <w:rsid w:val="00BD201B"/>
    <w:rPr>
      <w:rFonts w:ascii="Verdana" w:hAnsi="Verdana" w:cs="Arial"/>
      <w:lang w:val="en-US"/>
    </w:rPr>
  </w:style>
  <w:style w:type="character" w:styleId="FootnoteReference">
    <w:name w:val="footnote reference"/>
    <w:uiPriority w:val="99"/>
    <w:semiHidden/>
    <w:rsid w:val="00BD201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D201B"/>
  </w:style>
  <w:style w:type="character" w:customStyle="1" w:styleId="EndnoteTextChar">
    <w:name w:val="Endnote Text Char"/>
    <w:link w:val="EndnoteText"/>
    <w:uiPriority w:val="99"/>
    <w:semiHidden/>
    <w:rsid w:val="00BD201B"/>
    <w:rPr>
      <w:rFonts w:ascii="Verdana" w:hAnsi="Verdana" w:cs="Arial"/>
      <w:lang w:val="en-US"/>
    </w:rPr>
  </w:style>
  <w:style w:type="character" w:styleId="EndnoteReference">
    <w:name w:val="endnote reference"/>
    <w:uiPriority w:val="99"/>
    <w:semiHidden/>
    <w:rsid w:val="00BD20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54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C3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C33"/>
    <w:rPr>
      <w:rFonts w:ascii="Verdana" w:hAnsi="Verdana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C33"/>
    <w:rPr>
      <w:rFonts w:ascii="Verdana" w:hAnsi="Verdana" w:cs="Arial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semiHidden="0" w:uiPriority="9" w:qFormat="1"/>
    <w:lsdException w:name="heading 4" w:semiHidden="0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/>
    <w:lsdException w:name="Default Paragraph Font" w:uiPriority="1" w:unhideWhenUsed="1"/>
    <w:lsdException w:name="Body Text" w:qFormat="1"/>
    <w:lsdException w:name="Subtitle" w:semiHidden="0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176491"/>
    <w:pPr>
      <w:spacing w:after="120" w:line="22" w:lineRule="atLeast"/>
    </w:pPr>
    <w:rPr>
      <w:rFonts w:ascii="Verdana" w:hAnsi="Verdana" w:cs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176491"/>
    <w:pPr>
      <w:keepNext/>
      <w:keepLines/>
      <w:numPr>
        <w:numId w:val="40"/>
      </w:numPr>
      <w:spacing w:after="240"/>
      <w:ind w:right="-2"/>
      <w:outlineLvl w:val="0"/>
    </w:pPr>
    <w:rPr>
      <w:rFonts w:ascii="Georgia" w:eastAsia="Times New Roman" w:hAnsi="Georgia"/>
      <w:b/>
      <w:bCs/>
      <w:color w:val="121F6B"/>
      <w:sz w:val="40"/>
      <w:szCs w:val="28"/>
      <w:lang w:val="en-NZ"/>
    </w:rPr>
  </w:style>
  <w:style w:type="paragraph" w:styleId="Heading2">
    <w:name w:val="heading 2"/>
    <w:basedOn w:val="Normal"/>
    <w:next w:val="Normal"/>
    <w:link w:val="Heading2Char"/>
    <w:qFormat/>
    <w:rsid w:val="00176491"/>
    <w:pPr>
      <w:keepNext/>
      <w:spacing w:before="240" w:after="240" w:line="240" w:lineRule="auto"/>
      <w:outlineLvl w:val="1"/>
    </w:pPr>
    <w:rPr>
      <w:rFonts w:eastAsia="Times New Roman" w:cs="Times New Roman"/>
      <w:b/>
      <w:bCs/>
      <w:iCs/>
      <w:sz w:val="24"/>
      <w:szCs w:val="28"/>
      <w:lang w:val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491"/>
    <w:pPr>
      <w:outlineLvl w:val="2"/>
    </w:pPr>
    <w:rPr>
      <w:b/>
      <w:lang w:val="en-N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491"/>
    <w:pPr>
      <w:keepNext/>
      <w:keepLines/>
      <w:spacing w:before="200" w:after="0"/>
      <w:outlineLvl w:val="3"/>
    </w:pPr>
    <w:rPr>
      <w:rFonts w:eastAsia="Times New Roman" w:cs="Times New Roman"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17649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6491"/>
    <w:rPr>
      <w:rFonts w:ascii="Georgia" w:eastAsia="Times New Roman" w:hAnsi="Georgia" w:cs="Arial"/>
      <w:b/>
      <w:bCs/>
      <w:color w:val="121F6B"/>
      <w:sz w:val="40"/>
      <w:szCs w:val="28"/>
    </w:rPr>
  </w:style>
  <w:style w:type="character" w:customStyle="1" w:styleId="Heading2Char">
    <w:name w:val="Heading 2 Char"/>
    <w:link w:val="Heading2"/>
    <w:rsid w:val="00176491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176491"/>
    <w:rPr>
      <w:rFonts w:ascii="Verdana" w:hAnsi="Verdana"/>
      <w:b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176491"/>
    <w:rPr>
      <w:rFonts w:ascii="Verdana" w:eastAsia="Times New Roman" w:hAnsi="Verdana" w:cs="Times New Roman"/>
      <w:bCs/>
      <w:i/>
      <w:iCs/>
      <w:szCs w:val="20"/>
      <w:lang w:val="en-US"/>
    </w:rPr>
  </w:style>
  <w:style w:type="paragraph" w:styleId="ListParagraph">
    <w:name w:val="List Paragraph"/>
    <w:basedOn w:val="Normal"/>
    <w:link w:val="ListParagraphChar"/>
    <w:qFormat/>
    <w:rsid w:val="00176491"/>
    <w:pPr>
      <w:ind w:left="567"/>
      <w:contextualSpacing/>
    </w:pPr>
    <w:rPr>
      <w:szCs w:val="22"/>
      <w:lang w:val="en-NZ"/>
    </w:r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rsid w:val="00533E65"/>
    <w:pPr>
      <w:spacing w:after="300"/>
      <w:contextualSpacing/>
    </w:pPr>
    <w:rPr>
      <w:rFonts w:eastAsia="Times New Roman" w:cs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semiHidden/>
    <w:rsid w:val="00213DA6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33E65"/>
    <w:pPr>
      <w:numPr>
        <w:ilvl w:val="1"/>
      </w:numPr>
    </w:pPr>
    <w:rPr>
      <w:rFonts w:eastAsia="Times New Roman" w:cs="Times New Roman"/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213DA6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SubtleEmphasis">
    <w:name w:val="Subtle Emphasis"/>
    <w:uiPriority w:val="19"/>
    <w:semiHidden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/>
    </w:rPr>
  </w:style>
  <w:style w:type="paragraph" w:customStyle="1" w:styleId="Bullet2">
    <w:name w:val="Bullet2"/>
    <w:basedOn w:val="Bullet"/>
    <w:link w:val="Bullet2Char"/>
    <w:qFormat/>
    <w:rsid w:val="00176491"/>
    <w:pPr>
      <w:numPr>
        <w:ilvl w:val="1"/>
        <w:numId w:val="8"/>
      </w:numPr>
      <w:tabs>
        <w:tab w:val="clear" w:pos="453"/>
      </w:tabs>
      <w:ind w:left="1276" w:hanging="324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33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3DF6"/>
    <w:rPr>
      <w:rFonts w:ascii="Tahoma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5C0E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83788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5C100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732C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RecList">
    <w:name w:val="Rec List"/>
    <w:basedOn w:val="NoList"/>
    <w:rsid w:val="00110377"/>
    <w:pPr>
      <w:numPr>
        <w:numId w:val="32"/>
      </w:numPr>
    </w:pPr>
  </w:style>
  <w:style w:type="paragraph" w:customStyle="1" w:styleId="RecNumber">
    <w:name w:val="Rec Number"/>
    <w:basedOn w:val="Normal"/>
    <w:rsid w:val="00110377"/>
    <w:pPr>
      <w:numPr>
        <w:numId w:val="32"/>
      </w:numPr>
      <w:spacing w:before="240" w:line="260" w:lineRule="exact"/>
      <w:jc w:val="both"/>
    </w:pPr>
    <w:rPr>
      <w:rFonts w:eastAsia="Times New Roman" w:cs="Times New Roman"/>
      <w:kern w:val="22"/>
    </w:rPr>
  </w:style>
  <w:style w:type="paragraph" w:styleId="NormalWeb">
    <w:name w:val="Normal (Web)"/>
    <w:basedOn w:val="Normal"/>
    <w:uiPriority w:val="99"/>
    <w:semiHidden/>
    <w:unhideWhenUsed/>
    <w:rsid w:val="00BE2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rsid w:val="00BE27DC"/>
    <w:rPr>
      <w:b/>
      <w:bCs/>
    </w:rPr>
  </w:style>
  <w:style w:type="paragraph" w:customStyle="1" w:styleId="numberedpara">
    <w:name w:val="numbered para"/>
    <w:basedOn w:val="Normal"/>
    <w:qFormat/>
    <w:rsid w:val="00176491"/>
    <w:pPr>
      <w:widowControl w:val="0"/>
      <w:numPr>
        <w:ilvl w:val="1"/>
        <w:numId w:val="40"/>
      </w:numPr>
      <w:spacing w:after="0"/>
    </w:pPr>
    <w:rPr>
      <w:color w:val="000000"/>
    </w:rPr>
  </w:style>
  <w:style w:type="paragraph" w:customStyle="1" w:styleId="Bullet">
    <w:name w:val="Bullet"/>
    <w:basedOn w:val="ListParagraph"/>
    <w:link w:val="BulletChar"/>
    <w:qFormat/>
    <w:rsid w:val="00A616B7"/>
    <w:pPr>
      <w:numPr>
        <w:numId w:val="7"/>
      </w:numPr>
      <w:tabs>
        <w:tab w:val="clear" w:pos="1134"/>
      </w:tabs>
      <w:spacing w:line="24" w:lineRule="atLeast"/>
      <w:ind w:left="425" w:hanging="425"/>
      <w:contextualSpacing w:val="0"/>
    </w:pPr>
    <w:rPr>
      <w:szCs w:val="20"/>
    </w:rPr>
  </w:style>
  <w:style w:type="character" w:customStyle="1" w:styleId="BulletChar">
    <w:name w:val="Bullet Char"/>
    <w:link w:val="Bullet"/>
    <w:rsid w:val="00A616B7"/>
    <w:rPr>
      <w:rFonts w:ascii="Verdana" w:hAnsi="Verdana" w:cs="Arial"/>
      <w:sz w:val="20"/>
      <w:szCs w:val="20"/>
    </w:rPr>
  </w:style>
  <w:style w:type="paragraph" w:customStyle="1" w:styleId="romannumbering">
    <w:name w:val="roman numbering"/>
    <w:basedOn w:val="Normal"/>
    <w:link w:val="romannumberingChar"/>
    <w:qFormat/>
    <w:rsid w:val="00176491"/>
    <w:pPr>
      <w:numPr>
        <w:ilvl w:val="3"/>
        <w:numId w:val="1"/>
      </w:numPr>
      <w:suppressAutoHyphens/>
      <w:autoSpaceDE w:val="0"/>
      <w:autoSpaceDN w:val="0"/>
      <w:adjustRightInd w:val="0"/>
      <w:spacing w:after="0" w:line="240" w:lineRule="auto"/>
      <w:ind w:left="1559" w:hanging="425"/>
      <w:textAlignment w:val="center"/>
    </w:pPr>
    <w:rPr>
      <w:rFonts w:eastAsia="Times New Roman"/>
    </w:rPr>
  </w:style>
  <w:style w:type="character" w:customStyle="1" w:styleId="romannumberingChar">
    <w:name w:val="roman numbering Char"/>
    <w:link w:val="romannumbering"/>
    <w:rsid w:val="00176491"/>
    <w:rPr>
      <w:rFonts w:ascii="Verdana" w:eastAsia="Times New Roman" w:hAnsi="Verdana" w:cs="Arial"/>
      <w:sz w:val="20"/>
      <w:szCs w:val="20"/>
      <w:lang w:val="en-US"/>
    </w:rPr>
  </w:style>
  <w:style w:type="paragraph" w:customStyle="1" w:styleId="Tabletext">
    <w:name w:val="Table text"/>
    <w:basedOn w:val="Normal"/>
    <w:link w:val="TabletextChar"/>
    <w:qFormat/>
    <w:rsid w:val="00176491"/>
    <w:pPr>
      <w:spacing w:after="0"/>
    </w:pPr>
    <w:rPr>
      <w:rFonts w:eastAsia="Times New Roman" w:cs="Times New Roman"/>
      <w:bCs/>
      <w:sz w:val="18"/>
      <w:szCs w:val="18"/>
      <w:lang w:val="en-NZ"/>
    </w:rPr>
  </w:style>
  <w:style w:type="character" w:customStyle="1" w:styleId="TabletextChar">
    <w:name w:val="Table text Char"/>
    <w:link w:val="Tabletext"/>
    <w:rsid w:val="00176491"/>
    <w:rPr>
      <w:rFonts w:ascii="Verdana" w:eastAsia="Times New Roman" w:hAnsi="Verdana" w:cs="Times New Roman"/>
      <w:bCs/>
      <w:sz w:val="18"/>
      <w:szCs w:val="18"/>
    </w:rPr>
  </w:style>
  <w:style w:type="paragraph" w:customStyle="1" w:styleId="TableHeadings">
    <w:name w:val="Table Headings"/>
    <w:basedOn w:val="Normal"/>
    <w:link w:val="TableHeadingsChar"/>
    <w:qFormat/>
    <w:rsid w:val="00176491"/>
    <w:pPr>
      <w:spacing w:after="0"/>
    </w:pPr>
    <w:rPr>
      <w:rFonts w:eastAsia="Times New Roman" w:cs="Times New Roman"/>
      <w:b/>
      <w:bCs/>
      <w:color w:val="FFFFFF"/>
      <w:sz w:val="18"/>
    </w:rPr>
  </w:style>
  <w:style w:type="character" w:customStyle="1" w:styleId="TableHeadingsChar">
    <w:name w:val="Table Headings Char"/>
    <w:link w:val="TableHeadings"/>
    <w:rsid w:val="00176491"/>
    <w:rPr>
      <w:rFonts w:ascii="Verdana" w:eastAsia="Times New Roman" w:hAnsi="Verdana" w:cs="Times New Roman"/>
      <w:b/>
      <w:bCs/>
      <w:color w:val="FFFFFF"/>
      <w:sz w:val="18"/>
      <w:szCs w:val="20"/>
      <w:lang w:val="en-US"/>
    </w:rPr>
  </w:style>
  <w:style w:type="paragraph" w:customStyle="1" w:styleId="alphalist">
    <w:name w:val="alpha list"/>
    <w:basedOn w:val="Normal"/>
    <w:link w:val="alphalistChar"/>
    <w:qFormat/>
    <w:rsid w:val="00176491"/>
    <w:pPr>
      <w:numPr>
        <w:ilvl w:val="2"/>
        <w:numId w:val="6"/>
      </w:numPr>
      <w:tabs>
        <w:tab w:val="clear" w:pos="643"/>
        <w:tab w:val="num" w:pos="993"/>
      </w:tabs>
      <w:suppressAutoHyphens/>
      <w:autoSpaceDE w:val="0"/>
      <w:autoSpaceDN w:val="0"/>
      <w:adjustRightInd w:val="0"/>
      <w:spacing w:before="240" w:after="0" w:line="240" w:lineRule="auto"/>
      <w:ind w:left="993" w:hanging="426"/>
      <w:textAlignment w:val="center"/>
    </w:pPr>
    <w:rPr>
      <w:rFonts w:eastAsia="Times New Roman"/>
    </w:rPr>
  </w:style>
  <w:style w:type="character" w:customStyle="1" w:styleId="alphalistChar">
    <w:name w:val="alpha list Char"/>
    <w:link w:val="alphalist"/>
    <w:rsid w:val="00176491"/>
    <w:rPr>
      <w:rFonts w:ascii="Verdana" w:eastAsia="Times New Roman" w:hAnsi="Verdana" w:cs="Arial"/>
      <w:sz w:val="20"/>
      <w:szCs w:val="20"/>
      <w:lang w:val="en-US"/>
    </w:rPr>
  </w:style>
  <w:style w:type="paragraph" w:customStyle="1" w:styleId="Alphanumeric">
    <w:name w:val="Alphanumeric"/>
    <w:basedOn w:val="Normal"/>
    <w:link w:val="AlphanumericChar"/>
    <w:qFormat/>
    <w:rsid w:val="00176491"/>
    <w:pPr>
      <w:suppressAutoHyphens/>
      <w:autoSpaceDE w:val="0"/>
      <w:autoSpaceDN w:val="0"/>
      <w:adjustRightInd w:val="0"/>
      <w:spacing w:before="240" w:after="0" w:line="240" w:lineRule="auto"/>
      <w:ind w:left="567" w:hanging="567"/>
      <w:textAlignment w:val="center"/>
    </w:pPr>
    <w:rPr>
      <w:rFonts w:eastAsia="Times New Roman" w:cs="Times New Roman"/>
      <w:szCs w:val="21"/>
    </w:rPr>
  </w:style>
  <w:style w:type="character" w:customStyle="1" w:styleId="AlphanumericChar">
    <w:name w:val="Alphanumeric Char"/>
    <w:link w:val="Alphanumeric"/>
    <w:rsid w:val="00176491"/>
    <w:rPr>
      <w:rFonts w:ascii="Verdana" w:eastAsia="Times New Roman" w:hAnsi="Verdana"/>
      <w:szCs w:val="21"/>
      <w:lang w:val="en-US"/>
    </w:rPr>
  </w:style>
  <w:style w:type="paragraph" w:customStyle="1" w:styleId="Table">
    <w:name w:val="Table"/>
    <w:basedOn w:val="Normal"/>
    <w:qFormat/>
    <w:rsid w:val="00176491"/>
    <w:pPr>
      <w:suppressAutoHyphens/>
      <w:autoSpaceDE w:val="0"/>
      <w:autoSpaceDN w:val="0"/>
      <w:adjustRightInd w:val="0"/>
      <w:spacing w:before="60" w:after="60" w:line="240" w:lineRule="auto"/>
      <w:textAlignment w:val="center"/>
    </w:pPr>
    <w:rPr>
      <w:rFonts w:eastAsia="Times New Roman" w:cs="Times New Roman"/>
      <w:color w:val="000000"/>
      <w:sz w:val="18"/>
      <w:szCs w:val="22"/>
      <w:lang w:val="en-NZ"/>
    </w:rPr>
  </w:style>
  <w:style w:type="paragraph" w:customStyle="1" w:styleId="AppendixHeading">
    <w:name w:val="Appendix Heading"/>
    <w:basedOn w:val="Normal"/>
    <w:link w:val="AppendixHeadingChar"/>
    <w:qFormat/>
    <w:rsid w:val="00176491"/>
    <w:rPr>
      <w:rFonts w:ascii="Georgia" w:hAnsi="Georgia"/>
      <w:b/>
      <w:color w:val="121F6B"/>
      <w:sz w:val="40"/>
      <w:szCs w:val="40"/>
    </w:rPr>
  </w:style>
  <w:style w:type="character" w:customStyle="1" w:styleId="AppendixHeadingChar">
    <w:name w:val="Appendix Heading Char"/>
    <w:link w:val="AppendixHeading"/>
    <w:rsid w:val="00176491"/>
    <w:rPr>
      <w:rFonts w:ascii="Georgia" w:hAnsi="Georgia"/>
      <w:b/>
      <w:color w:val="121F6B"/>
      <w:sz w:val="40"/>
      <w:szCs w:val="40"/>
      <w:lang w:val="en-US"/>
    </w:rPr>
  </w:style>
  <w:style w:type="paragraph" w:customStyle="1" w:styleId="AppendixPara">
    <w:name w:val="Appendix Para"/>
    <w:basedOn w:val="AppendixHeading"/>
    <w:link w:val="AppendixParaChar"/>
    <w:qFormat/>
    <w:rsid w:val="00176491"/>
    <w:pPr>
      <w:numPr>
        <w:ilvl w:val="1"/>
      </w:numPr>
      <w:ind w:left="567" w:hanging="567"/>
    </w:pPr>
    <w:rPr>
      <w:rFonts w:ascii="Verdana" w:hAnsi="Verdana"/>
      <w:b w:val="0"/>
      <w:color w:val="000000"/>
      <w:sz w:val="20"/>
      <w:szCs w:val="20"/>
    </w:rPr>
  </w:style>
  <w:style w:type="character" w:customStyle="1" w:styleId="AppendixParaChar">
    <w:name w:val="Appendix Para Char"/>
    <w:link w:val="AppendixPara"/>
    <w:rsid w:val="00176491"/>
    <w:rPr>
      <w:rFonts w:ascii="Verdana" w:hAnsi="Verdana"/>
      <w:color w:val="000000"/>
      <w:sz w:val="20"/>
      <w:szCs w:val="20"/>
      <w:lang w:val="en-US"/>
    </w:rPr>
  </w:style>
  <w:style w:type="character" w:customStyle="1" w:styleId="Heading9Char">
    <w:name w:val="Heading 9 Char"/>
    <w:link w:val="Heading9"/>
    <w:uiPriority w:val="99"/>
    <w:semiHidden/>
    <w:rsid w:val="0017649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uiPriority w:val="99"/>
    <w:qFormat/>
    <w:rsid w:val="00176491"/>
    <w:pPr>
      <w:ind w:left="567"/>
    </w:pPr>
  </w:style>
  <w:style w:type="character" w:customStyle="1" w:styleId="BodyTextChar">
    <w:name w:val="Body Text Char"/>
    <w:link w:val="BodyText"/>
    <w:uiPriority w:val="99"/>
    <w:rsid w:val="00176491"/>
    <w:rPr>
      <w:rFonts w:ascii="Verdana" w:hAnsi="Verdana"/>
      <w:sz w:val="20"/>
      <w:szCs w:val="20"/>
      <w:lang w:val="en-US"/>
    </w:rPr>
  </w:style>
  <w:style w:type="paragraph" w:styleId="NoSpacing">
    <w:name w:val="No Spacing"/>
    <w:uiPriority w:val="1"/>
    <w:qFormat/>
    <w:rsid w:val="00176491"/>
    <w:rPr>
      <w:rFonts w:ascii="Arial" w:eastAsia="Times New Roman" w:hAnsi="Arial" w:cs="Arial"/>
      <w:sz w:val="22"/>
      <w:szCs w:val="22"/>
      <w:lang w:val="en-AU"/>
    </w:rPr>
  </w:style>
  <w:style w:type="character" w:customStyle="1" w:styleId="ListParagraphChar">
    <w:name w:val="List Paragraph Char"/>
    <w:link w:val="ListParagraph"/>
    <w:locked/>
    <w:rsid w:val="00176491"/>
    <w:rPr>
      <w:rFonts w:ascii="Verdana" w:hAnsi="Verdana"/>
      <w:sz w:val="20"/>
    </w:rPr>
  </w:style>
  <w:style w:type="character" w:customStyle="1" w:styleId="Bullet2Char">
    <w:name w:val="Bullet2 Char"/>
    <w:link w:val="Bullet2"/>
    <w:rsid w:val="00176491"/>
  </w:style>
  <w:style w:type="paragraph" w:styleId="Header">
    <w:name w:val="header"/>
    <w:basedOn w:val="Normal"/>
    <w:link w:val="HeaderChar"/>
    <w:uiPriority w:val="99"/>
    <w:semiHidden/>
    <w:rsid w:val="000D1EB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0D1EB4"/>
    <w:rPr>
      <w:rFonts w:ascii="Verdana" w:hAnsi="Verdana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0D1E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0D1EB4"/>
    <w:rPr>
      <w:rFonts w:ascii="Verdana" w:hAnsi="Verdana" w:cs="Arial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BD201B"/>
  </w:style>
  <w:style w:type="character" w:customStyle="1" w:styleId="FootnoteTextChar">
    <w:name w:val="Footnote Text Char"/>
    <w:link w:val="FootnoteText"/>
    <w:uiPriority w:val="99"/>
    <w:semiHidden/>
    <w:rsid w:val="00BD201B"/>
    <w:rPr>
      <w:rFonts w:ascii="Verdana" w:hAnsi="Verdana" w:cs="Arial"/>
      <w:lang w:val="en-US"/>
    </w:rPr>
  </w:style>
  <w:style w:type="character" w:styleId="FootnoteReference">
    <w:name w:val="footnote reference"/>
    <w:uiPriority w:val="99"/>
    <w:semiHidden/>
    <w:rsid w:val="00BD201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D201B"/>
  </w:style>
  <w:style w:type="character" w:customStyle="1" w:styleId="EndnoteTextChar">
    <w:name w:val="Endnote Text Char"/>
    <w:link w:val="EndnoteText"/>
    <w:uiPriority w:val="99"/>
    <w:semiHidden/>
    <w:rsid w:val="00BD201B"/>
    <w:rPr>
      <w:rFonts w:ascii="Verdana" w:hAnsi="Verdana" w:cs="Arial"/>
      <w:lang w:val="en-US"/>
    </w:rPr>
  </w:style>
  <w:style w:type="character" w:styleId="EndnoteReference">
    <w:name w:val="endnote reference"/>
    <w:uiPriority w:val="99"/>
    <w:semiHidden/>
    <w:rsid w:val="00BD20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54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C3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C33"/>
    <w:rPr>
      <w:rFonts w:ascii="Verdana" w:hAnsi="Verdana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C33"/>
    <w:rPr>
      <w:rFonts w:ascii="Verdana" w:hAnsi="Verdana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61F2-9E85-4888-9769-CA9E8E0E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Kennedy</dc:creator>
  <cp:lastModifiedBy>Kim Allen</cp:lastModifiedBy>
  <cp:revision>40</cp:revision>
  <cp:lastPrinted>2017-01-13T01:29:00Z</cp:lastPrinted>
  <dcterms:created xsi:type="dcterms:W3CDTF">2016-12-12T19:01:00Z</dcterms:created>
  <dcterms:modified xsi:type="dcterms:W3CDTF">2017-07-12T22:18:00Z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A9731740</vt:lpwstr>
  </property>
  <property fmtid="{D5CDD505-2E9C-101B-9397-08002B2CF9AE}" pid="3" name="Objective-Comment">
    <vt:lpwstr/>
  </property>
  <property fmtid="{D5CDD505-2E9C-101B-9397-08002B2CF9AE}" pid="4" name="Objective-CreationStamp">
    <vt:filetime>2017-06-27T00:09:25Z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2017-07-14T00:14:24Z</vt:filetime>
  </property>
  <property fmtid="{D5CDD505-2E9C-101B-9397-08002B2CF9AE}" pid="8" name="Objective-ModificationStamp">
    <vt:filetime>2017-07-14T00:01:58Z</vt:filetime>
  </property>
  <property fmtid="{D5CDD505-2E9C-101B-9397-08002B2CF9AE}" pid="9" name="Objective-Owner">
    <vt:lpwstr>Kim Allen</vt:lpwstr>
  </property>
  <property fmtid="{D5CDD505-2E9C-101B-9397-08002B2CF9AE}" pid="10" name="Objective-Path">
    <vt:lpwstr>Global Folder:MSD INFORMATION REPOSITORY:Information Monitoring &amp; Reporting:Monitoring and Reporting:Benefit Fact Sheets:2017 Quarterly Fact Sheets:02 Jun:Commentary:Pages:</vt:lpwstr>
  </property>
  <property fmtid="{D5CDD505-2E9C-101B-9397-08002B2CF9AE}" pid="11" name="Objective-Parent">
    <vt:lpwstr>Pages</vt:lpwstr>
  </property>
  <property fmtid="{D5CDD505-2E9C-101B-9397-08002B2CF9AE}" pid="12" name="Objective-State">
    <vt:lpwstr>Published</vt:lpwstr>
  </property>
  <property fmtid="{D5CDD505-2E9C-101B-9397-08002B2CF9AE}" pid="13" name="Objective-Title">
    <vt:lpwstr>Benefit-Sanctions-Benefit-Fact-Sheet-Jun-2017</vt:lpwstr>
  </property>
  <property fmtid="{D5CDD505-2E9C-101B-9397-08002B2CF9AE}" pid="14" name="Objective-Version">
    <vt:lpwstr>2.0</vt:lpwstr>
  </property>
  <property fmtid="{D5CDD505-2E9C-101B-9397-08002B2CF9AE}" pid="15" name="Objective-VersionComment">
    <vt:lpwstr/>
  </property>
  <property fmtid="{D5CDD505-2E9C-101B-9397-08002B2CF9AE}" pid="16" name="Objective-VersionNumber">
    <vt:r8>11</vt:r8>
  </property>
  <property fmtid="{D5CDD505-2E9C-101B-9397-08002B2CF9AE}" pid="17" name="Objective-FileNumber">
    <vt:lpwstr>IM/MO/01/17-258</vt:lpwstr>
  </property>
  <property fmtid="{D5CDD505-2E9C-101B-9397-08002B2CF9AE}" pid="18" name="Objective-Classification">
    <vt:lpwstr>[Inherited - In Confidence]</vt:lpwstr>
  </property>
  <property fmtid="{D5CDD505-2E9C-101B-9397-08002B2CF9AE}" pid="19" name="Objective-Caveats">
    <vt:lpwstr/>
  </property>
  <property fmtid="{D5CDD505-2E9C-101B-9397-08002B2CF9AE}" pid="20" name="Objective-Document Status [system]">
    <vt:lpwstr>Final</vt:lpwstr>
  </property>
  <property fmtid="{D5CDD505-2E9C-101B-9397-08002B2CF9AE}" pid="21" name="Objective-Email is Vaulted? [system]">
    <vt:lpwstr/>
  </property>
</Properties>
</file>