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D9" w:rsidRDefault="009506D9" w:rsidP="009506D9">
      <w:pPr>
        <w:spacing w:before="0" w:after="200" w:line="276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 xml:space="preserve">Sole Parent Support </w:t>
      </w:r>
      <w:r w:rsidRPr="002135EC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September 2013 </w:t>
      </w:r>
      <w:r w:rsidRPr="00EE3A1C">
        <w:rPr>
          <w:rFonts w:ascii="Arial" w:hAnsi="Arial" w:cs="Arial"/>
          <w:b/>
          <w:sz w:val="28"/>
          <w:szCs w:val="28"/>
        </w:rPr>
        <w:t>quarter</w:t>
      </w:r>
    </w:p>
    <w:p w:rsidR="009506D9" w:rsidRDefault="009506D9" w:rsidP="009506D9">
      <w:pPr>
        <w:spacing w:before="0" w:after="200" w:line="276" w:lineRule="auto"/>
        <w:rPr>
          <w:rFonts w:cs="Microsoft Sans Seri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Sole Parent Support (SPS) is f</w:t>
      </w:r>
      <w:r w:rsidRPr="007732CF">
        <w:rPr>
          <w:rFonts w:ascii="Arial" w:hAnsi="Arial" w:cs="Arial"/>
          <w:sz w:val="20"/>
          <w:szCs w:val="20"/>
        </w:rPr>
        <w:t>or sole parents with dependent children under 14 who can look or prepare for part-time work.</w:t>
      </w:r>
    </w:p>
    <w:p w:rsidR="009506D9" w:rsidRPr="006E1454" w:rsidRDefault="009506D9" w:rsidP="009506D9">
      <w:pPr>
        <w:spacing w:befor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Facts</w:t>
      </w:r>
    </w:p>
    <w:p w:rsidR="009506D9" w:rsidRDefault="009506D9" w:rsidP="009506D9">
      <w:pPr>
        <w:spacing w:before="0" w:line="276" w:lineRule="auto"/>
        <w:rPr>
          <w:rFonts w:cs="Microsoft Sans Serif"/>
          <w:sz w:val="20"/>
          <w:szCs w:val="20"/>
        </w:rPr>
      </w:pPr>
    </w:p>
    <w:p w:rsidR="009506D9" w:rsidRDefault="009506D9" w:rsidP="009506D9">
      <w:pPr>
        <w:spacing w:before="0" w:after="200" w:line="276" w:lineRule="auto"/>
        <w:rPr>
          <w:rFonts w:cs="Microsoft Sans Serif"/>
          <w:sz w:val="20"/>
          <w:szCs w:val="20"/>
        </w:rPr>
      </w:pPr>
      <w:r>
        <w:rPr>
          <w:rFonts w:cs="Microsoft Sans Serif"/>
          <w:sz w:val="20"/>
          <w:szCs w:val="20"/>
        </w:rPr>
        <w:t>At the end of September 2013:</w:t>
      </w:r>
    </w:p>
    <w:p w:rsidR="009506D9" w:rsidRPr="00DB3F44" w:rsidRDefault="009506D9" w:rsidP="009506D9">
      <w:pPr>
        <w:pStyle w:val="ListParagraph"/>
        <w:numPr>
          <w:ilvl w:val="0"/>
          <w:numId w:val="14"/>
        </w:numPr>
        <w:spacing w:before="0"/>
        <w:rPr>
          <w:rFonts w:ascii="Arial" w:hAnsi="Arial" w:cs="Arial"/>
          <w:sz w:val="20"/>
          <w:szCs w:val="20"/>
        </w:rPr>
      </w:pPr>
      <w:r w:rsidRPr="00DB3F44">
        <w:rPr>
          <w:rFonts w:ascii="Arial" w:hAnsi="Arial" w:cs="Arial"/>
          <w:b/>
          <w:sz w:val="20"/>
          <w:szCs w:val="20"/>
        </w:rPr>
        <w:t>79,699</w:t>
      </w:r>
      <w:r w:rsidRPr="00DB3F44">
        <w:rPr>
          <w:rFonts w:ascii="Arial" w:hAnsi="Arial" w:cs="Arial"/>
          <w:sz w:val="20"/>
          <w:szCs w:val="20"/>
        </w:rPr>
        <w:t xml:space="preserve"> working</w:t>
      </w:r>
      <w:r>
        <w:rPr>
          <w:rFonts w:ascii="Arial" w:hAnsi="Arial" w:cs="Arial"/>
          <w:sz w:val="20"/>
          <w:szCs w:val="20"/>
        </w:rPr>
        <w:t>-</w:t>
      </w:r>
      <w:r w:rsidRPr="00DB3F44">
        <w:rPr>
          <w:rFonts w:ascii="Arial" w:hAnsi="Arial" w:cs="Arial"/>
          <w:sz w:val="20"/>
          <w:szCs w:val="20"/>
        </w:rPr>
        <w:t xml:space="preserve">age people were receiving Sole Parent Support. </w:t>
      </w:r>
    </w:p>
    <w:p w:rsidR="009506D9" w:rsidRPr="00DB3F44" w:rsidRDefault="009506D9" w:rsidP="009506D9">
      <w:pPr>
        <w:pStyle w:val="ListParagraph"/>
        <w:numPr>
          <w:ilvl w:val="0"/>
          <w:numId w:val="13"/>
        </w:num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2.9</w:t>
      </w:r>
      <w:r w:rsidRPr="00DB3F4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B3F44">
        <w:rPr>
          <w:rFonts w:ascii="Arial" w:hAnsi="Arial" w:cs="Arial"/>
          <w:b/>
          <w:sz w:val="20"/>
          <w:szCs w:val="20"/>
        </w:rPr>
        <w:t>percent</w:t>
      </w:r>
      <w:proofErr w:type="spellEnd"/>
      <w:r w:rsidRPr="00DB3F44">
        <w:rPr>
          <w:rFonts w:ascii="Arial" w:hAnsi="Arial" w:cs="Arial"/>
          <w:sz w:val="20"/>
          <w:szCs w:val="20"/>
        </w:rPr>
        <w:t xml:space="preserve"> of the working-age population of New Zealand were receiving Sole Parent Support.</w:t>
      </w:r>
    </w:p>
    <w:p w:rsidR="009506D9" w:rsidRPr="00DB3F44" w:rsidRDefault="009506D9" w:rsidP="009506D9">
      <w:pPr>
        <w:pStyle w:val="ListParagraph"/>
        <w:numPr>
          <w:ilvl w:val="0"/>
          <w:numId w:val="13"/>
        </w:numPr>
        <w:spacing w:before="0"/>
        <w:rPr>
          <w:rFonts w:ascii="Arial" w:hAnsi="Arial" w:cs="Arial"/>
          <w:sz w:val="20"/>
          <w:szCs w:val="20"/>
        </w:rPr>
      </w:pPr>
      <w:r w:rsidRPr="00DB3F44">
        <w:rPr>
          <w:rFonts w:ascii="Arial" w:hAnsi="Arial" w:cs="Arial"/>
          <w:sz w:val="20"/>
          <w:szCs w:val="20"/>
        </w:rPr>
        <w:t>Sole Parent Support recipients are more likely to be aged between 25 and 39, and to be female.</w:t>
      </w:r>
    </w:p>
    <w:p w:rsidR="009506D9" w:rsidRPr="00917D73" w:rsidRDefault="009506D9" w:rsidP="009506D9">
      <w:pPr>
        <w:pStyle w:val="ListParagraph"/>
        <w:numPr>
          <w:ilvl w:val="0"/>
          <w:numId w:val="13"/>
        </w:numPr>
        <w:spacing w:before="0"/>
        <w:rPr>
          <w:rFonts w:ascii="Arial" w:hAnsi="Arial" w:cs="Arial"/>
          <w:sz w:val="20"/>
          <w:szCs w:val="20"/>
        </w:rPr>
      </w:pPr>
      <w:r w:rsidRPr="00917D73">
        <w:rPr>
          <w:rFonts w:ascii="Arial" w:hAnsi="Arial" w:cs="Arial"/>
          <w:sz w:val="20"/>
          <w:szCs w:val="20"/>
        </w:rPr>
        <w:t xml:space="preserve">18 </w:t>
      </w:r>
      <w:proofErr w:type="spellStart"/>
      <w:r w:rsidRPr="00917D73">
        <w:rPr>
          <w:rFonts w:ascii="Arial" w:hAnsi="Arial" w:cs="Arial"/>
          <w:sz w:val="20"/>
          <w:szCs w:val="20"/>
        </w:rPr>
        <w:t>percent</w:t>
      </w:r>
      <w:proofErr w:type="spellEnd"/>
      <w:r w:rsidRPr="00917D73">
        <w:rPr>
          <w:rFonts w:ascii="Arial" w:hAnsi="Arial" w:cs="Arial"/>
          <w:sz w:val="20"/>
          <w:szCs w:val="20"/>
        </w:rPr>
        <w:t xml:space="preserve"> of recipients of Sole Parent Support had been receiving any benefit continuously for one year or less.</w:t>
      </w:r>
    </w:p>
    <w:p w:rsidR="009506D9" w:rsidRDefault="009506D9" w:rsidP="009506D9">
      <w:pPr>
        <w:spacing w:before="0"/>
        <w:jc w:val="both"/>
        <w:rPr>
          <w:rFonts w:ascii="Arial" w:hAnsi="Arial" w:cs="Arial"/>
          <w:sz w:val="20"/>
          <w:szCs w:val="20"/>
        </w:rPr>
      </w:pPr>
    </w:p>
    <w:p w:rsidR="009506D9" w:rsidRPr="00172E95" w:rsidRDefault="009506D9" w:rsidP="009506D9">
      <w:pPr>
        <w:spacing w:before="0"/>
        <w:jc w:val="both"/>
        <w:rPr>
          <w:rFonts w:ascii="Arial" w:hAnsi="Arial" w:cs="Arial"/>
          <w:sz w:val="20"/>
          <w:szCs w:val="20"/>
        </w:rPr>
      </w:pPr>
      <w:r w:rsidRPr="00172E95">
        <w:rPr>
          <w:rFonts w:ascii="Arial" w:hAnsi="Arial" w:cs="Arial"/>
          <w:sz w:val="20"/>
          <w:szCs w:val="20"/>
        </w:rPr>
        <w:t xml:space="preserve">Between </w:t>
      </w:r>
      <w:r>
        <w:rPr>
          <w:rFonts w:ascii="Arial" w:hAnsi="Arial" w:cs="Arial"/>
          <w:sz w:val="20"/>
          <w:szCs w:val="20"/>
        </w:rPr>
        <w:t>September 2013</w:t>
      </w:r>
      <w:r w:rsidRPr="00172E95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September</w:t>
      </w:r>
      <w:r w:rsidRPr="00172E95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2</w:t>
      </w:r>
      <w:r w:rsidRPr="00172E95">
        <w:rPr>
          <w:rFonts w:ascii="Arial" w:hAnsi="Arial" w:cs="Arial"/>
          <w:sz w:val="20"/>
          <w:szCs w:val="20"/>
        </w:rPr>
        <w:t>:</w:t>
      </w:r>
    </w:p>
    <w:p w:rsidR="009506D9" w:rsidRPr="006E68C4" w:rsidRDefault="009506D9" w:rsidP="009506D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E68C4">
        <w:rPr>
          <w:rFonts w:ascii="Arial" w:hAnsi="Arial" w:cs="Arial"/>
          <w:sz w:val="20"/>
          <w:szCs w:val="20"/>
        </w:rPr>
        <w:t xml:space="preserve">The number of recipients of Sole Parent Support </w:t>
      </w:r>
      <w:r w:rsidRPr="006E68C4">
        <w:rPr>
          <w:rFonts w:ascii="Arial" w:hAnsi="Arial" w:cs="Arial"/>
          <w:b/>
          <w:sz w:val="20"/>
          <w:szCs w:val="20"/>
        </w:rPr>
        <w:t>decreased</w:t>
      </w:r>
      <w:r w:rsidRPr="006E68C4">
        <w:rPr>
          <w:rFonts w:ascii="Arial" w:hAnsi="Arial" w:cs="Arial"/>
          <w:sz w:val="20"/>
          <w:szCs w:val="20"/>
        </w:rPr>
        <w:t xml:space="preserve"> by 7,</w:t>
      </w:r>
      <w:r>
        <w:rPr>
          <w:rFonts w:ascii="Arial" w:hAnsi="Arial" w:cs="Arial"/>
          <w:sz w:val="20"/>
          <w:szCs w:val="20"/>
        </w:rPr>
        <w:t>268</w:t>
      </w:r>
      <w:r w:rsidRPr="006E68C4">
        <w:rPr>
          <w:rFonts w:ascii="Arial" w:hAnsi="Arial" w:cs="Arial"/>
          <w:sz w:val="20"/>
          <w:szCs w:val="20"/>
        </w:rPr>
        <w:t xml:space="preserve">, or 8 </w:t>
      </w:r>
      <w:proofErr w:type="spellStart"/>
      <w:r w:rsidRPr="006E68C4">
        <w:rPr>
          <w:rFonts w:ascii="Arial" w:hAnsi="Arial" w:cs="Arial"/>
          <w:sz w:val="20"/>
          <w:szCs w:val="20"/>
        </w:rPr>
        <w:t>percent</w:t>
      </w:r>
      <w:proofErr w:type="spellEnd"/>
      <w:r w:rsidRPr="006E68C4">
        <w:rPr>
          <w:rFonts w:ascii="Arial" w:hAnsi="Arial" w:cs="Arial"/>
          <w:sz w:val="20"/>
          <w:szCs w:val="20"/>
        </w:rPr>
        <w:t xml:space="preserve">. </w:t>
      </w:r>
    </w:p>
    <w:p w:rsidR="009506D9" w:rsidRPr="006B3F02" w:rsidRDefault="009506D9" w:rsidP="009506D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B3F02">
        <w:rPr>
          <w:rFonts w:ascii="Arial" w:hAnsi="Arial" w:cs="Arial"/>
          <w:sz w:val="20"/>
          <w:szCs w:val="20"/>
        </w:rPr>
        <w:t xml:space="preserve">There were </w:t>
      </w:r>
      <w:r w:rsidRPr="006B3F02">
        <w:rPr>
          <w:rFonts w:ascii="Arial" w:hAnsi="Arial" w:cs="Arial"/>
          <w:b/>
          <w:sz w:val="20"/>
          <w:szCs w:val="20"/>
        </w:rPr>
        <w:t>decreases</w:t>
      </w:r>
      <w:r w:rsidRPr="006B3F02">
        <w:rPr>
          <w:rFonts w:ascii="Arial" w:hAnsi="Arial" w:cs="Arial"/>
          <w:sz w:val="20"/>
          <w:szCs w:val="20"/>
        </w:rPr>
        <w:t xml:space="preserve"> in benefit receipt across all ethnic groups, although the annual decrease in </w:t>
      </w:r>
      <w:r>
        <w:rPr>
          <w:rFonts w:ascii="Arial" w:hAnsi="Arial" w:cs="Arial"/>
          <w:sz w:val="20"/>
          <w:szCs w:val="20"/>
        </w:rPr>
        <w:t xml:space="preserve">Pacific peoples </w:t>
      </w:r>
      <w:r w:rsidRPr="006B3F02"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 xml:space="preserve">proportionally </w:t>
      </w:r>
      <w:r w:rsidRPr="006B3F02">
        <w:rPr>
          <w:rFonts w:ascii="Arial" w:hAnsi="Arial" w:cs="Arial"/>
          <w:sz w:val="20"/>
          <w:szCs w:val="20"/>
        </w:rPr>
        <w:t>higher than the annual decrea</w:t>
      </w:r>
      <w:r>
        <w:rPr>
          <w:rFonts w:ascii="Arial" w:hAnsi="Arial" w:cs="Arial"/>
          <w:sz w:val="20"/>
          <w:szCs w:val="20"/>
        </w:rPr>
        <w:t>se for Māori and New Zealand European</w:t>
      </w:r>
      <w:r w:rsidRPr="006B3F02">
        <w:rPr>
          <w:rFonts w:ascii="Arial" w:hAnsi="Arial" w:cs="Arial"/>
          <w:sz w:val="20"/>
          <w:szCs w:val="20"/>
        </w:rPr>
        <w:t>.</w:t>
      </w:r>
    </w:p>
    <w:p w:rsidR="009506D9" w:rsidRPr="00B2560B" w:rsidRDefault="009506D9" w:rsidP="009506D9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2560B">
        <w:rPr>
          <w:rFonts w:ascii="Arial" w:hAnsi="Arial" w:cs="Arial"/>
          <w:sz w:val="20"/>
          <w:szCs w:val="20"/>
        </w:rPr>
        <w:t xml:space="preserve">There were </w:t>
      </w:r>
      <w:r w:rsidRPr="00B2560B">
        <w:rPr>
          <w:rFonts w:ascii="Arial" w:hAnsi="Arial" w:cs="Arial"/>
          <w:b/>
          <w:sz w:val="20"/>
          <w:szCs w:val="20"/>
        </w:rPr>
        <w:t>decreases</w:t>
      </w:r>
      <w:r w:rsidRPr="00B2560B">
        <w:rPr>
          <w:rFonts w:ascii="Arial" w:hAnsi="Arial" w:cs="Arial"/>
          <w:sz w:val="20"/>
          <w:szCs w:val="20"/>
        </w:rPr>
        <w:t xml:space="preserve"> in SPS numbers across all age groups.</w:t>
      </w:r>
    </w:p>
    <w:p w:rsidR="009506D9" w:rsidRPr="00284530" w:rsidRDefault="009506D9" w:rsidP="009506D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84530">
        <w:rPr>
          <w:rFonts w:ascii="Arial" w:hAnsi="Arial" w:cs="Arial"/>
          <w:sz w:val="20"/>
          <w:szCs w:val="20"/>
        </w:rPr>
        <w:t>The percentage of the working</w:t>
      </w:r>
      <w:r>
        <w:rPr>
          <w:rFonts w:ascii="Arial" w:hAnsi="Arial" w:cs="Arial"/>
          <w:sz w:val="20"/>
          <w:szCs w:val="20"/>
        </w:rPr>
        <w:t>-</w:t>
      </w:r>
      <w:r w:rsidRPr="00284530">
        <w:rPr>
          <w:rFonts w:ascii="Arial" w:hAnsi="Arial" w:cs="Arial"/>
          <w:sz w:val="20"/>
          <w:szCs w:val="20"/>
        </w:rPr>
        <w:t xml:space="preserve">age population on Sole Parent Support </w:t>
      </w:r>
      <w:r w:rsidRPr="00284530">
        <w:rPr>
          <w:rFonts w:ascii="Arial" w:hAnsi="Arial" w:cs="Arial"/>
          <w:b/>
          <w:sz w:val="20"/>
          <w:szCs w:val="20"/>
        </w:rPr>
        <w:t>fell</w:t>
      </w:r>
      <w:r w:rsidRPr="00284530">
        <w:rPr>
          <w:rFonts w:ascii="Arial" w:hAnsi="Arial" w:cs="Arial"/>
          <w:sz w:val="20"/>
          <w:szCs w:val="20"/>
        </w:rPr>
        <w:t>.</w:t>
      </w:r>
    </w:p>
    <w:p w:rsidR="009506D9" w:rsidRDefault="009506D9" w:rsidP="009506D9">
      <w:pPr>
        <w:pStyle w:val="ListParagraph"/>
        <w:rPr>
          <w:rFonts w:ascii="Arial" w:hAnsi="Arial" w:cs="Arial"/>
          <w:sz w:val="20"/>
          <w:szCs w:val="20"/>
        </w:rPr>
      </w:pPr>
    </w:p>
    <w:p w:rsidR="009506D9" w:rsidRDefault="009506D9" w:rsidP="009506D9">
      <w:pPr>
        <w:pStyle w:val="ListParagraph"/>
        <w:rPr>
          <w:rFonts w:ascii="Arial" w:hAnsi="Arial" w:cs="Arial"/>
          <w:sz w:val="20"/>
          <w:szCs w:val="20"/>
        </w:rPr>
      </w:pPr>
    </w:p>
    <w:p w:rsidR="009506D9" w:rsidRPr="008A2535" w:rsidRDefault="009506D9" w:rsidP="009506D9">
      <w:pPr>
        <w:spacing w:before="0" w:line="276" w:lineRule="auto"/>
        <w:ind w:left="-284" w:right="-330"/>
        <w:rPr>
          <w:b/>
          <w:sz w:val="18"/>
          <w:szCs w:val="18"/>
        </w:rPr>
      </w:pPr>
      <w:r w:rsidRPr="008A2535">
        <w:rPr>
          <w:b/>
          <w:sz w:val="18"/>
          <w:szCs w:val="18"/>
        </w:rPr>
        <w:t xml:space="preserve">Characteristics of working-age recipients of </w:t>
      </w:r>
      <w:r>
        <w:rPr>
          <w:b/>
          <w:sz w:val="18"/>
          <w:szCs w:val="18"/>
        </w:rPr>
        <w:t>Sole Parent</w:t>
      </w:r>
      <w:r w:rsidRPr="008A2535">
        <w:rPr>
          <w:b/>
          <w:sz w:val="18"/>
          <w:szCs w:val="18"/>
        </w:rPr>
        <w:t xml:space="preserve"> Support, at the end of </w:t>
      </w:r>
      <w:r>
        <w:rPr>
          <w:b/>
          <w:sz w:val="18"/>
          <w:szCs w:val="18"/>
        </w:rPr>
        <w:t>September</w:t>
      </w:r>
      <w:r w:rsidRPr="008A2535">
        <w:rPr>
          <w:b/>
          <w:sz w:val="18"/>
          <w:szCs w:val="18"/>
        </w:rPr>
        <w:t xml:space="preserve"> 200</w:t>
      </w:r>
      <w:r>
        <w:rPr>
          <w:b/>
          <w:sz w:val="18"/>
          <w:szCs w:val="18"/>
        </w:rPr>
        <w:t>8</w:t>
      </w:r>
      <w:r w:rsidRPr="008A2535">
        <w:rPr>
          <w:b/>
          <w:sz w:val="18"/>
          <w:szCs w:val="18"/>
        </w:rPr>
        <w:t>, 201</w:t>
      </w:r>
      <w:r>
        <w:rPr>
          <w:b/>
          <w:sz w:val="18"/>
          <w:szCs w:val="18"/>
        </w:rPr>
        <w:t>2</w:t>
      </w:r>
      <w:r w:rsidRPr="008A2535">
        <w:rPr>
          <w:b/>
          <w:sz w:val="18"/>
          <w:szCs w:val="18"/>
        </w:rPr>
        <w:t xml:space="preserve"> and 201</w:t>
      </w:r>
      <w:r>
        <w:rPr>
          <w:b/>
          <w:sz w:val="18"/>
          <w:szCs w:val="18"/>
        </w:rPr>
        <w:t>3</w:t>
      </w:r>
    </w:p>
    <w:tbl>
      <w:tblPr>
        <w:tblStyle w:val="LightList-Accent5"/>
        <w:tblW w:w="9673" w:type="dxa"/>
        <w:jc w:val="center"/>
        <w:tblInd w:w="653" w:type="dxa"/>
        <w:tblLayout w:type="fixed"/>
        <w:tblLook w:val="04A0" w:firstRow="1" w:lastRow="0" w:firstColumn="1" w:lastColumn="0" w:noHBand="0" w:noVBand="1"/>
      </w:tblPr>
      <w:tblGrid>
        <w:gridCol w:w="3736"/>
        <w:gridCol w:w="1118"/>
        <w:gridCol w:w="1447"/>
        <w:gridCol w:w="1388"/>
        <w:gridCol w:w="1134"/>
        <w:gridCol w:w="850"/>
      </w:tblGrid>
      <w:tr w:rsidR="009506D9" w:rsidRPr="005C100A" w:rsidTr="00C12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5C100A" w:rsidRDefault="009506D9" w:rsidP="00C1221A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9506D9" w:rsidRPr="005C100A" w:rsidRDefault="009506D9" w:rsidP="00C1221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</w:t>
            </w:r>
            <w:r w:rsidRPr="005C100A"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47" w:type="dxa"/>
          </w:tcPr>
          <w:p w:rsidR="009506D9" w:rsidRPr="005C100A" w:rsidRDefault="009506D9" w:rsidP="00C1221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</w:t>
            </w:r>
            <w:r w:rsidRPr="005C100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dxa"/>
          </w:tcPr>
          <w:p w:rsidR="009506D9" w:rsidRPr="005C100A" w:rsidRDefault="009506D9" w:rsidP="00C1221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</w:t>
            </w:r>
            <w:r w:rsidRPr="005C100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</w:tcPr>
          <w:p w:rsidR="009506D9" w:rsidRPr="005C100A" w:rsidRDefault="009506D9" w:rsidP="00C1221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C100A">
              <w:rPr>
                <w:sz w:val="18"/>
                <w:szCs w:val="18"/>
              </w:rPr>
              <w:t>Annual change</w:t>
            </w:r>
          </w:p>
        </w:tc>
      </w:tr>
      <w:tr w:rsidR="009506D9" w:rsidRPr="005C100A" w:rsidTr="00C1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5C100A" w:rsidRDefault="009506D9" w:rsidP="00C1221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Male</w:t>
            </w:r>
          </w:p>
        </w:tc>
        <w:tc>
          <w:tcPr>
            <w:tcW w:w="1118" w:type="dxa"/>
          </w:tcPr>
          <w:p w:rsidR="009506D9" w:rsidRPr="0087592F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7,021</w:t>
            </w:r>
          </w:p>
        </w:tc>
        <w:tc>
          <w:tcPr>
            <w:tcW w:w="1447" w:type="dxa"/>
            <w:vAlign w:val="center"/>
          </w:tcPr>
          <w:p w:rsidR="009506D9" w:rsidRPr="00421FCE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  8,141 </w:t>
            </w:r>
          </w:p>
        </w:tc>
        <w:tc>
          <w:tcPr>
            <w:tcW w:w="1388" w:type="dxa"/>
            <w:vAlign w:val="center"/>
          </w:tcPr>
          <w:p w:rsidR="009506D9" w:rsidRPr="00421FCE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  7,089 </w:t>
            </w:r>
          </w:p>
        </w:tc>
        <w:tc>
          <w:tcPr>
            <w:tcW w:w="1134" w:type="dxa"/>
            <w:vAlign w:val="center"/>
          </w:tcPr>
          <w:p w:rsidR="009506D9" w:rsidRPr="00421FCE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21FCE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850" w:type="dxa"/>
            <w:vAlign w:val="center"/>
          </w:tcPr>
          <w:p w:rsidR="009506D9" w:rsidRPr="00421FCE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>-13%</w:t>
            </w:r>
          </w:p>
        </w:tc>
      </w:tr>
      <w:tr w:rsidR="009506D9" w:rsidRPr="005C100A" w:rsidTr="00C122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5C100A" w:rsidRDefault="009506D9" w:rsidP="00C1221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Female</w:t>
            </w:r>
          </w:p>
        </w:tc>
        <w:tc>
          <w:tcPr>
            <w:tcW w:w="1118" w:type="dxa"/>
          </w:tcPr>
          <w:p w:rsidR="009506D9" w:rsidRPr="0087592F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72,157</w:t>
            </w:r>
          </w:p>
        </w:tc>
        <w:tc>
          <w:tcPr>
            <w:tcW w:w="1447" w:type="dxa"/>
            <w:vAlign w:val="center"/>
          </w:tcPr>
          <w:p w:rsidR="009506D9" w:rsidRPr="00421FCE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78,826 </w:t>
            </w:r>
          </w:p>
        </w:tc>
        <w:tc>
          <w:tcPr>
            <w:tcW w:w="1388" w:type="dxa"/>
            <w:vAlign w:val="center"/>
          </w:tcPr>
          <w:p w:rsidR="009506D9" w:rsidRPr="00421FCE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72,610 </w:t>
            </w:r>
          </w:p>
        </w:tc>
        <w:tc>
          <w:tcPr>
            <w:tcW w:w="1134" w:type="dxa"/>
            <w:vAlign w:val="center"/>
          </w:tcPr>
          <w:p w:rsidR="009506D9" w:rsidRPr="00421FCE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>-6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21FCE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50" w:type="dxa"/>
            <w:vAlign w:val="center"/>
          </w:tcPr>
          <w:p w:rsidR="009506D9" w:rsidRPr="00421FCE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>-8%</w:t>
            </w:r>
          </w:p>
        </w:tc>
      </w:tr>
      <w:tr w:rsidR="009506D9" w:rsidRPr="005C100A" w:rsidTr="00C1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5C100A" w:rsidRDefault="009506D9" w:rsidP="00C1221A">
            <w:pPr>
              <w:rPr>
                <w:b w:val="0"/>
                <w:sz w:val="18"/>
                <w:szCs w:val="18"/>
              </w:rPr>
            </w:pPr>
            <w:r w:rsidRPr="000F6099">
              <w:rPr>
                <w:b w:val="0"/>
                <w:sz w:val="18"/>
                <w:szCs w:val="18"/>
              </w:rPr>
              <w:t>Mäori</w:t>
            </w:r>
          </w:p>
        </w:tc>
        <w:tc>
          <w:tcPr>
            <w:tcW w:w="1118" w:type="dxa"/>
          </w:tcPr>
          <w:p w:rsidR="009506D9" w:rsidRPr="0087592F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34,140</w:t>
            </w:r>
          </w:p>
        </w:tc>
        <w:tc>
          <w:tcPr>
            <w:tcW w:w="1447" w:type="dxa"/>
            <w:vAlign w:val="center"/>
          </w:tcPr>
          <w:p w:rsidR="009506D9" w:rsidRPr="00421FCE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38,886 </w:t>
            </w:r>
          </w:p>
        </w:tc>
        <w:tc>
          <w:tcPr>
            <w:tcW w:w="1388" w:type="dxa"/>
            <w:vAlign w:val="center"/>
          </w:tcPr>
          <w:p w:rsidR="009506D9" w:rsidRPr="00421FCE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36,389 </w:t>
            </w:r>
          </w:p>
        </w:tc>
        <w:tc>
          <w:tcPr>
            <w:tcW w:w="1134" w:type="dxa"/>
            <w:vAlign w:val="bottom"/>
          </w:tcPr>
          <w:p w:rsidR="009506D9" w:rsidRPr="005477D1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-2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77D1">
              <w:rPr>
                <w:color w:val="000000"/>
                <w:sz w:val="18"/>
                <w:szCs w:val="18"/>
              </w:rPr>
              <w:t>497</w:t>
            </w:r>
          </w:p>
        </w:tc>
        <w:tc>
          <w:tcPr>
            <w:tcW w:w="850" w:type="dxa"/>
            <w:vAlign w:val="bottom"/>
          </w:tcPr>
          <w:p w:rsidR="009506D9" w:rsidRPr="005477D1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-6%</w:t>
            </w:r>
          </w:p>
        </w:tc>
      </w:tr>
      <w:tr w:rsidR="009506D9" w:rsidRPr="005C100A" w:rsidTr="00C122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5C100A" w:rsidRDefault="009506D9" w:rsidP="00C1221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Pacific people</w:t>
            </w:r>
          </w:p>
        </w:tc>
        <w:tc>
          <w:tcPr>
            <w:tcW w:w="1118" w:type="dxa"/>
          </w:tcPr>
          <w:p w:rsidR="009506D9" w:rsidRPr="0087592F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7,999</w:t>
            </w:r>
          </w:p>
        </w:tc>
        <w:tc>
          <w:tcPr>
            <w:tcW w:w="1447" w:type="dxa"/>
            <w:vAlign w:val="center"/>
          </w:tcPr>
          <w:p w:rsidR="009506D9" w:rsidRPr="00421FCE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  8,792 </w:t>
            </w:r>
          </w:p>
        </w:tc>
        <w:tc>
          <w:tcPr>
            <w:tcW w:w="1388" w:type="dxa"/>
            <w:vAlign w:val="center"/>
          </w:tcPr>
          <w:p w:rsidR="009506D9" w:rsidRPr="00421FCE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  7,841 </w:t>
            </w:r>
          </w:p>
        </w:tc>
        <w:tc>
          <w:tcPr>
            <w:tcW w:w="1134" w:type="dxa"/>
            <w:vAlign w:val="bottom"/>
          </w:tcPr>
          <w:p w:rsidR="009506D9" w:rsidRPr="005477D1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-951</w:t>
            </w:r>
          </w:p>
        </w:tc>
        <w:tc>
          <w:tcPr>
            <w:tcW w:w="850" w:type="dxa"/>
            <w:vAlign w:val="bottom"/>
          </w:tcPr>
          <w:p w:rsidR="009506D9" w:rsidRPr="005477D1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-11%</w:t>
            </w:r>
          </w:p>
        </w:tc>
      </w:tr>
      <w:tr w:rsidR="009506D9" w:rsidRPr="005C100A" w:rsidTr="00C1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5C100A" w:rsidRDefault="009506D9" w:rsidP="00C1221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NZ European</w:t>
            </w:r>
          </w:p>
        </w:tc>
        <w:tc>
          <w:tcPr>
            <w:tcW w:w="1118" w:type="dxa"/>
          </w:tcPr>
          <w:p w:rsidR="009506D9" w:rsidRPr="0087592F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29,496</w:t>
            </w:r>
          </w:p>
        </w:tc>
        <w:tc>
          <w:tcPr>
            <w:tcW w:w="1447" w:type="dxa"/>
            <w:vAlign w:val="center"/>
          </w:tcPr>
          <w:p w:rsidR="009506D9" w:rsidRPr="00421FCE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30,516 </w:t>
            </w:r>
          </w:p>
        </w:tc>
        <w:tc>
          <w:tcPr>
            <w:tcW w:w="1388" w:type="dxa"/>
            <w:vAlign w:val="center"/>
          </w:tcPr>
          <w:p w:rsidR="009506D9" w:rsidRPr="00421FCE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27,640 </w:t>
            </w:r>
          </w:p>
        </w:tc>
        <w:tc>
          <w:tcPr>
            <w:tcW w:w="1134" w:type="dxa"/>
            <w:vAlign w:val="bottom"/>
          </w:tcPr>
          <w:p w:rsidR="009506D9" w:rsidRPr="005477D1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-2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77D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50" w:type="dxa"/>
            <w:vAlign w:val="bottom"/>
          </w:tcPr>
          <w:p w:rsidR="009506D9" w:rsidRPr="005477D1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-9%</w:t>
            </w:r>
          </w:p>
        </w:tc>
      </w:tr>
      <w:tr w:rsidR="009506D9" w:rsidRPr="005C100A" w:rsidTr="00C122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B1362A" w:rsidRDefault="009506D9" w:rsidP="00C1221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All o</w:t>
            </w:r>
            <w:r w:rsidRPr="00B1362A">
              <w:rPr>
                <w:b w:val="0"/>
                <w:sz w:val="18"/>
                <w:szCs w:val="18"/>
              </w:rPr>
              <w:t>ther ethnicit</w:t>
            </w:r>
            <w:r>
              <w:rPr>
                <w:b w:val="0"/>
                <w:sz w:val="18"/>
                <w:szCs w:val="18"/>
              </w:rPr>
              <w:t>ies* / unspecified</w:t>
            </w:r>
          </w:p>
        </w:tc>
        <w:tc>
          <w:tcPr>
            <w:tcW w:w="1118" w:type="dxa"/>
          </w:tcPr>
          <w:p w:rsidR="009506D9" w:rsidRPr="00B1362A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1362A">
              <w:rPr>
                <w:color w:val="000000"/>
                <w:sz w:val="18"/>
                <w:szCs w:val="18"/>
              </w:rPr>
              <w:t>7,543</w:t>
            </w:r>
          </w:p>
        </w:tc>
        <w:tc>
          <w:tcPr>
            <w:tcW w:w="1447" w:type="dxa"/>
          </w:tcPr>
          <w:p w:rsidR="009506D9" w:rsidRPr="00B1362A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1362A">
              <w:rPr>
                <w:color w:val="000000"/>
                <w:sz w:val="18"/>
                <w:szCs w:val="18"/>
              </w:rPr>
              <w:t>8,773</w:t>
            </w:r>
          </w:p>
        </w:tc>
        <w:tc>
          <w:tcPr>
            <w:tcW w:w="1388" w:type="dxa"/>
          </w:tcPr>
          <w:p w:rsidR="009506D9" w:rsidRPr="00B1362A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1362A">
              <w:rPr>
                <w:color w:val="000000"/>
                <w:sz w:val="18"/>
                <w:szCs w:val="18"/>
              </w:rPr>
              <w:t>7,829</w:t>
            </w:r>
          </w:p>
        </w:tc>
        <w:tc>
          <w:tcPr>
            <w:tcW w:w="1134" w:type="dxa"/>
          </w:tcPr>
          <w:p w:rsidR="009506D9" w:rsidRPr="00B1362A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B1362A">
              <w:rPr>
                <w:color w:val="000000"/>
                <w:sz w:val="18"/>
                <w:szCs w:val="18"/>
              </w:rPr>
              <w:t>-944</w:t>
            </w:r>
          </w:p>
        </w:tc>
        <w:tc>
          <w:tcPr>
            <w:tcW w:w="850" w:type="dxa"/>
            <w:vAlign w:val="bottom"/>
          </w:tcPr>
          <w:p w:rsidR="009506D9" w:rsidRPr="005477D1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-11%</w:t>
            </w:r>
          </w:p>
        </w:tc>
      </w:tr>
      <w:tr w:rsidR="009506D9" w:rsidRPr="005C100A" w:rsidTr="00C1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5C100A" w:rsidRDefault="009506D9" w:rsidP="00C1221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18-24</w:t>
            </w:r>
          </w:p>
        </w:tc>
        <w:tc>
          <w:tcPr>
            <w:tcW w:w="1118" w:type="dxa"/>
          </w:tcPr>
          <w:p w:rsidR="009506D9" w:rsidRPr="0087592F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16,862</w:t>
            </w:r>
          </w:p>
        </w:tc>
        <w:tc>
          <w:tcPr>
            <w:tcW w:w="1447" w:type="dxa"/>
            <w:vAlign w:val="bottom"/>
          </w:tcPr>
          <w:p w:rsidR="009506D9" w:rsidRPr="00421FCE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19,590 </w:t>
            </w:r>
          </w:p>
        </w:tc>
        <w:tc>
          <w:tcPr>
            <w:tcW w:w="1388" w:type="dxa"/>
            <w:vAlign w:val="bottom"/>
          </w:tcPr>
          <w:p w:rsidR="009506D9" w:rsidRPr="00421FCE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17,837 </w:t>
            </w:r>
          </w:p>
        </w:tc>
        <w:tc>
          <w:tcPr>
            <w:tcW w:w="1134" w:type="dxa"/>
            <w:vAlign w:val="bottom"/>
          </w:tcPr>
          <w:p w:rsidR="009506D9" w:rsidRPr="005477D1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77D1">
              <w:rPr>
                <w:color w:val="000000"/>
                <w:sz w:val="18"/>
                <w:szCs w:val="18"/>
              </w:rPr>
              <w:t>753</w:t>
            </w:r>
          </w:p>
        </w:tc>
        <w:tc>
          <w:tcPr>
            <w:tcW w:w="850" w:type="dxa"/>
            <w:vAlign w:val="bottom"/>
          </w:tcPr>
          <w:p w:rsidR="009506D9" w:rsidRPr="005477D1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-9%</w:t>
            </w:r>
          </w:p>
        </w:tc>
      </w:tr>
      <w:tr w:rsidR="009506D9" w:rsidRPr="005C100A" w:rsidTr="00C122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5C100A" w:rsidRDefault="009506D9" w:rsidP="00C1221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25-39</w:t>
            </w:r>
          </w:p>
        </w:tc>
        <w:tc>
          <w:tcPr>
            <w:tcW w:w="1118" w:type="dxa"/>
          </w:tcPr>
          <w:p w:rsidR="009506D9" w:rsidRPr="0087592F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43,725</w:t>
            </w:r>
          </w:p>
        </w:tc>
        <w:tc>
          <w:tcPr>
            <w:tcW w:w="1447" w:type="dxa"/>
            <w:vAlign w:val="bottom"/>
          </w:tcPr>
          <w:p w:rsidR="009506D9" w:rsidRPr="00421FCE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46,114 </w:t>
            </w:r>
          </w:p>
        </w:tc>
        <w:tc>
          <w:tcPr>
            <w:tcW w:w="1388" w:type="dxa"/>
            <w:vAlign w:val="bottom"/>
          </w:tcPr>
          <w:p w:rsidR="009506D9" w:rsidRPr="00421FCE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42,455 </w:t>
            </w:r>
          </w:p>
        </w:tc>
        <w:tc>
          <w:tcPr>
            <w:tcW w:w="1134" w:type="dxa"/>
            <w:vAlign w:val="bottom"/>
          </w:tcPr>
          <w:p w:rsidR="009506D9" w:rsidRPr="005477D1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-3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77D1">
              <w:rPr>
                <w:color w:val="000000"/>
                <w:sz w:val="18"/>
                <w:szCs w:val="18"/>
              </w:rPr>
              <w:t>659</w:t>
            </w:r>
          </w:p>
        </w:tc>
        <w:tc>
          <w:tcPr>
            <w:tcW w:w="850" w:type="dxa"/>
            <w:vAlign w:val="bottom"/>
          </w:tcPr>
          <w:p w:rsidR="009506D9" w:rsidRPr="005477D1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-8%</w:t>
            </w:r>
          </w:p>
        </w:tc>
      </w:tr>
      <w:tr w:rsidR="009506D9" w:rsidRPr="005C100A" w:rsidTr="00C1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5C100A" w:rsidRDefault="009506D9" w:rsidP="00C1221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40-54</w:t>
            </w:r>
          </w:p>
        </w:tc>
        <w:tc>
          <w:tcPr>
            <w:tcW w:w="1118" w:type="dxa"/>
          </w:tcPr>
          <w:p w:rsidR="009506D9" w:rsidRPr="0087592F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17,741</w:t>
            </w:r>
          </w:p>
        </w:tc>
        <w:tc>
          <w:tcPr>
            <w:tcW w:w="1447" w:type="dxa"/>
            <w:vAlign w:val="bottom"/>
          </w:tcPr>
          <w:p w:rsidR="009506D9" w:rsidRPr="00421FCE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20,202 </w:t>
            </w:r>
          </w:p>
        </w:tc>
        <w:tc>
          <w:tcPr>
            <w:tcW w:w="1388" w:type="dxa"/>
            <w:vAlign w:val="bottom"/>
          </w:tcPr>
          <w:p w:rsidR="009506D9" w:rsidRPr="00421FCE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18,348 </w:t>
            </w:r>
          </w:p>
        </w:tc>
        <w:tc>
          <w:tcPr>
            <w:tcW w:w="1134" w:type="dxa"/>
            <w:vAlign w:val="bottom"/>
          </w:tcPr>
          <w:p w:rsidR="009506D9" w:rsidRPr="005477D1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5477D1">
              <w:rPr>
                <w:color w:val="000000"/>
                <w:sz w:val="18"/>
                <w:szCs w:val="18"/>
              </w:rPr>
              <w:t>854</w:t>
            </w:r>
          </w:p>
        </w:tc>
        <w:tc>
          <w:tcPr>
            <w:tcW w:w="850" w:type="dxa"/>
            <w:vAlign w:val="bottom"/>
          </w:tcPr>
          <w:p w:rsidR="009506D9" w:rsidRPr="005477D1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-9%</w:t>
            </w:r>
          </w:p>
        </w:tc>
      </w:tr>
      <w:tr w:rsidR="009506D9" w:rsidRPr="005C100A" w:rsidTr="00C122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5C100A" w:rsidRDefault="009506D9" w:rsidP="00C1221A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55-64</w:t>
            </w:r>
          </w:p>
        </w:tc>
        <w:tc>
          <w:tcPr>
            <w:tcW w:w="1118" w:type="dxa"/>
          </w:tcPr>
          <w:p w:rsidR="009506D9" w:rsidRPr="0087592F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7" w:type="dxa"/>
            <w:vAlign w:val="bottom"/>
          </w:tcPr>
          <w:p w:rsidR="009506D9" w:rsidRPr="00421FCE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  1,061 </w:t>
            </w:r>
          </w:p>
        </w:tc>
        <w:tc>
          <w:tcPr>
            <w:tcW w:w="1388" w:type="dxa"/>
            <w:vAlign w:val="bottom"/>
          </w:tcPr>
          <w:p w:rsidR="009506D9" w:rsidRPr="00421FCE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421FCE">
              <w:rPr>
                <w:color w:val="000000"/>
                <w:sz w:val="18"/>
                <w:szCs w:val="18"/>
              </w:rPr>
              <w:t xml:space="preserve">         1,059 </w:t>
            </w:r>
          </w:p>
        </w:tc>
        <w:tc>
          <w:tcPr>
            <w:tcW w:w="1134" w:type="dxa"/>
            <w:vAlign w:val="bottom"/>
          </w:tcPr>
          <w:p w:rsidR="009506D9" w:rsidRPr="005477D1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-2</w:t>
            </w:r>
          </w:p>
        </w:tc>
        <w:tc>
          <w:tcPr>
            <w:tcW w:w="850" w:type="dxa"/>
            <w:vAlign w:val="bottom"/>
          </w:tcPr>
          <w:p w:rsidR="009506D9" w:rsidRPr="005477D1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477D1">
              <w:rPr>
                <w:color w:val="000000"/>
                <w:sz w:val="18"/>
                <w:szCs w:val="18"/>
              </w:rPr>
              <w:t>0%</w:t>
            </w:r>
          </w:p>
        </w:tc>
      </w:tr>
      <w:tr w:rsidR="009506D9" w:rsidRPr="005C100A" w:rsidTr="00C1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8A2535" w:rsidRDefault="009506D9" w:rsidP="00C1221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Continuous d</w:t>
            </w:r>
            <w:r w:rsidRPr="008A2535">
              <w:rPr>
                <w:b w:val="0"/>
                <w:sz w:val="18"/>
                <w:szCs w:val="18"/>
              </w:rPr>
              <w:t xml:space="preserve">uration on </w:t>
            </w:r>
            <w:r>
              <w:rPr>
                <w:b w:val="0"/>
                <w:sz w:val="18"/>
                <w:szCs w:val="18"/>
              </w:rPr>
              <w:t>any</w:t>
            </w:r>
            <w:r w:rsidRPr="008A2535">
              <w:rPr>
                <w:b w:val="0"/>
                <w:sz w:val="18"/>
                <w:szCs w:val="18"/>
              </w:rPr>
              <w:t xml:space="preserve"> benefit</w:t>
            </w:r>
          </w:p>
        </w:tc>
        <w:tc>
          <w:tcPr>
            <w:tcW w:w="1118" w:type="dxa"/>
          </w:tcPr>
          <w:p w:rsidR="009506D9" w:rsidRPr="005C100A" w:rsidRDefault="009506D9" w:rsidP="00C1221A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9506D9" w:rsidRPr="005C100A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9506D9" w:rsidRPr="005C100A" w:rsidRDefault="009506D9" w:rsidP="00C1221A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06D9" w:rsidRPr="005C100A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06D9" w:rsidRPr="005C100A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06D9" w:rsidRPr="005C100A" w:rsidTr="00C122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8A2535" w:rsidRDefault="009506D9" w:rsidP="00C1221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One year or less</w:t>
            </w:r>
          </w:p>
        </w:tc>
        <w:tc>
          <w:tcPr>
            <w:tcW w:w="1118" w:type="dxa"/>
          </w:tcPr>
          <w:p w:rsidR="009506D9" w:rsidRPr="005A6FF2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A6FF2">
              <w:rPr>
                <w:color w:val="000000"/>
                <w:sz w:val="18"/>
                <w:szCs w:val="18"/>
              </w:rPr>
              <w:t>18,387</w:t>
            </w:r>
          </w:p>
        </w:tc>
        <w:tc>
          <w:tcPr>
            <w:tcW w:w="1447" w:type="dxa"/>
          </w:tcPr>
          <w:p w:rsidR="009506D9" w:rsidRPr="005A6FF2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A6FF2">
              <w:rPr>
                <w:color w:val="000000"/>
                <w:sz w:val="18"/>
                <w:szCs w:val="18"/>
              </w:rPr>
              <w:t>16,021</w:t>
            </w:r>
          </w:p>
        </w:tc>
        <w:tc>
          <w:tcPr>
            <w:tcW w:w="1388" w:type="dxa"/>
          </w:tcPr>
          <w:p w:rsidR="009506D9" w:rsidRPr="00A326E9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326E9">
              <w:rPr>
                <w:color w:val="000000"/>
                <w:sz w:val="18"/>
                <w:szCs w:val="18"/>
              </w:rPr>
              <w:t>14,406</w:t>
            </w:r>
          </w:p>
        </w:tc>
        <w:tc>
          <w:tcPr>
            <w:tcW w:w="1134" w:type="dxa"/>
            <w:vAlign w:val="bottom"/>
          </w:tcPr>
          <w:p w:rsidR="009506D9" w:rsidRPr="00232C1A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-1,615</w:t>
            </w:r>
          </w:p>
        </w:tc>
        <w:tc>
          <w:tcPr>
            <w:tcW w:w="850" w:type="dxa"/>
            <w:vAlign w:val="bottom"/>
          </w:tcPr>
          <w:p w:rsidR="009506D9" w:rsidRPr="00232C1A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-10%</w:t>
            </w:r>
          </w:p>
        </w:tc>
      </w:tr>
      <w:tr w:rsidR="009506D9" w:rsidRPr="005C100A" w:rsidTr="00C1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8A2535" w:rsidRDefault="009506D9" w:rsidP="00C1221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More than one year</w:t>
            </w:r>
          </w:p>
        </w:tc>
        <w:tc>
          <w:tcPr>
            <w:tcW w:w="1118" w:type="dxa"/>
          </w:tcPr>
          <w:p w:rsidR="009506D9" w:rsidRPr="005A6FF2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A6FF2">
              <w:rPr>
                <w:color w:val="000000"/>
                <w:sz w:val="18"/>
                <w:szCs w:val="18"/>
              </w:rPr>
              <w:t>60,791</w:t>
            </w:r>
          </w:p>
        </w:tc>
        <w:tc>
          <w:tcPr>
            <w:tcW w:w="1447" w:type="dxa"/>
          </w:tcPr>
          <w:p w:rsidR="009506D9" w:rsidRPr="005A6FF2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5A6FF2">
              <w:rPr>
                <w:color w:val="000000"/>
                <w:sz w:val="18"/>
                <w:szCs w:val="18"/>
              </w:rPr>
              <w:t>70,946</w:t>
            </w:r>
          </w:p>
        </w:tc>
        <w:tc>
          <w:tcPr>
            <w:tcW w:w="1388" w:type="dxa"/>
          </w:tcPr>
          <w:p w:rsidR="009506D9" w:rsidRPr="00A326E9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A326E9">
              <w:rPr>
                <w:color w:val="000000"/>
                <w:sz w:val="18"/>
                <w:szCs w:val="18"/>
              </w:rPr>
              <w:t>65,293</w:t>
            </w:r>
          </w:p>
        </w:tc>
        <w:tc>
          <w:tcPr>
            <w:tcW w:w="1134" w:type="dxa"/>
            <w:vAlign w:val="bottom"/>
          </w:tcPr>
          <w:p w:rsidR="009506D9" w:rsidRPr="00232C1A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-5,653</w:t>
            </w:r>
          </w:p>
        </w:tc>
        <w:tc>
          <w:tcPr>
            <w:tcW w:w="850" w:type="dxa"/>
            <w:vAlign w:val="bottom"/>
          </w:tcPr>
          <w:p w:rsidR="009506D9" w:rsidRPr="00232C1A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-8%</w:t>
            </w:r>
          </w:p>
        </w:tc>
      </w:tr>
      <w:tr w:rsidR="009506D9" w:rsidRPr="005C100A" w:rsidTr="00C122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8A2535" w:rsidRDefault="009506D9" w:rsidP="00C1221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Caring for a dependent child</w:t>
            </w:r>
          </w:p>
        </w:tc>
        <w:tc>
          <w:tcPr>
            <w:tcW w:w="1118" w:type="dxa"/>
          </w:tcPr>
          <w:p w:rsidR="009506D9" w:rsidRPr="005C100A" w:rsidRDefault="009506D9" w:rsidP="00C1221A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9506D9" w:rsidRPr="0020701D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9506D9" w:rsidRPr="0020701D" w:rsidRDefault="009506D9" w:rsidP="00C1221A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06D9" w:rsidRPr="0020701D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06D9" w:rsidRPr="005C100A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06D9" w:rsidRPr="005C100A" w:rsidTr="00C1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7732CF" w:rsidRDefault="009506D9" w:rsidP="00C1221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U</w:t>
            </w:r>
            <w:r w:rsidRPr="007732CF">
              <w:rPr>
                <w:b w:val="0"/>
                <w:sz w:val="18"/>
                <w:szCs w:val="18"/>
              </w:rPr>
              <w:t>nder 5 years</w:t>
            </w:r>
          </w:p>
        </w:tc>
        <w:tc>
          <w:tcPr>
            <w:tcW w:w="1118" w:type="dxa"/>
          </w:tcPr>
          <w:p w:rsidR="009506D9" w:rsidRPr="0087592F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42,263</w:t>
            </w:r>
          </w:p>
        </w:tc>
        <w:tc>
          <w:tcPr>
            <w:tcW w:w="1447" w:type="dxa"/>
          </w:tcPr>
          <w:p w:rsidR="009506D9" w:rsidRPr="0087592F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47,872</w:t>
            </w:r>
          </w:p>
        </w:tc>
        <w:tc>
          <w:tcPr>
            <w:tcW w:w="1388" w:type="dxa"/>
            <w:vAlign w:val="center"/>
          </w:tcPr>
          <w:p w:rsidR="009506D9" w:rsidRPr="0020701D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061F3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4,420</w:t>
            </w:r>
          </w:p>
        </w:tc>
        <w:tc>
          <w:tcPr>
            <w:tcW w:w="1134" w:type="dxa"/>
            <w:vAlign w:val="center"/>
          </w:tcPr>
          <w:p w:rsidR="009506D9" w:rsidRPr="0020701D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-4,737</w:t>
            </w:r>
          </w:p>
        </w:tc>
        <w:tc>
          <w:tcPr>
            <w:tcW w:w="850" w:type="dxa"/>
            <w:vAlign w:val="center"/>
          </w:tcPr>
          <w:p w:rsidR="009506D9" w:rsidRPr="005C100A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-10%</w:t>
            </w:r>
          </w:p>
        </w:tc>
      </w:tr>
      <w:tr w:rsidR="009506D9" w:rsidRPr="005C100A" w:rsidTr="00C122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7732CF" w:rsidRDefault="009506D9" w:rsidP="00C1221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</w:t>
            </w:r>
            <w:r w:rsidRPr="007732CF">
              <w:rPr>
                <w:b w:val="0"/>
                <w:sz w:val="18"/>
                <w:szCs w:val="18"/>
              </w:rPr>
              <w:t>5-13 years</w:t>
            </w:r>
          </w:p>
        </w:tc>
        <w:tc>
          <w:tcPr>
            <w:tcW w:w="1118" w:type="dxa"/>
          </w:tcPr>
          <w:p w:rsidR="009506D9" w:rsidRPr="0087592F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36,771</w:t>
            </w:r>
          </w:p>
        </w:tc>
        <w:tc>
          <w:tcPr>
            <w:tcW w:w="1447" w:type="dxa"/>
          </w:tcPr>
          <w:p w:rsidR="009506D9" w:rsidRPr="0087592F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87592F">
              <w:rPr>
                <w:color w:val="000000"/>
                <w:sz w:val="18"/>
                <w:szCs w:val="18"/>
              </w:rPr>
              <w:t>38,949</w:t>
            </w:r>
          </w:p>
        </w:tc>
        <w:tc>
          <w:tcPr>
            <w:tcW w:w="1388" w:type="dxa"/>
            <w:vAlign w:val="center"/>
          </w:tcPr>
          <w:p w:rsidR="009506D9" w:rsidRPr="0020701D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9061F3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5,217</w:t>
            </w:r>
          </w:p>
        </w:tc>
        <w:tc>
          <w:tcPr>
            <w:tcW w:w="1134" w:type="dxa"/>
            <w:vAlign w:val="center"/>
          </w:tcPr>
          <w:p w:rsidR="009506D9" w:rsidRPr="0020701D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-2,563</w:t>
            </w:r>
          </w:p>
        </w:tc>
        <w:tc>
          <w:tcPr>
            <w:tcW w:w="850" w:type="dxa"/>
            <w:vAlign w:val="center"/>
          </w:tcPr>
          <w:p w:rsidR="009506D9" w:rsidRPr="005C100A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-7%</w:t>
            </w:r>
          </w:p>
        </w:tc>
      </w:tr>
      <w:tr w:rsidR="009506D9" w:rsidRPr="005C100A" w:rsidTr="00C1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FC3231" w:rsidRDefault="009506D9" w:rsidP="00C1221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</w:t>
            </w:r>
            <w:r w:rsidRPr="00FC3231">
              <w:rPr>
                <w:b w:val="0"/>
                <w:sz w:val="18"/>
                <w:szCs w:val="18"/>
              </w:rPr>
              <w:t>Unspecified child age</w:t>
            </w:r>
          </w:p>
        </w:tc>
        <w:tc>
          <w:tcPr>
            <w:tcW w:w="1118" w:type="dxa"/>
          </w:tcPr>
          <w:p w:rsidR="009506D9" w:rsidRPr="0087592F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47" w:type="dxa"/>
          </w:tcPr>
          <w:p w:rsidR="009506D9" w:rsidRPr="0087592F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1388" w:type="dxa"/>
            <w:vAlign w:val="center"/>
          </w:tcPr>
          <w:p w:rsidR="009506D9" w:rsidRPr="009061F3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134" w:type="dxa"/>
            <w:vAlign w:val="center"/>
          </w:tcPr>
          <w:p w:rsidR="009506D9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-84</w:t>
            </w:r>
          </w:p>
        </w:tc>
        <w:tc>
          <w:tcPr>
            <w:tcW w:w="850" w:type="dxa"/>
            <w:vAlign w:val="center"/>
          </w:tcPr>
          <w:p w:rsidR="009506D9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-58%</w:t>
            </w:r>
          </w:p>
        </w:tc>
      </w:tr>
      <w:tr w:rsidR="009506D9" w:rsidRPr="005C100A" w:rsidTr="00C1221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8A2535" w:rsidRDefault="009506D9" w:rsidP="00C1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recipients of SPS</w:t>
            </w:r>
          </w:p>
        </w:tc>
        <w:tc>
          <w:tcPr>
            <w:tcW w:w="1118" w:type="dxa"/>
          </w:tcPr>
          <w:p w:rsidR="009506D9" w:rsidRPr="008A2535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25C88">
              <w:rPr>
                <w:b/>
                <w:sz w:val="18"/>
                <w:szCs w:val="18"/>
              </w:rPr>
              <w:t>79,178</w:t>
            </w:r>
          </w:p>
        </w:tc>
        <w:tc>
          <w:tcPr>
            <w:tcW w:w="1447" w:type="dxa"/>
            <w:vAlign w:val="center"/>
          </w:tcPr>
          <w:p w:rsidR="009506D9" w:rsidRPr="00FC2F83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FC2F83">
              <w:rPr>
                <w:b/>
                <w:color w:val="000000"/>
                <w:sz w:val="18"/>
                <w:szCs w:val="18"/>
              </w:rPr>
              <w:t xml:space="preserve">       86,967 </w:t>
            </w:r>
          </w:p>
        </w:tc>
        <w:tc>
          <w:tcPr>
            <w:tcW w:w="1388" w:type="dxa"/>
            <w:vAlign w:val="center"/>
          </w:tcPr>
          <w:p w:rsidR="009506D9" w:rsidRPr="00FC2F83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FC2F83">
              <w:rPr>
                <w:b/>
                <w:color w:val="000000"/>
                <w:sz w:val="18"/>
                <w:szCs w:val="18"/>
              </w:rPr>
              <w:t xml:space="preserve">       79,699 </w:t>
            </w:r>
          </w:p>
        </w:tc>
        <w:tc>
          <w:tcPr>
            <w:tcW w:w="1134" w:type="dxa"/>
            <w:vAlign w:val="center"/>
          </w:tcPr>
          <w:p w:rsidR="009506D9" w:rsidRPr="00FC2F83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FC2F83">
              <w:rPr>
                <w:b/>
                <w:color w:val="000000"/>
                <w:sz w:val="18"/>
                <w:szCs w:val="18"/>
              </w:rPr>
              <w:t>-7,268</w:t>
            </w:r>
          </w:p>
        </w:tc>
        <w:tc>
          <w:tcPr>
            <w:tcW w:w="850" w:type="dxa"/>
            <w:vAlign w:val="center"/>
          </w:tcPr>
          <w:p w:rsidR="009506D9" w:rsidRPr="00FC2F83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FC2F83">
              <w:rPr>
                <w:b/>
                <w:color w:val="000000"/>
                <w:sz w:val="18"/>
                <w:szCs w:val="18"/>
              </w:rPr>
              <w:t>-8%</w:t>
            </w:r>
          </w:p>
        </w:tc>
      </w:tr>
      <w:tr w:rsidR="009506D9" w:rsidRPr="005C100A" w:rsidTr="00C12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9506D9" w:rsidRPr="005C100A" w:rsidRDefault="009506D9" w:rsidP="00C1221A">
            <w:pPr>
              <w:rPr>
                <w:b w:val="0"/>
                <w:i/>
                <w:sz w:val="18"/>
                <w:szCs w:val="18"/>
              </w:rPr>
            </w:pPr>
            <w:r w:rsidRPr="005C100A">
              <w:rPr>
                <w:b w:val="0"/>
                <w:i/>
                <w:sz w:val="18"/>
                <w:szCs w:val="18"/>
              </w:rPr>
              <w:t>Percentage of</w:t>
            </w:r>
            <w:r>
              <w:rPr>
                <w:b w:val="0"/>
                <w:i/>
                <w:sz w:val="18"/>
                <w:szCs w:val="18"/>
              </w:rPr>
              <w:t xml:space="preserve"> working-age main benefit population receiving SPS</w:t>
            </w:r>
          </w:p>
        </w:tc>
        <w:tc>
          <w:tcPr>
            <w:tcW w:w="1118" w:type="dxa"/>
          </w:tcPr>
          <w:p w:rsidR="009506D9" w:rsidRPr="005C100A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29%</w:t>
            </w:r>
          </w:p>
        </w:tc>
        <w:tc>
          <w:tcPr>
            <w:tcW w:w="1447" w:type="dxa"/>
          </w:tcPr>
          <w:p w:rsidR="009506D9" w:rsidRPr="005C100A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27%</w:t>
            </w:r>
          </w:p>
        </w:tc>
        <w:tc>
          <w:tcPr>
            <w:tcW w:w="1388" w:type="dxa"/>
          </w:tcPr>
          <w:p w:rsidR="009506D9" w:rsidRPr="005C100A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26%</w:t>
            </w:r>
          </w:p>
        </w:tc>
        <w:tc>
          <w:tcPr>
            <w:tcW w:w="1134" w:type="dxa"/>
          </w:tcPr>
          <w:p w:rsidR="009506D9" w:rsidRPr="005C100A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9506D9" w:rsidRPr="005C100A" w:rsidRDefault="009506D9" w:rsidP="00C122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  <w:tr w:rsidR="009506D9" w:rsidRPr="005C100A" w:rsidTr="00C1221A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  <w:shd w:val="clear" w:color="auto" w:fill="auto"/>
          </w:tcPr>
          <w:p w:rsidR="009506D9" w:rsidRPr="00DB3F44" w:rsidRDefault="009506D9" w:rsidP="00C1221A">
            <w:pPr>
              <w:rPr>
                <w:b w:val="0"/>
                <w:i/>
                <w:sz w:val="18"/>
                <w:szCs w:val="18"/>
              </w:rPr>
            </w:pPr>
            <w:r w:rsidRPr="00DB3F44">
              <w:rPr>
                <w:b w:val="0"/>
                <w:i/>
                <w:sz w:val="18"/>
                <w:szCs w:val="18"/>
              </w:rPr>
              <w:lastRenderedPageBreak/>
              <w:t>Percentage of working-age population receiving SPS</w:t>
            </w:r>
          </w:p>
        </w:tc>
        <w:tc>
          <w:tcPr>
            <w:tcW w:w="1118" w:type="dxa"/>
            <w:shd w:val="clear" w:color="auto" w:fill="auto"/>
          </w:tcPr>
          <w:p w:rsidR="009506D9" w:rsidRPr="00DB3F44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DB3F44">
              <w:rPr>
                <w:i/>
                <w:sz w:val="18"/>
                <w:szCs w:val="18"/>
              </w:rPr>
              <w:t>3.0%</w:t>
            </w:r>
          </w:p>
        </w:tc>
        <w:tc>
          <w:tcPr>
            <w:tcW w:w="1447" w:type="dxa"/>
            <w:shd w:val="clear" w:color="auto" w:fill="auto"/>
          </w:tcPr>
          <w:p w:rsidR="009506D9" w:rsidRPr="00DB3F44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DB3F44">
              <w:rPr>
                <w:i/>
                <w:sz w:val="18"/>
                <w:szCs w:val="18"/>
              </w:rPr>
              <w:t>3.2%</w:t>
            </w:r>
          </w:p>
        </w:tc>
        <w:tc>
          <w:tcPr>
            <w:tcW w:w="1388" w:type="dxa"/>
            <w:shd w:val="clear" w:color="auto" w:fill="auto"/>
          </w:tcPr>
          <w:p w:rsidR="009506D9" w:rsidRPr="00DB3F44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DB3F44">
              <w:rPr>
                <w:i/>
                <w:sz w:val="18"/>
                <w:szCs w:val="18"/>
              </w:rPr>
              <w:t>2.9%</w:t>
            </w:r>
          </w:p>
        </w:tc>
        <w:tc>
          <w:tcPr>
            <w:tcW w:w="1134" w:type="dxa"/>
          </w:tcPr>
          <w:p w:rsidR="009506D9" w:rsidRPr="005C100A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9506D9" w:rsidRPr="005C100A" w:rsidRDefault="009506D9" w:rsidP="00C122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</w:tbl>
    <w:p w:rsidR="009506D9" w:rsidRPr="00F0179B" w:rsidRDefault="009506D9" w:rsidP="009506D9">
      <w:pPr>
        <w:spacing w:before="0" w:after="200" w:line="276" w:lineRule="auto"/>
        <w:rPr>
          <w:sz w:val="16"/>
          <w:szCs w:val="16"/>
        </w:rPr>
      </w:pPr>
    </w:p>
    <w:p w:rsidR="009506D9" w:rsidRPr="00C8244B" w:rsidRDefault="009506D9" w:rsidP="009506D9">
      <w:pPr>
        <w:rPr>
          <w:b/>
        </w:rPr>
      </w:pPr>
      <w:r>
        <w:rPr>
          <w:b/>
        </w:rPr>
        <w:t>F</w:t>
      </w:r>
      <w:r w:rsidRPr="00C8244B">
        <w:rPr>
          <w:b/>
        </w:rPr>
        <w:t>ive-year trend</w:t>
      </w:r>
    </w:p>
    <w:p w:rsidR="009506D9" w:rsidRPr="009E012D" w:rsidRDefault="009506D9" w:rsidP="009506D9">
      <w:pPr>
        <w:rPr>
          <w:rFonts w:ascii="Arial" w:hAnsi="Arial" w:cs="Arial"/>
          <w:sz w:val="20"/>
          <w:szCs w:val="20"/>
        </w:rPr>
      </w:pPr>
      <w:r w:rsidRPr="00A53109">
        <w:rPr>
          <w:rFonts w:ascii="Arial" w:hAnsi="Arial" w:cs="Arial"/>
          <w:sz w:val="20"/>
          <w:szCs w:val="20"/>
        </w:rPr>
        <w:t xml:space="preserve">The number of clients receiving Sole Parent Support at the end of September increased between 2008 and 2011, </w:t>
      </w:r>
      <w:proofErr w:type="gramStart"/>
      <w:r w:rsidRPr="00A53109">
        <w:rPr>
          <w:rFonts w:ascii="Arial" w:hAnsi="Arial" w:cs="Arial"/>
          <w:sz w:val="20"/>
          <w:szCs w:val="20"/>
        </w:rPr>
        <w:t>then</w:t>
      </w:r>
      <w:proofErr w:type="gramEnd"/>
      <w:r w:rsidRPr="00A53109">
        <w:rPr>
          <w:rFonts w:ascii="Arial" w:hAnsi="Arial" w:cs="Arial"/>
          <w:sz w:val="20"/>
          <w:szCs w:val="20"/>
        </w:rPr>
        <w:t xml:space="preserve"> decreased over the last two years. This pattern reflects changes in economic conditions.</w:t>
      </w:r>
    </w:p>
    <w:p w:rsidR="009506D9" w:rsidRDefault="009506D9" w:rsidP="009506D9">
      <w:pPr>
        <w:jc w:val="both"/>
        <w:rPr>
          <w:rFonts w:ascii="Arial" w:hAnsi="Arial" w:cs="Arial"/>
          <w:sz w:val="20"/>
          <w:szCs w:val="20"/>
        </w:rPr>
      </w:pPr>
    </w:p>
    <w:p w:rsidR="009506D9" w:rsidRDefault="009506D9" w:rsidP="009506D9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n-NZ"/>
        </w:rPr>
        <w:drawing>
          <wp:inline distT="0" distB="0" distL="0" distR="0" wp14:anchorId="720CB342" wp14:editId="6C45E82E">
            <wp:extent cx="5772150" cy="2981325"/>
            <wp:effectExtent l="0" t="0" r="1905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506D9" w:rsidRDefault="009506D9" w:rsidP="009506D9">
      <w:pPr>
        <w:jc w:val="both"/>
        <w:rPr>
          <w:rFonts w:ascii="Arial" w:hAnsi="Arial" w:cs="Arial"/>
          <w:sz w:val="20"/>
          <w:szCs w:val="20"/>
        </w:rPr>
      </w:pPr>
    </w:p>
    <w:p w:rsidR="009506D9" w:rsidRDefault="009506D9" w:rsidP="009506D9">
      <w:pPr>
        <w:rPr>
          <w:rFonts w:ascii="Arial" w:hAnsi="Arial" w:cs="Arial"/>
          <w:sz w:val="20"/>
          <w:szCs w:val="20"/>
        </w:rPr>
      </w:pPr>
      <w:r w:rsidRPr="00DB3F44">
        <w:rPr>
          <w:rFonts w:ascii="Arial" w:hAnsi="Arial" w:cs="Arial"/>
          <w:sz w:val="20"/>
          <w:szCs w:val="20"/>
        </w:rPr>
        <w:t>The proportion of the working-age population who were receiving Sole Parent Support at the end of September trended upward between 2008 and 2011, but decreased over the last two years.</w:t>
      </w:r>
    </w:p>
    <w:p w:rsidR="009506D9" w:rsidRPr="00DD2048" w:rsidRDefault="009506D9" w:rsidP="009506D9">
      <w:pPr>
        <w:jc w:val="both"/>
      </w:pPr>
    </w:p>
    <w:p w:rsidR="009506D9" w:rsidRDefault="009506D9" w:rsidP="009506D9">
      <w:pPr>
        <w:jc w:val="center"/>
      </w:pPr>
    </w:p>
    <w:p w:rsidR="00B5357A" w:rsidRDefault="009506D9" w:rsidP="009506D9">
      <w:pPr>
        <w:spacing w:before="0" w:after="200" w:line="276" w:lineRule="auto"/>
      </w:pPr>
      <w:r>
        <w:rPr>
          <w:noProof/>
          <w:lang w:eastAsia="en-NZ"/>
        </w:rPr>
        <w:drawing>
          <wp:inline distT="0" distB="0" distL="0" distR="0" wp14:anchorId="7EFDDC56" wp14:editId="6BFAD0CA">
            <wp:extent cx="5772150" cy="2952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B53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BA0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50C80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4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5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6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23659"/>
    <w:multiLevelType w:val="hybridMultilevel"/>
    <w:tmpl w:val="6DE2F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56132"/>
    <w:multiLevelType w:val="hybridMultilevel"/>
    <w:tmpl w:val="B0DA4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94A9C"/>
    <w:multiLevelType w:val="hybridMultilevel"/>
    <w:tmpl w:val="2BFA9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848C5"/>
    <w:multiLevelType w:val="hybridMultilevel"/>
    <w:tmpl w:val="2B7213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D9"/>
    <w:rsid w:val="00000B4C"/>
    <w:rsid w:val="000106D0"/>
    <w:rsid w:val="00037CB0"/>
    <w:rsid w:val="000E3BB9"/>
    <w:rsid w:val="00106AED"/>
    <w:rsid w:val="001D3744"/>
    <w:rsid w:val="00213DA6"/>
    <w:rsid w:val="00216302"/>
    <w:rsid w:val="00245A2B"/>
    <w:rsid w:val="002D1C62"/>
    <w:rsid w:val="00354EC2"/>
    <w:rsid w:val="004227ED"/>
    <w:rsid w:val="00445BCE"/>
    <w:rsid w:val="00454F25"/>
    <w:rsid w:val="00533E65"/>
    <w:rsid w:val="00572AA9"/>
    <w:rsid w:val="00595906"/>
    <w:rsid w:val="005B11F9"/>
    <w:rsid w:val="00631D73"/>
    <w:rsid w:val="007B201A"/>
    <w:rsid w:val="0080498F"/>
    <w:rsid w:val="00860654"/>
    <w:rsid w:val="00903467"/>
    <w:rsid w:val="00906EAA"/>
    <w:rsid w:val="009506D9"/>
    <w:rsid w:val="00970DD2"/>
    <w:rsid w:val="009D15F1"/>
    <w:rsid w:val="009D2B10"/>
    <w:rsid w:val="00A6244E"/>
    <w:rsid w:val="00B41635"/>
    <w:rsid w:val="00B5357A"/>
    <w:rsid w:val="00C5215F"/>
    <w:rsid w:val="00CB4A28"/>
    <w:rsid w:val="00D34EA0"/>
    <w:rsid w:val="00DD7526"/>
    <w:rsid w:val="00E671C3"/>
    <w:rsid w:val="00E90142"/>
    <w:rsid w:val="00E9269E"/>
    <w:rsid w:val="00F06EE8"/>
    <w:rsid w:val="00F07349"/>
    <w:rsid w:val="00F22AE5"/>
    <w:rsid w:val="00F8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D9"/>
    <w:pPr>
      <w:spacing w:before="120" w:after="0" w:line="240" w:lineRule="auto"/>
    </w:pPr>
    <w:rPr>
      <w:rFonts w:ascii="Arial Mäori" w:hAnsi="Arial Mäo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57A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7A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57A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57A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A6"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13DA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DA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table" w:styleId="LightList-Accent5">
    <w:name w:val="Light List Accent 5"/>
    <w:basedOn w:val="TableNormal"/>
    <w:uiPriority w:val="61"/>
    <w:rsid w:val="00950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9506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D9"/>
    <w:pPr>
      <w:spacing w:before="120" w:after="0" w:line="240" w:lineRule="auto"/>
    </w:pPr>
    <w:rPr>
      <w:rFonts w:ascii="Arial Mäori" w:hAnsi="Arial Mäo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57A"/>
    <w:pPr>
      <w:keepNext/>
      <w:keepLines/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357A"/>
    <w:pPr>
      <w:keepNext/>
      <w:keepLines/>
      <w:spacing w:before="36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57A"/>
    <w:pPr>
      <w:keepNext/>
      <w:keepLines/>
      <w:spacing w:before="36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E3BB9"/>
    <w:pPr>
      <w:keepNext/>
      <w:keepLines/>
      <w:spacing w:before="480" w:after="48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7A"/>
    <w:rPr>
      <w:rFonts w:ascii="Arial Mäori" w:eastAsiaTheme="majorEastAsia" w:hAnsi="Arial Mäo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357A"/>
    <w:rPr>
      <w:rFonts w:ascii="Arial Mäori" w:eastAsiaTheme="majorEastAsia" w:hAnsi="Arial Mäor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57A"/>
    <w:rPr>
      <w:rFonts w:ascii="Arial Mäori" w:eastAsiaTheme="majorEastAsia" w:hAnsi="Arial Mäor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DA6"/>
    <w:rPr>
      <w:rFonts w:ascii="Arial" w:eastAsiaTheme="majorEastAsia" w:hAnsi="Arial" w:cstheme="majorBidi"/>
      <w:bCs/>
      <w:iCs/>
    </w:rPr>
  </w:style>
  <w:style w:type="paragraph" w:styleId="ListParagraph">
    <w:name w:val="List Paragraph"/>
    <w:basedOn w:val="Normal"/>
    <w:uiPriority w:val="34"/>
    <w:qFormat/>
    <w:rsid w:val="000E3BB9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semiHidden/>
    <w:qFormat/>
    <w:rsid w:val="00533E65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13DA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33E6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13DA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 w:after="0" w:line="240" w:lineRule="auto"/>
      <w:ind w:left="908" w:hanging="454"/>
    </w:pPr>
    <w:rPr>
      <w:rFonts w:ascii="Arial Mäori" w:eastAsia="Times New Roman" w:hAnsi="Arial Mäori" w:cs="Times New Roman"/>
      <w:szCs w:val="20"/>
    </w:rPr>
  </w:style>
  <w:style w:type="table" w:styleId="LightList-Accent5">
    <w:name w:val="Light List Accent 5"/>
    <w:basedOn w:val="TableNormal"/>
    <w:uiPriority w:val="61"/>
    <w:rsid w:val="00950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9506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NZ" sz="1100"/>
              <a:t>Sole Parent Support numbers, 2008</a:t>
            </a:r>
            <a:r>
              <a:rPr lang="en-NZ" sz="1100" b="1" i="0" u="none" strike="noStrike" baseline="0">
                <a:effectLst/>
              </a:rPr>
              <a:t>–</a:t>
            </a:r>
            <a:r>
              <a:rPr lang="en-NZ" sz="1100"/>
              <a:t>2013</a:t>
            </a:r>
          </a:p>
        </c:rich>
      </c:tx>
      <c:layout>
        <c:manualLayout>
          <c:xMode val="edge"/>
          <c:yMode val="edge"/>
          <c:x val="0.31482445882383508"/>
          <c:y val="2.399302323631271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133635264340713"/>
          <c:y val="0.1244785038603628"/>
          <c:w val="0.83331071930135536"/>
          <c:h val="0.62113703768054884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'5-year trend'!$A$60:$B$80</c:f>
              <c:multiLvlStrCache>
                <c:ptCount val="21"/>
                <c:lvl>
                  <c:pt idx="0">
                    <c:v>Sep</c:v>
                  </c:pt>
                  <c:pt idx="1">
                    <c:v>Dec</c:v>
                  </c:pt>
                  <c:pt idx="2">
                    <c:v>Mar</c:v>
                  </c:pt>
                  <c:pt idx="3">
                    <c:v>Jun</c:v>
                  </c:pt>
                  <c:pt idx="4">
                    <c:v>Sep</c:v>
                  </c:pt>
                  <c:pt idx="5">
                    <c:v>Dec</c:v>
                  </c:pt>
                  <c:pt idx="6">
                    <c:v>Mar</c:v>
                  </c:pt>
                  <c:pt idx="7">
                    <c:v>Jun</c:v>
                  </c:pt>
                  <c:pt idx="8">
                    <c:v>Sep</c:v>
                  </c:pt>
                  <c:pt idx="9">
                    <c:v>Dec</c:v>
                  </c:pt>
                  <c:pt idx="10">
                    <c:v>Mar</c:v>
                  </c:pt>
                  <c:pt idx="11">
                    <c:v>Jun</c:v>
                  </c:pt>
                  <c:pt idx="12">
                    <c:v>Sep</c:v>
                  </c:pt>
                  <c:pt idx="13">
                    <c:v>Dec</c:v>
                  </c:pt>
                  <c:pt idx="14">
                    <c:v>Mar</c:v>
                  </c:pt>
                  <c:pt idx="15">
                    <c:v>Jun</c:v>
                  </c:pt>
                  <c:pt idx="16">
                    <c:v>Sep</c:v>
                  </c:pt>
                  <c:pt idx="17">
                    <c:v>Dec</c:v>
                  </c:pt>
                  <c:pt idx="18">
                    <c:v>Mar</c:v>
                  </c:pt>
                  <c:pt idx="19">
                    <c:v>Jun</c:v>
                  </c:pt>
                  <c:pt idx="20">
                    <c:v>Sep</c:v>
                  </c:pt>
                </c:lvl>
                <c:lvl>
                  <c:pt idx="0">
                    <c:v>2008</c:v>
                  </c:pt>
                  <c:pt idx="2">
                    <c:v>2009</c:v>
                  </c:pt>
                  <c:pt idx="6">
                    <c:v>2010</c:v>
                  </c:pt>
                  <c:pt idx="10">
                    <c:v>2011</c:v>
                  </c:pt>
                  <c:pt idx="14">
                    <c:v>2012</c:v>
                  </c:pt>
                  <c:pt idx="18">
                    <c:v>2013</c:v>
                  </c:pt>
                </c:lvl>
              </c:multiLvlStrCache>
            </c:multiLvlStrRef>
          </c:cat>
          <c:val>
            <c:numRef>
              <c:f>'5-year trend'!$C$60:$C$80</c:f>
              <c:numCache>
                <c:formatCode>#,##0_ ;\-#,##0\ </c:formatCode>
                <c:ptCount val="21"/>
                <c:pt idx="0">
                  <c:v>79178</c:v>
                </c:pt>
                <c:pt idx="1">
                  <c:v>80906</c:v>
                </c:pt>
                <c:pt idx="2">
                  <c:v>81803</c:v>
                </c:pt>
                <c:pt idx="3">
                  <c:v>83387</c:v>
                </c:pt>
                <c:pt idx="4">
                  <c:v>85319</c:v>
                </c:pt>
                <c:pt idx="5">
                  <c:v>87067</c:v>
                </c:pt>
                <c:pt idx="6">
                  <c:v>86947</c:v>
                </c:pt>
                <c:pt idx="7">
                  <c:v>88110</c:v>
                </c:pt>
                <c:pt idx="8">
                  <c:v>88624</c:v>
                </c:pt>
                <c:pt idx="9">
                  <c:v>89432</c:v>
                </c:pt>
                <c:pt idx="10">
                  <c:v>89260</c:v>
                </c:pt>
                <c:pt idx="11">
                  <c:v>89056</c:v>
                </c:pt>
                <c:pt idx="12">
                  <c:v>89164</c:v>
                </c:pt>
                <c:pt idx="13">
                  <c:v>89856</c:v>
                </c:pt>
                <c:pt idx="14">
                  <c:v>88509</c:v>
                </c:pt>
                <c:pt idx="15">
                  <c:v>87662</c:v>
                </c:pt>
                <c:pt idx="16">
                  <c:v>86967</c:v>
                </c:pt>
                <c:pt idx="17">
                  <c:v>85939</c:v>
                </c:pt>
                <c:pt idx="18">
                  <c:v>84462</c:v>
                </c:pt>
                <c:pt idx="19">
                  <c:v>82897</c:v>
                </c:pt>
                <c:pt idx="20">
                  <c:v>79699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680576"/>
        <c:axId val="36715904"/>
      </c:lineChart>
      <c:catAx>
        <c:axId val="28680576"/>
        <c:scaling>
          <c:orientation val="minMax"/>
        </c:scaling>
        <c:delete val="0"/>
        <c:axPos val="b"/>
        <c:majorTickMark val="out"/>
        <c:minorTickMark val="none"/>
        <c:tickLblPos val="nextTo"/>
        <c:crossAx val="36715904"/>
        <c:crosses val="autoZero"/>
        <c:auto val="1"/>
        <c:lblAlgn val="ctr"/>
        <c:lblOffset val="100"/>
        <c:noMultiLvlLbl val="0"/>
      </c:catAx>
      <c:valAx>
        <c:axId val="36715904"/>
        <c:scaling>
          <c:orientation val="minMax"/>
          <c:max val="100000"/>
          <c:min val="0"/>
        </c:scaling>
        <c:delete val="0"/>
        <c:axPos val="l"/>
        <c:numFmt formatCode="#,##0_ ;\-#,##0\ " sourceLinked="1"/>
        <c:majorTickMark val="out"/>
        <c:minorTickMark val="none"/>
        <c:tickLblPos val="nextTo"/>
        <c:crossAx val="28680576"/>
        <c:crosses val="autoZero"/>
        <c:crossBetween val="between"/>
        <c:majorUnit val="20000"/>
        <c:minorUnit val="400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en-NZ" sz="1100"/>
              <a:t>Proportion</a:t>
            </a:r>
            <a:r>
              <a:rPr lang="en-NZ" sz="1100" baseline="0"/>
              <a:t> of working-age population receiving Sole Parent Support at the end of September, 2008</a:t>
            </a:r>
            <a:r>
              <a:rPr lang="en-NZ" sz="1100" b="1" i="0" u="none" strike="noStrike" baseline="0">
                <a:effectLst/>
              </a:rPr>
              <a:t>–</a:t>
            </a:r>
            <a:r>
              <a:rPr lang="en-NZ" sz="1100" baseline="0"/>
              <a:t>2013</a:t>
            </a:r>
            <a:endParaRPr lang="en-NZ" sz="11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Sheet3!$C$41</c:f>
              <c:strCache>
                <c:ptCount val="1"/>
                <c:pt idx="0">
                  <c:v>SPS</c:v>
                </c:pt>
              </c:strCache>
            </c:strRef>
          </c:tx>
          <c:invertIfNegative val="0"/>
          <c:cat>
            <c:strRef>
              <c:f>Sheet3!$A$42:$B$47</c:f>
              <c:strCach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strCache>
            </c:strRef>
          </c:cat>
          <c:val>
            <c:numRef>
              <c:f>Sheet3!$C$42:$C$47</c:f>
              <c:numCache>
                <c:formatCode>0.0%</c:formatCode>
                <c:ptCount val="6"/>
                <c:pt idx="0">
                  <c:v>2.99477659642872E-2</c:v>
                </c:pt>
                <c:pt idx="1">
                  <c:v>3.1898649937002047E-2</c:v>
                </c:pt>
                <c:pt idx="2">
                  <c:v>3.2659198113207548E-2</c:v>
                </c:pt>
                <c:pt idx="3">
                  <c:v>3.2575370091627816E-2</c:v>
                </c:pt>
                <c:pt idx="4">
                  <c:v>3.1647264747944874E-2</c:v>
                </c:pt>
                <c:pt idx="5">
                  <c:v>2.8852196704219641E-2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638528"/>
        <c:axId val="117587968"/>
      </c:barChart>
      <c:catAx>
        <c:axId val="81638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7587968"/>
        <c:crosses val="autoZero"/>
        <c:auto val="1"/>
        <c:lblAlgn val="ctr"/>
        <c:lblOffset val="100"/>
        <c:noMultiLvlLbl val="0"/>
      </c:catAx>
      <c:valAx>
        <c:axId val="117587968"/>
        <c:scaling>
          <c:orientation val="minMax"/>
          <c:max val="4.0000000000000008E-2"/>
          <c:min val="0"/>
        </c:scaling>
        <c:delete val="0"/>
        <c:axPos val="l"/>
        <c:numFmt formatCode="0.0%" sourceLinked="1"/>
        <c:majorTickMark val="out"/>
        <c:minorTickMark val="none"/>
        <c:tickLblPos val="nextTo"/>
        <c:crossAx val="81638528"/>
        <c:crosses val="autoZero"/>
        <c:crossBetween val="between"/>
        <c:majorUnit val="1.0000000000000002E-2"/>
        <c:minorUnit val="2.0000000000000006E-4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BD7A5-E7C2-480B-AA34-BB0BF7DE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2360</Characters>
  <Application>Microsoft Office Word</Application>
  <DocSecurity>4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Lewin</dc:creator>
  <cp:lastModifiedBy>Ian Niehorster</cp:lastModifiedBy>
  <cp:revision>2</cp:revision>
  <dcterms:created xsi:type="dcterms:W3CDTF">2013-10-16T20:08:00Z</dcterms:created>
  <dcterms:modified xsi:type="dcterms:W3CDTF">2013-10-16T20:08:00Z</dcterms:modified>
</cp:coreProperties>
</file>