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DE" w:rsidRPr="00EE3A1C" w:rsidRDefault="00253BDE" w:rsidP="00253BDE">
      <w:pPr>
        <w:spacing w:before="0" w:after="200" w:line="276" w:lineRule="auto"/>
        <w:rPr>
          <w:rFonts w:ascii="Arial" w:hAnsi="Arial" w:cs="Arial"/>
          <w:b/>
          <w:sz w:val="28"/>
          <w:szCs w:val="28"/>
        </w:rPr>
      </w:pPr>
      <w:r>
        <w:rPr>
          <w:rFonts w:ascii="Arial" w:hAnsi="Arial" w:cs="Arial"/>
          <w:b/>
          <w:sz w:val="28"/>
          <w:szCs w:val="28"/>
        </w:rPr>
        <w:t xml:space="preserve">All main benefits - September 2013 </w:t>
      </w:r>
      <w:r w:rsidRPr="00EE3A1C">
        <w:rPr>
          <w:rFonts w:ascii="Arial" w:hAnsi="Arial" w:cs="Arial"/>
          <w:b/>
          <w:sz w:val="28"/>
          <w:szCs w:val="28"/>
        </w:rPr>
        <w:t>quarter</w:t>
      </w:r>
    </w:p>
    <w:p w:rsidR="00253BDE" w:rsidRPr="006E1454" w:rsidRDefault="00253BDE" w:rsidP="00253BDE">
      <w:pPr>
        <w:spacing w:before="0"/>
        <w:jc w:val="both"/>
        <w:rPr>
          <w:rFonts w:ascii="Arial" w:hAnsi="Arial" w:cs="Arial"/>
          <w:b/>
          <w:sz w:val="24"/>
          <w:szCs w:val="24"/>
        </w:rPr>
      </w:pPr>
      <w:r>
        <w:rPr>
          <w:rFonts w:ascii="Arial" w:hAnsi="Arial" w:cs="Arial"/>
          <w:b/>
          <w:sz w:val="24"/>
          <w:szCs w:val="24"/>
        </w:rPr>
        <w:t>Key Facts</w:t>
      </w:r>
    </w:p>
    <w:p w:rsidR="00253BDE" w:rsidRDefault="00253BDE" w:rsidP="00253BDE">
      <w:pPr>
        <w:spacing w:before="0"/>
        <w:jc w:val="both"/>
        <w:rPr>
          <w:rFonts w:ascii="Arial" w:hAnsi="Arial" w:cs="Arial"/>
          <w:b/>
          <w:sz w:val="20"/>
          <w:szCs w:val="20"/>
        </w:rPr>
      </w:pPr>
    </w:p>
    <w:p w:rsidR="00253BDE" w:rsidRPr="00172E95" w:rsidRDefault="00253BDE" w:rsidP="00253BDE">
      <w:pPr>
        <w:spacing w:before="0"/>
        <w:jc w:val="both"/>
        <w:rPr>
          <w:rFonts w:ascii="Arial" w:hAnsi="Arial" w:cs="Arial"/>
          <w:sz w:val="20"/>
          <w:szCs w:val="20"/>
        </w:rPr>
      </w:pPr>
      <w:r w:rsidRPr="00172E95">
        <w:rPr>
          <w:rFonts w:ascii="Arial" w:hAnsi="Arial" w:cs="Arial"/>
          <w:sz w:val="20"/>
          <w:szCs w:val="20"/>
        </w:rPr>
        <w:t xml:space="preserve">At the end of </w:t>
      </w:r>
      <w:r>
        <w:rPr>
          <w:rFonts w:ascii="Arial" w:hAnsi="Arial" w:cs="Arial"/>
          <w:sz w:val="20"/>
          <w:szCs w:val="20"/>
        </w:rPr>
        <w:t>September</w:t>
      </w:r>
      <w:r w:rsidRPr="00172E95">
        <w:rPr>
          <w:rFonts w:ascii="Arial" w:hAnsi="Arial" w:cs="Arial"/>
          <w:sz w:val="20"/>
          <w:szCs w:val="20"/>
        </w:rPr>
        <w:t xml:space="preserve"> 201</w:t>
      </w:r>
      <w:r>
        <w:rPr>
          <w:rFonts w:ascii="Arial" w:hAnsi="Arial" w:cs="Arial"/>
          <w:sz w:val="20"/>
          <w:szCs w:val="20"/>
        </w:rPr>
        <w:t>3</w:t>
      </w:r>
      <w:r w:rsidRPr="00172E95">
        <w:rPr>
          <w:rFonts w:ascii="Arial" w:hAnsi="Arial" w:cs="Arial"/>
          <w:sz w:val="20"/>
          <w:szCs w:val="20"/>
        </w:rPr>
        <w:t>:</w:t>
      </w:r>
    </w:p>
    <w:p w:rsidR="00253BDE" w:rsidRDefault="00253BDE" w:rsidP="00253BDE">
      <w:pPr>
        <w:spacing w:before="0"/>
        <w:jc w:val="both"/>
        <w:rPr>
          <w:rFonts w:ascii="Arial" w:hAnsi="Arial" w:cs="Arial"/>
          <w:sz w:val="20"/>
          <w:szCs w:val="20"/>
        </w:rPr>
      </w:pPr>
    </w:p>
    <w:p w:rsidR="00253BDE" w:rsidRPr="00705FCA" w:rsidRDefault="00253BDE" w:rsidP="00253BDE">
      <w:pPr>
        <w:pStyle w:val="ListParagraph"/>
        <w:numPr>
          <w:ilvl w:val="0"/>
          <w:numId w:val="14"/>
        </w:numPr>
        <w:spacing w:before="0"/>
        <w:rPr>
          <w:rFonts w:ascii="Arial" w:hAnsi="Arial" w:cs="Arial"/>
          <w:sz w:val="20"/>
          <w:szCs w:val="20"/>
        </w:rPr>
      </w:pPr>
      <w:r w:rsidRPr="00705FCA">
        <w:rPr>
          <w:rFonts w:ascii="Arial" w:hAnsi="Arial" w:cs="Arial"/>
          <w:b/>
          <w:sz w:val="20"/>
          <w:szCs w:val="20"/>
        </w:rPr>
        <w:t>304,394</w:t>
      </w:r>
      <w:r>
        <w:rPr>
          <w:rFonts w:ascii="Arial" w:hAnsi="Arial" w:cs="Arial"/>
          <w:sz w:val="20"/>
          <w:szCs w:val="20"/>
        </w:rPr>
        <w:t xml:space="preserve"> working-</w:t>
      </w:r>
      <w:r w:rsidRPr="00705FCA">
        <w:rPr>
          <w:rFonts w:ascii="Arial" w:hAnsi="Arial" w:cs="Arial"/>
          <w:sz w:val="20"/>
          <w:szCs w:val="20"/>
        </w:rPr>
        <w:t>age</w:t>
      </w:r>
      <w:r>
        <w:rPr>
          <w:rFonts w:ascii="Arial" w:hAnsi="Arial" w:cs="Arial"/>
          <w:sz w:val="20"/>
          <w:szCs w:val="20"/>
        </w:rPr>
        <w:t>*</w:t>
      </w:r>
      <w:r w:rsidRPr="00705FCA">
        <w:rPr>
          <w:rFonts w:ascii="Arial" w:hAnsi="Arial" w:cs="Arial"/>
          <w:sz w:val="20"/>
          <w:szCs w:val="20"/>
        </w:rPr>
        <w:t xml:space="preserve"> people were receiving a main benefit. </w:t>
      </w:r>
    </w:p>
    <w:p w:rsidR="00253BDE" w:rsidRPr="00705FCA" w:rsidRDefault="00253BDE" w:rsidP="00253BDE">
      <w:pPr>
        <w:pStyle w:val="ListParagraph"/>
        <w:numPr>
          <w:ilvl w:val="0"/>
          <w:numId w:val="13"/>
        </w:numPr>
        <w:spacing w:before="0"/>
        <w:rPr>
          <w:rFonts w:ascii="Arial" w:hAnsi="Arial" w:cs="Arial"/>
          <w:sz w:val="20"/>
          <w:szCs w:val="20"/>
        </w:rPr>
      </w:pPr>
      <w:r>
        <w:rPr>
          <w:rFonts w:ascii="Arial" w:hAnsi="Arial" w:cs="Arial"/>
          <w:b/>
          <w:sz w:val="20"/>
          <w:szCs w:val="20"/>
        </w:rPr>
        <w:t>11.0</w:t>
      </w:r>
      <w:r w:rsidRPr="00705FCA">
        <w:rPr>
          <w:rFonts w:ascii="Arial" w:hAnsi="Arial" w:cs="Arial"/>
          <w:b/>
          <w:sz w:val="20"/>
          <w:szCs w:val="20"/>
        </w:rPr>
        <w:t xml:space="preserve"> </w:t>
      </w:r>
      <w:proofErr w:type="spellStart"/>
      <w:r w:rsidRPr="00705FCA">
        <w:rPr>
          <w:rFonts w:ascii="Arial" w:hAnsi="Arial" w:cs="Arial"/>
          <w:b/>
          <w:sz w:val="20"/>
          <w:szCs w:val="20"/>
        </w:rPr>
        <w:t>percent</w:t>
      </w:r>
      <w:proofErr w:type="spellEnd"/>
      <w:r w:rsidRPr="00705FCA">
        <w:rPr>
          <w:rFonts w:ascii="Arial" w:hAnsi="Arial" w:cs="Arial"/>
          <w:sz w:val="20"/>
          <w:szCs w:val="20"/>
        </w:rPr>
        <w:t xml:space="preserve"> of the working-age population of New Zealand were receiving a main benefit.</w:t>
      </w:r>
    </w:p>
    <w:p w:rsidR="00253BDE" w:rsidRPr="00705FCA" w:rsidRDefault="00253BDE" w:rsidP="00253BDE">
      <w:pPr>
        <w:pStyle w:val="ListParagraph"/>
        <w:numPr>
          <w:ilvl w:val="0"/>
          <w:numId w:val="13"/>
        </w:numPr>
        <w:spacing w:before="0"/>
        <w:rPr>
          <w:rFonts w:ascii="Arial" w:hAnsi="Arial" w:cs="Arial"/>
          <w:sz w:val="20"/>
          <w:szCs w:val="20"/>
        </w:rPr>
      </w:pPr>
      <w:r w:rsidRPr="00705FCA">
        <w:rPr>
          <w:rFonts w:ascii="Arial" w:hAnsi="Arial" w:cs="Arial"/>
          <w:sz w:val="20"/>
          <w:szCs w:val="20"/>
        </w:rPr>
        <w:t xml:space="preserve">Over half (58%) of main benefit recipients were female, and 42 </w:t>
      </w:r>
      <w:proofErr w:type="spellStart"/>
      <w:r w:rsidRPr="00705FCA">
        <w:rPr>
          <w:rFonts w:ascii="Arial" w:hAnsi="Arial" w:cs="Arial"/>
          <w:sz w:val="20"/>
          <w:szCs w:val="20"/>
        </w:rPr>
        <w:t>percent</w:t>
      </w:r>
      <w:proofErr w:type="spellEnd"/>
      <w:r w:rsidRPr="00705FCA">
        <w:rPr>
          <w:rFonts w:ascii="Arial" w:hAnsi="Arial" w:cs="Arial"/>
          <w:sz w:val="20"/>
          <w:szCs w:val="20"/>
        </w:rPr>
        <w:t xml:space="preserve"> were male.</w:t>
      </w:r>
    </w:p>
    <w:p w:rsidR="00253BDE" w:rsidRPr="00705FCA" w:rsidRDefault="00253BDE" w:rsidP="00253BDE">
      <w:pPr>
        <w:pStyle w:val="ListParagraph"/>
        <w:numPr>
          <w:ilvl w:val="0"/>
          <w:numId w:val="13"/>
        </w:numPr>
        <w:spacing w:before="0"/>
        <w:jc w:val="both"/>
        <w:rPr>
          <w:rFonts w:ascii="Arial" w:hAnsi="Arial" w:cs="Arial"/>
          <w:sz w:val="20"/>
          <w:szCs w:val="20"/>
        </w:rPr>
      </w:pPr>
      <w:r w:rsidRPr="00705FCA">
        <w:rPr>
          <w:rFonts w:ascii="Arial" w:hAnsi="Arial" w:cs="Arial"/>
          <w:sz w:val="20"/>
          <w:szCs w:val="20"/>
        </w:rPr>
        <w:t xml:space="preserve">42 </w:t>
      </w:r>
      <w:proofErr w:type="spellStart"/>
      <w:r w:rsidRPr="00705FCA">
        <w:rPr>
          <w:rFonts w:ascii="Arial" w:hAnsi="Arial" w:cs="Arial"/>
          <w:sz w:val="20"/>
          <w:szCs w:val="20"/>
        </w:rPr>
        <w:t>percent</w:t>
      </w:r>
      <w:proofErr w:type="spellEnd"/>
      <w:r w:rsidRPr="00705FCA">
        <w:rPr>
          <w:rFonts w:ascii="Arial" w:hAnsi="Arial" w:cs="Arial"/>
          <w:sz w:val="20"/>
          <w:szCs w:val="20"/>
        </w:rPr>
        <w:t xml:space="preserve"> of main benefit recipients were receiving Jobseeker Support (JS), 30 </w:t>
      </w:r>
      <w:proofErr w:type="spellStart"/>
      <w:r w:rsidRPr="00705FCA">
        <w:rPr>
          <w:rFonts w:ascii="Arial" w:hAnsi="Arial" w:cs="Arial"/>
          <w:sz w:val="20"/>
          <w:szCs w:val="20"/>
        </w:rPr>
        <w:t>percent</w:t>
      </w:r>
      <w:proofErr w:type="spellEnd"/>
      <w:r w:rsidRPr="00705FCA">
        <w:rPr>
          <w:rFonts w:ascii="Arial" w:hAnsi="Arial" w:cs="Arial"/>
          <w:sz w:val="20"/>
          <w:szCs w:val="20"/>
        </w:rPr>
        <w:t xml:space="preserve"> were receiving Supported Living Payment and 26 </w:t>
      </w:r>
      <w:proofErr w:type="spellStart"/>
      <w:r w:rsidRPr="00705FCA">
        <w:rPr>
          <w:rFonts w:ascii="Arial" w:hAnsi="Arial" w:cs="Arial"/>
          <w:sz w:val="20"/>
          <w:szCs w:val="20"/>
        </w:rPr>
        <w:t>percent</w:t>
      </w:r>
      <w:proofErr w:type="spellEnd"/>
      <w:r w:rsidRPr="00705FCA">
        <w:rPr>
          <w:rFonts w:ascii="Arial" w:hAnsi="Arial" w:cs="Arial"/>
          <w:sz w:val="20"/>
          <w:szCs w:val="20"/>
        </w:rPr>
        <w:t xml:space="preserve"> were receiving Sole Parent Support.</w:t>
      </w:r>
    </w:p>
    <w:p w:rsidR="00253BDE" w:rsidRPr="00705FCA" w:rsidRDefault="00253BDE" w:rsidP="00253BDE">
      <w:pPr>
        <w:pStyle w:val="ListParagraph"/>
        <w:numPr>
          <w:ilvl w:val="0"/>
          <w:numId w:val="13"/>
        </w:numPr>
        <w:spacing w:before="0"/>
        <w:jc w:val="both"/>
        <w:rPr>
          <w:rFonts w:ascii="Arial" w:hAnsi="Arial" w:cs="Arial"/>
          <w:sz w:val="20"/>
          <w:szCs w:val="20"/>
        </w:rPr>
      </w:pPr>
      <w:r w:rsidRPr="00705FCA">
        <w:rPr>
          <w:rFonts w:ascii="Arial" w:hAnsi="Arial" w:cs="Arial"/>
          <w:sz w:val="20"/>
          <w:szCs w:val="20"/>
        </w:rPr>
        <w:t>Just over a quarter</w:t>
      </w:r>
      <w:r>
        <w:rPr>
          <w:rFonts w:ascii="Arial" w:hAnsi="Arial" w:cs="Arial"/>
          <w:sz w:val="20"/>
          <w:szCs w:val="20"/>
        </w:rPr>
        <w:t xml:space="preserve"> (26</w:t>
      </w:r>
      <w:r w:rsidRPr="00705FCA">
        <w:rPr>
          <w:rFonts w:ascii="Arial" w:hAnsi="Arial" w:cs="Arial"/>
          <w:sz w:val="20"/>
          <w:szCs w:val="20"/>
        </w:rPr>
        <w:t xml:space="preserve">%) of recipients of main benefits had been receiving </w:t>
      </w:r>
      <w:r>
        <w:rPr>
          <w:rFonts w:ascii="Arial" w:hAnsi="Arial" w:cs="Arial"/>
          <w:sz w:val="20"/>
          <w:szCs w:val="20"/>
        </w:rPr>
        <w:t>their current</w:t>
      </w:r>
      <w:r w:rsidRPr="00705FCA">
        <w:rPr>
          <w:rFonts w:ascii="Arial" w:hAnsi="Arial" w:cs="Arial"/>
          <w:sz w:val="20"/>
          <w:szCs w:val="20"/>
        </w:rPr>
        <w:t xml:space="preserve"> benefit </w:t>
      </w:r>
      <w:r>
        <w:rPr>
          <w:rFonts w:ascii="Arial" w:hAnsi="Arial" w:cs="Arial"/>
          <w:sz w:val="20"/>
          <w:szCs w:val="20"/>
        </w:rPr>
        <w:t xml:space="preserve">continuously </w:t>
      </w:r>
      <w:r w:rsidRPr="00705FCA">
        <w:rPr>
          <w:rFonts w:ascii="Arial" w:hAnsi="Arial" w:cs="Arial"/>
          <w:sz w:val="20"/>
          <w:szCs w:val="20"/>
        </w:rPr>
        <w:t>for one</w:t>
      </w:r>
      <w:r>
        <w:rPr>
          <w:rFonts w:ascii="Arial" w:hAnsi="Arial" w:cs="Arial"/>
          <w:sz w:val="20"/>
          <w:szCs w:val="20"/>
        </w:rPr>
        <w:t xml:space="preserve"> year or less.</w:t>
      </w:r>
    </w:p>
    <w:p w:rsidR="00253BDE" w:rsidRPr="00B5667A" w:rsidRDefault="00253BDE" w:rsidP="00253BDE">
      <w:pPr>
        <w:spacing w:before="0"/>
        <w:jc w:val="both"/>
        <w:rPr>
          <w:rFonts w:ascii="Arial" w:hAnsi="Arial" w:cs="Arial"/>
          <w:sz w:val="20"/>
          <w:szCs w:val="20"/>
        </w:rPr>
      </w:pPr>
    </w:p>
    <w:p w:rsidR="00253BDE" w:rsidRDefault="00253BDE" w:rsidP="00253BDE">
      <w:pPr>
        <w:spacing w:before="0"/>
        <w:jc w:val="both"/>
        <w:rPr>
          <w:rFonts w:ascii="Arial" w:hAnsi="Arial" w:cs="Arial"/>
          <w:sz w:val="20"/>
          <w:szCs w:val="20"/>
        </w:rPr>
      </w:pPr>
    </w:p>
    <w:p w:rsidR="00253BDE" w:rsidRPr="00172E95" w:rsidRDefault="00253BDE" w:rsidP="00253BDE">
      <w:pPr>
        <w:spacing w:before="0"/>
        <w:jc w:val="both"/>
        <w:rPr>
          <w:rFonts w:ascii="Arial" w:hAnsi="Arial" w:cs="Arial"/>
          <w:sz w:val="20"/>
          <w:szCs w:val="20"/>
        </w:rPr>
      </w:pPr>
      <w:r w:rsidRPr="00172E95">
        <w:rPr>
          <w:rFonts w:ascii="Arial" w:hAnsi="Arial" w:cs="Arial"/>
          <w:sz w:val="20"/>
          <w:szCs w:val="20"/>
        </w:rPr>
        <w:t xml:space="preserve">Between </w:t>
      </w:r>
      <w:r>
        <w:rPr>
          <w:rFonts w:ascii="Arial" w:hAnsi="Arial" w:cs="Arial"/>
          <w:sz w:val="20"/>
          <w:szCs w:val="20"/>
        </w:rPr>
        <w:t>September</w:t>
      </w:r>
      <w:r w:rsidRPr="00172E95">
        <w:rPr>
          <w:rFonts w:ascii="Arial" w:hAnsi="Arial" w:cs="Arial"/>
          <w:sz w:val="20"/>
          <w:szCs w:val="20"/>
        </w:rPr>
        <w:t xml:space="preserve"> 201</w:t>
      </w:r>
      <w:r>
        <w:rPr>
          <w:rFonts w:ascii="Arial" w:hAnsi="Arial" w:cs="Arial"/>
          <w:sz w:val="20"/>
          <w:szCs w:val="20"/>
        </w:rPr>
        <w:t>3</w:t>
      </w:r>
      <w:r w:rsidRPr="00172E95">
        <w:rPr>
          <w:rFonts w:ascii="Arial" w:hAnsi="Arial" w:cs="Arial"/>
          <w:sz w:val="20"/>
          <w:szCs w:val="20"/>
        </w:rPr>
        <w:t xml:space="preserve"> and </w:t>
      </w:r>
      <w:r>
        <w:rPr>
          <w:rFonts w:ascii="Arial" w:hAnsi="Arial" w:cs="Arial"/>
          <w:sz w:val="20"/>
          <w:szCs w:val="20"/>
        </w:rPr>
        <w:t>September 2012</w:t>
      </w:r>
      <w:r w:rsidRPr="00172E95">
        <w:rPr>
          <w:rFonts w:ascii="Arial" w:hAnsi="Arial" w:cs="Arial"/>
          <w:sz w:val="20"/>
          <w:szCs w:val="20"/>
        </w:rPr>
        <w:t>:</w:t>
      </w:r>
    </w:p>
    <w:p w:rsidR="00253BDE" w:rsidRPr="00436A3E" w:rsidRDefault="00253BDE" w:rsidP="00253BDE">
      <w:pPr>
        <w:pStyle w:val="ListParagraph"/>
        <w:numPr>
          <w:ilvl w:val="0"/>
          <w:numId w:val="12"/>
        </w:numPr>
        <w:rPr>
          <w:rFonts w:ascii="Arial" w:hAnsi="Arial" w:cs="Arial"/>
          <w:sz w:val="20"/>
          <w:szCs w:val="20"/>
        </w:rPr>
      </w:pPr>
      <w:r w:rsidRPr="00436A3E">
        <w:rPr>
          <w:rFonts w:ascii="Arial" w:hAnsi="Arial" w:cs="Arial"/>
          <w:sz w:val="20"/>
          <w:szCs w:val="20"/>
        </w:rPr>
        <w:t xml:space="preserve">The number of recipients of main benefits </w:t>
      </w:r>
      <w:r w:rsidRPr="00436A3E">
        <w:rPr>
          <w:rFonts w:ascii="Arial" w:hAnsi="Arial" w:cs="Arial"/>
          <w:b/>
          <w:sz w:val="20"/>
          <w:szCs w:val="20"/>
        </w:rPr>
        <w:t>decreased</w:t>
      </w:r>
      <w:r w:rsidRPr="00436A3E">
        <w:rPr>
          <w:rFonts w:ascii="Arial" w:hAnsi="Arial" w:cs="Arial"/>
          <w:sz w:val="20"/>
          <w:szCs w:val="20"/>
        </w:rPr>
        <w:t xml:space="preserve"> by 1</w:t>
      </w:r>
      <w:r>
        <w:rPr>
          <w:rFonts w:ascii="Arial" w:hAnsi="Arial" w:cs="Arial"/>
          <w:sz w:val="20"/>
          <w:szCs w:val="20"/>
        </w:rPr>
        <w:t>6</w:t>
      </w:r>
      <w:r w:rsidRPr="00436A3E">
        <w:rPr>
          <w:rFonts w:ascii="Arial" w:hAnsi="Arial" w:cs="Arial"/>
          <w:sz w:val="20"/>
          <w:szCs w:val="20"/>
        </w:rPr>
        <w:t>,</w:t>
      </w:r>
      <w:r>
        <w:rPr>
          <w:rFonts w:ascii="Arial" w:hAnsi="Arial" w:cs="Arial"/>
          <w:sz w:val="20"/>
          <w:szCs w:val="20"/>
        </w:rPr>
        <w:t>548</w:t>
      </w:r>
      <w:r w:rsidRPr="00436A3E">
        <w:rPr>
          <w:rFonts w:ascii="Arial" w:hAnsi="Arial" w:cs="Arial"/>
          <w:sz w:val="20"/>
          <w:szCs w:val="20"/>
        </w:rPr>
        <w:t xml:space="preserve">, or 5 </w:t>
      </w:r>
      <w:proofErr w:type="spellStart"/>
      <w:r w:rsidRPr="00436A3E">
        <w:rPr>
          <w:rFonts w:ascii="Arial" w:hAnsi="Arial" w:cs="Arial"/>
          <w:sz w:val="20"/>
          <w:szCs w:val="20"/>
        </w:rPr>
        <w:t>percent</w:t>
      </w:r>
      <w:proofErr w:type="spellEnd"/>
      <w:r w:rsidRPr="00436A3E">
        <w:rPr>
          <w:rFonts w:ascii="Arial" w:hAnsi="Arial" w:cs="Arial"/>
          <w:sz w:val="20"/>
          <w:szCs w:val="20"/>
        </w:rPr>
        <w:t xml:space="preserve">. This decrease was largely driven by </w:t>
      </w:r>
      <w:r w:rsidRPr="00436A3E">
        <w:rPr>
          <w:rFonts w:ascii="Arial" w:hAnsi="Arial" w:cs="Arial"/>
          <w:b/>
          <w:sz w:val="20"/>
          <w:szCs w:val="20"/>
        </w:rPr>
        <w:t>decreases</w:t>
      </w:r>
      <w:r w:rsidRPr="00436A3E">
        <w:rPr>
          <w:rFonts w:ascii="Arial" w:hAnsi="Arial" w:cs="Arial"/>
          <w:sz w:val="20"/>
          <w:szCs w:val="20"/>
        </w:rPr>
        <w:t xml:space="preserve"> in Sole Parent Support and Jobseeker Support numbers.</w:t>
      </w:r>
    </w:p>
    <w:p w:rsidR="00253BDE" w:rsidRPr="00436A3E" w:rsidRDefault="00253BDE" w:rsidP="00253BDE">
      <w:pPr>
        <w:pStyle w:val="ListParagraph"/>
        <w:numPr>
          <w:ilvl w:val="0"/>
          <w:numId w:val="12"/>
        </w:numPr>
        <w:rPr>
          <w:rFonts w:ascii="Arial" w:hAnsi="Arial" w:cs="Arial"/>
          <w:sz w:val="20"/>
          <w:szCs w:val="20"/>
        </w:rPr>
      </w:pPr>
      <w:r w:rsidRPr="00436A3E">
        <w:rPr>
          <w:rFonts w:ascii="Arial" w:hAnsi="Arial" w:cs="Arial"/>
          <w:sz w:val="20"/>
          <w:szCs w:val="20"/>
        </w:rPr>
        <w:t xml:space="preserve">Supported Living Payment (SLP) numbers remained </w:t>
      </w:r>
      <w:r w:rsidRPr="00436A3E">
        <w:rPr>
          <w:rFonts w:ascii="Arial" w:hAnsi="Arial" w:cs="Arial"/>
          <w:b/>
          <w:sz w:val="20"/>
          <w:szCs w:val="20"/>
        </w:rPr>
        <w:t>stable</w:t>
      </w:r>
      <w:r w:rsidRPr="00436A3E">
        <w:rPr>
          <w:rFonts w:ascii="Arial" w:hAnsi="Arial" w:cs="Arial"/>
          <w:sz w:val="20"/>
          <w:szCs w:val="20"/>
        </w:rPr>
        <w:t>.</w:t>
      </w:r>
    </w:p>
    <w:p w:rsidR="00253BDE" w:rsidRPr="00F82046" w:rsidRDefault="00253BDE" w:rsidP="00253BDE">
      <w:pPr>
        <w:pStyle w:val="ListParagraph"/>
        <w:numPr>
          <w:ilvl w:val="0"/>
          <w:numId w:val="11"/>
        </w:numPr>
        <w:spacing w:before="0"/>
        <w:rPr>
          <w:rFonts w:ascii="Arial" w:hAnsi="Arial" w:cs="Arial"/>
          <w:b/>
          <w:sz w:val="20"/>
          <w:szCs w:val="20"/>
        </w:rPr>
      </w:pPr>
      <w:r w:rsidRPr="00B874A5">
        <w:rPr>
          <w:rFonts w:ascii="Arial" w:hAnsi="Arial" w:cs="Arial"/>
          <w:sz w:val="20"/>
          <w:szCs w:val="20"/>
        </w:rPr>
        <w:t xml:space="preserve">JS numbers </w:t>
      </w:r>
      <w:r w:rsidRPr="00B874A5">
        <w:rPr>
          <w:rFonts w:ascii="Arial" w:hAnsi="Arial" w:cs="Arial"/>
          <w:b/>
          <w:sz w:val="20"/>
          <w:szCs w:val="20"/>
        </w:rPr>
        <w:t>decreased</w:t>
      </w:r>
      <w:r w:rsidRPr="00B874A5">
        <w:rPr>
          <w:rFonts w:ascii="Arial" w:hAnsi="Arial" w:cs="Arial"/>
          <w:sz w:val="20"/>
          <w:szCs w:val="20"/>
        </w:rPr>
        <w:t xml:space="preserve"> in all Work and Income regions except Nelson</w:t>
      </w:r>
      <w:r>
        <w:rPr>
          <w:rFonts w:ascii="Arial" w:hAnsi="Arial" w:cs="Arial"/>
          <w:sz w:val="20"/>
          <w:szCs w:val="20"/>
        </w:rPr>
        <w:t xml:space="preserve"> and Bay of Plenty</w:t>
      </w:r>
      <w:r w:rsidRPr="00B874A5">
        <w:rPr>
          <w:rFonts w:ascii="Arial" w:hAnsi="Arial" w:cs="Arial"/>
          <w:sz w:val="20"/>
          <w:szCs w:val="20"/>
        </w:rPr>
        <w:t xml:space="preserve">, which remained stable. SPS numbers </w:t>
      </w:r>
      <w:r w:rsidRPr="00B874A5">
        <w:rPr>
          <w:rFonts w:ascii="Arial" w:hAnsi="Arial" w:cs="Arial"/>
          <w:b/>
          <w:sz w:val="20"/>
          <w:szCs w:val="20"/>
        </w:rPr>
        <w:t>decreased</w:t>
      </w:r>
      <w:r w:rsidRPr="00B874A5">
        <w:rPr>
          <w:rFonts w:ascii="Arial" w:hAnsi="Arial" w:cs="Arial"/>
          <w:sz w:val="20"/>
          <w:szCs w:val="20"/>
        </w:rPr>
        <w:t xml:space="preserve"> in all regions</w:t>
      </w:r>
      <w:r>
        <w:rPr>
          <w:rFonts w:ascii="Arial" w:hAnsi="Arial" w:cs="Arial"/>
          <w:sz w:val="20"/>
          <w:szCs w:val="20"/>
        </w:rPr>
        <w:t>,</w:t>
      </w:r>
      <w:r w:rsidRPr="00B874A5">
        <w:rPr>
          <w:rFonts w:ascii="Arial" w:hAnsi="Arial" w:cs="Arial"/>
          <w:sz w:val="20"/>
          <w:szCs w:val="20"/>
        </w:rPr>
        <w:t xml:space="preserve"> and SLP numbers </w:t>
      </w:r>
      <w:r w:rsidRPr="009B4436">
        <w:rPr>
          <w:rFonts w:ascii="Arial" w:hAnsi="Arial" w:cs="Arial"/>
          <w:b/>
          <w:sz w:val="20"/>
          <w:szCs w:val="20"/>
        </w:rPr>
        <w:t>increased</w:t>
      </w:r>
      <w:r w:rsidRPr="00B874A5">
        <w:rPr>
          <w:rFonts w:ascii="Arial" w:hAnsi="Arial" w:cs="Arial"/>
          <w:sz w:val="20"/>
          <w:szCs w:val="20"/>
        </w:rPr>
        <w:t xml:space="preserve"> in all regions except Taranaki, Nelson, Canterbury</w:t>
      </w:r>
      <w:r>
        <w:rPr>
          <w:rFonts w:ascii="Arial" w:hAnsi="Arial" w:cs="Arial"/>
          <w:sz w:val="20"/>
          <w:szCs w:val="20"/>
        </w:rPr>
        <w:t xml:space="preserve"> and</w:t>
      </w:r>
      <w:r w:rsidRPr="00B874A5">
        <w:rPr>
          <w:rFonts w:ascii="Arial" w:hAnsi="Arial" w:cs="Arial"/>
          <w:sz w:val="20"/>
          <w:szCs w:val="20"/>
        </w:rPr>
        <w:t xml:space="preserve"> Southern</w:t>
      </w:r>
      <w:r>
        <w:rPr>
          <w:rFonts w:ascii="Arial" w:hAnsi="Arial" w:cs="Arial"/>
          <w:sz w:val="20"/>
          <w:szCs w:val="20"/>
        </w:rPr>
        <w:t xml:space="preserve"> regions.</w:t>
      </w:r>
    </w:p>
    <w:p w:rsidR="00253BDE" w:rsidRPr="000F2F66" w:rsidRDefault="00253BDE" w:rsidP="00253BDE">
      <w:pPr>
        <w:pStyle w:val="ListParagraph"/>
        <w:numPr>
          <w:ilvl w:val="0"/>
          <w:numId w:val="11"/>
        </w:numPr>
        <w:rPr>
          <w:rFonts w:ascii="Arial" w:hAnsi="Arial" w:cs="Arial"/>
          <w:sz w:val="20"/>
          <w:szCs w:val="20"/>
        </w:rPr>
      </w:pPr>
      <w:r w:rsidRPr="000F2F66">
        <w:rPr>
          <w:rFonts w:ascii="Arial" w:hAnsi="Arial" w:cs="Arial"/>
          <w:sz w:val="20"/>
          <w:szCs w:val="20"/>
        </w:rPr>
        <w:t>The percentage of the working</w:t>
      </w:r>
      <w:r>
        <w:rPr>
          <w:rFonts w:ascii="Arial" w:hAnsi="Arial" w:cs="Arial"/>
          <w:sz w:val="20"/>
          <w:szCs w:val="20"/>
        </w:rPr>
        <w:t>-</w:t>
      </w:r>
      <w:r w:rsidRPr="000F2F66">
        <w:rPr>
          <w:rFonts w:ascii="Arial" w:hAnsi="Arial" w:cs="Arial"/>
          <w:sz w:val="20"/>
          <w:szCs w:val="20"/>
        </w:rPr>
        <w:t xml:space="preserve">age population in New Zealand receiving a main benefit </w:t>
      </w:r>
      <w:r w:rsidRPr="000F2F66">
        <w:rPr>
          <w:rFonts w:ascii="Arial" w:hAnsi="Arial" w:cs="Arial"/>
          <w:b/>
          <w:sz w:val="20"/>
          <w:szCs w:val="20"/>
        </w:rPr>
        <w:t>fell</w:t>
      </w:r>
      <w:r>
        <w:rPr>
          <w:rFonts w:ascii="Arial" w:hAnsi="Arial" w:cs="Arial"/>
          <w:b/>
          <w:sz w:val="20"/>
          <w:szCs w:val="20"/>
        </w:rPr>
        <w:t xml:space="preserve"> slightly</w:t>
      </w:r>
      <w:r w:rsidRPr="000F2F66">
        <w:rPr>
          <w:rFonts w:ascii="Arial" w:hAnsi="Arial" w:cs="Arial"/>
          <w:sz w:val="20"/>
          <w:szCs w:val="20"/>
        </w:rPr>
        <w:t>.</w:t>
      </w:r>
    </w:p>
    <w:p w:rsidR="00253BDE" w:rsidRPr="00B874A5" w:rsidRDefault="00253BDE" w:rsidP="00253BDE">
      <w:pPr>
        <w:pStyle w:val="ListParagraph"/>
        <w:spacing w:before="0"/>
        <w:rPr>
          <w:rFonts w:ascii="Arial" w:hAnsi="Arial" w:cs="Arial"/>
          <w:b/>
          <w:sz w:val="20"/>
          <w:szCs w:val="20"/>
        </w:rPr>
      </w:pPr>
      <w:bookmarkStart w:id="0" w:name="_GoBack"/>
      <w:bookmarkEnd w:id="0"/>
    </w:p>
    <w:p w:rsidR="00253BDE" w:rsidRPr="00837889" w:rsidRDefault="00253BDE" w:rsidP="00253BDE">
      <w:pPr>
        <w:pStyle w:val="ListParagraph"/>
        <w:rPr>
          <w:rFonts w:ascii="Arial" w:hAnsi="Arial" w:cs="Arial"/>
          <w:b/>
          <w:sz w:val="20"/>
          <w:szCs w:val="20"/>
        </w:rPr>
      </w:pPr>
    </w:p>
    <w:p w:rsidR="00253BDE" w:rsidRPr="00253BDE" w:rsidRDefault="00253BDE" w:rsidP="00253BDE">
      <w:pPr>
        <w:spacing w:before="0"/>
        <w:jc w:val="center"/>
        <w:rPr>
          <w:rFonts w:ascii="Arial" w:hAnsi="Arial" w:cs="Arial"/>
          <w:sz w:val="16"/>
          <w:szCs w:val="16"/>
        </w:rPr>
      </w:pPr>
      <w:r w:rsidRPr="00253BDE">
        <w:rPr>
          <w:rFonts w:ascii="Arial" w:hAnsi="Arial" w:cs="Arial"/>
          <w:b/>
          <w:sz w:val="18"/>
          <w:szCs w:val="18"/>
        </w:rPr>
        <w:t>Summary of working-age* clients receiving main benefits, end of September 2008, 2012 and 2013</w:t>
      </w:r>
    </w:p>
    <w:tbl>
      <w:tblPr>
        <w:tblStyle w:val="LightList-Accent5"/>
        <w:tblW w:w="9072" w:type="dxa"/>
        <w:tblInd w:w="108" w:type="dxa"/>
        <w:tblLayout w:type="fixed"/>
        <w:tblLook w:val="04A0" w:firstRow="1" w:lastRow="0" w:firstColumn="1" w:lastColumn="0" w:noHBand="0" w:noVBand="1"/>
      </w:tblPr>
      <w:tblGrid>
        <w:gridCol w:w="2922"/>
        <w:gridCol w:w="1189"/>
        <w:gridCol w:w="1418"/>
        <w:gridCol w:w="1417"/>
        <w:gridCol w:w="1276"/>
        <w:gridCol w:w="850"/>
      </w:tblGrid>
      <w:tr w:rsidR="00253BDE" w:rsidRPr="00253BDE" w:rsidTr="000B36FE">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253BDE" w:rsidRPr="00253BDE" w:rsidRDefault="00253BDE" w:rsidP="000B36FE">
            <w:pPr>
              <w:spacing w:before="0"/>
              <w:rPr>
                <w:rFonts w:ascii="Arial" w:hAnsi="Arial" w:cs="Arial"/>
                <w:sz w:val="18"/>
                <w:szCs w:val="18"/>
              </w:rPr>
            </w:pPr>
            <w:r w:rsidRPr="00253BDE">
              <w:rPr>
                <w:rFonts w:ascii="Arial" w:hAnsi="Arial" w:cs="Arial"/>
                <w:sz w:val="18"/>
                <w:szCs w:val="18"/>
              </w:rPr>
              <w:t>Benefit</w:t>
            </w:r>
          </w:p>
        </w:tc>
        <w:tc>
          <w:tcPr>
            <w:tcW w:w="1189" w:type="dxa"/>
            <w:vAlign w:val="center"/>
          </w:tcPr>
          <w:p w:rsidR="00253BDE" w:rsidRPr="00253BDE" w:rsidRDefault="00253BDE" w:rsidP="000B36FE">
            <w:pPr>
              <w:spacing w:before="0"/>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53BDE">
              <w:rPr>
                <w:rFonts w:ascii="Arial" w:hAnsi="Arial" w:cs="Arial"/>
                <w:sz w:val="18"/>
                <w:szCs w:val="18"/>
              </w:rPr>
              <w:t>Sep-2008</w:t>
            </w:r>
          </w:p>
        </w:tc>
        <w:tc>
          <w:tcPr>
            <w:tcW w:w="1418" w:type="dxa"/>
            <w:vAlign w:val="center"/>
          </w:tcPr>
          <w:p w:rsidR="00253BDE" w:rsidRPr="00253BDE" w:rsidRDefault="00253BDE" w:rsidP="000B36FE">
            <w:pPr>
              <w:spacing w:before="0"/>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53BDE">
              <w:rPr>
                <w:rFonts w:ascii="Arial" w:hAnsi="Arial" w:cs="Arial"/>
                <w:sz w:val="18"/>
                <w:szCs w:val="18"/>
              </w:rPr>
              <w:t>Sep-2012</w:t>
            </w:r>
          </w:p>
        </w:tc>
        <w:tc>
          <w:tcPr>
            <w:tcW w:w="1417" w:type="dxa"/>
            <w:vAlign w:val="center"/>
          </w:tcPr>
          <w:p w:rsidR="00253BDE" w:rsidRPr="00253BDE" w:rsidRDefault="00253BDE" w:rsidP="000B36FE">
            <w:pPr>
              <w:spacing w:before="0"/>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53BDE">
              <w:rPr>
                <w:rFonts w:ascii="Arial" w:hAnsi="Arial" w:cs="Arial"/>
                <w:sz w:val="18"/>
                <w:szCs w:val="18"/>
              </w:rPr>
              <w:t>Sep-2013</w:t>
            </w:r>
          </w:p>
        </w:tc>
        <w:tc>
          <w:tcPr>
            <w:tcW w:w="2126" w:type="dxa"/>
            <w:gridSpan w:val="2"/>
            <w:vAlign w:val="center"/>
          </w:tcPr>
          <w:p w:rsidR="00253BDE" w:rsidRPr="00253BDE" w:rsidRDefault="00253BDE" w:rsidP="000B36FE">
            <w:pPr>
              <w:spacing w:before="0"/>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53BDE">
              <w:rPr>
                <w:rFonts w:ascii="Arial" w:hAnsi="Arial" w:cs="Arial"/>
                <w:sz w:val="18"/>
                <w:szCs w:val="18"/>
              </w:rPr>
              <w:t>Annual Change</w:t>
            </w:r>
          </w:p>
        </w:tc>
      </w:tr>
      <w:tr w:rsidR="00253BDE" w:rsidRPr="00253BDE" w:rsidTr="000B36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253BDE" w:rsidRPr="00253BDE" w:rsidRDefault="00253BDE" w:rsidP="000B36FE">
            <w:pPr>
              <w:spacing w:before="0"/>
              <w:rPr>
                <w:rFonts w:ascii="Arial" w:hAnsi="Arial" w:cs="Arial"/>
                <w:b w:val="0"/>
                <w:sz w:val="18"/>
                <w:szCs w:val="18"/>
              </w:rPr>
            </w:pPr>
            <w:r w:rsidRPr="00253BDE">
              <w:rPr>
                <w:rFonts w:ascii="Arial" w:hAnsi="Arial" w:cs="Arial"/>
                <w:b w:val="0"/>
                <w:sz w:val="18"/>
                <w:szCs w:val="18"/>
              </w:rPr>
              <w:t>Jobseeker Support (JS)</w:t>
            </w:r>
          </w:p>
        </w:tc>
        <w:tc>
          <w:tcPr>
            <w:tcW w:w="1189"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95,603</w:t>
            </w:r>
          </w:p>
        </w:tc>
        <w:tc>
          <w:tcPr>
            <w:tcW w:w="1418"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 xml:space="preserve">       136,020 </w:t>
            </w:r>
          </w:p>
        </w:tc>
        <w:tc>
          <w:tcPr>
            <w:tcW w:w="1417"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 xml:space="preserve">       126,470 </w:t>
            </w:r>
          </w:p>
        </w:tc>
        <w:tc>
          <w:tcPr>
            <w:tcW w:w="1276"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 xml:space="preserve">    -9,550 </w:t>
            </w:r>
          </w:p>
        </w:tc>
        <w:tc>
          <w:tcPr>
            <w:tcW w:w="850"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-7%</w:t>
            </w:r>
          </w:p>
        </w:tc>
      </w:tr>
      <w:tr w:rsidR="00253BDE" w:rsidRPr="00253BDE" w:rsidTr="000B36FE">
        <w:trPr>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253BDE" w:rsidRPr="00253BDE" w:rsidRDefault="00253BDE" w:rsidP="000B36FE">
            <w:pPr>
              <w:spacing w:before="0"/>
              <w:rPr>
                <w:rFonts w:ascii="Arial" w:hAnsi="Arial" w:cs="Arial"/>
                <w:b w:val="0"/>
                <w:sz w:val="18"/>
                <w:szCs w:val="18"/>
              </w:rPr>
            </w:pPr>
            <w:r w:rsidRPr="00253BDE">
              <w:rPr>
                <w:rFonts w:ascii="Arial" w:hAnsi="Arial" w:cs="Arial"/>
                <w:b w:val="0"/>
                <w:sz w:val="18"/>
                <w:szCs w:val="18"/>
              </w:rPr>
              <w:t>Sole Parent Support (SPS)</w:t>
            </w:r>
          </w:p>
        </w:tc>
        <w:tc>
          <w:tcPr>
            <w:tcW w:w="1189"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253BDE">
              <w:rPr>
                <w:color w:val="000000"/>
                <w:sz w:val="18"/>
                <w:szCs w:val="18"/>
              </w:rPr>
              <w:t>79,178</w:t>
            </w:r>
          </w:p>
        </w:tc>
        <w:tc>
          <w:tcPr>
            <w:tcW w:w="1418"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253BDE">
              <w:rPr>
                <w:color w:val="000000"/>
                <w:sz w:val="18"/>
                <w:szCs w:val="18"/>
              </w:rPr>
              <w:t xml:space="preserve">         86,967 </w:t>
            </w:r>
          </w:p>
        </w:tc>
        <w:tc>
          <w:tcPr>
            <w:tcW w:w="1417"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253BDE">
              <w:rPr>
                <w:color w:val="000000"/>
                <w:sz w:val="18"/>
                <w:szCs w:val="18"/>
              </w:rPr>
              <w:t xml:space="preserve">         79,699 </w:t>
            </w:r>
          </w:p>
        </w:tc>
        <w:tc>
          <w:tcPr>
            <w:tcW w:w="1276"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253BDE">
              <w:rPr>
                <w:color w:val="000000"/>
                <w:sz w:val="18"/>
                <w:szCs w:val="18"/>
              </w:rPr>
              <w:t xml:space="preserve">      -7,268 </w:t>
            </w:r>
          </w:p>
        </w:tc>
        <w:tc>
          <w:tcPr>
            <w:tcW w:w="850"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253BDE">
              <w:rPr>
                <w:color w:val="000000"/>
                <w:sz w:val="18"/>
                <w:szCs w:val="18"/>
              </w:rPr>
              <w:t>-8%</w:t>
            </w:r>
          </w:p>
        </w:tc>
      </w:tr>
      <w:tr w:rsidR="00253BDE" w:rsidRPr="00253BDE" w:rsidTr="000B36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253BDE" w:rsidRPr="00253BDE" w:rsidRDefault="00253BDE" w:rsidP="000B36FE">
            <w:pPr>
              <w:spacing w:before="0"/>
              <w:rPr>
                <w:rFonts w:ascii="Arial" w:hAnsi="Arial" w:cs="Arial"/>
                <w:b w:val="0"/>
                <w:sz w:val="18"/>
                <w:szCs w:val="18"/>
              </w:rPr>
            </w:pPr>
            <w:r w:rsidRPr="00253BDE">
              <w:rPr>
                <w:rFonts w:ascii="Arial" w:hAnsi="Arial" w:cs="Arial"/>
                <w:b w:val="0"/>
                <w:sz w:val="18"/>
                <w:szCs w:val="18"/>
              </w:rPr>
              <w:t>Supported Living Payment (SLP)</w:t>
            </w:r>
          </w:p>
        </w:tc>
        <w:tc>
          <w:tcPr>
            <w:tcW w:w="1189"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89,044</w:t>
            </w:r>
          </w:p>
        </w:tc>
        <w:tc>
          <w:tcPr>
            <w:tcW w:w="1418"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 xml:space="preserve">         91,376 </w:t>
            </w:r>
          </w:p>
        </w:tc>
        <w:tc>
          <w:tcPr>
            <w:tcW w:w="1417"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 xml:space="preserve">         92,072 </w:t>
            </w:r>
          </w:p>
        </w:tc>
        <w:tc>
          <w:tcPr>
            <w:tcW w:w="1276"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 xml:space="preserve">            696 </w:t>
            </w:r>
          </w:p>
        </w:tc>
        <w:tc>
          <w:tcPr>
            <w:tcW w:w="850"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1%</w:t>
            </w:r>
          </w:p>
        </w:tc>
      </w:tr>
      <w:tr w:rsidR="00253BDE" w:rsidRPr="00253BDE" w:rsidTr="000B36FE">
        <w:trPr>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253BDE" w:rsidRPr="00253BDE" w:rsidRDefault="00253BDE" w:rsidP="000B36FE">
            <w:pPr>
              <w:spacing w:before="0"/>
              <w:rPr>
                <w:rFonts w:ascii="Arial" w:hAnsi="Arial" w:cs="Arial"/>
                <w:b w:val="0"/>
                <w:sz w:val="18"/>
                <w:szCs w:val="18"/>
              </w:rPr>
            </w:pPr>
            <w:r w:rsidRPr="00253BDE">
              <w:rPr>
                <w:rFonts w:ascii="Arial" w:hAnsi="Arial" w:cs="Arial"/>
                <w:b w:val="0"/>
                <w:sz w:val="18"/>
                <w:szCs w:val="18"/>
              </w:rPr>
              <w:t>Youth Payment/Young Parent Payment (YP/YPP)**</w:t>
            </w:r>
          </w:p>
        </w:tc>
        <w:tc>
          <w:tcPr>
            <w:tcW w:w="1189"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253BDE">
              <w:rPr>
                <w:color w:val="000000"/>
                <w:sz w:val="18"/>
                <w:szCs w:val="18"/>
              </w:rPr>
              <w:t>1,489</w:t>
            </w:r>
          </w:p>
        </w:tc>
        <w:tc>
          <w:tcPr>
            <w:tcW w:w="1418"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253BDE">
              <w:rPr>
                <w:color w:val="000000"/>
                <w:sz w:val="18"/>
                <w:szCs w:val="18"/>
              </w:rPr>
              <w:t xml:space="preserve">           1,106 </w:t>
            </w:r>
          </w:p>
        </w:tc>
        <w:tc>
          <w:tcPr>
            <w:tcW w:w="1417"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253BDE">
              <w:rPr>
                <w:color w:val="000000"/>
                <w:sz w:val="18"/>
                <w:szCs w:val="18"/>
              </w:rPr>
              <w:t xml:space="preserve">           1,293 </w:t>
            </w:r>
          </w:p>
        </w:tc>
        <w:tc>
          <w:tcPr>
            <w:tcW w:w="1276"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253BDE">
              <w:rPr>
                <w:color w:val="000000"/>
                <w:sz w:val="18"/>
                <w:szCs w:val="18"/>
              </w:rPr>
              <w:t xml:space="preserve">            187 </w:t>
            </w:r>
          </w:p>
        </w:tc>
        <w:tc>
          <w:tcPr>
            <w:tcW w:w="850"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253BDE">
              <w:rPr>
                <w:color w:val="000000"/>
                <w:sz w:val="18"/>
                <w:szCs w:val="18"/>
              </w:rPr>
              <w:t>17%</w:t>
            </w:r>
          </w:p>
        </w:tc>
      </w:tr>
      <w:tr w:rsidR="00253BDE" w:rsidRPr="00253BDE" w:rsidTr="000B36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253BDE" w:rsidRPr="00253BDE" w:rsidRDefault="00253BDE" w:rsidP="000B36FE">
            <w:pPr>
              <w:spacing w:before="0"/>
              <w:rPr>
                <w:rFonts w:ascii="Arial" w:hAnsi="Arial" w:cs="Arial"/>
                <w:b w:val="0"/>
                <w:sz w:val="18"/>
                <w:szCs w:val="18"/>
              </w:rPr>
            </w:pPr>
            <w:r w:rsidRPr="00253BDE">
              <w:rPr>
                <w:rFonts w:ascii="Arial" w:hAnsi="Arial" w:cs="Arial"/>
                <w:b w:val="0"/>
                <w:sz w:val="18"/>
                <w:szCs w:val="18"/>
              </w:rPr>
              <w:t>Other***</w:t>
            </w:r>
          </w:p>
        </w:tc>
        <w:tc>
          <w:tcPr>
            <w:tcW w:w="1189"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4,294</w:t>
            </w:r>
          </w:p>
        </w:tc>
        <w:tc>
          <w:tcPr>
            <w:tcW w:w="1418"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 xml:space="preserve">           5,473 </w:t>
            </w:r>
          </w:p>
        </w:tc>
        <w:tc>
          <w:tcPr>
            <w:tcW w:w="1417"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 xml:space="preserve">           4,860 </w:t>
            </w:r>
          </w:p>
        </w:tc>
        <w:tc>
          <w:tcPr>
            <w:tcW w:w="1276"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 xml:space="preserve">          -613 </w:t>
            </w:r>
          </w:p>
        </w:tc>
        <w:tc>
          <w:tcPr>
            <w:tcW w:w="850" w:type="dxa"/>
            <w:vAlign w:val="center"/>
          </w:tcPr>
          <w:p w:rsidR="00253BDE" w:rsidRPr="00253BDE" w:rsidRDefault="00253BDE" w:rsidP="000B36FE">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253BDE">
              <w:rPr>
                <w:color w:val="000000"/>
                <w:sz w:val="18"/>
                <w:szCs w:val="18"/>
              </w:rPr>
              <w:t>-11%</w:t>
            </w:r>
          </w:p>
        </w:tc>
      </w:tr>
      <w:tr w:rsidR="00253BDE" w:rsidRPr="00253BDE" w:rsidTr="000B36FE">
        <w:trPr>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253BDE" w:rsidRPr="00253BDE" w:rsidRDefault="00253BDE" w:rsidP="000B36FE">
            <w:pPr>
              <w:spacing w:before="0"/>
              <w:rPr>
                <w:rFonts w:ascii="Arial" w:hAnsi="Arial" w:cs="Arial"/>
                <w:sz w:val="18"/>
                <w:szCs w:val="18"/>
              </w:rPr>
            </w:pPr>
            <w:r w:rsidRPr="00253BDE">
              <w:rPr>
                <w:rFonts w:ascii="Arial" w:hAnsi="Arial" w:cs="Arial"/>
                <w:sz w:val="18"/>
                <w:szCs w:val="18"/>
              </w:rPr>
              <w:t>Total working-age recipients</w:t>
            </w:r>
          </w:p>
        </w:tc>
        <w:tc>
          <w:tcPr>
            <w:tcW w:w="1189"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253BDE">
              <w:rPr>
                <w:b/>
                <w:color w:val="000000"/>
                <w:sz w:val="18"/>
                <w:szCs w:val="18"/>
              </w:rPr>
              <w:t>269,608</w:t>
            </w:r>
          </w:p>
        </w:tc>
        <w:tc>
          <w:tcPr>
            <w:tcW w:w="1418"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253BDE">
              <w:rPr>
                <w:b/>
                <w:color w:val="000000"/>
                <w:sz w:val="18"/>
                <w:szCs w:val="18"/>
              </w:rPr>
              <w:t xml:space="preserve">       320,942 </w:t>
            </w:r>
          </w:p>
        </w:tc>
        <w:tc>
          <w:tcPr>
            <w:tcW w:w="1417"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253BDE">
              <w:rPr>
                <w:b/>
                <w:color w:val="000000"/>
                <w:sz w:val="18"/>
                <w:szCs w:val="18"/>
              </w:rPr>
              <w:t xml:space="preserve">       304,394 </w:t>
            </w:r>
          </w:p>
        </w:tc>
        <w:tc>
          <w:tcPr>
            <w:tcW w:w="1276"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253BDE">
              <w:rPr>
                <w:b/>
                <w:color w:val="000000"/>
                <w:sz w:val="18"/>
                <w:szCs w:val="18"/>
              </w:rPr>
              <w:t xml:space="preserve">     -16,548 </w:t>
            </w:r>
          </w:p>
        </w:tc>
        <w:tc>
          <w:tcPr>
            <w:tcW w:w="850" w:type="dxa"/>
            <w:vAlign w:val="center"/>
          </w:tcPr>
          <w:p w:rsidR="00253BDE" w:rsidRPr="00253BDE" w:rsidRDefault="00253BDE" w:rsidP="000B36FE">
            <w:pP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253BDE">
              <w:rPr>
                <w:b/>
                <w:color w:val="000000"/>
                <w:sz w:val="18"/>
                <w:szCs w:val="18"/>
              </w:rPr>
              <w:t>-5%</w:t>
            </w:r>
          </w:p>
        </w:tc>
      </w:tr>
      <w:tr w:rsidR="00253BDE" w:rsidRPr="00253BDE" w:rsidTr="000B36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253BDE" w:rsidRPr="00253BDE" w:rsidRDefault="00253BDE" w:rsidP="000B36FE">
            <w:pPr>
              <w:spacing w:before="0"/>
              <w:rPr>
                <w:rFonts w:ascii="Arial" w:hAnsi="Arial" w:cs="Arial"/>
                <w:b w:val="0"/>
                <w:i/>
                <w:sz w:val="18"/>
                <w:szCs w:val="18"/>
              </w:rPr>
            </w:pPr>
            <w:r w:rsidRPr="00253BDE">
              <w:rPr>
                <w:rFonts w:ascii="Arial" w:hAnsi="Arial" w:cs="Arial"/>
                <w:b w:val="0"/>
                <w:i/>
                <w:sz w:val="18"/>
                <w:szCs w:val="18"/>
              </w:rPr>
              <w:t>Percentage of working-age population on main benefits</w:t>
            </w:r>
          </w:p>
        </w:tc>
        <w:tc>
          <w:tcPr>
            <w:tcW w:w="1189" w:type="dxa"/>
            <w:vAlign w:val="center"/>
          </w:tcPr>
          <w:p w:rsidR="00253BDE" w:rsidRPr="00253BDE" w:rsidRDefault="00253BDE" w:rsidP="000B36FE">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253BDE">
              <w:rPr>
                <w:rFonts w:ascii="Arial" w:hAnsi="Arial" w:cs="Arial"/>
                <w:i/>
                <w:sz w:val="18"/>
                <w:szCs w:val="18"/>
              </w:rPr>
              <w:t>10.2%</w:t>
            </w:r>
          </w:p>
        </w:tc>
        <w:tc>
          <w:tcPr>
            <w:tcW w:w="1418" w:type="dxa"/>
            <w:vAlign w:val="center"/>
          </w:tcPr>
          <w:p w:rsidR="00253BDE" w:rsidRPr="00253BDE" w:rsidRDefault="00253BDE" w:rsidP="000B36FE">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253BDE">
              <w:rPr>
                <w:rFonts w:ascii="Arial" w:hAnsi="Arial" w:cs="Arial"/>
                <w:i/>
                <w:sz w:val="18"/>
                <w:szCs w:val="18"/>
              </w:rPr>
              <w:t>11.7%</w:t>
            </w:r>
          </w:p>
        </w:tc>
        <w:tc>
          <w:tcPr>
            <w:tcW w:w="1417" w:type="dxa"/>
            <w:vAlign w:val="center"/>
          </w:tcPr>
          <w:p w:rsidR="00253BDE" w:rsidRPr="00253BDE" w:rsidRDefault="00253BDE" w:rsidP="000B36FE">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253BDE">
              <w:rPr>
                <w:rFonts w:ascii="Arial" w:hAnsi="Arial" w:cs="Arial"/>
                <w:i/>
                <w:sz w:val="18"/>
                <w:szCs w:val="18"/>
              </w:rPr>
              <w:t>11.0%</w:t>
            </w:r>
          </w:p>
        </w:tc>
        <w:tc>
          <w:tcPr>
            <w:tcW w:w="1276" w:type="dxa"/>
            <w:vAlign w:val="center"/>
          </w:tcPr>
          <w:p w:rsidR="00253BDE" w:rsidRPr="00253BDE" w:rsidRDefault="00253BDE" w:rsidP="000B36FE">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p>
        </w:tc>
        <w:tc>
          <w:tcPr>
            <w:tcW w:w="850" w:type="dxa"/>
            <w:vAlign w:val="center"/>
          </w:tcPr>
          <w:p w:rsidR="00253BDE" w:rsidRPr="00253BDE" w:rsidRDefault="00253BDE" w:rsidP="000B36FE">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p>
        </w:tc>
      </w:tr>
    </w:tbl>
    <w:p w:rsidR="00253BDE" w:rsidRPr="00253BDE" w:rsidRDefault="00253BDE" w:rsidP="00253BDE">
      <w:pPr>
        <w:spacing w:before="0"/>
        <w:jc w:val="both"/>
        <w:rPr>
          <w:rFonts w:ascii="Arial" w:hAnsi="Arial" w:cs="Arial"/>
          <w:sz w:val="12"/>
          <w:szCs w:val="12"/>
        </w:rPr>
      </w:pPr>
    </w:p>
    <w:p w:rsidR="00253BDE" w:rsidRPr="00253BDE" w:rsidRDefault="00253BDE" w:rsidP="00253BDE">
      <w:pPr>
        <w:spacing w:before="0"/>
        <w:jc w:val="both"/>
        <w:rPr>
          <w:rFonts w:ascii="Arial" w:hAnsi="Arial" w:cs="Arial"/>
          <w:sz w:val="16"/>
          <w:szCs w:val="16"/>
        </w:rPr>
      </w:pPr>
      <w:r w:rsidRPr="00253BDE">
        <w:rPr>
          <w:rFonts w:ascii="Arial" w:hAnsi="Arial" w:cs="Arial"/>
          <w:sz w:val="16"/>
          <w:szCs w:val="16"/>
        </w:rPr>
        <w:t>*Working-age clients are aged 18-64. This definition reflects the minimum age of eligibility for most main benefits and the age of qualification for New Zealand Superannuation.</w:t>
      </w:r>
    </w:p>
    <w:p w:rsidR="00253BDE" w:rsidRPr="00253BDE" w:rsidRDefault="00253BDE" w:rsidP="00253BDE">
      <w:pPr>
        <w:spacing w:before="0"/>
        <w:jc w:val="both"/>
        <w:rPr>
          <w:rFonts w:ascii="Arial" w:hAnsi="Arial" w:cs="Arial"/>
          <w:sz w:val="16"/>
          <w:szCs w:val="16"/>
        </w:rPr>
      </w:pPr>
      <w:r w:rsidRPr="00253BDE">
        <w:rPr>
          <w:rFonts w:ascii="Arial" w:hAnsi="Arial" w:cs="Arial"/>
          <w:sz w:val="16"/>
          <w:szCs w:val="16"/>
        </w:rPr>
        <w:t>**Youth Payment/Young Parent Payment recipients who are 18+ years. There were 1,729 YP/YPP recipients aged 16-17 years at the end of September 2013.</w:t>
      </w:r>
    </w:p>
    <w:p w:rsidR="00253BDE" w:rsidRPr="00253BDE" w:rsidRDefault="00253BDE" w:rsidP="00253BDE">
      <w:pPr>
        <w:spacing w:before="0"/>
        <w:jc w:val="both"/>
        <w:rPr>
          <w:rFonts w:ascii="Arial" w:hAnsi="Arial" w:cs="Arial"/>
          <w:sz w:val="16"/>
          <w:szCs w:val="16"/>
        </w:rPr>
      </w:pPr>
      <w:r w:rsidRPr="00253BDE">
        <w:rPr>
          <w:rFonts w:ascii="Arial" w:hAnsi="Arial" w:cs="Arial"/>
          <w:sz w:val="16"/>
          <w:szCs w:val="16"/>
        </w:rPr>
        <w:t>***Other includes Emergency Maintenance Allowance (EMA), Emergency Benefit (EB) and Jobseeker Student Hardship (JSSH), Widow’s Benefit Overseas (WBO).</w:t>
      </w:r>
    </w:p>
    <w:p w:rsidR="00253BDE" w:rsidRPr="00253BDE" w:rsidRDefault="00253BDE" w:rsidP="00253BDE">
      <w:pPr>
        <w:spacing w:before="0"/>
        <w:jc w:val="both"/>
        <w:rPr>
          <w:rFonts w:ascii="Arial" w:hAnsi="Arial" w:cs="Arial"/>
          <w:b/>
          <w:sz w:val="20"/>
          <w:szCs w:val="20"/>
        </w:rPr>
      </w:pPr>
    </w:p>
    <w:p w:rsidR="00253BDE" w:rsidRPr="002E52A2" w:rsidRDefault="00253BDE" w:rsidP="00253BDE">
      <w:pPr>
        <w:rPr>
          <w:b/>
          <w:sz w:val="24"/>
          <w:szCs w:val="24"/>
        </w:rPr>
      </w:pPr>
      <w:r w:rsidRPr="00253BDE">
        <w:rPr>
          <w:b/>
          <w:sz w:val="24"/>
          <w:szCs w:val="24"/>
        </w:rPr>
        <w:t>Five-year trend</w:t>
      </w:r>
    </w:p>
    <w:p w:rsidR="00253BDE" w:rsidRPr="00B0466E" w:rsidRDefault="00253BDE" w:rsidP="00253BDE">
      <w:pPr>
        <w:tabs>
          <w:tab w:val="left" w:pos="930"/>
        </w:tabs>
        <w:rPr>
          <w:rFonts w:ascii="Arial" w:hAnsi="Arial" w:cs="Arial"/>
          <w:sz w:val="20"/>
          <w:szCs w:val="20"/>
        </w:rPr>
      </w:pPr>
      <w:r w:rsidRPr="00D64C48">
        <w:rPr>
          <w:rFonts w:ascii="Arial" w:hAnsi="Arial" w:cs="Arial"/>
          <w:sz w:val="20"/>
          <w:szCs w:val="20"/>
        </w:rPr>
        <w:t>Main benefit numbers increased substantially between September 2008 and September 2012, though they have fallen from their peak in 2010. The main driver for this pattern has been changes in economic conditions.</w:t>
      </w:r>
      <w:r w:rsidRPr="00B0466E">
        <w:rPr>
          <w:rFonts w:ascii="Arial" w:hAnsi="Arial" w:cs="Arial"/>
          <w:sz w:val="20"/>
          <w:szCs w:val="20"/>
        </w:rPr>
        <w:t xml:space="preserve"> </w:t>
      </w:r>
    </w:p>
    <w:p w:rsidR="00253BDE" w:rsidRDefault="00253BDE" w:rsidP="00253BDE">
      <w:pPr>
        <w:jc w:val="both"/>
        <w:rPr>
          <w:rFonts w:ascii="Arial" w:hAnsi="Arial" w:cs="Arial"/>
          <w:sz w:val="20"/>
          <w:szCs w:val="20"/>
        </w:rPr>
      </w:pPr>
    </w:p>
    <w:p w:rsidR="00253BDE" w:rsidRDefault="00253BDE" w:rsidP="00253BDE">
      <w:pPr>
        <w:pStyle w:val="ListParagraph"/>
        <w:tabs>
          <w:tab w:val="left" w:pos="930"/>
        </w:tabs>
        <w:jc w:val="center"/>
        <w:rPr>
          <w:sz w:val="20"/>
          <w:szCs w:val="20"/>
        </w:rPr>
      </w:pPr>
    </w:p>
    <w:p w:rsidR="00253BDE" w:rsidRDefault="00253BDE" w:rsidP="00253BDE">
      <w:pPr>
        <w:pStyle w:val="ListParagraph"/>
        <w:tabs>
          <w:tab w:val="left" w:pos="930"/>
        </w:tabs>
        <w:ind w:left="0"/>
        <w:rPr>
          <w:sz w:val="20"/>
          <w:szCs w:val="20"/>
        </w:rPr>
      </w:pPr>
      <w:r>
        <w:rPr>
          <w:noProof/>
          <w:lang w:eastAsia="en-NZ"/>
        </w:rPr>
        <w:lastRenderedPageBreak/>
        <w:drawing>
          <wp:inline distT="0" distB="0" distL="0" distR="0" wp14:anchorId="799F4539" wp14:editId="6E2F8E92">
            <wp:extent cx="5731510" cy="3881016"/>
            <wp:effectExtent l="0" t="0" r="21590" b="247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53BDE" w:rsidRDefault="00253BDE" w:rsidP="00253BDE">
      <w:pPr>
        <w:pStyle w:val="ListParagraph"/>
        <w:tabs>
          <w:tab w:val="left" w:pos="930"/>
        </w:tabs>
        <w:jc w:val="center"/>
        <w:rPr>
          <w:sz w:val="20"/>
          <w:szCs w:val="20"/>
        </w:rPr>
      </w:pPr>
    </w:p>
    <w:p w:rsidR="00253BDE" w:rsidRPr="00A24114" w:rsidRDefault="00253BDE" w:rsidP="00253BDE">
      <w:pPr>
        <w:jc w:val="both"/>
        <w:rPr>
          <w:rFonts w:ascii="Arial" w:hAnsi="Arial" w:cs="Arial"/>
          <w:sz w:val="20"/>
          <w:szCs w:val="20"/>
        </w:rPr>
      </w:pPr>
      <w:r w:rsidRPr="00705FCA">
        <w:rPr>
          <w:rFonts w:ascii="Arial" w:hAnsi="Arial" w:cs="Arial"/>
          <w:sz w:val="20"/>
          <w:szCs w:val="20"/>
        </w:rPr>
        <w:t>The proportion of the working-age population who were receiving a main benefit at the end of September increased between 2008 and 2010, but has decreased over the last three years. The main driver for this pattern has been changes in economic conditions.</w:t>
      </w:r>
    </w:p>
    <w:p w:rsidR="00253BDE" w:rsidRDefault="00253BDE" w:rsidP="00253BDE">
      <w:pPr>
        <w:pStyle w:val="ListParagraph"/>
        <w:tabs>
          <w:tab w:val="left" w:pos="930"/>
        </w:tabs>
        <w:jc w:val="center"/>
        <w:rPr>
          <w:sz w:val="20"/>
          <w:szCs w:val="20"/>
        </w:rPr>
      </w:pPr>
    </w:p>
    <w:p w:rsidR="00253BDE" w:rsidRDefault="00253BDE" w:rsidP="00253BDE">
      <w:pPr>
        <w:spacing w:before="0" w:after="200" w:line="276" w:lineRule="auto"/>
        <w:rPr>
          <w:b/>
          <w:sz w:val="24"/>
          <w:szCs w:val="24"/>
        </w:rPr>
      </w:pPr>
      <w:r>
        <w:rPr>
          <w:noProof/>
          <w:lang w:eastAsia="en-NZ"/>
        </w:rPr>
        <w:drawing>
          <wp:inline distT="0" distB="0" distL="0" distR="0" wp14:anchorId="2A1F09F0" wp14:editId="03CD10C9">
            <wp:extent cx="5810250" cy="32575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357A" w:rsidRDefault="00B5357A" w:rsidP="00253BDE">
      <w:pPr>
        <w:spacing w:before="0" w:after="200" w:line="276" w:lineRule="auto"/>
      </w:pPr>
    </w:p>
    <w:sectPr w:rsidR="00B53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äori">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50C8078"/>
    <w:lvl w:ilvl="0">
      <w:start w:val="1"/>
      <w:numFmt w:val="bullet"/>
      <w:pStyle w:val="Bullet1"/>
      <w:lvlText w:val=""/>
      <w:lvlJc w:val="left"/>
      <w:pPr>
        <w:tabs>
          <w:tab w:val="num" w:pos="360"/>
        </w:tabs>
        <w:ind w:left="360" w:hanging="360"/>
      </w:pPr>
      <w:rPr>
        <w:rFonts w:ascii="Symbol" w:hAnsi="Symbol" w:hint="default"/>
      </w:rPr>
    </w:lvl>
  </w:abstractNum>
  <w:abstractNum w:abstractNumId="2">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6">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923659"/>
    <w:multiLevelType w:val="hybridMultilevel"/>
    <w:tmpl w:val="6DE2F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4A56132"/>
    <w:multiLevelType w:val="hybridMultilevel"/>
    <w:tmpl w:val="B0DA4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74594A9C"/>
    <w:multiLevelType w:val="hybridMultilevel"/>
    <w:tmpl w:val="2BFA9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9C848C5"/>
    <w:multiLevelType w:val="hybridMultilevel"/>
    <w:tmpl w:val="2B721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DE"/>
    <w:rsid w:val="00000B4C"/>
    <w:rsid w:val="000106D0"/>
    <w:rsid w:val="00037CB0"/>
    <w:rsid w:val="000E3BB9"/>
    <w:rsid w:val="00106AED"/>
    <w:rsid w:val="001D3744"/>
    <w:rsid w:val="00213DA6"/>
    <w:rsid w:val="00216302"/>
    <w:rsid w:val="00245A2B"/>
    <w:rsid w:val="00253BDE"/>
    <w:rsid w:val="002D1C62"/>
    <w:rsid w:val="00354EC2"/>
    <w:rsid w:val="004227ED"/>
    <w:rsid w:val="00445BCE"/>
    <w:rsid w:val="00454F25"/>
    <w:rsid w:val="00533E65"/>
    <w:rsid w:val="00572AA9"/>
    <w:rsid w:val="00595906"/>
    <w:rsid w:val="005B11F9"/>
    <w:rsid w:val="00631D73"/>
    <w:rsid w:val="007B201A"/>
    <w:rsid w:val="0080498F"/>
    <w:rsid w:val="00860654"/>
    <w:rsid w:val="00903467"/>
    <w:rsid w:val="00906EAA"/>
    <w:rsid w:val="00970DD2"/>
    <w:rsid w:val="009D15F1"/>
    <w:rsid w:val="009D2B10"/>
    <w:rsid w:val="00A6244E"/>
    <w:rsid w:val="00B41635"/>
    <w:rsid w:val="00B5357A"/>
    <w:rsid w:val="00C5215F"/>
    <w:rsid w:val="00CB4A28"/>
    <w:rsid w:val="00D34EA0"/>
    <w:rsid w:val="00DD7526"/>
    <w:rsid w:val="00E671C3"/>
    <w:rsid w:val="00E90142"/>
    <w:rsid w:val="00E9269E"/>
    <w:rsid w:val="00F06EE8"/>
    <w:rsid w:val="00F07349"/>
    <w:rsid w:val="00F22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53BDE"/>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table" w:styleId="LightList-Accent5">
    <w:name w:val="Light List Accent 5"/>
    <w:basedOn w:val="TableNormal"/>
    <w:uiPriority w:val="61"/>
    <w:rsid w:val="00253BD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rsid w:val="00253BD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53BDE"/>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table" w:styleId="LightList-Accent5">
    <w:name w:val="Light List Accent 5"/>
    <w:basedOn w:val="TableNormal"/>
    <w:uiPriority w:val="61"/>
    <w:rsid w:val="00253BD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rsid w:val="00253BD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NZ" sz="1100" baseline="0"/>
              <a:t>Benefit numbers, 2008</a:t>
            </a:r>
            <a:r>
              <a:rPr lang="en-NZ" sz="1100" b="1" i="0" u="none" strike="noStrike" baseline="0">
                <a:effectLst/>
              </a:rPr>
              <a:t>–2</a:t>
            </a:r>
            <a:r>
              <a:rPr lang="en-NZ" sz="1100" baseline="0"/>
              <a:t>013</a:t>
            </a:r>
            <a:endParaRPr lang="en-NZ" sz="1100"/>
          </a:p>
        </c:rich>
      </c:tx>
      <c:layout>
        <c:manualLayout>
          <c:xMode val="edge"/>
          <c:yMode val="edge"/>
          <c:x val="0.36339969131765504"/>
          <c:y val="1.5458634680974156E-2"/>
        </c:manualLayout>
      </c:layout>
      <c:overlay val="1"/>
    </c:title>
    <c:autoTitleDeleted val="0"/>
    <c:plotArea>
      <c:layout>
        <c:manualLayout>
          <c:layoutTarget val="inner"/>
          <c:xMode val="edge"/>
          <c:yMode val="edge"/>
          <c:x val="0.1239771020202355"/>
          <c:y val="9.0528741934337506E-2"/>
          <c:w val="0.85037572995598021"/>
          <c:h val="0.66013681279530778"/>
        </c:manualLayout>
      </c:layout>
      <c:lineChart>
        <c:grouping val="standard"/>
        <c:varyColors val="0"/>
        <c:ser>
          <c:idx val="0"/>
          <c:order val="0"/>
          <c:tx>
            <c:strRef>
              <c:f>'5-year trend'!$C$2</c:f>
              <c:strCache>
                <c:ptCount val="1"/>
                <c:pt idx="0">
                  <c:v>All main benefits</c:v>
                </c:pt>
              </c:strCache>
            </c:strRef>
          </c:tx>
          <c:marker>
            <c:symbol val="none"/>
          </c:marker>
          <c:cat>
            <c:multiLvlStrRef>
              <c:f>'5-year trend'!$A$3:$B$23</c:f>
              <c:multiLvlStrCache>
                <c:ptCount val="21"/>
                <c:lvl>
                  <c:pt idx="0">
                    <c:v>Sep</c:v>
                  </c:pt>
                  <c:pt idx="1">
                    <c:v>Dec</c:v>
                  </c:pt>
                  <c:pt idx="2">
                    <c:v>Mar</c:v>
                  </c:pt>
                  <c:pt idx="3">
                    <c:v>Jun</c:v>
                  </c:pt>
                  <c:pt idx="4">
                    <c:v>Sep</c:v>
                  </c:pt>
                  <c:pt idx="5">
                    <c:v>Dec</c:v>
                  </c:pt>
                  <c:pt idx="6">
                    <c:v>Mar</c:v>
                  </c:pt>
                  <c:pt idx="7">
                    <c:v>Jun</c:v>
                  </c:pt>
                  <c:pt idx="8">
                    <c:v>Sep</c:v>
                  </c:pt>
                  <c:pt idx="9">
                    <c:v>Dec</c:v>
                  </c:pt>
                  <c:pt idx="10">
                    <c:v>Mar</c:v>
                  </c:pt>
                  <c:pt idx="11">
                    <c:v>Jun</c:v>
                  </c:pt>
                  <c:pt idx="12">
                    <c:v>Sep</c:v>
                  </c:pt>
                  <c:pt idx="13">
                    <c:v>Dec</c:v>
                  </c:pt>
                  <c:pt idx="14">
                    <c:v>Mar</c:v>
                  </c:pt>
                  <c:pt idx="15">
                    <c:v>Jun</c:v>
                  </c:pt>
                  <c:pt idx="16">
                    <c:v>Sep</c:v>
                  </c:pt>
                  <c:pt idx="17">
                    <c:v>Dec</c:v>
                  </c:pt>
                  <c:pt idx="18">
                    <c:v>Mar</c:v>
                  </c:pt>
                  <c:pt idx="19">
                    <c:v>Jun</c:v>
                  </c:pt>
                  <c:pt idx="20">
                    <c:v>Sep</c:v>
                  </c:pt>
                </c:lvl>
                <c:lvl>
                  <c:pt idx="0">
                    <c:v>2008</c:v>
                  </c:pt>
                  <c:pt idx="2">
                    <c:v>2009</c:v>
                  </c:pt>
                  <c:pt idx="6">
                    <c:v>2010</c:v>
                  </c:pt>
                  <c:pt idx="10">
                    <c:v>2011</c:v>
                  </c:pt>
                  <c:pt idx="14">
                    <c:v>2012</c:v>
                  </c:pt>
                  <c:pt idx="18">
                    <c:v>2013</c:v>
                  </c:pt>
                </c:lvl>
              </c:multiLvlStrCache>
            </c:multiLvlStrRef>
          </c:cat>
          <c:val>
            <c:numRef>
              <c:f>'5-year trend'!$C$3:$C$23</c:f>
              <c:numCache>
                <c:formatCode>#,##0_ ;\-#,##0\ </c:formatCode>
                <c:ptCount val="21"/>
                <c:pt idx="0">
                  <c:v>269608</c:v>
                </c:pt>
                <c:pt idx="1">
                  <c:v>286176</c:v>
                </c:pt>
                <c:pt idx="2">
                  <c:v>288959</c:v>
                </c:pt>
                <c:pt idx="3">
                  <c:v>310296</c:v>
                </c:pt>
                <c:pt idx="4">
                  <c:v>326811</c:v>
                </c:pt>
                <c:pt idx="5">
                  <c:v>345476</c:v>
                </c:pt>
                <c:pt idx="6">
                  <c:v>324814</c:v>
                </c:pt>
                <c:pt idx="7">
                  <c:v>332924</c:v>
                </c:pt>
                <c:pt idx="8">
                  <c:v>338212</c:v>
                </c:pt>
                <c:pt idx="9">
                  <c:v>352707</c:v>
                </c:pt>
                <c:pt idx="10">
                  <c:v>331529</c:v>
                </c:pt>
                <c:pt idx="11">
                  <c:v>327817</c:v>
                </c:pt>
                <c:pt idx="12">
                  <c:v>328496</c:v>
                </c:pt>
                <c:pt idx="13">
                  <c:v>350932</c:v>
                </c:pt>
                <c:pt idx="14">
                  <c:v>322951</c:v>
                </c:pt>
                <c:pt idx="15">
                  <c:v>320041</c:v>
                </c:pt>
                <c:pt idx="16">
                  <c:v>320942</c:v>
                </c:pt>
                <c:pt idx="17">
                  <c:v>339095</c:v>
                </c:pt>
                <c:pt idx="18">
                  <c:v>310146</c:v>
                </c:pt>
                <c:pt idx="19">
                  <c:v>309782</c:v>
                </c:pt>
                <c:pt idx="20">
                  <c:v>304394</c:v>
                </c:pt>
              </c:numCache>
            </c:numRef>
          </c:val>
          <c:smooth val="0"/>
        </c:ser>
        <c:ser>
          <c:idx val="1"/>
          <c:order val="1"/>
          <c:tx>
            <c:strRef>
              <c:f>'5-year trend'!$D$2</c:f>
              <c:strCache>
                <c:ptCount val="1"/>
                <c:pt idx="0">
                  <c:v>JS</c:v>
                </c:pt>
              </c:strCache>
            </c:strRef>
          </c:tx>
          <c:marker>
            <c:symbol val="none"/>
          </c:marker>
          <c:cat>
            <c:multiLvlStrRef>
              <c:f>'5-year trend'!$A$3:$B$23</c:f>
              <c:multiLvlStrCache>
                <c:ptCount val="21"/>
                <c:lvl>
                  <c:pt idx="0">
                    <c:v>Sep</c:v>
                  </c:pt>
                  <c:pt idx="1">
                    <c:v>Dec</c:v>
                  </c:pt>
                  <c:pt idx="2">
                    <c:v>Mar</c:v>
                  </c:pt>
                  <c:pt idx="3">
                    <c:v>Jun</c:v>
                  </c:pt>
                  <c:pt idx="4">
                    <c:v>Sep</c:v>
                  </c:pt>
                  <c:pt idx="5">
                    <c:v>Dec</c:v>
                  </c:pt>
                  <c:pt idx="6">
                    <c:v>Mar</c:v>
                  </c:pt>
                  <c:pt idx="7">
                    <c:v>Jun</c:v>
                  </c:pt>
                  <c:pt idx="8">
                    <c:v>Sep</c:v>
                  </c:pt>
                  <c:pt idx="9">
                    <c:v>Dec</c:v>
                  </c:pt>
                  <c:pt idx="10">
                    <c:v>Mar</c:v>
                  </c:pt>
                  <c:pt idx="11">
                    <c:v>Jun</c:v>
                  </c:pt>
                  <c:pt idx="12">
                    <c:v>Sep</c:v>
                  </c:pt>
                  <c:pt idx="13">
                    <c:v>Dec</c:v>
                  </c:pt>
                  <c:pt idx="14">
                    <c:v>Mar</c:v>
                  </c:pt>
                  <c:pt idx="15">
                    <c:v>Jun</c:v>
                  </c:pt>
                  <c:pt idx="16">
                    <c:v>Sep</c:v>
                  </c:pt>
                  <c:pt idx="17">
                    <c:v>Dec</c:v>
                  </c:pt>
                  <c:pt idx="18">
                    <c:v>Mar</c:v>
                  </c:pt>
                  <c:pt idx="19">
                    <c:v>Jun</c:v>
                  </c:pt>
                  <c:pt idx="20">
                    <c:v>Sep</c:v>
                  </c:pt>
                </c:lvl>
                <c:lvl>
                  <c:pt idx="0">
                    <c:v>2008</c:v>
                  </c:pt>
                  <c:pt idx="2">
                    <c:v>2009</c:v>
                  </c:pt>
                  <c:pt idx="6">
                    <c:v>2010</c:v>
                  </c:pt>
                  <c:pt idx="10">
                    <c:v>2011</c:v>
                  </c:pt>
                  <c:pt idx="14">
                    <c:v>2012</c:v>
                  </c:pt>
                  <c:pt idx="18">
                    <c:v>2013</c:v>
                  </c:pt>
                </c:lvl>
              </c:multiLvlStrCache>
            </c:multiLvlStrRef>
          </c:cat>
          <c:val>
            <c:numRef>
              <c:f>'5-year trend'!$D$3:$D$23</c:f>
              <c:numCache>
                <c:formatCode>#,##0_ ;\-#,##0\ </c:formatCode>
                <c:ptCount val="21"/>
                <c:pt idx="0">
                  <c:v>95603</c:v>
                </c:pt>
                <c:pt idx="1">
                  <c:v>102809</c:v>
                </c:pt>
                <c:pt idx="2">
                  <c:v>111886</c:v>
                </c:pt>
                <c:pt idx="3">
                  <c:v>130352</c:v>
                </c:pt>
                <c:pt idx="4">
                  <c:v>143628</c:v>
                </c:pt>
                <c:pt idx="5">
                  <c:v>148274</c:v>
                </c:pt>
                <c:pt idx="6">
                  <c:v>140702</c:v>
                </c:pt>
                <c:pt idx="7">
                  <c:v>146385</c:v>
                </c:pt>
                <c:pt idx="8">
                  <c:v>150803</c:v>
                </c:pt>
                <c:pt idx="9">
                  <c:v>149569</c:v>
                </c:pt>
                <c:pt idx="10">
                  <c:v>144177</c:v>
                </c:pt>
                <c:pt idx="11">
                  <c:v>139931</c:v>
                </c:pt>
                <c:pt idx="12">
                  <c:v>140843</c:v>
                </c:pt>
                <c:pt idx="13">
                  <c:v>143497</c:v>
                </c:pt>
                <c:pt idx="14">
                  <c:v>137028</c:v>
                </c:pt>
                <c:pt idx="15">
                  <c:v>134512</c:v>
                </c:pt>
                <c:pt idx="16">
                  <c:v>136020</c:v>
                </c:pt>
                <c:pt idx="17">
                  <c:v>137370</c:v>
                </c:pt>
                <c:pt idx="18">
                  <c:v>128784</c:v>
                </c:pt>
                <c:pt idx="19">
                  <c:v>128608</c:v>
                </c:pt>
                <c:pt idx="20">
                  <c:v>126470</c:v>
                </c:pt>
              </c:numCache>
            </c:numRef>
          </c:val>
          <c:smooth val="0"/>
        </c:ser>
        <c:ser>
          <c:idx val="2"/>
          <c:order val="2"/>
          <c:tx>
            <c:strRef>
              <c:f>'5-year trend'!$E$2</c:f>
              <c:strCache>
                <c:ptCount val="1"/>
                <c:pt idx="0">
                  <c:v>SPS</c:v>
                </c:pt>
              </c:strCache>
            </c:strRef>
          </c:tx>
          <c:marker>
            <c:symbol val="none"/>
          </c:marker>
          <c:cat>
            <c:multiLvlStrRef>
              <c:f>'5-year trend'!$A$3:$B$23</c:f>
              <c:multiLvlStrCache>
                <c:ptCount val="21"/>
                <c:lvl>
                  <c:pt idx="0">
                    <c:v>Sep</c:v>
                  </c:pt>
                  <c:pt idx="1">
                    <c:v>Dec</c:v>
                  </c:pt>
                  <c:pt idx="2">
                    <c:v>Mar</c:v>
                  </c:pt>
                  <c:pt idx="3">
                    <c:v>Jun</c:v>
                  </c:pt>
                  <c:pt idx="4">
                    <c:v>Sep</c:v>
                  </c:pt>
                  <c:pt idx="5">
                    <c:v>Dec</c:v>
                  </c:pt>
                  <c:pt idx="6">
                    <c:v>Mar</c:v>
                  </c:pt>
                  <c:pt idx="7">
                    <c:v>Jun</c:v>
                  </c:pt>
                  <c:pt idx="8">
                    <c:v>Sep</c:v>
                  </c:pt>
                  <c:pt idx="9">
                    <c:v>Dec</c:v>
                  </c:pt>
                  <c:pt idx="10">
                    <c:v>Mar</c:v>
                  </c:pt>
                  <c:pt idx="11">
                    <c:v>Jun</c:v>
                  </c:pt>
                  <c:pt idx="12">
                    <c:v>Sep</c:v>
                  </c:pt>
                  <c:pt idx="13">
                    <c:v>Dec</c:v>
                  </c:pt>
                  <c:pt idx="14">
                    <c:v>Mar</c:v>
                  </c:pt>
                  <c:pt idx="15">
                    <c:v>Jun</c:v>
                  </c:pt>
                  <c:pt idx="16">
                    <c:v>Sep</c:v>
                  </c:pt>
                  <c:pt idx="17">
                    <c:v>Dec</c:v>
                  </c:pt>
                  <c:pt idx="18">
                    <c:v>Mar</c:v>
                  </c:pt>
                  <c:pt idx="19">
                    <c:v>Jun</c:v>
                  </c:pt>
                  <c:pt idx="20">
                    <c:v>Sep</c:v>
                  </c:pt>
                </c:lvl>
                <c:lvl>
                  <c:pt idx="0">
                    <c:v>2008</c:v>
                  </c:pt>
                  <c:pt idx="2">
                    <c:v>2009</c:v>
                  </c:pt>
                  <c:pt idx="6">
                    <c:v>2010</c:v>
                  </c:pt>
                  <c:pt idx="10">
                    <c:v>2011</c:v>
                  </c:pt>
                  <c:pt idx="14">
                    <c:v>2012</c:v>
                  </c:pt>
                  <c:pt idx="18">
                    <c:v>2013</c:v>
                  </c:pt>
                </c:lvl>
              </c:multiLvlStrCache>
            </c:multiLvlStrRef>
          </c:cat>
          <c:val>
            <c:numRef>
              <c:f>'5-year trend'!$E$3:$E$23</c:f>
              <c:numCache>
                <c:formatCode>#,##0_ ;\-#,##0\ </c:formatCode>
                <c:ptCount val="21"/>
                <c:pt idx="0">
                  <c:v>79178</c:v>
                </c:pt>
                <c:pt idx="1">
                  <c:v>80906</c:v>
                </c:pt>
                <c:pt idx="2">
                  <c:v>81803</c:v>
                </c:pt>
                <c:pt idx="3">
                  <c:v>83387</c:v>
                </c:pt>
                <c:pt idx="4">
                  <c:v>85319</c:v>
                </c:pt>
                <c:pt idx="5">
                  <c:v>87067</c:v>
                </c:pt>
                <c:pt idx="6">
                  <c:v>86947</c:v>
                </c:pt>
                <c:pt idx="7">
                  <c:v>88110</c:v>
                </c:pt>
                <c:pt idx="8">
                  <c:v>88624</c:v>
                </c:pt>
                <c:pt idx="9">
                  <c:v>89432</c:v>
                </c:pt>
                <c:pt idx="10">
                  <c:v>89260</c:v>
                </c:pt>
                <c:pt idx="11">
                  <c:v>89056</c:v>
                </c:pt>
                <c:pt idx="12">
                  <c:v>89164</c:v>
                </c:pt>
                <c:pt idx="13">
                  <c:v>89856</c:v>
                </c:pt>
                <c:pt idx="14">
                  <c:v>88509</c:v>
                </c:pt>
                <c:pt idx="15">
                  <c:v>87662</c:v>
                </c:pt>
                <c:pt idx="16">
                  <c:v>86967</c:v>
                </c:pt>
                <c:pt idx="17">
                  <c:v>85939</c:v>
                </c:pt>
                <c:pt idx="18">
                  <c:v>84462</c:v>
                </c:pt>
                <c:pt idx="19">
                  <c:v>82897</c:v>
                </c:pt>
                <c:pt idx="20">
                  <c:v>79699</c:v>
                </c:pt>
              </c:numCache>
            </c:numRef>
          </c:val>
          <c:smooth val="0"/>
        </c:ser>
        <c:ser>
          <c:idx val="3"/>
          <c:order val="3"/>
          <c:tx>
            <c:strRef>
              <c:f>'5-year trend'!$F$2</c:f>
              <c:strCache>
                <c:ptCount val="1"/>
                <c:pt idx="0">
                  <c:v>SLP</c:v>
                </c:pt>
              </c:strCache>
            </c:strRef>
          </c:tx>
          <c:marker>
            <c:symbol val="none"/>
          </c:marker>
          <c:cat>
            <c:multiLvlStrRef>
              <c:f>'5-year trend'!$A$3:$B$23</c:f>
              <c:multiLvlStrCache>
                <c:ptCount val="21"/>
                <c:lvl>
                  <c:pt idx="0">
                    <c:v>Sep</c:v>
                  </c:pt>
                  <c:pt idx="1">
                    <c:v>Dec</c:v>
                  </c:pt>
                  <c:pt idx="2">
                    <c:v>Mar</c:v>
                  </c:pt>
                  <c:pt idx="3">
                    <c:v>Jun</c:v>
                  </c:pt>
                  <c:pt idx="4">
                    <c:v>Sep</c:v>
                  </c:pt>
                  <c:pt idx="5">
                    <c:v>Dec</c:v>
                  </c:pt>
                  <c:pt idx="6">
                    <c:v>Mar</c:v>
                  </c:pt>
                  <c:pt idx="7">
                    <c:v>Jun</c:v>
                  </c:pt>
                  <c:pt idx="8">
                    <c:v>Sep</c:v>
                  </c:pt>
                  <c:pt idx="9">
                    <c:v>Dec</c:v>
                  </c:pt>
                  <c:pt idx="10">
                    <c:v>Mar</c:v>
                  </c:pt>
                  <c:pt idx="11">
                    <c:v>Jun</c:v>
                  </c:pt>
                  <c:pt idx="12">
                    <c:v>Sep</c:v>
                  </c:pt>
                  <c:pt idx="13">
                    <c:v>Dec</c:v>
                  </c:pt>
                  <c:pt idx="14">
                    <c:v>Mar</c:v>
                  </c:pt>
                  <c:pt idx="15">
                    <c:v>Jun</c:v>
                  </c:pt>
                  <c:pt idx="16">
                    <c:v>Sep</c:v>
                  </c:pt>
                  <c:pt idx="17">
                    <c:v>Dec</c:v>
                  </c:pt>
                  <c:pt idx="18">
                    <c:v>Mar</c:v>
                  </c:pt>
                  <c:pt idx="19">
                    <c:v>Jun</c:v>
                  </c:pt>
                  <c:pt idx="20">
                    <c:v>Sep</c:v>
                  </c:pt>
                </c:lvl>
                <c:lvl>
                  <c:pt idx="0">
                    <c:v>2008</c:v>
                  </c:pt>
                  <c:pt idx="2">
                    <c:v>2009</c:v>
                  </c:pt>
                  <c:pt idx="6">
                    <c:v>2010</c:v>
                  </c:pt>
                  <c:pt idx="10">
                    <c:v>2011</c:v>
                  </c:pt>
                  <c:pt idx="14">
                    <c:v>2012</c:v>
                  </c:pt>
                  <c:pt idx="18">
                    <c:v>2013</c:v>
                  </c:pt>
                </c:lvl>
              </c:multiLvlStrCache>
            </c:multiLvlStrRef>
          </c:cat>
          <c:val>
            <c:numRef>
              <c:f>'5-year trend'!$F$3:$F$23</c:f>
              <c:numCache>
                <c:formatCode>#,##0_ ;\-#,##0\ </c:formatCode>
                <c:ptCount val="21"/>
                <c:pt idx="0">
                  <c:v>89044</c:v>
                </c:pt>
                <c:pt idx="1">
                  <c:v>89168</c:v>
                </c:pt>
                <c:pt idx="2">
                  <c:v>89710</c:v>
                </c:pt>
                <c:pt idx="3">
                  <c:v>90560</c:v>
                </c:pt>
                <c:pt idx="4">
                  <c:v>91342</c:v>
                </c:pt>
                <c:pt idx="5">
                  <c:v>91525</c:v>
                </c:pt>
                <c:pt idx="6">
                  <c:v>91347</c:v>
                </c:pt>
                <c:pt idx="7">
                  <c:v>92012</c:v>
                </c:pt>
                <c:pt idx="8">
                  <c:v>92049</c:v>
                </c:pt>
                <c:pt idx="9">
                  <c:v>92024</c:v>
                </c:pt>
                <c:pt idx="10">
                  <c:v>92073</c:v>
                </c:pt>
                <c:pt idx="11">
                  <c:v>92084</c:v>
                </c:pt>
                <c:pt idx="12">
                  <c:v>92001</c:v>
                </c:pt>
                <c:pt idx="13">
                  <c:v>91693</c:v>
                </c:pt>
                <c:pt idx="14">
                  <c:v>91207</c:v>
                </c:pt>
                <c:pt idx="15">
                  <c:v>91309</c:v>
                </c:pt>
                <c:pt idx="16">
                  <c:v>91376</c:v>
                </c:pt>
                <c:pt idx="17">
                  <c:v>91514</c:v>
                </c:pt>
                <c:pt idx="18">
                  <c:v>91367</c:v>
                </c:pt>
                <c:pt idx="19">
                  <c:v>91862</c:v>
                </c:pt>
                <c:pt idx="20">
                  <c:v>92072</c:v>
                </c:pt>
              </c:numCache>
            </c:numRef>
          </c:val>
          <c:smooth val="0"/>
        </c:ser>
        <c:ser>
          <c:idx val="4"/>
          <c:order val="4"/>
          <c:tx>
            <c:strRef>
              <c:f>'5-year trend'!$G$2</c:f>
              <c:strCache>
                <c:ptCount val="1"/>
                <c:pt idx="0">
                  <c:v>Other</c:v>
                </c:pt>
              </c:strCache>
            </c:strRef>
          </c:tx>
          <c:marker>
            <c:symbol val="none"/>
          </c:marker>
          <c:cat>
            <c:multiLvlStrRef>
              <c:f>'5-year trend'!$A$3:$B$23</c:f>
              <c:multiLvlStrCache>
                <c:ptCount val="21"/>
                <c:lvl>
                  <c:pt idx="0">
                    <c:v>Sep</c:v>
                  </c:pt>
                  <c:pt idx="1">
                    <c:v>Dec</c:v>
                  </c:pt>
                  <c:pt idx="2">
                    <c:v>Mar</c:v>
                  </c:pt>
                  <c:pt idx="3">
                    <c:v>Jun</c:v>
                  </c:pt>
                  <c:pt idx="4">
                    <c:v>Sep</c:v>
                  </c:pt>
                  <c:pt idx="5">
                    <c:v>Dec</c:v>
                  </c:pt>
                  <c:pt idx="6">
                    <c:v>Mar</c:v>
                  </c:pt>
                  <c:pt idx="7">
                    <c:v>Jun</c:v>
                  </c:pt>
                  <c:pt idx="8">
                    <c:v>Sep</c:v>
                  </c:pt>
                  <c:pt idx="9">
                    <c:v>Dec</c:v>
                  </c:pt>
                  <c:pt idx="10">
                    <c:v>Mar</c:v>
                  </c:pt>
                  <c:pt idx="11">
                    <c:v>Jun</c:v>
                  </c:pt>
                  <c:pt idx="12">
                    <c:v>Sep</c:v>
                  </c:pt>
                  <c:pt idx="13">
                    <c:v>Dec</c:v>
                  </c:pt>
                  <c:pt idx="14">
                    <c:v>Mar</c:v>
                  </c:pt>
                  <c:pt idx="15">
                    <c:v>Jun</c:v>
                  </c:pt>
                  <c:pt idx="16">
                    <c:v>Sep</c:v>
                  </c:pt>
                  <c:pt idx="17">
                    <c:v>Dec</c:v>
                  </c:pt>
                  <c:pt idx="18">
                    <c:v>Mar</c:v>
                  </c:pt>
                  <c:pt idx="19">
                    <c:v>Jun</c:v>
                  </c:pt>
                  <c:pt idx="20">
                    <c:v>Sep</c:v>
                  </c:pt>
                </c:lvl>
                <c:lvl>
                  <c:pt idx="0">
                    <c:v>2008</c:v>
                  </c:pt>
                  <c:pt idx="2">
                    <c:v>2009</c:v>
                  </c:pt>
                  <c:pt idx="6">
                    <c:v>2010</c:v>
                  </c:pt>
                  <c:pt idx="10">
                    <c:v>2011</c:v>
                  </c:pt>
                  <c:pt idx="14">
                    <c:v>2012</c:v>
                  </c:pt>
                  <c:pt idx="18">
                    <c:v>2013</c:v>
                  </c:pt>
                </c:lvl>
              </c:multiLvlStrCache>
            </c:multiLvlStrRef>
          </c:cat>
          <c:val>
            <c:numRef>
              <c:f>'5-year trend'!$G$3:$G$23</c:f>
              <c:numCache>
                <c:formatCode>#,##0_ ;\-#,##0\ </c:formatCode>
                <c:ptCount val="21"/>
                <c:pt idx="0">
                  <c:v>5783</c:v>
                </c:pt>
                <c:pt idx="1">
                  <c:v>13293</c:v>
                </c:pt>
                <c:pt idx="2">
                  <c:v>5560</c:v>
                </c:pt>
                <c:pt idx="3">
                  <c:v>5997</c:v>
                </c:pt>
                <c:pt idx="4">
                  <c:v>6522</c:v>
                </c:pt>
                <c:pt idx="5">
                  <c:v>18610</c:v>
                </c:pt>
                <c:pt idx="6">
                  <c:v>5818</c:v>
                </c:pt>
                <c:pt idx="7">
                  <c:v>6417</c:v>
                </c:pt>
                <c:pt idx="8">
                  <c:v>6736</c:v>
                </c:pt>
                <c:pt idx="9">
                  <c:v>21682</c:v>
                </c:pt>
                <c:pt idx="10">
                  <c:v>6019</c:v>
                </c:pt>
                <c:pt idx="11">
                  <c:v>6746</c:v>
                </c:pt>
                <c:pt idx="12">
                  <c:v>6488</c:v>
                </c:pt>
                <c:pt idx="13">
                  <c:v>25886</c:v>
                </c:pt>
                <c:pt idx="14">
                  <c:v>6207</c:v>
                </c:pt>
                <c:pt idx="15">
                  <c:v>6558</c:v>
                </c:pt>
                <c:pt idx="16">
                  <c:v>6579</c:v>
                </c:pt>
                <c:pt idx="17">
                  <c:v>24272</c:v>
                </c:pt>
                <c:pt idx="18">
                  <c:v>5533</c:v>
                </c:pt>
                <c:pt idx="19">
                  <c:v>6415</c:v>
                </c:pt>
                <c:pt idx="20">
                  <c:v>6153</c:v>
                </c:pt>
              </c:numCache>
            </c:numRef>
          </c:val>
          <c:smooth val="0"/>
        </c:ser>
        <c:dLbls>
          <c:showLegendKey val="0"/>
          <c:showVal val="0"/>
          <c:showCatName val="0"/>
          <c:showSerName val="0"/>
          <c:showPercent val="0"/>
          <c:showBubbleSize val="0"/>
        </c:dLbls>
        <c:marker val="1"/>
        <c:smooth val="0"/>
        <c:axId val="186641792"/>
        <c:axId val="186057856"/>
      </c:lineChart>
      <c:catAx>
        <c:axId val="186641792"/>
        <c:scaling>
          <c:orientation val="minMax"/>
        </c:scaling>
        <c:delete val="0"/>
        <c:axPos val="b"/>
        <c:majorTickMark val="out"/>
        <c:minorTickMark val="none"/>
        <c:tickLblPos val="nextTo"/>
        <c:crossAx val="186057856"/>
        <c:crosses val="autoZero"/>
        <c:auto val="1"/>
        <c:lblAlgn val="ctr"/>
        <c:lblOffset val="100"/>
        <c:noMultiLvlLbl val="0"/>
      </c:catAx>
      <c:valAx>
        <c:axId val="186057856"/>
        <c:scaling>
          <c:orientation val="minMax"/>
        </c:scaling>
        <c:delete val="0"/>
        <c:axPos val="l"/>
        <c:numFmt formatCode="#,##0_ ;\-#,##0\ " sourceLinked="1"/>
        <c:majorTickMark val="out"/>
        <c:minorTickMark val="none"/>
        <c:tickLblPos val="nextTo"/>
        <c:crossAx val="186641792"/>
        <c:crosses val="autoZero"/>
        <c:crossBetween val="between"/>
      </c:valAx>
    </c:plotArea>
    <c:legend>
      <c:legendPos val="r"/>
      <c:layout>
        <c:manualLayout>
          <c:xMode val="edge"/>
          <c:yMode val="edge"/>
          <c:x val="8.7901579932065876E-2"/>
          <c:y val="0.87341770866649404"/>
          <c:w val="0.82303490294318005"/>
          <c:h val="0.1248602628733303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NZ" sz="1100"/>
              <a:t>Proportion</a:t>
            </a:r>
            <a:r>
              <a:rPr lang="en-NZ" sz="1100" baseline="0"/>
              <a:t> of working-age population receving main benefits at the end of September 2008</a:t>
            </a:r>
            <a:r>
              <a:rPr lang="en-NZ" sz="1100" b="1" i="0" u="none" strike="noStrike" baseline="0">
                <a:effectLst/>
              </a:rPr>
              <a:t>–</a:t>
            </a:r>
            <a:r>
              <a:rPr lang="en-NZ" sz="1100" baseline="0"/>
              <a:t>2013</a:t>
            </a:r>
            <a:endParaRPr lang="en-NZ" sz="1100"/>
          </a:p>
        </c:rich>
      </c:tx>
      <c:layout/>
      <c:overlay val="0"/>
    </c:title>
    <c:autoTitleDeleted val="0"/>
    <c:plotArea>
      <c:layout>
        <c:manualLayout>
          <c:layoutTarget val="inner"/>
          <c:xMode val="edge"/>
          <c:yMode val="edge"/>
          <c:x val="0.11534701986604771"/>
          <c:y val="0.1526134671762521"/>
          <c:w val="0.81124633191342888"/>
          <c:h val="0.67025494620190018"/>
        </c:manualLayout>
      </c:layout>
      <c:barChart>
        <c:barDir val="col"/>
        <c:grouping val="clustered"/>
        <c:varyColors val="0"/>
        <c:ser>
          <c:idx val="0"/>
          <c:order val="0"/>
          <c:tx>
            <c:strRef>
              <c:f>Sheet3!$K$16</c:f>
              <c:strCache>
                <c:ptCount val="1"/>
                <c:pt idx="0">
                  <c:v>All main benefits</c:v>
                </c:pt>
              </c:strCache>
            </c:strRef>
          </c:tx>
          <c:invertIfNegative val="0"/>
          <c:cat>
            <c:numRef>
              <c:f>Sheet3!$J$17:$J$22</c:f>
              <c:numCache>
                <c:formatCode>General</c:formatCode>
                <c:ptCount val="6"/>
                <c:pt idx="0">
                  <c:v>2008</c:v>
                </c:pt>
                <c:pt idx="1">
                  <c:v>2009</c:v>
                </c:pt>
                <c:pt idx="2">
                  <c:v>2010</c:v>
                </c:pt>
                <c:pt idx="3">
                  <c:v>2011</c:v>
                </c:pt>
                <c:pt idx="4">
                  <c:v>2012</c:v>
                </c:pt>
                <c:pt idx="5">
                  <c:v>2013</c:v>
                </c:pt>
              </c:numCache>
            </c:numRef>
          </c:cat>
          <c:val>
            <c:numRef>
              <c:f>Sheet3!$K$17:$K$22</c:f>
              <c:numCache>
                <c:formatCode>0.0%</c:formatCode>
                <c:ptCount val="6"/>
                <c:pt idx="0">
                  <c:v>0.10197475670135067</c:v>
                </c:pt>
                <c:pt idx="1">
                  <c:v>0.12218649637901963</c:v>
                </c:pt>
                <c:pt idx="2">
                  <c:v>0.12463590801886792</c:v>
                </c:pt>
                <c:pt idx="3">
                  <c:v>0.12001344459220506</c:v>
                </c:pt>
                <c:pt idx="4">
                  <c:v>0.11679069581260622</c:v>
                </c:pt>
                <c:pt idx="5">
                  <c:v>0.11019505343334589</c:v>
                </c:pt>
              </c:numCache>
            </c:numRef>
          </c:val>
        </c:ser>
        <c:ser>
          <c:idx val="1"/>
          <c:order val="1"/>
          <c:tx>
            <c:strRef>
              <c:f>Sheet3!$L$16</c:f>
              <c:strCache>
                <c:ptCount val="1"/>
                <c:pt idx="0">
                  <c:v>JS</c:v>
                </c:pt>
              </c:strCache>
            </c:strRef>
          </c:tx>
          <c:invertIfNegative val="0"/>
          <c:cat>
            <c:numRef>
              <c:f>Sheet3!$J$17:$J$22</c:f>
              <c:numCache>
                <c:formatCode>General</c:formatCode>
                <c:ptCount val="6"/>
                <c:pt idx="0">
                  <c:v>2008</c:v>
                </c:pt>
                <c:pt idx="1">
                  <c:v>2009</c:v>
                </c:pt>
                <c:pt idx="2">
                  <c:v>2010</c:v>
                </c:pt>
                <c:pt idx="3">
                  <c:v>2011</c:v>
                </c:pt>
                <c:pt idx="4">
                  <c:v>2012</c:v>
                </c:pt>
                <c:pt idx="5">
                  <c:v>2013</c:v>
                </c:pt>
              </c:numCache>
            </c:numRef>
          </c:cat>
          <c:val>
            <c:numRef>
              <c:f>Sheet3!$L$17:$L$22</c:f>
              <c:numCache>
                <c:formatCode>0.0%</c:formatCode>
                <c:ptCount val="6"/>
                <c:pt idx="0">
                  <c:v>3.6160249936645898E-2</c:v>
                </c:pt>
                <c:pt idx="1">
                  <c:v>5.3698933334330332E-2</c:v>
                </c:pt>
                <c:pt idx="2">
                  <c:v>5.5573039504716981E-2</c:v>
                </c:pt>
                <c:pt idx="3">
                  <c:v>5.1455888585248945E-2</c:v>
                </c:pt>
                <c:pt idx="4">
                  <c:v>4.9497636471483003E-2</c:v>
                </c:pt>
                <c:pt idx="5">
                  <c:v>4.5783978684583976E-2</c:v>
                </c:pt>
              </c:numCache>
            </c:numRef>
          </c:val>
        </c:ser>
        <c:ser>
          <c:idx val="2"/>
          <c:order val="2"/>
          <c:tx>
            <c:strRef>
              <c:f>Sheet3!$M$16</c:f>
              <c:strCache>
                <c:ptCount val="1"/>
                <c:pt idx="0">
                  <c:v>SPS</c:v>
                </c:pt>
              </c:strCache>
            </c:strRef>
          </c:tx>
          <c:invertIfNegative val="0"/>
          <c:cat>
            <c:numRef>
              <c:f>Sheet3!$J$17:$J$22</c:f>
              <c:numCache>
                <c:formatCode>General</c:formatCode>
                <c:ptCount val="6"/>
                <c:pt idx="0">
                  <c:v>2008</c:v>
                </c:pt>
                <c:pt idx="1">
                  <c:v>2009</c:v>
                </c:pt>
                <c:pt idx="2">
                  <c:v>2010</c:v>
                </c:pt>
                <c:pt idx="3">
                  <c:v>2011</c:v>
                </c:pt>
                <c:pt idx="4">
                  <c:v>2012</c:v>
                </c:pt>
                <c:pt idx="5">
                  <c:v>2013</c:v>
                </c:pt>
              </c:numCache>
            </c:numRef>
          </c:cat>
          <c:val>
            <c:numRef>
              <c:f>Sheet3!$M$17:$M$22</c:f>
              <c:numCache>
                <c:formatCode>0.0%</c:formatCode>
                <c:ptCount val="6"/>
                <c:pt idx="0">
                  <c:v>2.99477659642872E-2</c:v>
                </c:pt>
                <c:pt idx="1">
                  <c:v>3.1898649937002047E-2</c:v>
                </c:pt>
                <c:pt idx="2">
                  <c:v>3.2659198113207548E-2</c:v>
                </c:pt>
                <c:pt idx="3">
                  <c:v>3.2575370091627816E-2</c:v>
                </c:pt>
                <c:pt idx="4">
                  <c:v>3.1647264747944874E-2</c:v>
                </c:pt>
                <c:pt idx="5">
                  <c:v>2.8852196704219641E-2</c:v>
                </c:pt>
              </c:numCache>
            </c:numRef>
          </c:val>
        </c:ser>
        <c:ser>
          <c:idx val="3"/>
          <c:order val="3"/>
          <c:tx>
            <c:strRef>
              <c:f>Sheet3!$N$16</c:f>
              <c:strCache>
                <c:ptCount val="1"/>
                <c:pt idx="0">
                  <c:v>SLP</c:v>
                </c:pt>
              </c:strCache>
            </c:strRef>
          </c:tx>
          <c:invertIfNegative val="0"/>
          <c:cat>
            <c:numRef>
              <c:f>Sheet3!$J$17:$J$22</c:f>
              <c:numCache>
                <c:formatCode>General</c:formatCode>
                <c:ptCount val="6"/>
                <c:pt idx="0">
                  <c:v>2008</c:v>
                </c:pt>
                <c:pt idx="1">
                  <c:v>2009</c:v>
                </c:pt>
                <c:pt idx="2">
                  <c:v>2010</c:v>
                </c:pt>
                <c:pt idx="3">
                  <c:v>2011</c:v>
                </c:pt>
                <c:pt idx="4">
                  <c:v>2012</c:v>
                </c:pt>
                <c:pt idx="5">
                  <c:v>2013</c:v>
                </c:pt>
              </c:numCache>
            </c:numRef>
          </c:cat>
          <c:val>
            <c:numRef>
              <c:f>Sheet3!$N$17:$N$22</c:f>
              <c:numCache>
                <c:formatCode>0.0%</c:formatCode>
                <c:ptCount val="6"/>
                <c:pt idx="0">
                  <c:v>3.3679416915355143E-2</c:v>
                </c:pt>
                <c:pt idx="1">
                  <c:v>3.415049968407554E-2</c:v>
                </c:pt>
                <c:pt idx="2">
                  <c:v>3.392135908018868E-2</c:v>
                </c:pt>
                <c:pt idx="3">
                  <c:v>3.3611845854827634E-2</c:v>
                </c:pt>
                <c:pt idx="4">
                  <c:v>3.325169850182496E-2</c:v>
                </c:pt>
                <c:pt idx="5">
                  <c:v>3.3331402589127979E-2</c:v>
                </c:pt>
              </c:numCache>
            </c:numRef>
          </c:val>
        </c:ser>
        <c:ser>
          <c:idx val="4"/>
          <c:order val="4"/>
          <c:tx>
            <c:strRef>
              <c:f>Sheet3!$O$16</c:f>
              <c:strCache>
                <c:ptCount val="1"/>
                <c:pt idx="0">
                  <c:v>Other</c:v>
                </c:pt>
              </c:strCache>
            </c:strRef>
          </c:tx>
          <c:invertIfNegative val="0"/>
          <c:cat>
            <c:numRef>
              <c:f>Sheet3!$J$17:$J$22</c:f>
              <c:numCache>
                <c:formatCode>General</c:formatCode>
                <c:ptCount val="6"/>
                <c:pt idx="0">
                  <c:v>2008</c:v>
                </c:pt>
                <c:pt idx="1">
                  <c:v>2009</c:v>
                </c:pt>
                <c:pt idx="2">
                  <c:v>2010</c:v>
                </c:pt>
                <c:pt idx="3">
                  <c:v>2011</c:v>
                </c:pt>
                <c:pt idx="4">
                  <c:v>2012</c:v>
                </c:pt>
                <c:pt idx="5">
                  <c:v>2013</c:v>
                </c:pt>
              </c:numCache>
            </c:numRef>
          </c:cat>
          <c:val>
            <c:numRef>
              <c:f>Sheet3!$O$17:$O$22</c:f>
              <c:numCache>
                <c:formatCode>0.0%</c:formatCode>
                <c:ptCount val="6"/>
                <c:pt idx="0">
                  <c:v>2.1873238850624276E-3</c:v>
                </c:pt>
                <c:pt idx="1">
                  <c:v>2.4384134236117082E-3</c:v>
                </c:pt>
                <c:pt idx="2">
                  <c:v>2.4823113207547171E-3</c:v>
                </c:pt>
                <c:pt idx="3">
                  <c:v>2.3703400605006651E-3</c:v>
                </c:pt>
                <c:pt idx="4">
                  <c:v>2.3940960913533794E-3</c:v>
                </c:pt>
                <c:pt idx="5">
                  <c:v>2.2274754554142896E-3</c:v>
                </c:pt>
              </c:numCache>
            </c:numRef>
          </c:val>
        </c:ser>
        <c:dLbls>
          <c:showLegendKey val="0"/>
          <c:showVal val="0"/>
          <c:showCatName val="0"/>
          <c:showSerName val="0"/>
          <c:showPercent val="0"/>
          <c:showBubbleSize val="0"/>
        </c:dLbls>
        <c:gapWidth val="150"/>
        <c:axId val="186378496"/>
        <c:axId val="186474496"/>
      </c:barChart>
      <c:catAx>
        <c:axId val="186378496"/>
        <c:scaling>
          <c:orientation val="minMax"/>
        </c:scaling>
        <c:delete val="0"/>
        <c:axPos val="b"/>
        <c:numFmt formatCode="General" sourceLinked="1"/>
        <c:majorTickMark val="out"/>
        <c:minorTickMark val="none"/>
        <c:tickLblPos val="nextTo"/>
        <c:crossAx val="186474496"/>
        <c:crosses val="autoZero"/>
        <c:auto val="1"/>
        <c:lblAlgn val="ctr"/>
        <c:lblOffset val="100"/>
        <c:noMultiLvlLbl val="0"/>
      </c:catAx>
      <c:valAx>
        <c:axId val="186474496"/>
        <c:scaling>
          <c:orientation val="minMax"/>
        </c:scaling>
        <c:delete val="0"/>
        <c:axPos val="l"/>
        <c:numFmt formatCode="0.0%" sourceLinked="1"/>
        <c:majorTickMark val="out"/>
        <c:minorTickMark val="none"/>
        <c:tickLblPos val="nextTo"/>
        <c:crossAx val="186378496"/>
        <c:crosses val="autoZero"/>
        <c:crossBetween val="between"/>
      </c:valAx>
    </c:plotArea>
    <c:legend>
      <c:legendPos val="r"/>
      <c:layout>
        <c:manualLayout>
          <c:xMode val="edge"/>
          <c:yMode val="edge"/>
          <c:x val="5.7569772528433961E-2"/>
          <c:y val="0.88940440137290533"/>
          <c:w val="0.83485197324280713"/>
          <c:h val="0.1069253843269591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4107-CEDB-4F3D-9C82-D2390242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Lewin</dc:creator>
  <cp:lastModifiedBy>Joanna Lewin</cp:lastModifiedBy>
  <cp:revision>1</cp:revision>
  <dcterms:created xsi:type="dcterms:W3CDTF">2013-10-16T00:41:00Z</dcterms:created>
  <dcterms:modified xsi:type="dcterms:W3CDTF">2013-10-16T00:42:00Z</dcterms:modified>
</cp:coreProperties>
</file>