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2A" w:rsidRPr="00A44791" w:rsidRDefault="00595C45" w:rsidP="00824717">
      <w:pPr>
        <w:pBdr>
          <w:bottom w:val="single" w:sz="24" w:space="9" w:color="121F6B"/>
        </w:pBdr>
        <w:spacing w:before="5880" w:after="0" w:line="960" w:lineRule="exact"/>
        <w:ind w:right="-187"/>
        <w:rPr>
          <w:rFonts w:ascii="Georgia" w:hAnsi="Georgia"/>
          <w:b/>
          <w:color w:val="121F6B"/>
          <w:sz w:val="80"/>
          <w:szCs w:val="80"/>
        </w:rPr>
      </w:pPr>
      <w:bookmarkStart w:id="0" w:name="_GoBack"/>
      <w:bookmarkEnd w:id="0"/>
      <w:r w:rsidRPr="00A44791">
        <w:rPr>
          <w:rFonts w:ascii="Georgia" w:hAnsi="Georgia"/>
          <w:b/>
          <w:noProof/>
          <w:color w:val="121F6B"/>
          <w:sz w:val="80"/>
          <w:szCs w:val="80"/>
          <w:lang w:val="en-NZ" w:eastAsia="en-NZ"/>
        </w:rPr>
        <w:drawing>
          <wp:anchor distT="0" distB="0" distL="114300" distR="114300" simplePos="0" relativeHeight="251660288" behindDoc="1" locked="0" layoutInCell="1" allowOverlap="1" wp14:anchorId="0B742300" wp14:editId="016F7292">
            <wp:simplePos x="0" y="0"/>
            <wp:positionH relativeFrom="column">
              <wp:posOffset>-930275</wp:posOffset>
            </wp:positionH>
            <wp:positionV relativeFrom="paragraph">
              <wp:posOffset>5008880</wp:posOffset>
            </wp:positionV>
            <wp:extent cx="11407140" cy="4793615"/>
            <wp:effectExtent l="0" t="0" r="3810" b="6985"/>
            <wp:wrapNone/>
            <wp:docPr id="8" name="Picture 8" descr="\\corp.ssi.govt.nz\usersm\mjohn034\Desktop\MSD Branding\MSD Logos\MSD Pattern A4 white backgrou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p.ssi.govt.nz\usersm\mjohn034\Desktop\MSD Branding\MSD Logos\MSD Pattern A4 white backgroun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07140" cy="479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C8312A" w:rsidRPr="00A44791">
        <w:rPr>
          <w:rFonts w:ascii="Georgia" w:hAnsi="Georgia"/>
          <w:b/>
          <w:noProof/>
          <w:color w:val="121F6B"/>
          <w:sz w:val="80"/>
          <w:szCs w:val="80"/>
          <w:lang w:val="en-NZ" w:eastAsia="en-NZ"/>
        </w:rPr>
        <w:drawing>
          <wp:anchor distT="0" distB="0" distL="114300" distR="114300" simplePos="0" relativeHeight="251659264" behindDoc="0" locked="0" layoutInCell="1" allowOverlap="1" wp14:anchorId="5D3EDD1F" wp14:editId="4FB5C5DA">
            <wp:simplePos x="0" y="0"/>
            <wp:positionH relativeFrom="page">
              <wp:posOffset>806450</wp:posOffset>
            </wp:positionH>
            <wp:positionV relativeFrom="page">
              <wp:posOffset>824230</wp:posOffset>
            </wp:positionV>
            <wp:extent cx="3006000" cy="702000"/>
            <wp:effectExtent l="0" t="0" r="4445" b="3175"/>
            <wp:wrapNone/>
            <wp:docPr id="9" name="Picture 9"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723" t="13514" r="3990" b="13513"/>
                    <a:stretch/>
                  </pic:blipFill>
                  <pic:spPr bwMode="auto">
                    <a:xfrm>
                      <a:off x="0" y="0"/>
                      <a:ext cx="3006000" cy="70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60EF">
        <w:rPr>
          <w:rFonts w:ascii="Georgia" w:hAnsi="Georgia"/>
          <w:b/>
          <w:color w:val="121F6B"/>
          <w:sz w:val="80"/>
          <w:szCs w:val="80"/>
        </w:rPr>
        <w:t>Adult g</w:t>
      </w:r>
      <w:r w:rsidR="00824717">
        <w:rPr>
          <w:rFonts w:ascii="Georgia" w:hAnsi="Georgia"/>
          <w:b/>
          <w:color w:val="121F6B"/>
          <w:sz w:val="80"/>
          <w:szCs w:val="80"/>
        </w:rPr>
        <w:t xml:space="preserve">ang members </w:t>
      </w:r>
      <w:r w:rsidR="000029E6">
        <w:rPr>
          <w:rFonts w:ascii="Georgia" w:hAnsi="Georgia"/>
          <w:b/>
          <w:color w:val="121F6B"/>
          <w:sz w:val="80"/>
          <w:szCs w:val="80"/>
        </w:rPr>
        <w:t>and their children</w:t>
      </w:r>
      <w:r w:rsidR="00743550">
        <w:rPr>
          <w:rFonts w:ascii="Georgia" w:hAnsi="Georgia"/>
          <w:b/>
          <w:color w:val="121F6B"/>
          <w:sz w:val="80"/>
          <w:szCs w:val="80"/>
        </w:rPr>
        <w:t xml:space="preserve">’s </w:t>
      </w:r>
      <w:r w:rsidR="00824717">
        <w:rPr>
          <w:rFonts w:ascii="Georgia" w:hAnsi="Georgia"/>
          <w:b/>
          <w:color w:val="121F6B"/>
          <w:sz w:val="80"/>
          <w:szCs w:val="80"/>
        </w:rPr>
        <w:t>contact with Ministry of Social Development service lines</w:t>
      </w:r>
    </w:p>
    <w:p w:rsidR="00EC2CE7" w:rsidRPr="001D507A" w:rsidRDefault="00EC2CE7" w:rsidP="001D507A"/>
    <w:p w:rsidR="00312697" w:rsidRDefault="00312697">
      <w:pPr>
        <w:spacing w:after="0" w:line="240" w:lineRule="auto"/>
        <w:rPr>
          <w:rFonts w:ascii="Georgia" w:eastAsiaTheme="majorEastAsia" w:hAnsi="Georgia"/>
          <w:b/>
          <w:bCs/>
          <w:color w:val="121F6B"/>
          <w:kern w:val="0"/>
          <w:sz w:val="32"/>
          <w:szCs w:val="28"/>
          <w:lang w:val="en-NZ"/>
        </w:rPr>
      </w:pPr>
      <w:r>
        <w:rPr>
          <w:rFonts w:ascii="Georgia" w:eastAsiaTheme="majorEastAsia" w:hAnsi="Georgia"/>
          <w:b/>
          <w:bCs/>
          <w:color w:val="121F6B"/>
          <w:kern w:val="0"/>
          <w:sz w:val="32"/>
          <w:szCs w:val="28"/>
          <w:lang w:val="en-NZ"/>
        </w:rPr>
        <w:br w:type="page"/>
      </w:r>
    </w:p>
    <w:p w:rsidR="00C8312A" w:rsidRDefault="00C8312A">
      <w:pPr>
        <w:spacing w:after="0" w:line="240" w:lineRule="auto"/>
        <w:rPr>
          <w:rFonts w:ascii="Georgia" w:eastAsiaTheme="majorEastAsia" w:hAnsi="Georgia"/>
          <w:b/>
          <w:bCs/>
          <w:color w:val="121F6B"/>
          <w:kern w:val="0"/>
          <w:sz w:val="32"/>
          <w:szCs w:val="28"/>
          <w:lang w:val="en-NZ"/>
        </w:rPr>
      </w:pPr>
    </w:p>
    <w:p w:rsidR="00C8312A" w:rsidRDefault="00C8312A">
      <w:pPr>
        <w:spacing w:after="0" w:line="240" w:lineRule="auto"/>
        <w:rPr>
          <w:rFonts w:ascii="Georgia" w:eastAsiaTheme="majorEastAsia" w:hAnsi="Georgia"/>
          <w:b/>
          <w:bCs/>
          <w:color w:val="121F6B"/>
          <w:kern w:val="0"/>
          <w:sz w:val="32"/>
          <w:szCs w:val="28"/>
          <w:lang w:val="en-NZ"/>
        </w:rPr>
      </w:pPr>
    </w:p>
    <w:p w:rsidR="00C8312A" w:rsidRDefault="00C8312A">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9253E" w:rsidRDefault="0039253E">
      <w:pPr>
        <w:spacing w:after="0" w:line="240" w:lineRule="auto"/>
        <w:rPr>
          <w:rFonts w:ascii="Georgia" w:eastAsiaTheme="majorEastAsia" w:hAnsi="Georgia"/>
          <w:b/>
          <w:bCs/>
          <w:color w:val="121F6B"/>
          <w:kern w:val="0"/>
          <w:sz w:val="32"/>
          <w:szCs w:val="28"/>
          <w:lang w:val="en-NZ"/>
        </w:rPr>
      </w:pPr>
    </w:p>
    <w:p w:rsidR="0039253E" w:rsidRDefault="0039253E">
      <w:pPr>
        <w:spacing w:after="0" w:line="240" w:lineRule="auto"/>
        <w:rPr>
          <w:rFonts w:ascii="Georgia" w:eastAsiaTheme="majorEastAsia" w:hAnsi="Georgia"/>
          <w:b/>
          <w:bCs/>
          <w:color w:val="121F6B"/>
          <w:kern w:val="0"/>
          <w:sz w:val="32"/>
          <w:szCs w:val="28"/>
          <w:lang w:val="en-NZ"/>
        </w:rPr>
      </w:pPr>
    </w:p>
    <w:p w:rsidR="00EA7BB2" w:rsidRDefault="00EA7BB2">
      <w:pPr>
        <w:spacing w:after="0" w:line="240" w:lineRule="auto"/>
        <w:rPr>
          <w:rFonts w:ascii="Georgia" w:eastAsiaTheme="majorEastAsia" w:hAnsi="Georgia"/>
          <w:b/>
          <w:bCs/>
          <w:color w:val="121F6B"/>
          <w:kern w:val="0"/>
          <w:sz w:val="32"/>
          <w:szCs w:val="28"/>
          <w:lang w:val="en-NZ"/>
        </w:rPr>
      </w:pPr>
    </w:p>
    <w:p w:rsidR="00EA7BB2" w:rsidRDefault="00EA7BB2">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pPr>
    </w:p>
    <w:p w:rsidR="00312697" w:rsidRPr="00740763" w:rsidRDefault="00216BA5" w:rsidP="00740763">
      <w:pPr>
        <w:rPr>
          <w:rFonts w:ascii="Georgia" w:hAnsi="Georgia"/>
          <w:b/>
          <w:sz w:val="30"/>
          <w:szCs w:val="30"/>
          <w:lang w:val="en-NZ"/>
        </w:rPr>
      </w:pPr>
      <w:r w:rsidRPr="00740763">
        <w:rPr>
          <w:rFonts w:ascii="Georgia" w:hAnsi="Georgia"/>
          <w:b/>
          <w:sz w:val="30"/>
          <w:szCs w:val="30"/>
          <w:lang w:val="en-NZ"/>
        </w:rPr>
        <w:t>Author</w:t>
      </w:r>
    </w:p>
    <w:p w:rsidR="00312697" w:rsidRDefault="00892946" w:rsidP="000029E6">
      <w:pPr>
        <w:spacing w:after="240"/>
        <w:rPr>
          <w:lang w:val="en-NZ"/>
        </w:rPr>
      </w:pPr>
      <w:r>
        <w:rPr>
          <w:lang w:val="en-NZ"/>
        </w:rPr>
        <w:t>Ministry of Social Development</w:t>
      </w:r>
    </w:p>
    <w:p w:rsidR="00216BA5" w:rsidRPr="00740763" w:rsidRDefault="00216BA5" w:rsidP="00740763">
      <w:pPr>
        <w:rPr>
          <w:rFonts w:ascii="Georgia" w:hAnsi="Georgia"/>
          <w:b/>
          <w:sz w:val="30"/>
          <w:szCs w:val="30"/>
          <w:lang w:val="en-NZ"/>
        </w:rPr>
      </w:pPr>
      <w:r w:rsidRPr="00740763">
        <w:rPr>
          <w:rFonts w:ascii="Georgia" w:hAnsi="Georgia"/>
          <w:b/>
          <w:sz w:val="30"/>
          <w:szCs w:val="30"/>
          <w:lang w:val="en-NZ"/>
        </w:rPr>
        <w:t>Disclaimer</w:t>
      </w:r>
    </w:p>
    <w:p w:rsidR="00216BA5" w:rsidRDefault="00CB1F58" w:rsidP="000029E6">
      <w:pPr>
        <w:spacing w:after="240"/>
        <w:rPr>
          <w:lang w:val="en-NZ"/>
        </w:rPr>
      </w:pPr>
      <w:r w:rsidRPr="00CB1F58">
        <w:rPr>
          <w:lang w:val="en-NZ"/>
        </w:rPr>
        <w:t>The Min</w:t>
      </w:r>
      <w:r w:rsidR="00307675">
        <w:rPr>
          <w:lang w:val="en-NZ"/>
        </w:rPr>
        <w:t>i</w:t>
      </w:r>
      <w:r w:rsidRPr="00CB1F58">
        <w:rPr>
          <w:lang w:val="en-NZ"/>
        </w:rPr>
        <w:t>stry of Social Development has made every effort to ensure the information in this report is reliable, but does not guarantee its accuracy and does not accept liability for any errors.</w:t>
      </w:r>
    </w:p>
    <w:p w:rsidR="00216BA5" w:rsidRPr="00543AC1" w:rsidRDefault="000029E6" w:rsidP="00740763">
      <w:pPr>
        <w:rPr>
          <w:rFonts w:ascii="Georgia" w:hAnsi="Georgia"/>
          <w:b/>
          <w:sz w:val="30"/>
          <w:szCs w:val="30"/>
          <w:lang w:val="en-NZ"/>
        </w:rPr>
      </w:pPr>
      <w:r w:rsidRPr="00543AC1">
        <w:rPr>
          <w:rFonts w:ascii="Georgia" w:hAnsi="Georgia"/>
          <w:b/>
          <w:sz w:val="30"/>
          <w:szCs w:val="30"/>
          <w:lang w:val="en-NZ"/>
        </w:rPr>
        <w:t>P</w:t>
      </w:r>
      <w:r w:rsidR="00216BA5" w:rsidRPr="00543AC1">
        <w:rPr>
          <w:rFonts w:ascii="Georgia" w:hAnsi="Georgia"/>
          <w:b/>
          <w:sz w:val="30"/>
          <w:szCs w:val="30"/>
          <w:lang w:val="en-NZ"/>
        </w:rPr>
        <w:t>ublished</w:t>
      </w:r>
    </w:p>
    <w:p w:rsidR="00312697" w:rsidRPr="00543AC1" w:rsidRDefault="00470D79" w:rsidP="00312697">
      <w:pPr>
        <w:rPr>
          <w:lang w:val="en-NZ"/>
        </w:rPr>
      </w:pPr>
      <w:r>
        <w:rPr>
          <w:lang w:val="en-NZ"/>
        </w:rPr>
        <w:t>March</w:t>
      </w:r>
      <w:r w:rsidR="000029E6" w:rsidRPr="00543AC1">
        <w:rPr>
          <w:lang w:val="en-NZ"/>
        </w:rPr>
        <w:t xml:space="preserve"> </w:t>
      </w:r>
      <w:r w:rsidR="00CB1F58" w:rsidRPr="00543AC1">
        <w:rPr>
          <w:lang w:val="en-NZ"/>
        </w:rPr>
        <w:t>201</w:t>
      </w:r>
      <w:r>
        <w:rPr>
          <w:lang w:val="en-NZ"/>
        </w:rPr>
        <w:t>6</w:t>
      </w:r>
    </w:p>
    <w:p w:rsidR="00732314" w:rsidRDefault="00732314" w:rsidP="00732314">
      <w:pPr>
        <w:rPr>
          <w:lang w:val="en-NZ"/>
        </w:rPr>
      </w:pPr>
      <w:r>
        <w:rPr>
          <w:lang w:val="en-NZ"/>
        </w:rPr>
        <w:t>ISBN 978-0-478-32393-1 (online)</w:t>
      </w:r>
    </w:p>
    <w:p w:rsidR="00312697" w:rsidRDefault="00312697">
      <w:pPr>
        <w:spacing w:after="0" w:line="240" w:lineRule="auto"/>
        <w:rPr>
          <w:rFonts w:ascii="Georgia" w:eastAsiaTheme="majorEastAsia" w:hAnsi="Georgia"/>
          <w:b/>
          <w:bCs/>
          <w:color w:val="121F6B"/>
          <w:kern w:val="0"/>
          <w:sz w:val="32"/>
          <w:szCs w:val="28"/>
          <w:lang w:val="en-NZ"/>
        </w:rPr>
      </w:pPr>
    </w:p>
    <w:p w:rsidR="00312697" w:rsidRDefault="00312697">
      <w:pPr>
        <w:spacing w:after="0" w:line="240" w:lineRule="auto"/>
        <w:rPr>
          <w:rFonts w:ascii="Georgia" w:eastAsiaTheme="majorEastAsia" w:hAnsi="Georgia"/>
          <w:b/>
          <w:bCs/>
          <w:color w:val="121F6B"/>
          <w:kern w:val="0"/>
          <w:sz w:val="32"/>
          <w:szCs w:val="28"/>
          <w:lang w:val="en-NZ"/>
        </w:rPr>
        <w:sectPr w:rsidR="00312697" w:rsidSect="00F615F9">
          <w:pgSz w:w="11906" w:h="16838"/>
          <w:pgMar w:top="1440" w:right="1440" w:bottom="1440" w:left="1440" w:header="340" w:footer="708" w:gutter="0"/>
          <w:cols w:space="708"/>
          <w:docGrid w:linePitch="360"/>
        </w:sectPr>
      </w:pPr>
    </w:p>
    <w:p w:rsidR="008C4B1D" w:rsidRPr="00C93F62" w:rsidRDefault="00EC2CE7" w:rsidP="00D87E26">
      <w:pPr>
        <w:pStyle w:val="Heading1"/>
        <w:ind w:right="-46"/>
      </w:pPr>
      <w:bookmarkStart w:id="1" w:name="_Toc386619898"/>
      <w:bookmarkStart w:id="2" w:name="_Toc402525073"/>
      <w:bookmarkStart w:id="3" w:name="_Toc402532676"/>
      <w:bookmarkStart w:id="4" w:name="_Toc403983136"/>
      <w:bookmarkStart w:id="5" w:name="_Toc410727460"/>
      <w:bookmarkStart w:id="6" w:name="_Toc410892108"/>
      <w:bookmarkStart w:id="7" w:name="_Toc410908970"/>
      <w:bookmarkStart w:id="8" w:name="_Toc438039145"/>
      <w:r w:rsidRPr="00C93F62">
        <w:lastRenderedPageBreak/>
        <w:t>Contents</w:t>
      </w:r>
      <w:bookmarkEnd w:id="1"/>
      <w:bookmarkEnd w:id="2"/>
      <w:bookmarkEnd w:id="3"/>
      <w:bookmarkEnd w:id="4"/>
      <w:bookmarkEnd w:id="5"/>
      <w:bookmarkEnd w:id="6"/>
      <w:bookmarkEnd w:id="7"/>
      <w:bookmarkEnd w:id="8"/>
    </w:p>
    <w:bookmarkStart w:id="9" w:name="_Toc386619899" w:displacedByCustomXml="next"/>
    <w:sdt>
      <w:sdtPr>
        <w:rPr>
          <w:b/>
          <w:bCs/>
          <w:noProof w:val="0"/>
          <w:sz w:val="22"/>
        </w:rPr>
        <w:id w:val="1343282524"/>
        <w:docPartObj>
          <w:docPartGallery w:val="Table of Contents"/>
          <w:docPartUnique/>
        </w:docPartObj>
      </w:sdtPr>
      <w:sdtEndPr>
        <w:rPr>
          <w:b w:val="0"/>
          <w:bCs w:val="0"/>
          <w:sz w:val="20"/>
        </w:rPr>
      </w:sdtEndPr>
      <w:sdtContent>
        <w:p w:rsidR="00A37004" w:rsidRDefault="00D42969">
          <w:pPr>
            <w:pStyle w:val="TOC1"/>
            <w:rPr>
              <w:rFonts w:asciiTheme="minorHAnsi" w:eastAsiaTheme="minorEastAsia" w:hAnsiTheme="minorHAnsi" w:cstheme="minorBidi"/>
              <w:kern w:val="0"/>
              <w:sz w:val="22"/>
              <w:szCs w:val="22"/>
              <w:lang w:val="en-NZ" w:eastAsia="en-NZ"/>
            </w:rPr>
          </w:pPr>
          <w:r>
            <w:fldChar w:fldCharType="begin"/>
          </w:r>
          <w:r>
            <w:instrText xml:space="preserve"> TOC \o "1-1" \h \z \u </w:instrText>
          </w:r>
          <w:r>
            <w:fldChar w:fldCharType="separate"/>
          </w:r>
          <w:hyperlink w:anchor="_Toc438039145" w:history="1"/>
        </w:p>
        <w:p w:rsidR="00A37004" w:rsidRDefault="002F4046">
          <w:pPr>
            <w:pStyle w:val="TOC1"/>
            <w:rPr>
              <w:rFonts w:asciiTheme="minorHAnsi" w:eastAsiaTheme="minorEastAsia" w:hAnsiTheme="minorHAnsi" w:cstheme="minorBidi"/>
              <w:kern w:val="0"/>
              <w:sz w:val="22"/>
              <w:szCs w:val="22"/>
              <w:lang w:val="en-NZ" w:eastAsia="en-NZ"/>
            </w:rPr>
          </w:pPr>
          <w:hyperlink w:anchor="_Toc438039146" w:history="1">
            <w:r w:rsidR="00A37004" w:rsidRPr="007D38F5">
              <w:rPr>
                <w:rStyle w:val="Hyperlink"/>
              </w:rPr>
              <w:t>Executive summary</w:t>
            </w:r>
            <w:r w:rsidR="00A37004">
              <w:rPr>
                <w:webHidden/>
              </w:rPr>
              <w:tab/>
            </w:r>
            <w:r w:rsidR="00A37004">
              <w:rPr>
                <w:webHidden/>
              </w:rPr>
              <w:fldChar w:fldCharType="begin"/>
            </w:r>
            <w:r w:rsidR="00A37004">
              <w:rPr>
                <w:webHidden/>
              </w:rPr>
              <w:instrText xml:space="preserve"> PAGEREF _Toc438039146 \h </w:instrText>
            </w:r>
            <w:r w:rsidR="00A37004">
              <w:rPr>
                <w:webHidden/>
              </w:rPr>
            </w:r>
            <w:r w:rsidR="00A37004">
              <w:rPr>
                <w:webHidden/>
              </w:rPr>
              <w:fldChar w:fldCharType="separate"/>
            </w:r>
            <w:r w:rsidR="00A37004">
              <w:rPr>
                <w:webHidden/>
              </w:rPr>
              <w:t>1</w:t>
            </w:r>
            <w:r w:rsidR="00A37004">
              <w:rPr>
                <w:webHidden/>
              </w:rPr>
              <w:fldChar w:fldCharType="end"/>
            </w:r>
          </w:hyperlink>
        </w:p>
        <w:p w:rsidR="00A37004" w:rsidRDefault="002F4046">
          <w:pPr>
            <w:pStyle w:val="TOC1"/>
            <w:rPr>
              <w:rFonts w:asciiTheme="minorHAnsi" w:eastAsiaTheme="minorEastAsia" w:hAnsiTheme="minorHAnsi" w:cstheme="minorBidi"/>
              <w:kern w:val="0"/>
              <w:sz w:val="22"/>
              <w:szCs w:val="22"/>
              <w:lang w:val="en-NZ" w:eastAsia="en-NZ"/>
            </w:rPr>
          </w:pPr>
          <w:hyperlink w:anchor="_Toc438039147" w:history="1">
            <w:r w:rsidR="00A37004" w:rsidRPr="007D38F5">
              <w:rPr>
                <w:rStyle w:val="Hyperlink"/>
              </w:rPr>
              <w:t>Part 1 – Introduction</w:t>
            </w:r>
            <w:r w:rsidR="00A37004">
              <w:rPr>
                <w:webHidden/>
              </w:rPr>
              <w:tab/>
            </w:r>
            <w:r w:rsidR="00A37004">
              <w:rPr>
                <w:webHidden/>
              </w:rPr>
              <w:fldChar w:fldCharType="begin"/>
            </w:r>
            <w:r w:rsidR="00A37004">
              <w:rPr>
                <w:webHidden/>
              </w:rPr>
              <w:instrText xml:space="preserve"> PAGEREF _Toc438039147 \h </w:instrText>
            </w:r>
            <w:r w:rsidR="00A37004">
              <w:rPr>
                <w:webHidden/>
              </w:rPr>
            </w:r>
            <w:r w:rsidR="00A37004">
              <w:rPr>
                <w:webHidden/>
              </w:rPr>
              <w:fldChar w:fldCharType="separate"/>
            </w:r>
            <w:r w:rsidR="00A37004">
              <w:rPr>
                <w:webHidden/>
              </w:rPr>
              <w:t>5</w:t>
            </w:r>
            <w:r w:rsidR="00A37004">
              <w:rPr>
                <w:webHidden/>
              </w:rPr>
              <w:fldChar w:fldCharType="end"/>
            </w:r>
          </w:hyperlink>
        </w:p>
        <w:p w:rsidR="00A37004" w:rsidRDefault="002F4046">
          <w:pPr>
            <w:pStyle w:val="TOC1"/>
            <w:rPr>
              <w:rFonts w:asciiTheme="minorHAnsi" w:eastAsiaTheme="minorEastAsia" w:hAnsiTheme="minorHAnsi" w:cstheme="minorBidi"/>
              <w:kern w:val="0"/>
              <w:sz w:val="22"/>
              <w:szCs w:val="22"/>
              <w:lang w:val="en-NZ" w:eastAsia="en-NZ"/>
            </w:rPr>
          </w:pPr>
          <w:hyperlink w:anchor="_Toc438039148" w:history="1">
            <w:r w:rsidR="00A37004" w:rsidRPr="007D38F5">
              <w:rPr>
                <w:rStyle w:val="Hyperlink"/>
              </w:rPr>
              <w:t>Part 2 – Profile of known adult gang members as at July 2014</w:t>
            </w:r>
            <w:r w:rsidR="00A37004">
              <w:rPr>
                <w:webHidden/>
              </w:rPr>
              <w:tab/>
            </w:r>
            <w:r w:rsidR="00A37004">
              <w:rPr>
                <w:webHidden/>
              </w:rPr>
              <w:fldChar w:fldCharType="begin"/>
            </w:r>
            <w:r w:rsidR="00A37004">
              <w:rPr>
                <w:webHidden/>
              </w:rPr>
              <w:instrText xml:space="preserve"> PAGEREF _Toc438039148 \h </w:instrText>
            </w:r>
            <w:r w:rsidR="00A37004">
              <w:rPr>
                <w:webHidden/>
              </w:rPr>
            </w:r>
            <w:r w:rsidR="00A37004">
              <w:rPr>
                <w:webHidden/>
              </w:rPr>
              <w:fldChar w:fldCharType="separate"/>
            </w:r>
            <w:r w:rsidR="00A37004">
              <w:rPr>
                <w:webHidden/>
              </w:rPr>
              <w:t>6</w:t>
            </w:r>
            <w:r w:rsidR="00A37004">
              <w:rPr>
                <w:webHidden/>
              </w:rPr>
              <w:fldChar w:fldCharType="end"/>
            </w:r>
          </w:hyperlink>
        </w:p>
        <w:p w:rsidR="00A37004" w:rsidRDefault="002F4046">
          <w:pPr>
            <w:pStyle w:val="TOC1"/>
            <w:rPr>
              <w:rFonts w:asciiTheme="minorHAnsi" w:eastAsiaTheme="minorEastAsia" w:hAnsiTheme="minorHAnsi" w:cstheme="minorBidi"/>
              <w:kern w:val="0"/>
              <w:sz w:val="22"/>
              <w:szCs w:val="22"/>
              <w:lang w:val="en-NZ" w:eastAsia="en-NZ"/>
            </w:rPr>
          </w:pPr>
          <w:hyperlink w:anchor="_Toc438039149" w:history="1">
            <w:r w:rsidR="00A37004" w:rsidRPr="007D38F5">
              <w:rPr>
                <w:rStyle w:val="Hyperlink"/>
              </w:rPr>
              <w:t>Part 3 – Over nine out of every ten gang members have received welfare assistance</w:t>
            </w:r>
            <w:r w:rsidR="00A37004">
              <w:rPr>
                <w:webHidden/>
              </w:rPr>
              <w:tab/>
            </w:r>
            <w:r w:rsidR="00A37004">
              <w:rPr>
                <w:webHidden/>
              </w:rPr>
              <w:fldChar w:fldCharType="begin"/>
            </w:r>
            <w:r w:rsidR="00A37004">
              <w:rPr>
                <w:webHidden/>
              </w:rPr>
              <w:instrText xml:space="preserve"> PAGEREF _Toc438039149 \h </w:instrText>
            </w:r>
            <w:r w:rsidR="00A37004">
              <w:rPr>
                <w:webHidden/>
              </w:rPr>
            </w:r>
            <w:r w:rsidR="00A37004">
              <w:rPr>
                <w:webHidden/>
              </w:rPr>
              <w:fldChar w:fldCharType="separate"/>
            </w:r>
            <w:r w:rsidR="00A37004">
              <w:rPr>
                <w:webHidden/>
              </w:rPr>
              <w:t>8</w:t>
            </w:r>
            <w:r w:rsidR="00A37004">
              <w:rPr>
                <w:webHidden/>
              </w:rPr>
              <w:fldChar w:fldCharType="end"/>
            </w:r>
          </w:hyperlink>
        </w:p>
        <w:p w:rsidR="00A37004" w:rsidRDefault="002F4046">
          <w:pPr>
            <w:pStyle w:val="TOC1"/>
            <w:rPr>
              <w:rFonts w:asciiTheme="minorHAnsi" w:eastAsiaTheme="minorEastAsia" w:hAnsiTheme="minorHAnsi" w:cstheme="minorBidi"/>
              <w:kern w:val="0"/>
              <w:sz w:val="22"/>
              <w:szCs w:val="22"/>
              <w:lang w:val="en-NZ" w:eastAsia="en-NZ"/>
            </w:rPr>
          </w:pPr>
          <w:hyperlink w:anchor="_Toc438039150" w:history="1">
            <w:r w:rsidR="00A37004" w:rsidRPr="007D38F5">
              <w:rPr>
                <w:rStyle w:val="Hyperlink"/>
                <w:lang w:eastAsia="en-AU"/>
              </w:rPr>
              <w:t>Part 4 – Over a quarter of gang members have allegedly abused or neglected children</w:t>
            </w:r>
            <w:r w:rsidR="00A37004">
              <w:rPr>
                <w:webHidden/>
              </w:rPr>
              <w:tab/>
            </w:r>
            <w:r w:rsidR="00A37004">
              <w:rPr>
                <w:webHidden/>
              </w:rPr>
              <w:fldChar w:fldCharType="begin"/>
            </w:r>
            <w:r w:rsidR="00A37004">
              <w:rPr>
                <w:webHidden/>
              </w:rPr>
              <w:instrText xml:space="preserve"> PAGEREF _Toc438039150 \h </w:instrText>
            </w:r>
            <w:r w:rsidR="00A37004">
              <w:rPr>
                <w:webHidden/>
              </w:rPr>
            </w:r>
            <w:r w:rsidR="00A37004">
              <w:rPr>
                <w:webHidden/>
              </w:rPr>
              <w:fldChar w:fldCharType="separate"/>
            </w:r>
            <w:r w:rsidR="00A37004">
              <w:rPr>
                <w:webHidden/>
              </w:rPr>
              <w:t>12</w:t>
            </w:r>
            <w:r w:rsidR="00A37004">
              <w:rPr>
                <w:webHidden/>
              </w:rPr>
              <w:fldChar w:fldCharType="end"/>
            </w:r>
          </w:hyperlink>
        </w:p>
        <w:p w:rsidR="00A37004" w:rsidRDefault="002F4046">
          <w:pPr>
            <w:pStyle w:val="TOC1"/>
            <w:rPr>
              <w:rFonts w:asciiTheme="minorHAnsi" w:eastAsiaTheme="minorEastAsia" w:hAnsiTheme="minorHAnsi" w:cstheme="minorBidi"/>
              <w:kern w:val="0"/>
              <w:sz w:val="22"/>
              <w:szCs w:val="22"/>
              <w:lang w:val="en-NZ" w:eastAsia="en-NZ"/>
            </w:rPr>
          </w:pPr>
          <w:hyperlink w:anchor="_Toc438039151" w:history="1">
            <w:r w:rsidR="00A37004" w:rsidRPr="007D38F5">
              <w:rPr>
                <w:rStyle w:val="Hyperlink"/>
                <w:lang w:eastAsia="en-AU"/>
              </w:rPr>
              <w:t>Part 5 – Estimated total costs to MSD are over $700 million</w:t>
            </w:r>
            <w:r w:rsidR="00A37004">
              <w:rPr>
                <w:webHidden/>
              </w:rPr>
              <w:tab/>
            </w:r>
            <w:r w:rsidR="00A37004">
              <w:rPr>
                <w:webHidden/>
              </w:rPr>
              <w:fldChar w:fldCharType="begin"/>
            </w:r>
            <w:r w:rsidR="00A37004">
              <w:rPr>
                <w:webHidden/>
              </w:rPr>
              <w:instrText xml:space="preserve"> PAGEREF _Toc438039151 \h </w:instrText>
            </w:r>
            <w:r w:rsidR="00A37004">
              <w:rPr>
                <w:webHidden/>
              </w:rPr>
            </w:r>
            <w:r w:rsidR="00A37004">
              <w:rPr>
                <w:webHidden/>
              </w:rPr>
              <w:fldChar w:fldCharType="separate"/>
            </w:r>
            <w:r w:rsidR="00A37004">
              <w:rPr>
                <w:webHidden/>
              </w:rPr>
              <w:t>17</w:t>
            </w:r>
            <w:r w:rsidR="00A37004">
              <w:rPr>
                <w:webHidden/>
              </w:rPr>
              <w:fldChar w:fldCharType="end"/>
            </w:r>
          </w:hyperlink>
        </w:p>
        <w:p w:rsidR="00A37004" w:rsidRDefault="002F4046">
          <w:pPr>
            <w:pStyle w:val="TOC1"/>
            <w:rPr>
              <w:rFonts w:asciiTheme="minorHAnsi" w:eastAsiaTheme="minorEastAsia" w:hAnsiTheme="minorHAnsi" w:cstheme="minorBidi"/>
              <w:kern w:val="0"/>
              <w:sz w:val="22"/>
              <w:szCs w:val="22"/>
              <w:lang w:val="en-NZ" w:eastAsia="en-NZ"/>
            </w:rPr>
          </w:pPr>
          <w:hyperlink w:anchor="_Toc438039152" w:history="1">
            <w:r w:rsidR="00A37004" w:rsidRPr="007D38F5">
              <w:rPr>
                <w:rStyle w:val="Hyperlink"/>
                <w:lang w:eastAsia="en-AU"/>
              </w:rPr>
              <w:t>Part 6 – Conclusions</w:t>
            </w:r>
            <w:r w:rsidR="00A37004">
              <w:rPr>
                <w:webHidden/>
              </w:rPr>
              <w:tab/>
            </w:r>
            <w:r w:rsidR="00A37004">
              <w:rPr>
                <w:webHidden/>
              </w:rPr>
              <w:fldChar w:fldCharType="begin"/>
            </w:r>
            <w:r w:rsidR="00A37004">
              <w:rPr>
                <w:webHidden/>
              </w:rPr>
              <w:instrText xml:space="preserve"> PAGEREF _Toc438039152 \h </w:instrText>
            </w:r>
            <w:r w:rsidR="00A37004">
              <w:rPr>
                <w:webHidden/>
              </w:rPr>
            </w:r>
            <w:r w:rsidR="00A37004">
              <w:rPr>
                <w:webHidden/>
              </w:rPr>
              <w:fldChar w:fldCharType="separate"/>
            </w:r>
            <w:r w:rsidR="00A37004">
              <w:rPr>
                <w:webHidden/>
              </w:rPr>
              <w:t>18</w:t>
            </w:r>
            <w:r w:rsidR="00A37004">
              <w:rPr>
                <w:webHidden/>
              </w:rPr>
              <w:fldChar w:fldCharType="end"/>
            </w:r>
          </w:hyperlink>
        </w:p>
        <w:p w:rsidR="00A37004" w:rsidRDefault="002F4046">
          <w:pPr>
            <w:pStyle w:val="TOC1"/>
            <w:rPr>
              <w:rFonts w:asciiTheme="minorHAnsi" w:eastAsiaTheme="minorEastAsia" w:hAnsiTheme="minorHAnsi" w:cstheme="minorBidi"/>
              <w:kern w:val="0"/>
              <w:sz w:val="22"/>
              <w:szCs w:val="22"/>
              <w:lang w:val="en-NZ" w:eastAsia="en-NZ"/>
            </w:rPr>
          </w:pPr>
          <w:hyperlink w:anchor="_Toc438039153" w:history="1">
            <w:r w:rsidR="00A37004" w:rsidRPr="007D38F5">
              <w:rPr>
                <w:rStyle w:val="Hyperlink"/>
              </w:rPr>
              <w:t>Appendix A – Methodology</w:t>
            </w:r>
            <w:r w:rsidR="00A37004">
              <w:rPr>
                <w:webHidden/>
              </w:rPr>
              <w:tab/>
            </w:r>
            <w:r w:rsidR="00A37004">
              <w:rPr>
                <w:webHidden/>
              </w:rPr>
              <w:fldChar w:fldCharType="begin"/>
            </w:r>
            <w:r w:rsidR="00A37004">
              <w:rPr>
                <w:webHidden/>
              </w:rPr>
              <w:instrText xml:space="preserve"> PAGEREF _Toc438039153 \h </w:instrText>
            </w:r>
            <w:r w:rsidR="00A37004">
              <w:rPr>
                <w:webHidden/>
              </w:rPr>
            </w:r>
            <w:r w:rsidR="00A37004">
              <w:rPr>
                <w:webHidden/>
              </w:rPr>
              <w:fldChar w:fldCharType="separate"/>
            </w:r>
            <w:r w:rsidR="00A37004">
              <w:rPr>
                <w:webHidden/>
              </w:rPr>
              <w:t>19</w:t>
            </w:r>
            <w:r w:rsidR="00A37004">
              <w:rPr>
                <w:webHidden/>
              </w:rPr>
              <w:fldChar w:fldCharType="end"/>
            </w:r>
          </w:hyperlink>
        </w:p>
        <w:p w:rsidR="002979C7" w:rsidRDefault="00D42969" w:rsidP="002979C7">
          <w:pPr>
            <w:rPr>
              <w:noProof/>
            </w:rPr>
          </w:pPr>
          <w:r>
            <w:rPr>
              <w:noProof/>
            </w:rPr>
            <w:fldChar w:fldCharType="end"/>
          </w:r>
        </w:p>
      </w:sdtContent>
    </w:sdt>
    <w:bookmarkEnd w:id="9" w:displacedByCustomXml="prev"/>
    <w:bookmarkStart w:id="10" w:name="_Toc386619900" w:displacedByCustomXml="prev"/>
    <w:bookmarkStart w:id="11" w:name="_Toc402525074" w:displacedByCustomXml="prev"/>
    <w:bookmarkStart w:id="12" w:name="_Toc402532677" w:displacedByCustomXml="prev"/>
    <w:bookmarkEnd w:id="12"/>
    <w:bookmarkEnd w:id="11"/>
    <w:bookmarkEnd w:id="10"/>
    <w:p w:rsidR="009820E8" w:rsidRDefault="009820E8">
      <w:pPr>
        <w:spacing w:after="0" w:line="240" w:lineRule="auto"/>
        <w:rPr>
          <w:lang w:val="en-NZ"/>
        </w:rPr>
      </w:pPr>
    </w:p>
    <w:p w:rsidR="00312697" w:rsidRDefault="00312697">
      <w:pPr>
        <w:spacing w:after="0" w:line="240" w:lineRule="auto"/>
        <w:rPr>
          <w:lang w:val="en-NZ"/>
        </w:rPr>
        <w:sectPr w:rsidR="00312697" w:rsidSect="00F615F9">
          <w:pgSz w:w="11906" w:h="16838"/>
          <w:pgMar w:top="1440" w:right="1440" w:bottom="1134" w:left="1440" w:header="340" w:footer="708" w:gutter="0"/>
          <w:cols w:space="708"/>
          <w:docGrid w:linePitch="360"/>
        </w:sectPr>
      </w:pPr>
    </w:p>
    <w:p w:rsidR="00EC2CE7" w:rsidRDefault="00CB1F58" w:rsidP="00D8581C">
      <w:pPr>
        <w:pStyle w:val="Heading1"/>
        <w:spacing w:before="0"/>
        <w:ind w:right="-45"/>
      </w:pPr>
      <w:bookmarkStart w:id="13" w:name="_Toc438039146"/>
      <w:r>
        <w:lastRenderedPageBreak/>
        <w:t>Executive summary</w:t>
      </w:r>
      <w:bookmarkEnd w:id="13"/>
    </w:p>
    <w:p w:rsidR="00511698" w:rsidRDefault="00331559" w:rsidP="00331559">
      <w:pPr>
        <w:rPr>
          <w:lang w:val="en-NZ"/>
        </w:rPr>
      </w:pPr>
      <w:bookmarkStart w:id="14" w:name="_Toc383076285"/>
      <w:bookmarkStart w:id="15" w:name="_Toc383076335"/>
      <w:bookmarkStart w:id="16" w:name="_Toc402532679"/>
      <w:bookmarkStart w:id="17" w:name="_Toc403982936"/>
      <w:r w:rsidRPr="0069532C">
        <w:rPr>
          <w:lang w:val="en-NZ"/>
        </w:rPr>
        <w:t>Th</w:t>
      </w:r>
      <w:r>
        <w:rPr>
          <w:lang w:val="en-NZ"/>
        </w:rPr>
        <w:t>is r</w:t>
      </w:r>
      <w:r w:rsidRPr="0069532C">
        <w:rPr>
          <w:lang w:val="en-NZ"/>
        </w:rPr>
        <w:t xml:space="preserve">esearch </w:t>
      </w:r>
      <w:r>
        <w:rPr>
          <w:lang w:val="en-NZ"/>
        </w:rPr>
        <w:t xml:space="preserve">seeks to </w:t>
      </w:r>
      <w:r w:rsidR="006945B2">
        <w:rPr>
          <w:lang w:val="en-NZ"/>
        </w:rPr>
        <w:t>inform policy work around the Gang Action Plan</w:t>
      </w:r>
      <w:r w:rsidR="00743550" w:rsidRPr="00743550">
        <w:rPr>
          <w:lang w:val="en-NZ"/>
        </w:rPr>
        <w:t xml:space="preserve"> to reduce the harms caused by adult gangs </w:t>
      </w:r>
      <w:r w:rsidR="00743550">
        <w:rPr>
          <w:lang w:val="en-NZ"/>
        </w:rPr>
        <w:t>in New Zealand</w:t>
      </w:r>
      <w:r w:rsidR="006945B2">
        <w:rPr>
          <w:lang w:val="en-NZ"/>
        </w:rPr>
        <w:t xml:space="preserve">. </w:t>
      </w:r>
      <w:r w:rsidR="00743550">
        <w:rPr>
          <w:lang w:val="en-NZ"/>
        </w:rPr>
        <w:t xml:space="preserve">The report </w:t>
      </w:r>
      <w:r w:rsidR="007E1485">
        <w:rPr>
          <w:lang w:val="en-NZ"/>
        </w:rPr>
        <w:t>establish</w:t>
      </w:r>
      <w:r w:rsidR="00743550">
        <w:rPr>
          <w:lang w:val="en-NZ"/>
        </w:rPr>
        <w:t>es</w:t>
      </w:r>
      <w:r w:rsidR="007E1485">
        <w:rPr>
          <w:lang w:val="en-NZ"/>
        </w:rPr>
        <w:t xml:space="preserve"> baseline figures on </w:t>
      </w:r>
      <w:r w:rsidRPr="00F9161C">
        <w:rPr>
          <w:lang w:val="en-NZ"/>
        </w:rPr>
        <w:t xml:space="preserve">how many </w:t>
      </w:r>
      <w:r w:rsidR="00F16991">
        <w:rPr>
          <w:lang w:val="en-NZ"/>
        </w:rPr>
        <w:t xml:space="preserve">known </w:t>
      </w:r>
      <w:r w:rsidR="00B53F8B">
        <w:rPr>
          <w:lang w:val="en-NZ"/>
        </w:rPr>
        <w:t xml:space="preserve">adult </w:t>
      </w:r>
      <w:r w:rsidRPr="00F9161C">
        <w:rPr>
          <w:lang w:val="en-NZ"/>
        </w:rPr>
        <w:t xml:space="preserve">gang members, and how many </w:t>
      </w:r>
      <w:r w:rsidR="00045FA0">
        <w:rPr>
          <w:lang w:val="en-NZ"/>
        </w:rPr>
        <w:t xml:space="preserve">of their </w:t>
      </w:r>
      <w:r w:rsidRPr="00F9161C">
        <w:rPr>
          <w:lang w:val="en-NZ"/>
        </w:rPr>
        <w:t xml:space="preserve">children, come into contact with </w:t>
      </w:r>
      <w:r w:rsidR="00B53F8B">
        <w:rPr>
          <w:lang w:val="en-NZ"/>
        </w:rPr>
        <w:t>the Ministry of Social Development’s (</w:t>
      </w:r>
      <w:r w:rsidRPr="00F9161C">
        <w:rPr>
          <w:lang w:val="en-NZ"/>
        </w:rPr>
        <w:t>MSD’s</w:t>
      </w:r>
      <w:r w:rsidR="00B53F8B">
        <w:rPr>
          <w:lang w:val="en-NZ"/>
        </w:rPr>
        <w:t>)</w:t>
      </w:r>
      <w:r w:rsidRPr="00F9161C">
        <w:rPr>
          <w:lang w:val="en-NZ"/>
        </w:rPr>
        <w:t xml:space="preserve"> service arms, and the types </w:t>
      </w:r>
      <w:r w:rsidR="002802AC">
        <w:rPr>
          <w:lang w:val="en-NZ"/>
        </w:rPr>
        <w:t xml:space="preserve">and estimated total costs </w:t>
      </w:r>
      <w:r w:rsidRPr="00F9161C">
        <w:rPr>
          <w:lang w:val="en-NZ"/>
        </w:rPr>
        <w:t>of contact</w:t>
      </w:r>
      <w:r w:rsidR="002802AC">
        <w:rPr>
          <w:lang w:val="en-NZ"/>
        </w:rPr>
        <w:t>s</w:t>
      </w:r>
      <w:r w:rsidRPr="00F9161C">
        <w:rPr>
          <w:lang w:val="en-NZ"/>
        </w:rPr>
        <w:t xml:space="preserve"> that occur.</w:t>
      </w:r>
    </w:p>
    <w:p w:rsidR="000029E6" w:rsidRDefault="000029E6" w:rsidP="00331559">
      <w:pPr>
        <w:rPr>
          <w:lang w:val="en-NZ"/>
        </w:rPr>
      </w:pPr>
      <w:r>
        <w:rPr>
          <w:lang w:val="en-NZ"/>
        </w:rPr>
        <w:t xml:space="preserve">The </w:t>
      </w:r>
      <w:r w:rsidR="00AA5B97">
        <w:rPr>
          <w:lang w:val="en-NZ"/>
        </w:rPr>
        <w:t>findings in th</w:t>
      </w:r>
      <w:r w:rsidR="00A94FBE">
        <w:rPr>
          <w:lang w:val="en-NZ"/>
        </w:rPr>
        <w:t>is</w:t>
      </w:r>
      <w:r w:rsidR="00AA5B97">
        <w:rPr>
          <w:lang w:val="en-NZ"/>
        </w:rPr>
        <w:t xml:space="preserve"> </w:t>
      </w:r>
      <w:r>
        <w:rPr>
          <w:lang w:val="en-NZ"/>
        </w:rPr>
        <w:t xml:space="preserve">report </w:t>
      </w:r>
      <w:r w:rsidR="00AA5B97">
        <w:rPr>
          <w:lang w:val="en-NZ"/>
        </w:rPr>
        <w:t>are</w:t>
      </w:r>
      <w:r>
        <w:rPr>
          <w:lang w:val="en-NZ"/>
        </w:rPr>
        <w:t xml:space="preserve"> not implying that the gang members</w:t>
      </w:r>
      <w:r w:rsidR="00B20A42">
        <w:rPr>
          <w:lang w:val="en-NZ"/>
        </w:rPr>
        <w:t>’</w:t>
      </w:r>
      <w:r>
        <w:rPr>
          <w:lang w:val="en-NZ"/>
        </w:rPr>
        <w:t xml:space="preserve"> and their children’s contact with MSD service lines </w:t>
      </w:r>
      <w:r w:rsidR="00364401">
        <w:rPr>
          <w:lang w:val="en-NZ"/>
        </w:rPr>
        <w:t>wa</w:t>
      </w:r>
      <w:r>
        <w:rPr>
          <w:lang w:val="en-NZ"/>
        </w:rPr>
        <w:t xml:space="preserve">s due </w:t>
      </w:r>
      <w:r w:rsidR="00B20A42">
        <w:rPr>
          <w:lang w:val="en-NZ"/>
        </w:rPr>
        <w:t xml:space="preserve">solely </w:t>
      </w:r>
      <w:r>
        <w:rPr>
          <w:lang w:val="en-NZ"/>
        </w:rPr>
        <w:t xml:space="preserve">to </w:t>
      </w:r>
      <w:r w:rsidR="00AA5B97">
        <w:rPr>
          <w:lang w:val="en-NZ"/>
        </w:rPr>
        <w:t>their links to gangs.</w:t>
      </w:r>
    </w:p>
    <w:p w:rsidR="00331559" w:rsidRDefault="00443776" w:rsidP="00331559">
      <w:pPr>
        <w:rPr>
          <w:lang w:val="en-NZ"/>
        </w:rPr>
      </w:pPr>
      <w:r>
        <w:rPr>
          <w:lang w:val="en-NZ"/>
        </w:rPr>
        <w:t xml:space="preserve">As at </w:t>
      </w:r>
      <w:r w:rsidR="002A6BF2">
        <w:rPr>
          <w:lang w:val="en-NZ"/>
        </w:rPr>
        <w:t>July</w:t>
      </w:r>
      <w:r>
        <w:rPr>
          <w:lang w:val="en-NZ"/>
        </w:rPr>
        <w:t xml:space="preserve"> 2014, there were </w:t>
      </w:r>
      <w:r w:rsidR="00307675">
        <w:rPr>
          <w:lang w:val="en-NZ"/>
        </w:rPr>
        <w:t xml:space="preserve">an estimated </w:t>
      </w:r>
      <w:r>
        <w:rPr>
          <w:lang w:val="en-NZ"/>
        </w:rPr>
        <w:t>3,960 adult gang members</w:t>
      </w:r>
      <w:r w:rsidR="00045B21">
        <w:rPr>
          <w:rStyle w:val="FootnoteReference"/>
        </w:rPr>
        <w:footnoteReference w:id="1"/>
      </w:r>
      <w:r>
        <w:rPr>
          <w:lang w:val="en-NZ"/>
        </w:rPr>
        <w:t xml:space="preserve"> known to New Zealand Police (</w:t>
      </w:r>
      <w:r w:rsidR="004167F0">
        <w:rPr>
          <w:lang w:val="en-NZ"/>
        </w:rPr>
        <w:t xml:space="preserve">NZ </w:t>
      </w:r>
      <w:r>
        <w:rPr>
          <w:lang w:val="en-NZ"/>
        </w:rPr>
        <w:t>Police).</w:t>
      </w:r>
      <w:r w:rsidR="005D7755">
        <w:rPr>
          <w:rStyle w:val="FootnoteReference"/>
        </w:rPr>
        <w:footnoteReference w:id="2"/>
      </w:r>
      <w:r w:rsidR="000118BF">
        <w:rPr>
          <w:lang w:val="en-NZ"/>
        </w:rPr>
        <w:t xml:space="preserve"> </w:t>
      </w:r>
      <w:r w:rsidR="000118BF" w:rsidRPr="00BA16CC">
        <w:rPr>
          <w:lang w:val="en-NZ"/>
        </w:rPr>
        <w:t>While the</w:t>
      </w:r>
      <w:r w:rsidR="000118BF">
        <w:rPr>
          <w:lang w:val="en-NZ"/>
        </w:rPr>
        <w:t>se</w:t>
      </w:r>
      <w:r w:rsidR="000118BF" w:rsidRPr="00BA16CC">
        <w:rPr>
          <w:lang w:val="en-NZ"/>
        </w:rPr>
        <w:t xml:space="preserve"> individuals were known to be adult gang members </w:t>
      </w:r>
      <w:r w:rsidR="000118BF">
        <w:rPr>
          <w:lang w:val="en-NZ"/>
        </w:rPr>
        <w:t>in</w:t>
      </w:r>
      <w:r w:rsidR="000118BF" w:rsidRPr="00BA16CC">
        <w:rPr>
          <w:lang w:val="en-NZ"/>
        </w:rPr>
        <w:t xml:space="preserve"> </w:t>
      </w:r>
      <w:r w:rsidR="00B35C86">
        <w:rPr>
          <w:lang w:val="en-NZ"/>
        </w:rPr>
        <w:t>mid-</w:t>
      </w:r>
      <w:r w:rsidR="000118BF" w:rsidRPr="00BA16CC">
        <w:rPr>
          <w:lang w:val="en-NZ"/>
        </w:rPr>
        <w:t xml:space="preserve">2014, they were not necessarily gang members at the time they </w:t>
      </w:r>
      <w:r w:rsidR="000118BF">
        <w:rPr>
          <w:lang w:val="en-NZ"/>
        </w:rPr>
        <w:t xml:space="preserve">had </w:t>
      </w:r>
      <w:r w:rsidR="005B6554">
        <w:rPr>
          <w:lang w:val="en-NZ"/>
        </w:rPr>
        <w:t xml:space="preserve">some of their </w:t>
      </w:r>
      <w:r w:rsidR="000118BF">
        <w:rPr>
          <w:lang w:val="en-NZ"/>
        </w:rPr>
        <w:t>contact with MSD service lines</w:t>
      </w:r>
      <w:r w:rsidR="000118BF" w:rsidRPr="00BA16CC">
        <w:rPr>
          <w:lang w:val="en-NZ"/>
        </w:rPr>
        <w:t>.</w:t>
      </w:r>
    </w:p>
    <w:p w:rsidR="007E1485" w:rsidRPr="00854D88" w:rsidRDefault="007E1485" w:rsidP="007E1485">
      <w:pPr>
        <w:keepNext/>
        <w:rPr>
          <w:b/>
          <w:color w:val="121F6B"/>
          <w:lang w:val="en-NZ"/>
        </w:rPr>
      </w:pPr>
      <w:r>
        <w:rPr>
          <w:b/>
          <w:color w:val="121F6B"/>
          <w:lang w:val="en-NZ"/>
        </w:rPr>
        <w:t>Limitations</w:t>
      </w:r>
    </w:p>
    <w:p w:rsidR="0019516D" w:rsidRDefault="00CE5CF9" w:rsidP="00CE5CF9">
      <w:pPr>
        <w:rPr>
          <w:lang w:val="en-NZ"/>
        </w:rPr>
      </w:pPr>
      <w:r>
        <w:rPr>
          <w:lang w:val="en-NZ"/>
        </w:rPr>
        <w:t xml:space="preserve">The findings </w:t>
      </w:r>
      <w:r w:rsidRPr="00CE5CF9">
        <w:rPr>
          <w:lang w:val="en-NZ"/>
        </w:rPr>
        <w:t xml:space="preserve">of this research were based on </w:t>
      </w:r>
      <w:r>
        <w:rPr>
          <w:lang w:val="en-NZ"/>
        </w:rPr>
        <w:t xml:space="preserve">a </w:t>
      </w:r>
      <w:r w:rsidR="00431936">
        <w:rPr>
          <w:lang w:val="en-NZ"/>
        </w:rPr>
        <w:t xml:space="preserve">probabilistic </w:t>
      </w:r>
      <w:r w:rsidRPr="00CE5CF9">
        <w:rPr>
          <w:lang w:val="en-NZ"/>
        </w:rPr>
        <w:t xml:space="preserve">data match </w:t>
      </w:r>
      <w:r w:rsidR="004F5C72">
        <w:rPr>
          <w:lang w:val="en-NZ"/>
        </w:rPr>
        <w:t xml:space="preserve">by </w:t>
      </w:r>
      <w:r w:rsidR="00D8581C">
        <w:rPr>
          <w:lang w:val="en-NZ"/>
        </w:rPr>
        <w:t xml:space="preserve">Insights </w:t>
      </w:r>
      <w:r w:rsidR="004F5C72">
        <w:rPr>
          <w:lang w:val="en-NZ"/>
        </w:rPr>
        <w:t xml:space="preserve">MSD </w:t>
      </w:r>
      <w:r>
        <w:rPr>
          <w:lang w:val="en-NZ"/>
        </w:rPr>
        <w:t xml:space="preserve">between </w:t>
      </w:r>
      <w:r w:rsidRPr="00CE5CF9">
        <w:rPr>
          <w:lang w:val="en-NZ"/>
        </w:rPr>
        <w:t xml:space="preserve">names and dates </w:t>
      </w:r>
      <w:r w:rsidR="005300DE">
        <w:rPr>
          <w:lang w:val="en-NZ"/>
        </w:rPr>
        <w:t xml:space="preserve">of birth </w:t>
      </w:r>
      <w:r>
        <w:rPr>
          <w:lang w:val="en-NZ"/>
        </w:rPr>
        <w:t xml:space="preserve">held by </w:t>
      </w:r>
      <w:r w:rsidR="004167F0">
        <w:rPr>
          <w:lang w:val="en-NZ"/>
        </w:rPr>
        <w:t xml:space="preserve">NZ </w:t>
      </w:r>
      <w:r w:rsidR="005300DE">
        <w:rPr>
          <w:lang w:val="en-NZ"/>
        </w:rPr>
        <w:t xml:space="preserve">Police </w:t>
      </w:r>
      <w:r w:rsidR="00FD462B">
        <w:rPr>
          <w:lang w:val="en-NZ"/>
        </w:rPr>
        <w:t>and</w:t>
      </w:r>
      <w:r>
        <w:rPr>
          <w:lang w:val="en-NZ"/>
        </w:rPr>
        <w:t xml:space="preserve"> those held by MSD. Inevitably this means that the </w:t>
      </w:r>
      <w:r w:rsidR="00854D88">
        <w:rPr>
          <w:lang w:val="en-NZ"/>
        </w:rPr>
        <w:t>data-</w:t>
      </w:r>
      <w:r w:rsidR="00FD462B">
        <w:rPr>
          <w:lang w:val="en-NZ"/>
        </w:rPr>
        <w:t>match results, and therefore the subsequent findings,</w:t>
      </w:r>
      <w:r>
        <w:rPr>
          <w:lang w:val="en-NZ"/>
        </w:rPr>
        <w:t xml:space="preserve"> will have </w:t>
      </w:r>
      <w:r w:rsidR="00FF54D0">
        <w:rPr>
          <w:lang w:val="en-NZ"/>
        </w:rPr>
        <w:t xml:space="preserve">some degree of </w:t>
      </w:r>
      <w:r>
        <w:rPr>
          <w:lang w:val="en-NZ"/>
        </w:rPr>
        <w:t>error</w:t>
      </w:r>
      <w:r w:rsidRPr="00CE5CF9">
        <w:rPr>
          <w:lang w:val="en-NZ"/>
        </w:rPr>
        <w:t>.</w:t>
      </w:r>
    </w:p>
    <w:p w:rsidR="00CE5CF9" w:rsidRDefault="002802AC" w:rsidP="00CE5CF9">
      <w:pPr>
        <w:rPr>
          <w:lang w:val="en-NZ"/>
        </w:rPr>
      </w:pPr>
      <w:r>
        <w:rPr>
          <w:lang w:val="en-NZ"/>
        </w:rPr>
        <w:t>The</w:t>
      </w:r>
      <w:r w:rsidR="00775D70">
        <w:rPr>
          <w:lang w:val="en-NZ"/>
        </w:rPr>
        <w:t>r</w:t>
      </w:r>
      <w:r>
        <w:rPr>
          <w:lang w:val="en-NZ"/>
        </w:rPr>
        <w:t xml:space="preserve">e </w:t>
      </w:r>
      <w:r w:rsidR="00775D70">
        <w:rPr>
          <w:lang w:val="en-NZ"/>
        </w:rPr>
        <w:t xml:space="preserve">are </w:t>
      </w:r>
      <w:r>
        <w:rPr>
          <w:lang w:val="en-NZ"/>
        </w:rPr>
        <w:t xml:space="preserve">limitations </w:t>
      </w:r>
      <w:r w:rsidR="00775D70">
        <w:rPr>
          <w:lang w:val="en-NZ"/>
        </w:rPr>
        <w:t xml:space="preserve">to </w:t>
      </w:r>
      <w:r>
        <w:rPr>
          <w:lang w:val="en-NZ"/>
        </w:rPr>
        <w:t xml:space="preserve">Child, Youth and Family </w:t>
      </w:r>
      <w:r w:rsidR="00775D70">
        <w:rPr>
          <w:lang w:val="en-NZ"/>
        </w:rPr>
        <w:t xml:space="preserve">data </w:t>
      </w:r>
      <w:r w:rsidR="00443776">
        <w:rPr>
          <w:lang w:val="en-NZ"/>
        </w:rPr>
        <w:t xml:space="preserve">discussed in the report body </w:t>
      </w:r>
      <w:r w:rsidR="00775D70">
        <w:rPr>
          <w:lang w:val="en-NZ"/>
        </w:rPr>
        <w:t xml:space="preserve">which </w:t>
      </w:r>
      <w:r w:rsidR="00443776">
        <w:rPr>
          <w:lang w:val="en-NZ"/>
        </w:rPr>
        <w:t xml:space="preserve">mean that findings relating to </w:t>
      </w:r>
      <w:r w:rsidR="006617CF">
        <w:rPr>
          <w:lang w:val="en-NZ"/>
        </w:rPr>
        <w:t>“</w:t>
      </w:r>
      <w:r w:rsidR="00E87F7E">
        <w:rPr>
          <w:lang w:val="en-NZ"/>
        </w:rPr>
        <w:t>lifetime</w:t>
      </w:r>
      <w:r w:rsidR="006617CF">
        <w:rPr>
          <w:lang w:val="en-NZ"/>
        </w:rPr>
        <w:t>”</w:t>
      </w:r>
      <w:r w:rsidR="00E87F7E">
        <w:rPr>
          <w:lang w:val="en-NZ"/>
        </w:rPr>
        <w:t xml:space="preserve"> contact</w:t>
      </w:r>
      <w:r w:rsidR="00247021">
        <w:rPr>
          <w:lang w:val="en-NZ"/>
        </w:rPr>
        <w:t xml:space="preserve"> rate</w:t>
      </w:r>
      <w:r w:rsidR="00E87F7E">
        <w:rPr>
          <w:lang w:val="en-NZ"/>
        </w:rPr>
        <w:t xml:space="preserve">s </w:t>
      </w:r>
      <w:r w:rsidR="0038726D">
        <w:rPr>
          <w:lang w:val="en-NZ"/>
        </w:rPr>
        <w:t xml:space="preserve">and costs </w:t>
      </w:r>
      <w:r w:rsidR="00247021">
        <w:rPr>
          <w:lang w:val="en-NZ"/>
        </w:rPr>
        <w:t xml:space="preserve">in particular </w:t>
      </w:r>
      <w:r w:rsidR="00110AD3">
        <w:rPr>
          <w:lang w:val="en-NZ"/>
        </w:rPr>
        <w:t>are likely to</w:t>
      </w:r>
      <w:r w:rsidR="00443776">
        <w:rPr>
          <w:lang w:val="en-NZ"/>
        </w:rPr>
        <w:t xml:space="preserve"> be</w:t>
      </w:r>
      <w:r>
        <w:rPr>
          <w:lang w:val="en-NZ"/>
        </w:rPr>
        <w:t xml:space="preserve"> under-estimates</w:t>
      </w:r>
      <w:r w:rsidR="0019516D">
        <w:rPr>
          <w:lang w:val="en-NZ"/>
        </w:rPr>
        <w:t xml:space="preserve"> and should be treated with some caution</w:t>
      </w:r>
      <w:r w:rsidR="005300DE">
        <w:rPr>
          <w:lang w:val="en-NZ"/>
        </w:rPr>
        <w:t>.</w:t>
      </w:r>
      <w:r w:rsidR="005A4B95">
        <w:rPr>
          <w:lang w:val="en-NZ"/>
        </w:rPr>
        <w:t xml:space="preserve"> To a much lesser extent, this is also true of the welfare assistance findings.</w:t>
      </w:r>
    </w:p>
    <w:p w:rsidR="005A4B95" w:rsidRDefault="005A4B95" w:rsidP="00CE5CF9">
      <w:pPr>
        <w:rPr>
          <w:lang w:val="en-NZ"/>
        </w:rPr>
      </w:pPr>
      <w:r>
        <w:rPr>
          <w:lang w:val="en-NZ"/>
        </w:rPr>
        <w:t xml:space="preserve">There was particular interest in identifying </w:t>
      </w:r>
      <w:r w:rsidR="006E5321">
        <w:rPr>
          <w:lang w:val="en-NZ"/>
        </w:rPr>
        <w:t xml:space="preserve">the </w:t>
      </w:r>
      <w:r>
        <w:rPr>
          <w:lang w:val="en-NZ"/>
        </w:rPr>
        <w:t xml:space="preserve">children </w:t>
      </w:r>
      <w:r w:rsidR="006E5321">
        <w:rPr>
          <w:lang w:val="en-NZ"/>
        </w:rPr>
        <w:t xml:space="preserve">of </w:t>
      </w:r>
      <w:r>
        <w:rPr>
          <w:lang w:val="en-NZ"/>
        </w:rPr>
        <w:t xml:space="preserve">gang members </w:t>
      </w:r>
      <w:r w:rsidR="006E5321">
        <w:rPr>
          <w:lang w:val="en-NZ"/>
        </w:rPr>
        <w:t xml:space="preserve">recorded </w:t>
      </w:r>
      <w:r>
        <w:rPr>
          <w:lang w:val="en-NZ"/>
        </w:rPr>
        <w:t>in the MSD data, and measuring their levels of contac</w:t>
      </w:r>
      <w:r w:rsidR="00D8581C">
        <w:rPr>
          <w:lang w:val="en-NZ"/>
        </w:rPr>
        <w:t>t with MSD</w:t>
      </w:r>
      <w:r>
        <w:rPr>
          <w:lang w:val="en-NZ"/>
        </w:rPr>
        <w:t>. While there were around</w:t>
      </w:r>
      <w:r w:rsidR="00D8581C">
        <w:rPr>
          <w:lang w:val="en-NZ"/>
        </w:rPr>
        <w:t xml:space="preserve"> 6,000 to 7,000 children linked to the gang members in the two MSD source systems examined, there is no way to know whether this </w:t>
      </w:r>
      <w:r w:rsidR="008E7653">
        <w:rPr>
          <w:lang w:val="en-NZ"/>
        </w:rPr>
        <w:t>wa</w:t>
      </w:r>
      <w:r w:rsidR="00D8581C">
        <w:rPr>
          <w:lang w:val="en-NZ"/>
        </w:rPr>
        <w:t>s all of the gang members’ children.</w:t>
      </w:r>
    </w:p>
    <w:p w:rsidR="002C7990" w:rsidRPr="00B9395B" w:rsidRDefault="00682847" w:rsidP="00A56175">
      <w:pPr>
        <w:pStyle w:val="Heading2"/>
        <w:rPr>
          <w:sz w:val="26"/>
          <w:szCs w:val="26"/>
        </w:rPr>
      </w:pPr>
      <w:r w:rsidRPr="00B9395B">
        <w:rPr>
          <w:sz w:val="26"/>
          <w:szCs w:val="26"/>
        </w:rPr>
        <w:t>Profile of known adult gang members</w:t>
      </w:r>
      <w:bookmarkEnd w:id="14"/>
      <w:bookmarkEnd w:id="15"/>
      <w:bookmarkEnd w:id="16"/>
      <w:bookmarkEnd w:id="17"/>
      <w:r w:rsidR="00AC7CE6">
        <w:rPr>
          <w:sz w:val="26"/>
          <w:szCs w:val="26"/>
        </w:rPr>
        <w:t xml:space="preserve"> as at July 2014</w:t>
      </w:r>
    </w:p>
    <w:p w:rsidR="008A586F" w:rsidRDefault="008A586F" w:rsidP="008A586F">
      <w:pPr>
        <w:rPr>
          <w:lang w:val="en-NZ"/>
        </w:rPr>
      </w:pPr>
      <w:r>
        <w:rPr>
          <w:lang w:val="en-NZ"/>
        </w:rPr>
        <w:t>Most (86</w:t>
      </w:r>
      <w:r w:rsidR="009B2504">
        <w:rPr>
          <w:lang w:val="en-NZ"/>
        </w:rPr>
        <w:t xml:space="preserve"> </w:t>
      </w:r>
      <w:r w:rsidR="005D7755">
        <w:rPr>
          <w:lang w:val="en-NZ"/>
        </w:rPr>
        <w:t>percent</w:t>
      </w:r>
      <w:r>
        <w:rPr>
          <w:lang w:val="en-NZ"/>
        </w:rPr>
        <w:t xml:space="preserve">) of the 3,960 </w:t>
      </w:r>
      <w:r w:rsidR="00B53F8B" w:rsidRPr="00184D94">
        <w:rPr>
          <w:lang w:val="en-NZ"/>
        </w:rPr>
        <w:t>known adu</w:t>
      </w:r>
      <w:r w:rsidR="00B53F8B">
        <w:rPr>
          <w:lang w:val="en-NZ"/>
        </w:rPr>
        <w:t xml:space="preserve">lt </w:t>
      </w:r>
      <w:r>
        <w:rPr>
          <w:lang w:val="en-NZ"/>
        </w:rPr>
        <w:t>gang</w:t>
      </w:r>
      <w:r w:rsidR="00014D4F">
        <w:rPr>
          <w:lang w:val="en-NZ"/>
        </w:rPr>
        <w:t xml:space="preserve"> </w:t>
      </w:r>
      <w:r>
        <w:rPr>
          <w:lang w:val="en-NZ"/>
        </w:rPr>
        <w:t xml:space="preserve">members </w:t>
      </w:r>
      <w:r w:rsidR="006F5B94">
        <w:rPr>
          <w:lang w:val="en-NZ"/>
        </w:rPr>
        <w:t>we</w:t>
      </w:r>
      <w:r>
        <w:rPr>
          <w:lang w:val="en-NZ"/>
        </w:rPr>
        <w:t>re patched, with the other 14</w:t>
      </w:r>
      <w:r w:rsidR="009B2504">
        <w:rPr>
          <w:lang w:val="en-NZ"/>
        </w:rPr>
        <w:t xml:space="preserve"> </w:t>
      </w:r>
      <w:r w:rsidR="005D7755">
        <w:rPr>
          <w:lang w:val="en-NZ"/>
        </w:rPr>
        <w:t>percent</w:t>
      </w:r>
      <w:r>
        <w:rPr>
          <w:lang w:val="en-NZ"/>
        </w:rPr>
        <w:t xml:space="preserve"> being prospects.</w:t>
      </w:r>
      <w:r w:rsidRPr="008A586F">
        <w:rPr>
          <w:lang w:val="en-NZ"/>
        </w:rPr>
        <w:t xml:space="preserve"> </w:t>
      </w:r>
      <w:r w:rsidR="00443776">
        <w:rPr>
          <w:lang w:val="en-NZ"/>
        </w:rPr>
        <w:t>P</w:t>
      </w:r>
      <w:r>
        <w:rPr>
          <w:lang w:val="en-NZ"/>
        </w:rPr>
        <w:t xml:space="preserve">atched members and prospects </w:t>
      </w:r>
      <w:r w:rsidR="008E7653">
        <w:rPr>
          <w:lang w:val="en-NZ"/>
        </w:rPr>
        <w:t>we</w:t>
      </w:r>
      <w:r>
        <w:rPr>
          <w:lang w:val="en-NZ"/>
        </w:rPr>
        <w:t xml:space="preserve">re </w:t>
      </w:r>
      <w:r w:rsidR="001534B7">
        <w:rPr>
          <w:lang w:val="en-NZ"/>
        </w:rPr>
        <w:t xml:space="preserve">all </w:t>
      </w:r>
      <w:r>
        <w:rPr>
          <w:lang w:val="en-NZ"/>
        </w:rPr>
        <w:t>male.</w:t>
      </w:r>
    </w:p>
    <w:p w:rsidR="008A586F" w:rsidRDefault="008A586F" w:rsidP="008A586F">
      <w:pPr>
        <w:rPr>
          <w:lang w:val="en-NZ"/>
        </w:rPr>
      </w:pPr>
      <w:r>
        <w:rPr>
          <w:lang w:val="en-NZ"/>
        </w:rPr>
        <w:t>The two largest adult gangs</w:t>
      </w:r>
      <w:r w:rsidR="00E452F7">
        <w:rPr>
          <w:lang w:val="en-NZ"/>
        </w:rPr>
        <w:t>,</w:t>
      </w:r>
      <w:r w:rsidR="00E50C45">
        <w:rPr>
          <w:lang w:val="en-NZ"/>
        </w:rPr>
        <w:t xml:space="preserve"> </w:t>
      </w:r>
      <w:r>
        <w:rPr>
          <w:lang w:val="en-NZ"/>
        </w:rPr>
        <w:t>the Mongrel Mob and Black Power</w:t>
      </w:r>
      <w:r w:rsidR="00E452F7">
        <w:rPr>
          <w:lang w:val="en-NZ"/>
        </w:rPr>
        <w:t>,</w:t>
      </w:r>
      <w:r>
        <w:rPr>
          <w:lang w:val="en-NZ"/>
        </w:rPr>
        <w:t xml:space="preserve"> account</w:t>
      </w:r>
      <w:r w:rsidR="006F5B94">
        <w:rPr>
          <w:lang w:val="en-NZ"/>
        </w:rPr>
        <w:t>ed</w:t>
      </w:r>
      <w:r>
        <w:rPr>
          <w:lang w:val="en-NZ"/>
        </w:rPr>
        <w:t xml:space="preserve"> for two-thirds of all known adult gang members</w:t>
      </w:r>
      <w:r w:rsidR="00D21F1B">
        <w:rPr>
          <w:lang w:val="en-NZ"/>
        </w:rPr>
        <w:t xml:space="preserve"> in New Zealand</w:t>
      </w:r>
      <w:r w:rsidR="006F5B94">
        <w:rPr>
          <w:lang w:val="en-NZ"/>
        </w:rPr>
        <w:t xml:space="preserve"> as at July 2014</w:t>
      </w:r>
      <w:r>
        <w:rPr>
          <w:lang w:val="en-NZ"/>
        </w:rPr>
        <w:t>.</w:t>
      </w:r>
    </w:p>
    <w:p w:rsidR="008A586F" w:rsidRDefault="008A586F" w:rsidP="008A586F">
      <w:pPr>
        <w:rPr>
          <w:lang w:val="en-NZ"/>
        </w:rPr>
      </w:pPr>
      <w:r>
        <w:rPr>
          <w:lang w:val="en-NZ"/>
        </w:rPr>
        <w:t xml:space="preserve">Over three-quarters of adult gang members </w:t>
      </w:r>
      <w:r w:rsidR="008E7653">
        <w:rPr>
          <w:lang w:val="en-NZ"/>
        </w:rPr>
        <w:t>we</w:t>
      </w:r>
      <w:r>
        <w:rPr>
          <w:lang w:val="en-NZ"/>
        </w:rPr>
        <w:t>re Māori, 14</w:t>
      </w:r>
      <w:r w:rsidR="009B2504">
        <w:rPr>
          <w:lang w:val="en-NZ"/>
        </w:rPr>
        <w:t xml:space="preserve"> </w:t>
      </w:r>
      <w:r w:rsidR="005D7755">
        <w:rPr>
          <w:lang w:val="en-NZ"/>
        </w:rPr>
        <w:t>percent</w:t>
      </w:r>
      <w:r>
        <w:rPr>
          <w:lang w:val="en-NZ"/>
        </w:rPr>
        <w:t xml:space="preserve"> </w:t>
      </w:r>
      <w:r w:rsidR="008E7653">
        <w:rPr>
          <w:lang w:val="en-NZ"/>
        </w:rPr>
        <w:t>we</w:t>
      </w:r>
      <w:r>
        <w:rPr>
          <w:lang w:val="en-NZ"/>
        </w:rPr>
        <w:t>re European and</w:t>
      </w:r>
      <w:r w:rsidR="00E01630">
        <w:rPr>
          <w:lang w:val="en-NZ"/>
        </w:rPr>
        <w:t xml:space="preserve"> eight</w:t>
      </w:r>
      <w:r w:rsidR="009B2504">
        <w:rPr>
          <w:lang w:val="en-NZ"/>
        </w:rPr>
        <w:t xml:space="preserve"> </w:t>
      </w:r>
      <w:r w:rsidR="005D7755">
        <w:rPr>
          <w:lang w:val="en-NZ"/>
        </w:rPr>
        <w:t>percent</w:t>
      </w:r>
      <w:r>
        <w:rPr>
          <w:lang w:val="en-NZ"/>
        </w:rPr>
        <w:t xml:space="preserve"> </w:t>
      </w:r>
      <w:r w:rsidR="008E7653">
        <w:rPr>
          <w:lang w:val="en-NZ"/>
        </w:rPr>
        <w:t>we</w:t>
      </w:r>
      <w:r>
        <w:rPr>
          <w:lang w:val="en-NZ"/>
        </w:rPr>
        <w:t>re Pacific peoples.</w:t>
      </w:r>
    </w:p>
    <w:p w:rsidR="008A586F" w:rsidRPr="005C1F84" w:rsidRDefault="008A586F" w:rsidP="008A586F">
      <w:pPr>
        <w:rPr>
          <w:lang w:val="en-NZ"/>
        </w:rPr>
      </w:pPr>
      <w:r>
        <w:rPr>
          <w:lang w:val="en-NZ"/>
        </w:rPr>
        <w:t xml:space="preserve">Gang members ages </w:t>
      </w:r>
      <w:r w:rsidR="008E7653">
        <w:rPr>
          <w:lang w:val="en-NZ"/>
        </w:rPr>
        <w:t>we</w:t>
      </w:r>
      <w:r>
        <w:rPr>
          <w:lang w:val="en-NZ"/>
        </w:rPr>
        <w:t>re spread with 20</w:t>
      </w:r>
      <w:r w:rsidR="009B2504">
        <w:rPr>
          <w:lang w:val="en-NZ"/>
        </w:rPr>
        <w:t xml:space="preserve"> </w:t>
      </w:r>
      <w:r w:rsidR="005D7755">
        <w:rPr>
          <w:lang w:val="en-NZ"/>
        </w:rPr>
        <w:t>percent</w:t>
      </w:r>
      <w:r>
        <w:rPr>
          <w:lang w:val="en-NZ"/>
        </w:rPr>
        <w:t xml:space="preserve"> being in their twenties, 29</w:t>
      </w:r>
      <w:r w:rsidR="009B2504">
        <w:rPr>
          <w:lang w:val="en-NZ"/>
        </w:rPr>
        <w:t xml:space="preserve"> </w:t>
      </w:r>
      <w:r w:rsidR="005D7755">
        <w:rPr>
          <w:lang w:val="en-NZ"/>
        </w:rPr>
        <w:t>percent</w:t>
      </w:r>
      <w:r>
        <w:rPr>
          <w:lang w:val="en-NZ"/>
        </w:rPr>
        <w:t xml:space="preserve"> in their thirties, 31</w:t>
      </w:r>
      <w:r w:rsidR="009B2504">
        <w:rPr>
          <w:lang w:val="en-NZ"/>
        </w:rPr>
        <w:t xml:space="preserve"> </w:t>
      </w:r>
      <w:r w:rsidR="005D7755">
        <w:rPr>
          <w:lang w:val="en-NZ"/>
        </w:rPr>
        <w:t>percent</w:t>
      </w:r>
      <w:r>
        <w:rPr>
          <w:lang w:val="en-NZ"/>
        </w:rPr>
        <w:t xml:space="preserve"> in their forties and 17</w:t>
      </w:r>
      <w:r w:rsidR="009B2504">
        <w:rPr>
          <w:lang w:val="en-NZ"/>
        </w:rPr>
        <w:t xml:space="preserve"> </w:t>
      </w:r>
      <w:r w:rsidR="005D7755">
        <w:rPr>
          <w:lang w:val="en-NZ"/>
        </w:rPr>
        <w:t>percent</w:t>
      </w:r>
      <w:r>
        <w:rPr>
          <w:lang w:val="en-NZ"/>
        </w:rPr>
        <w:t xml:space="preserve"> in their fifties.</w:t>
      </w:r>
      <w:r w:rsidR="00DD209E">
        <w:rPr>
          <w:lang w:val="en-NZ"/>
        </w:rPr>
        <w:t xml:space="preserve"> The average age of gang members </w:t>
      </w:r>
      <w:r w:rsidR="008E7653">
        <w:rPr>
          <w:lang w:val="en-NZ"/>
        </w:rPr>
        <w:t>wa</w:t>
      </w:r>
      <w:r w:rsidR="00DD209E">
        <w:rPr>
          <w:lang w:val="en-NZ"/>
        </w:rPr>
        <w:t>s nearly 40 years.</w:t>
      </w:r>
    </w:p>
    <w:p w:rsidR="008A586F" w:rsidRPr="007156FD" w:rsidRDefault="00682152" w:rsidP="008A586F">
      <w:pPr>
        <w:rPr>
          <w:szCs w:val="22"/>
          <w:lang w:val="en-NZ"/>
        </w:rPr>
      </w:pPr>
      <w:r>
        <w:rPr>
          <w:szCs w:val="22"/>
          <w:lang w:val="en-NZ"/>
        </w:rPr>
        <w:lastRenderedPageBreak/>
        <w:t xml:space="preserve">The geographical spread of gang members </w:t>
      </w:r>
      <w:r w:rsidR="008E7653">
        <w:rPr>
          <w:szCs w:val="22"/>
          <w:lang w:val="en-NZ"/>
        </w:rPr>
        <w:t>wa</w:t>
      </w:r>
      <w:r>
        <w:rPr>
          <w:szCs w:val="22"/>
          <w:lang w:val="en-NZ"/>
        </w:rPr>
        <w:t xml:space="preserve">s different </w:t>
      </w:r>
      <w:r w:rsidR="000E76F9">
        <w:rPr>
          <w:szCs w:val="22"/>
          <w:lang w:val="en-NZ"/>
        </w:rPr>
        <w:t>from that of</w:t>
      </w:r>
      <w:r>
        <w:rPr>
          <w:szCs w:val="22"/>
          <w:lang w:val="en-NZ"/>
        </w:rPr>
        <w:t xml:space="preserve"> the general New Zealand population</w:t>
      </w:r>
      <w:r w:rsidR="008E7653">
        <w:rPr>
          <w:szCs w:val="22"/>
          <w:lang w:val="en-NZ"/>
        </w:rPr>
        <w:t xml:space="preserve"> in terms of </w:t>
      </w:r>
      <w:r w:rsidR="00357728">
        <w:rPr>
          <w:szCs w:val="22"/>
          <w:lang w:val="en-NZ"/>
        </w:rPr>
        <w:t xml:space="preserve">proportionally </w:t>
      </w:r>
      <w:r w:rsidR="008E7653">
        <w:rPr>
          <w:szCs w:val="22"/>
          <w:lang w:val="en-NZ"/>
        </w:rPr>
        <w:t>fewer residing in the wider Auckland region or the South Island</w:t>
      </w:r>
      <w:r>
        <w:rPr>
          <w:szCs w:val="22"/>
          <w:lang w:val="en-NZ"/>
        </w:rPr>
        <w:t xml:space="preserve">. </w:t>
      </w:r>
      <w:r w:rsidR="008A586F">
        <w:rPr>
          <w:szCs w:val="22"/>
          <w:lang w:val="en-NZ"/>
        </w:rPr>
        <w:t xml:space="preserve">A little under one in five gang members </w:t>
      </w:r>
      <w:r w:rsidR="002A6BF2">
        <w:rPr>
          <w:szCs w:val="22"/>
          <w:lang w:val="en-NZ"/>
        </w:rPr>
        <w:t xml:space="preserve">were recorded as </w:t>
      </w:r>
      <w:r w:rsidR="008A586F">
        <w:rPr>
          <w:szCs w:val="22"/>
          <w:lang w:val="en-NZ"/>
        </w:rPr>
        <w:t>liv</w:t>
      </w:r>
      <w:r w:rsidR="002A6BF2">
        <w:rPr>
          <w:szCs w:val="22"/>
          <w:lang w:val="en-NZ"/>
        </w:rPr>
        <w:t>ing</w:t>
      </w:r>
      <w:r w:rsidR="008A586F">
        <w:rPr>
          <w:szCs w:val="22"/>
          <w:lang w:val="en-NZ"/>
        </w:rPr>
        <w:t xml:space="preserve"> in each of the Auckland, Bay of Plenty and Eastern districts of the North Island.</w:t>
      </w:r>
      <w:r w:rsidR="00E452F7" w:rsidRPr="00E452F7">
        <w:rPr>
          <w:szCs w:val="22"/>
          <w:lang w:val="en-NZ"/>
        </w:rPr>
        <w:t xml:space="preserve"> </w:t>
      </w:r>
      <w:r w:rsidR="00E452F7">
        <w:rPr>
          <w:szCs w:val="22"/>
          <w:lang w:val="en-NZ"/>
        </w:rPr>
        <w:t xml:space="preserve">Just under 10 </w:t>
      </w:r>
      <w:r w:rsidR="005D7755">
        <w:rPr>
          <w:szCs w:val="22"/>
          <w:lang w:val="en-NZ"/>
        </w:rPr>
        <w:t>percent</w:t>
      </w:r>
      <w:r w:rsidR="00E452F7">
        <w:rPr>
          <w:szCs w:val="22"/>
          <w:lang w:val="en-NZ"/>
        </w:rPr>
        <w:t xml:space="preserve"> of gang members </w:t>
      </w:r>
      <w:r w:rsidR="002A6BF2">
        <w:rPr>
          <w:szCs w:val="22"/>
          <w:lang w:val="en-NZ"/>
        </w:rPr>
        <w:t>were</w:t>
      </w:r>
      <w:r w:rsidR="00E452F7">
        <w:rPr>
          <w:szCs w:val="22"/>
          <w:lang w:val="en-NZ"/>
        </w:rPr>
        <w:t xml:space="preserve"> resid</w:t>
      </w:r>
      <w:r w:rsidR="002A6BF2">
        <w:rPr>
          <w:szCs w:val="22"/>
          <w:lang w:val="en-NZ"/>
        </w:rPr>
        <w:t>ing</w:t>
      </w:r>
      <w:r w:rsidR="00E452F7">
        <w:rPr>
          <w:szCs w:val="22"/>
          <w:lang w:val="en-NZ"/>
        </w:rPr>
        <w:t xml:space="preserve"> in the South Island</w:t>
      </w:r>
      <w:r>
        <w:rPr>
          <w:szCs w:val="22"/>
          <w:lang w:val="en-NZ"/>
        </w:rPr>
        <w:t xml:space="preserve"> in July 2014</w:t>
      </w:r>
      <w:r w:rsidR="00E452F7">
        <w:rPr>
          <w:szCs w:val="22"/>
          <w:lang w:val="en-NZ"/>
        </w:rPr>
        <w:t>.</w:t>
      </w:r>
      <w:r w:rsidR="001534B7">
        <w:rPr>
          <w:szCs w:val="22"/>
          <w:lang w:val="en-NZ"/>
        </w:rPr>
        <w:t xml:space="preserve"> </w:t>
      </w:r>
    </w:p>
    <w:p w:rsidR="00682847" w:rsidRPr="00B9395B" w:rsidRDefault="00682847" w:rsidP="00045FA0">
      <w:pPr>
        <w:pStyle w:val="Heading2"/>
        <w:keepNext/>
        <w:rPr>
          <w:sz w:val="26"/>
          <w:szCs w:val="26"/>
        </w:rPr>
      </w:pPr>
      <w:r w:rsidRPr="00B9395B">
        <w:rPr>
          <w:sz w:val="26"/>
          <w:szCs w:val="26"/>
        </w:rPr>
        <w:t>Welfare assistance received by gang members</w:t>
      </w:r>
    </w:p>
    <w:p w:rsidR="00905C6F" w:rsidRPr="00854D88" w:rsidRDefault="00357728" w:rsidP="00045FA0">
      <w:pPr>
        <w:keepNext/>
        <w:rPr>
          <w:b/>
          <w:color w:val="121F6B"/>
          <w:lang w:val="en-NZ"/>
        </w:rPr>
      </w:pPr>
      <w:r>
        <w:rPr>
          <w:b/>
          <w:color w:val="121F6B"/>
          <w:lang w:val="en-NZ"/>
        </w:rPr>
        <w:t>N</w:t>
      </w:r>
      <w:r w:rsidR="004B2B00">
        <w:rPr>
          <w:b/>
          <w:color w:val="121F6B"/>
          <w:lang w:val="en-NZ"/>
        </w:rPr>
        <w:t xml:space="preserve">ine out of every ten </w:t>
      </w:r>
      <w:r w:rsidR="00905C6F" w:rsidRPr="00854D88">
        <w:rPr>
          <w:b/>
          <w:color w:val="121F6B"/>
          <w:lang w:val="en-NZ"/>
        </w:rPr>
        <w:t xml:space="preserve">gang members have received </w:t>
      </w:r>
      <w:r w:rsidR="00854D88" w:rsidRPr="00854D88">
        <w:rPr>
          <w:b/>
          <w:color w:val="121F6B"/>
          <w:lang w:val="en-NZ"/>
        </w:rPr>
        <w:t>main benefits</w:t>
      </w:r>
      <w:r w:rsidR="009942B3" w:rsidRPr="009942B3">
        <w:rPr>
          <w:rStyle w:val="FootnoteReference"/>
        </w:rPr>
        <w:footnoteReference w:id="3"/>
      </w:r>
    </w:p>
    <w:p w:rsidR="00164A92" w:rsidRDefault="006825A7" w:rsidP="00045FA0">
      <w:pPr>
        <w:keepNext/>
        <w:rPr>
          <w:lang w:val="en-NZ"/>
        </w:rPr>
      </w:pPr>
      <w:r w:rsidRPr="00A546F6">
        <w:rPr>
          <w:lang w:val="en-NZ"/>
        </w:rPr>
        <w:t>Ninet</w:t>
      </w:r>
      <w:r>
        <w:rPr>
          <w:lang w:val="en-NZ"/>
        </w:rPr>
        <w:t>y-two</w:t>
      </w:r>
      <w:r w:rsidRPr="00A546F6">
        <w:rPr>
          <w:lang w:val="en-NZ"/>
        </w:rPr>
        <w:t xml:space="preserve"> </w:t>
      </w:r>
      <w:r w:rsidR="005D7755">
        <w:rPr>
          <w:lang w:val="en-NZ"/>
        </w:rPr>
        <w:t>percent</w:t>
      </w:r>
      <w:r w:rsidRPr="00A546F6">
        <w:rPr>
          <w:lang w:val="en-NZ"/>
        </w:rPr>
        <w:t xml:space="preserve"> (</w:t>
      </w:r>
      <w:r>
        <w:rPr>
          <w:lang w:val="en-NZ"/>
        </w:rPr>
        <w:t>3,62</w:t>
      </w:r>
      <w:r w:rsidR="00FE34A0">
        <w:rPr>
          <w:lang w:val="en-NZ"/>
        </w:rPr>
        <w:t>7</w:t>
      </w:r>
      <w:r w:rsidRPr="00A546F6">
        <w:rPr>
          <w:lang w:val="en-NZ"/>
        </w:rPr>
        <w:t xml:space="preserve">) of the </w:t>
      </w:r>
      <w:r w:rsidR="00FE34A0">
        <w:rPr>
          <w:lang w:val="en-NZ"/>
        </w:rPr>
        <w:t xml:space="preserve">total </w:t>
      </w:r>
      <w:r>
        <w:rPr>
          <w:lang w:val="en-NZ"/>
        </w:rPr>
        <w:t>3,960</w:t>
      </w:r>
      <w:r w:rsidRPr="00A546F6">
        <w:rPr>
          <w:lang w:val="en-NZ"/>
        </w:rPr>
        <w:t xml:space="preserve"> </w:t>
      </w:r>
      <w:r w:rsidR="0070286B">
        <w:rPr>
          <w:lang w:val="en-NZ"/>
        </w:rPr>
        <w:t xml:space="preserve">known </w:t>
      </w:r>
      <w:r w:rsidRPr="00A546F6">
        <w:rPr>
          <w:lang w:val="en-NZ"/>
        </w:rPr>
        <w:t>gang members received main benefit</w:t>
      </w:r>
      <w:r>
        <w:rPr>
          <w:lang w:val="en-NZ"/>
        </w:rPr>
        <w:t>s</w:t>
      </w:r>
      <w:r w:rsidRPr="00A546F6">
        <w:rPr>
          <w:lang w:val="en-NZ"/>
        </w:rPr>
        <w:t xml:space="preserve"> from </w:t>
      </w:r>
      <w:r w:rsidR="00164A92">
        <w:rPr>
          <w:lang w:val="en-NZ"/>
        </w:rPr>
        <w:t>MSD</w:t>
      </w:r>
      <w:r w:rsidR="00570636">
        <w:rPr>
          <w:lang w:val="en-NZ"/>
        </w:rPr>
        <w:t xml:space="preserve"> at some stage </w:t>
      </w:r>
      <w:r w:rsidR="00E452F7">
        <w:rPr>
          <w:lang w:val="en-NZ"/>
        </w:rPr>
        <w:t xml:space="preserve">between </w:t>
      </w:r>
      <w:r w:rsidR="00E452F7" w:rsidRPr="00E452F7">
        <w:rPr>
          <w:lang w:val="en-NZ"/>
        </w:rPr>
        <w:t xml:space="preserve">1 January 1993 </w:t>
      </w:r>
      <w:r w:rsidR="0019516D">
        <w:rPr>
          <w:lang w:val="en-NZ"/>
        </w:rPr>
        <w:t>and</w:t>
      </w:r>
      <w:r w:rsidR="00E452F7" w:rsidRPr="00E452F7">
        <w:rPr>
          <w:lang w:val="en-NZ"/>
        </w:rPr>
        <w:t xml:space="preserve"> 31 December 2014</w:t>
      </w:r>
      <w:r>
        <w:rPr>
          <w:lang w:val="en-NZ"/>
        </w:rPr>
        <w:t>.</w:t>
      </w:r>
      <w:r w:rsidR="00635245" w:rsidRPr="00854D88">
        <w:rPr>
          <w:vertAlign w:val="superscript"/>
          <w:lang w:val="en-NZ"/>
        </w:rPr>
        <w:footnoteReference w:id="4"/>
      </w:r>
      <w:r>
        <w:rPr>
          <w:lang w:val="en-NZ"/>
        </w:rPr>
        <w:t xml:space="preserve"> </w:t>
      </w:r>
    </w:p>
    <w:p w:rsidR="00164A92" w:rsidRDefault="00675A60" w:rsidP="00164A92">
      <w:pPr>
        <w:rPr>
          <w:lang w:val="en-NZ"/>
        </w:rPr>
      </w:pPr>
      <w:r>
        <w:rPr>
          <w:lang w:val="en-NZ"/>
        </w:rPr>
        <w:t xml:space="preserve">The 3,627 </w:t>
      </w:r>
      <w:r w:rsidRPr="00A546F6">
        <w:rPr>
          <w:lang w:val="en-NZ"/>
        </w:rPr>
        <w:t>gang members</w:t>
      </w:r>
      <w:r>
        <w:rPr>
          <w:lang w:val="en-NZ"/>
        </w:rPr>
        <w:t xml:space="preserve"> spent on</w:t>
      </w:r>
      <w:r w:rsidRPr="00A546F6">
        <w:rPr>
          <w:lang w:val="en-NZ"/>
        </w:rPr>
        <w:t xml:space="preserve"> average </w:t>
      </w:r>
      <w:r>
        <w:rPr>
          <w:lang w:val="en-NZ"/>
        </w:rPr>
        <w:t>8.9</w:t>
      </w:r>
      <w:r w:rsidRPr="00A546F6">
        <w:rPr>
          <w:lang w:val="en-NZ"/>
        </w:rPr>
        <w:t xml:space="preserve"> years</w:t>
      </w:r>
      <w:r>
        <w:rPr>
          <w:lang w:val="en-NZ"/>
        </w:rPr>
        <w:t xml:space="preserve"> on a </w:t>
      </w:r>
      <w:r w:rsidR="00164A92">
        <w:rPr>
          <w:lang w:val="en-NZ"/>
        </w:rPr>
        <w:t xml:space="preserve">main benefit </w:t>
      </w:r>
      <w:r>
        <w:rPr>
          <w:lang w:val="en-NZ"/>
        </w:rPr>
        <w:t>(not necessarily continuously)</w:t>
      </w:r>
      <w:r w:rsidR="00164A92">
        <w:rPr>
          <w:lang w:val="en-NZ"/>
        </w:rPr>
        <w:t xml:space="preserve">. Over half the time was receiving job seeker-related benefits and nearly a quarter </w:t>
      </w:r>
      <w:r>
        <w:rPr>
          <w:lang w:val="en-NZ"/>
        </w:rPr>
        <w:t xml:space="preserve">of the time was </w:t>
      </w:r>
      <w:r w:rsidR="00164A92">
        <w:rPr>
          <w:lang w:val="en-NZ"/>
        </w:rPr>
        <w:t>receiving health or disability-related benefits.</w:t>
      </w:r>
    </w:p>
    <w:p w:rsidR="006825A7" w:rsidRDefault="00FE34A0" w:rsidP="006825A7">
      <w:pPr>
        <w:rPr>
          <w:lang w:val="en-NZ"/>
        </w:rPr>
      </w:pPr>
      <w:r>
        <w:rPr>
          <w:lang w:val="en-NZ"/>
        </w:rPr>
        <w:t>Eighteen</w:t>
      </w:r>
      <w:r w:rsidR="006825A7">
        <w:rPr>
          <w:lang w:val="en-NZ"/>
        </w:rPr>
        <w:t xml:space="preserve"> </w:t>
      </w:r>
      <w:r w:rsidR="005D7755">
        <w:rPr>
          <w:lang w:val="en-NZ"/>
        </w:rPr>
        <w:t>percent</w:t>
      </w:r>
      <w:r w:rsidR="006825A7">
        <w:rPr>
          <w:lang w:val="en-NZ"/>
        </w:rPr>
        <w:t xml:space="preserve"> of </w:t>
      </w:r>
      <w:r>
        <w:rPr>
          <w:lang w:val="en-NZ"/>
        </w:rPr>
        <w:t xml:space="preserve">all </w:t>
      </w:r>
      <w:r w:rsidR="006825A7">
        <w:rPr>
          <w:lang w:val="en-NZ"/>
        </w:rPr>
        <w:t>gang members ha</w:t>
      </w:r>
      <w:r w:rsidR="00836C45">
        <w:rPr>
          <w:lang w:val="en-NZ"/>
        </w:rPr>
        <w:t>d</w:t>
      </w:r>
      <w:r w:rsidR="006825A7">
        <w:rPr>
          <w:lang w:val="en-NZ"/>
        </w:rPr>
        <w:t xml:space="preserve"> received a main benefit for </w:t>
      </w:r>
      <w:r w:rsidR="00675A60">
        <w:rPr>
          <w:lang w:val="en-NZ"/>
        </w:rPr>
        <w:t xml:space="preserve">a total of </w:t>
      </w:r>
      <w:r w:rsidR="006825A7">
        <w:rPr>
          <w:lang w:val="en-NZ"/>
        </w:rPr>
        <w:t>over 15 years</w:t>
      </w:r>
      <w:r w:rsidR="009942B3">
        <w:rPr>
          <w:lang w:val="en-NZ"/>
        </w:rPr>
        <w:t xml:space="preserve">, whereas </w:t>
      </w:r>
      <w:r w:rsidR="00164A92">
        <w:rPr>
          <w:lang w:val="en-NZ"/>
        </w:rPr>
        <w:t>13</w:t>
      </w:r>
      <w:r w:rsidR="006825A7">
        <w:rPr>
          <w:lang w:val="en-NZ"/>
        </w:rPr>
        <w:t xml:space="preserve"> </w:t>
      </w:r>
      <w:r w:rsidR="005D7755">
        <w:rPr>
          <w:lang w:val="en-NZ"/>
        </w:rPr>
        <w:t>percent</w:t>
      </w:r>
      <w:r w:rsidR="006825A7">
        <w:rPr>
          <w:lang w:val="en-NZ"/>
        </w:rPr>
        <w:t xml:space="preserve"> received main benefits for two years</w:t>
      </w:r>
      <w:r w:rsidR="00836C45">
        <w:rPr>
          <w:lang w:val="en-NZ"/>
        </w:rPr>
        <w:t xml:space="preserve"> or less</w:t>
      </w:r>
      <w:r>
        <w:rPr>
          <w:lang w:val="en-NZ"/>
        </w:rPr>
        <w:t xml:space="preserve">, </w:t>
      </w:r>
      <w:r w:rsidR="00836C45">
        <w:rPr>
          <w:lang w:val="en-NZ"/>
        </w:rPr>
        <w:t>and</w:t>
      </w:r>
      <w:r>
        <w:rPr>
          <w:lang w:val="en-NZ"/>
        </w:rPr>
        <w:t xml:space="preserve"> eight </w:t>
      </w:r>
      <w:r w:rsidR="005D7755">
        <w:rPr>
          <w:lang w:val="en-NZ"/>
        </w:rPr>
        <w:t>percent</w:t>
      </w:r>
      <w:r>
        <w:rPr>
          <w:lang w:val="en-NZ"/>
        </w:rPr>
        <w:t xml:space="preserve"> </w:t>
      </w:r>
      <w:r w:rsidR="00836C45">
        <w:rPr>
          <w:lang w:val="en-NZ"/>
        </w:rPr>
        <w:t xml:space="preserve">had </w:t>
      </w:r>
      <w:r>
        <w:rPr>
          <w:lang w:val="en-NZ"/>
        </w:rPr>
        <w:t>not receiv</w:t>
      </w:r>
      <w:r w:rsidR="00836C45">
        <w:rPr>
          <w:lang w:val="en-NZ"/>
        </w:rPr>
        <w:t>ed</w:t>
      </w:r>
      <w:r>
        <w:rPr>
          <w:lang w:val="en-NZ"/>
        </w:rPr>
        <w:t xml:space="preserve"> main benefits at all</w:t>
      </w:r>
      <w:r w:rsidR="006825A7">
        <w:rPr>
          <w:lang w:val="en-NZ"/>
        </w:rPr>
        <w:t>.</w:t>
      </w:r>
    </w:p>
    <w:p w:rsidR="006825A7" w:rsidRPr="002D52BF" w:rsidRDefault="00B17C66" w:rsidP="002D52BF">
      <w:pPr>
        <w:rPr>
          <w:b/>
          <w:color w:val="121F6B"/>
          <w:lang w:val="en-NZ"/>
        </w:rPr>
      </w:pPr>
      <w:r>
        <w:rPr>
          <w:b/>
          <w:color w:val="121F6B"/>
          <w:lang w:val="en-NZ"/>
        </w:rPr>
        <w:t xml:space="preserve">As at the end of 2014, </w:t>
      </w:r>
      <w:r w:rsidR="0070286B">
        <w:rPr>
          <w:b/>
          <w:color w:val="121F6B"/>
          <w:lang w:val="en-NZ"/>
        </w:rPr>
        <w:t>the</w:t>
      </w:r>
      <w:r w:rsidR="0034284A" w:rsidRPr="008728C9">
        <w:rPr>
          <w:b/>
          <w:color w:val="121F6B"/>
          <w:lang w:val="en-NZ"/>
        </w:rPr>
        <w:t xml:space="preserve"> gang members </w:t>
      </w:r>
      <w:r w:rsidR="0034284A">
        <w:rPr>
          <w:b/>
          <w:color w:val="121F6B"/>
          <w:lang w:val="en-NZ"/>
        </w:rPr>
        <w:t>ha</w:t>
      </w:r>
      <w:r w:rsidR="0070286B">
        <w:rPr>
          <w:b/>
          <w:color w:val="121F6B"/>
          <w:lang w:val="en-NZ"/>
        </w:rPr>
        <w:t>d</w:t>
      </w:r>
      <w:r w:rsidR="0034284A">
        <w:rPr>
          <w:b/>
          <w:color w:val="121F6B"/>
          <w:lang w:val="en-NZ"/>
        </w:rPr>
        <w:t xml:space="preserve"> been</w:t>
      </w:r>
      <w:r w:rsidR="0034284A" w:rsidRPr="008728C9">
        <w:rPr>
          <w:b/>
          <w:color w:val="121F6B"/>
          <w:lang w:val="en-NZ"/>
        </w:rPr>
        <w:t xml:space="preserve"> paid </w:t>
      </w:r>
      <w:r w:rsidR="0034284A">
        <w:rPr>
          <w:b/>
          <w:color w:val="121F6B"/>
          <w:lang w:val="en-NZ"/>
        </w:rPr>
        <w:t xml:space="preserve">an estimated total of </w:t>
      </w:r>
      <w:r w:rsidR="0034284A" w:rsidRPr="008728C9">
        <w:rPr>
          <w:b/>
          <w:color w:val="121F6B"/>
          <w:lang w:val="en-NZ"/>
        </w:rPr>
        <w:t>$</w:t>
      </w:r>
      <w:r w:rsidR="0034284A">
        <w:rPr>
          <w:b/>
          <w:color w:val="121F6B"/>
          <w:lang w:val="en-NZ"/>
        </w:rPr>
        <w:t>5</w:t>
      </w:r>
      <w:r w:rsidR="000A1668">
        <w:rPr>
          <w:b/>
          <w:color w:val="121F6B"/>
          <w:lang w:val="en-NZ"/>
        </w:rPr>
        <w:t>25</w:t>
      </w:r>
      <w:r w:rsidR="00AC24EB">
        <w:rPr>
          <w:b/>
          <w:color w:val="121F6B"/>
          <w:lang w:val="en-NZ"/>
        </w:rPr>
        <w:t xml:space="preserve"> </w:t>
      </w:r>
      <w:r w:rsidR="0034284A" w:rsidRPr="008728C9">
        <w:rPr>
          <w:b/>
          <w:color w:val="121F6B"/>
          <w:lang w:val="en-NZ"/>
        </w:rPr>
        <w:t>m</w:t>
      </w:r>
      <w:r w:rsidR="00AC24EB">
        <w:rPr>
          <w:b/>
          <w:color w:val="121F6B"/>
          <w:lang w:val="en-NZ"/>
        </w:rPr>
        <w:t>illion</w:t>
      </w:r>
      <w:r w:rsidR="0034284A" w:rsidRPr="008728C9">
        <w:rPr>
          <w:b/>
          <w:color w:val="121F6B"/>
          <w:lang w:val="en-NZ"/>
        </w:rPr>
        <w:t xml:space="preserve"> in welfare assistance</w:t>
      </w:r>
    </w:p>
    <w:p w:rsidR="006825A7" w:rsidRDefault="006825A7" w:rsidP="006825A7">
      <w:pPr>
        <w:rPr>
          <w:lang w:val="en-NZ"/>
        </w:rPr>
      </w:pPr>
      <w:r>
        <w:rPr>
          <w:lang w:val="en-NZ"/>
        </w:rPr>
        <w:t xml:space="preserve">The </w:t>
      </w:r>
      <w:r w:rsidR="00675A60">
        <w:rPr>
          <w:lang w:val="en-NZ"/>
        </w:rPr>
        <w:t>total</w:t>
      </w:r>
      <w:r w:rsidR="0040213C">
        <w:rPr>
          <w:lang w:val="en-NZ"/>
        </w:rPr>
        <w:t xml:space="preserve"> </w:t>
      </w:r>
      <w:r>
        <w:rPr>
          <w:lang w:val="en-NZ"/>
        </w:rPr>
        <w:t xml:space="preserve">cost of </w:t>
      </w:r>
      <w:r w:rsidR="00675A60">
        <w:rPr>
          <w:lang w:val="en-NZ"/>
        </w:rPr>
        <w:t>all</w:t>
      </w:r>
      <w:r>
        <w:rPr>
          <w:lang w:val="en-NZ"/>
        </w:rPr>
        <w:t xml:space="preserve"> main benefits paid to the gang members </w:t>
      </w:r>
      <w:r w:rsidR="00570636">
        <w:rPr>
          <w:lang w:val="en-NZ"/>
        </w:rPr>
        <w:t>between 1 January 1993 and</w:t>
      </w:r>
      <w:r w:rsidR="00771701">
        <w:rPr>
          <w:lang w:val="en-NZ"/>
        </w:rPr>
        <w:t xml:space="preserve"> 31</w:t>
      </w:r>
      <w:r w:rsidR="0040213C">
        <w:rPr>
          <w:lang w:val="en-NZ"/>
        </w:rPr>
        <w:t> </w:t>
      </w:r>
      <w:r w:rsidR="00771701">
        <w:rPr>
          <w:lang w:val="en-NZ"/>
        </w:rPr>
        <w:t xml:space="preserve">December 2014 </w:t>
      </w:r>
      <w:r>
        <w:rPr>
          <w:lang w:val="en-NZ"/>
        </w:rPr>
        <w:t xml:space="preserve">was </w:t>
      </w:r>
      <w:r w:rsidR="00A93CE2">
        <w:rPr>
          <w:lang w:val="en-NZ"/>
        </w:rPr>
        <w:t>estimated to be</w:t>
      </w:r>
      <w:r>
        <w:rPr>
          <w:lang w:val="en-NZ"/>
        </w:rPr>
        <w:t xml:space="preserve"> $3</w:t>
      </w:r>
      <w:r w:rsidR="000A1668">
        <w:rPr>
          <w:lang w:val="en-NZ"/>
        </w:rPr>
        <w:t>82</w:t>
      </w:r>
      <w:r>
        <w:rPr>
          <w:lang w:val="en-NZ"/>
        </w:rPr>
        <w:t>m.</w:t>
      </w:r>
    </w:p>
    <w:p w:rsidR="00771701" w:rsidRDefault="0040213C" w:rsidP="00FA6222">
      <w:pPr>
        <w:spacing w:after="170"/>
        <w:rPr>
          <w:lang w:val="en-NZ"/>
        </w:rPr>
      </w:pPr>
      <w:r>
        <w:rPr>
          <w:lang w:val="en-NZ"/>
        </w:rPr>
        <w:t>Over the same period, a</w:t>
      </w:r>
      <w:r w:rsidR="00A93CE2">
        <w:rPr>
          <w:lang w:val="en-NZ"/>
        </w:rPr>
        <w:t>n estimated</w:t>
      </w:r>
      <w:r w:rsidR="006825A7">
        <w:rPr>
          <w:lang w:val="en-NZ"/>
        </w:rPr>
        <w:t xml:space="preserve"> $14</w:t>
      </w:r>
      <w:r w:rsidR="000A1668">
        <w:rPr>
          <w:lang w:val="en-NZ"/>
        </w:rPr>
        <w:t>3</w:t>
      </w:r>
      <w:r w:rsidR="006825A7">
        <w:rPr>
          <w:lang w:val="en-NZ"/>
        </w:rPr>
        <w:t xml:space="preserve">m was paid to the gang members in supplementary </w:t>
      </w:r>
      <w:r w:rsidR="008B6DA3">
        <w:rPr>
          <w:lang w:val="en-NZ"/>
        </w:rPr>
        <w:t>benefits</w:t>
      </w:r>
      <w:r w:rsidR="0083659F">
        <w:rPr>
          <w:lang w:val="en-NZ"/>
        </w:rPr>
        <w:t xml:space="preserve"> (eg Accommodation Supplement) </w:t>
      </w:r>
      <w:r w:rsidR="006825A7">
        <w:rPr>
          <w:lang w:val="en-NZ"/>
        </w:rPr>
        <w:t>and ad-hoc payments</w:t>
      </w:r>
      <w:r w:rsidR="0083659F">
        <w:rPr>
          <w:lang w:val="en-NZ"/>
        </w:rPr>
        <w:t xml:space="preserve"> (eg hardship assistance)</w:t>
      </w:r>
      <w:r w:rsidR="006825A7">
        <w:rPr>
          <w:lang w:val="en-NZ"/>
        </w:rPr>
        <w:t>.</w:t>
      </w:r>
    </w:p>
    <w:p w:rsidR="00771701" w:rsidRDefault="00771701" w:rsidP="00771701">
      <w:pPr>
        <w:rPr>
          <w:lang w:val="en-NZ"/>
        </w:rPr>
      </w:pPr>
      <w:r>
        <w:rPr>
          <w:lang w:val="en-NZ"/>
        </w:rPr>
        <w:t>In total, an estimated $5</w:t>
      </w:r>
      <w:r w:rsidR="000A1668">
        <w:rPr>
          <w:lang w:val="en-NZ"/>
        </w:rPr>
        <w:t>25</w:t>
      </w:r>
      <w:r>
        <w:rPr>
          <w:lang w:val="en-NZ"/>
        </w:rPr>
        <w:t>m in welfare assistance was paid to the gang members</w:t>
      </w:r>
      <w:r w:rsidR="005D7755">
        <w:rPr>
          <w:lang w:val="en-NZ"/>
        </w:rPr>
        <w:t>,</w:t>
      </w:r>
      <w:r>
        <w:rPr>
          <w:lang w:val="en-NZ"/>
        </w:rPr>
        <w:t xml:space="preserve"> an average of around $13</w:t>
      </w:r>
      <w:r w:rsidR="000A1668">
        <w:rPr>
          <w:lang w:val="en-NZ"/>
        </w:rPr>
        <w:t>2</w:t>
      </w:r>
      <w:r>
        <w:rPr>
          <w:lang w:val="en-NZ"/>
        </w:rPr>
        <w:t xml:space="preserve">,000 </w:t>
      </w:r>
      <w:r w:rsidR="00EE1B5E">
        <w:rPr>
          <w:lang w:val="en-NZ"/>
        </w:rPr>
        <w:t>per person</w:t>
      </w:r>
      <w:r>
        <w:rPr>
          <w:lang w:val="en-NZ"/>
        </w:rPr>
        <w:t>.</w:t>
      </w:r>
    </w:p>
    <w:p w:rsidR="006825A7" w:rsidRPr="002D52BF" w:rsidRDefault="00FA6222" w:rsidP="002D52BF">
      <w:pPr>
        <w:rPr>
          <w:b/>
          <w:color w:val="121F6B"/>
          <w:lang w:val="en-NZ"/>
        </w:rPr>
      </w:pPr>
      <w:r>
        <w:rPr>
          <w:b/>
          <w:color w:val="121F6B"/>
          <w:lang w:val="en-NZ"/>
        </w:rPr>
        <w:t>Over</w:t>
      </w:r>
      <w:r w:rsidR="006825A7" w:rsidRPr="002D52BF">
        <w:rPr>
          <w:b/>
          <w:color w:val="121F6B"/>
          <w:lang w:val="en-NZ"/>
        </w:rPr>
        <w:t xml:space="preserve"> 7,000 </w:t>
      </w:r>
      <w:r>
        <w:rPr>
          <w:b/>
          <w:color w:val="121F6B"/>
          <w:lang w:val="en-NZ"/>
        </w:rPr>
        <w:t xml:space="preserve">dependent </w:t>
      </w:r>
      <w:r w:rsidR="006825A7" w:rsidRPr="002D52BF">
        <w:rPr>
          <w:b/>
          <w:color w:val="121F6B"/>
          <w:lang w:val="en-NZ"/>
        </w:rPr>
        <w:t xml:space="preserve">children </w:t>
      </w:r>
      <w:r>
        <w:rPr>
          <w:b/>
          <w:color w:val="121F6B"/>
          <w:lang w:val="en-NZ"/>
        </w:rPr>
        <w:t xml:space="preserve">were </w:t>
      </w:r>
      <w:r w:rsidR="006825A7" w:rsidRPr="002D52BF">
        <w:rPr>
          <w:b/>
          <w:color w:val="121F6B"/>
          <w:lang w:val="en-NZ"/>
        </w:rPr>
        <w:t xml:space="preserve">included </w:t>
      </w:r>
      <w:r w:rsidR="00092808">
        <w:rPr>
          <w:b/>
          <w:color w:val="121F6B"/>
          <w:lang w:val="en-NZ"/>
        </w:rPr>
        <w:t xml:space="preserve">at some point in time </w:t>
      </w:r>
      <w:r w:rsidR="006825A7" w:rsidRPr="002D52BF">
        <w:rPr>
          <w:b/>
          <w:color w:val="121F6B"/>
          <w:lang w:val="en-NZ"/>
        </w:rPr>
        <w:t xml:space="preserve">in benefit spells with </w:t>
      </w:r>
      <w:r w:rsidR="00092808">
        <w:rPr>
          <w:b/>
          <w:color w:val="121F6B"/>
          <w:lang w:val="en-NZ"/>
        </w:rPr>
        <w:t xml:space="preserve">the </w:t>
      </w:r>
      <w:r w:rsidR="006825A7" w:rsidRPr="002D52BF">
        <w:rPr>
          <w:b/>
          <w:color w:val="121F6B"/>
          <w:lang w:val="en-NZ"/>
        </w:rPr>
        <w:t>gang member</w:t>
      </w:r>
      <w:r w:rsidR="00092808">
        <w:rPr>
          <w:b/>
          <w:color w:val="121F6B"/>
          <w:lang w:val="en-NZ"/>
        </w:rPr>
        <w:t xml:space="preserve"> cohort</w:t>
      </w:r>
    </w:p>
    <w:p w:rsidR="00FA6222" w:rsidRDefault="006825A7" w:rsidP="006825A7">
      <w:pPr>
        <w:rPr>
          <w:lang w:val="en-NZ"/>
        </w:rPr>
      </w:pPr>
      <w:r w:rsidRPr="00687BFE">
        <w:rPr>
          <w:lang w:val="en-NZ"/>
        </w:rPr>
        <w:t>Over half (5</w:t>
      </w:r>
      <w:r w:rsidR="00FA6222">
        <w:rPr>
          <w:lang w:val="en-NZ"/>
        </w:rPr>
        <w:t>9</w:t>
      </w:r>
      <w:r w:rsidR="009B2504">
        <w:rPr>
          <w:lang w:val="en-NZ"/>
        </w:rPr>
        <w:t xml:space="preserve"> </w:t>
      </w:r>
      <w:r w:rsidR="005D7755">
        <w:rPr>
          <w:lang w:val="en-NZ"/>
        </w:rPr>
        <w:t>percent</w:t>
      </w:r>
      <w:r w:rsidRPr="00687BFE">
        <w:rPr>
          <w:lang w:val="en-NZ"/>
        </w:rPr>
        <w:t xml:space="preserve">) of </w:t>
      </w:r>
      <w:r>
        <w:rPr>
          <w:lang w:val="en-NZ"/>
        </w:rPr>
        <w:t>all</w:t>
      </w:r>
      <w:r w:rsidRPr="00687BFE">
        <w:rPr>
          <w:lang w:val="en-NZ"/>
        </w:rPr>
        <w:t xml:space="preserve"> gang members had benefit spells that</w:t>
      </w:r>
      <w:r w:rsidR="002A0651">
        <w:rPr>
          <w:lang w:val="en-NZ"/>
        </w:rPr>
        <w:t xml:space="preserve"> included a</w:t>
      </w:r>
      <w:r w:rsidRPr="00687BFE">
        <w:rPr>
          <w:lang w:val="en-NZ"/>
        </w:rPr>
        <w:t xml:space="preserve"> total of </w:t>
      </w:r>
      <w:r w:rsidR="00FA6222">
        <w:rPr>
          <w:lang w:val="en-NZ"/>
        </w:rPr>
        <w:t>7,</w:t>
      </w:r>
      <w:r w:rsidR="0017701E">
        <w:rPr>
          <w:lang w:val="en-NZ"/>
        </w:rPr>
        <w:t>075</w:t>
      </w:r>
      <w:r w:rsidRPr="00687BFE">
        <w:rPr>
          <w:lang w:val="en-NZ"/>
        </w:rPr>
        <w:t xml:space="preserve"> </w:t>
      </w:r>
      <w:r w:rsidR="00943D6B">
        <w:rPr>
          <w:lang w:val="en-NZ"/>
        </w:rPr>
        <w:t xml:space="preserve">dependent </w:t>
      </w:r>
      <w:r w:rsidR="002A0651">
        <w:rPr>
          <w:lang w:val="en-NZ"/>
        </w:rPr>
        <w:t>children</w:t>
      </w:r>
      <w:r w:rsidRPr="00687BFE">
        <w:rPr>
          <w:lang w:val="en-NZ"/>
        </w:rPr>
        <w:t>.</w:t>
      </w:r>
      <w:r w:rsidR="002A0651">
        <w:rPr>
          <w:lang w:val="en-NZ"/>
        </w:rPr>
        <w:t xml:space="preserve"> These </w:t>
      </w:r>
      <w:r w:rsidRPr="00687BFE">
        <w:rPr>
          <w:lang w:val="en-NZ"/>
        </w:rPr>
        <w:t>children spent an average of 2.8 years included in benefit</w:t>
      </w:r>
      <w:r w:rsidR="002A0651">
        <w:rPr>
          <w:lang w:val="en-NZ"/>
        </w:rPr>
        <w:t xml:space="preserve"> </w:t>
      </w:r>
      <w:r w:rsidR="002A0651">
        <w:rPr>
          <w:rFonts w:ascii="Courier New" w:hAnsi="Courier New" w:cs="Courier New"/>
          <w:lang w:val="en-NZ"/>
        </w:rPr>
        <w:t>-</w:t>
      </w:r>
      <w:r w:rsidR="002A0651">
        <w:rPr>
          <w:lang w:val="en-NZ"/>
        </w:rPr>
        <w:t xml:space="preserve"> m</w:t>
      </w:r>
      <w:r w:rsidR="00FA6222">
        <w:rPr>
          <w:lang w:val="en-NZ"/>
        </w:rPr>
        <w:t>ost commonly in either sole parent-related or job seeker-related benefits.</w:t>
      </w:r>
    </w:p>
    <w:p w:rsidR="006825A7" w:rsidRDefault="00C2206E" w:rsidP="006825A7">
      <w:pPr>
        <w:rPr>
          <w:lang w:val="en-NZ" w:eastAsia="en-AU"/>
        </w:rPr>
      </w:pPr>
      <w:r>
        <w:rPr>
          <w:lang w:val="en-NZ" w:eastAsia="en-AU"/>
        </w:rPr>
        <w:t>A total of 1,39</w:t>
      </w:r>
      <w:r w:rsidR="0017701E">
        <w:rPr>
          <w:lang w:val="en-NZ" w:eastAsia="en-AU"/>
        </w:rPr>
        <w:t>3</w:t>
      </w:r>
      <w:r>
        <w:rPr>
          <w:lang w:val="en-NZ" w:eastAsia="en-AU"/>
        </w:rPr>
        <w:t xml:space="preserve"> children spent more than five years included in benefit with a gang member, including 3</w:t>
      </w:r>
      <w:r w:rsidR="0017701E">
        <w:rPr>
          <w:lang w:val="en-NZ" w:eastAsia="en-AU"/>
        </w:rPr>
        <w:t>19</w:t>
      </w:r>
      <w:r>
        <w:rPr>
          <w:lang w:val="en-NZ" w:eastAsia="en-AU"/>
        </w:rPr>
        <w:t xml:space="preserve"> who spent more than 10 years included in benefit.</w:t>
      </w:r>
    </w:p>
    <w:p w:rsidR="00C00785" w:rsidRDefault="002A0651" w:rsidP="00C00785">
      <w:pPr>
        <w:rPr>
          <w:lang w:val="en-NZ" w:eastAsia="en-AU"/>
        </w:rPr>
      </w:pPr>
      <w:r>
        <w:rPr>
          <w:lang w:val="en-NZ" w:eastAsia="en-AU"/>
        </w:rPr>
        <w:t>Nearly 40</w:t>
      </w:r>
      <w:r w:rsidR="00725ECC">
        <w:rPr>
          <w:lang w:val="en-NZ" w:eastAsia="en-AU"/>
        </w:rPr>
        <w:t xml:space="preserve"> percent</w:t>
      </w:r>
      <w:r>
        <w:rPr>
          <w:lang w:val="en-NZ" w:eastAsia="en-AU"/>
        </w:rPr>
        <w:t xml:space="preserve"> o</w:t>
      </w:r>
      <w:r w:rsidR="00C00785">
        <w:rPr>
          <w:lang w:val="en-NZ" w:eastAsia="en-AU"/>
        </w:rPr>
        <w:t>f the children</w:t>
      </w:r>
      <w:r w:rsidR="008A4A3F" w:rsidRPr="008A4A3F">
        <w:rPr>
          <w:lang w:val="en-NZ" w:eastAsia="en-AU"/>
        </w:rPr>
        <w:t xml:space="preserve"> </w:t>
      </w:r>
      <w:r w:rsidR="008A4A3F">
        <w:rPr>
          <w:lang w:val="en-NZ" w:eastAsia="en-AU"/>
        </w:rPr>
        <w:t xml:space="preserve">of gang members </w:t>
      </w:r>
      <w:r>
        <w:rPr>
          <w:lang w:val="en-NZ" w:eastAsia="en-AU"/>
        </w:rPr>
        <w:t xml:space="preserve">were first included </w:t>
      </w:r>
      <w:r w:rsidR="00C00785">
        <w:rPr>
          <w:lang w:val="en-NZ" w:eastAsia="en-AU"/>
        </w:rPr>
        <w:t>in benefit before their first birthday.</w:t>
      </w:r>
    </w:p>
    <w:p w:rsidR="00C2206E" w:rsidRPr="00CF3F55" w:rsidRDefault="006F41A0">
      <w:pPr>
        <w:keepNext/>
        <w:rPr>
          <w:b/>
          <w:color w:val="121F6B"/>
          <w:lang w:val="en-NZ"/>
        </w:rPr>
      </w:pPr>
      <w:r>
        <w:rPr>
          <w:b/>
          <w:color w:val="121F6B"/>
          <w:lang w:val="en-NZ"/>
        </w:rPr>
        <w:t>One</w:t>
      </w:r>
      <w:r w:rsidR="00E349C1" w:rsidRPr="00C44A76">
        <w:rPr>
          <w:b/>
          <w:color w:val="121F6B"/>
          <w:lang w:val="en-NZ"/>
        </w:rPr>
        <w:t xml:space="preserve"> percent </w:t>
      </w:r>
      <w:r w:rsidR="00C2206E" w:rsidRPr="00CF3F55">
        <w:rPr>
          <w:b/>
          <w:color w:val="121F6B"/>
          <w:lang w:val="en-NZ"/>
        </w:rPr>
        <w:t xml:space="preserve">of </w:t>
      </w:r>
      <w:r w:rsidR="007E3A87" w:rsidRPr="00CF3F55">
        <w:rPr>
          <w:b/>
          <w:color w:val="121F6B"/>
          <w:lang w:val="en-NZ"/>
        </w:rPr>
        <w:t>the</w:t>
      </w:r>
      <w:r w:rsidR="00C2206E" w:rsidRPr="00CF3F55">
        <w:rPr>
          <w:b/>
          <w:color w:val="121F6B"/>
          <w:lang w:val="en-NZ"/>
        </w:rPr>
        <w:t xml:space="preserve"> gang members </w:t>
      </w:r>
      <w:r w:rsidR="007E3A87" w:rsidRPr="00CF3F55">
        <w:rPr>
          <w:b/>
          <w:color w:val="121F6B"/>
          <w:lang w:val="en-NZ"/>
        </w:rPr>
        <w:t xml:space="preserve">who received a main benefit </w:t>
      </w:r>
      <w:r w:rsidR="00E349C1" w:rsidRPr="00C44A76">
        <w:rPr>
          <w:b/>
          <w:color w:val="121F6B"/>
          <w:lang w:val="en-NZ"/>
        </w:rPr>
        <w:t xml:space="preserve">in the last five years </w:t>
      </w:r>
      <w:r w:rsidR="00BE578B">
        <w:rPr>
          <w:b/>
          <w:color w:val="121F6B"/>
          <w:lang w:val="en-NZ"/>
        </w:rPr>
        <w:t>were</w:t>
      </w:r>
      <w:r>
        <w:rPr>
          <w:b/>
          <w:color w:val="121F6B"/>
          <w:lang w:val="en-NZ"/>
        </w:rPr>
        <w:t xml:space="preserve"> prosecuted for welfare fraud</w:t>
      </w:r>
    </w:p>
    <w:p w:rsidR="00911954" w:rsidRPr="00CF3F55" w:rsidRDefault="00872827" w:rsidP="00FA4A03">
      <w:pPr>
        <w:keepNext/>
        <w:rPr>
          <w:lang w:val="en-NZ"/>
        </w:rPr>
      </w:pPr>
      <w:r w:rsidRPr="00CF3F55">
        <w:rPr>
          <w:lang w:val="en-NZ"/>
        </w:rPr>
        <w:t xml:space="preserve">Overall, </w:t>
      </w:r>
      <w:r w:rsidR="00E349C1" w:rsidRPr="00C44A76">
        <w:rPr>
          <w:lang w:val="en-NZ"/>
        </w:rPr>
        <w:t>two</w:t>
      </w:r>
      <w:r w:rsidR="00E349C1" w:rsidRPr="00CF3F55">
        <w:rPr>
          <w:lang w:val="en-NZ"/>
        </w:rPr>
        <w:t xml:space="preserve"> </w:t>
      </w:r>
      <w:r w:rsidR="005D7755" w:rsidRPr="00CF3F55">
        <w:rPr>
          <w:lang w:val="en-NZ"/>
        </w:rPr>
        <w:t>percent</w:t>
      </w:r>
      <w:r w:rsidR="00C2206E" w:rsidRPr="00CF3F55">
        <w:rPr>
          <w:lang w:val="en-NZ"/>
        </w:rPr>
        <w:t xml:space="preserve"> of </w:t>
      </w:r>
      <w:r w:rsidRPr="00CF3F55">
        <w:rPr>
          <w:lang w:val="en-NZ"/>
        </w:rPr>
        <w:t>the 3,</w:t>
      </w:r>
      <w:r w:rsidR="00E349C1" w:rsidRPr="00C44A76">
        <w:rPr>
          <w:lang w:val="en-NZ"/>
        </w:rPr>
        <w:t>055</w:t>
      </w:r>
      <w:r w:rsidR="00E349C1" w:rsidRPr="00CF3F55">
        <w:rPr>
          <w:lang w:val="en-NZ"/>
        </w:rPr>
        <w:t xml:space="preserve"> </w:t>
      </w:r>
      <w:r w:rsidR="00C2206E" w:rsidRPr="00CF3F55">
        <w:rPr>
          <w:lang w:val="en-NZ"/>
        </w:rPr>
        <w:t xml:space="preserve">gang members </w:t>
      </w:r>
      <w:r w:rsidR="00DE3E39" w:rsidRPr="00CF3F55">
        <w:rPr>
          <w:lang w:val="en-NZ"/>
        </w:rPr>
        <w:t xml:space="preserve">who received a main benefit </w:t>
      </w:r>
      <w:r w:rsidR="00E349C1" w:rsidRPr="00C44A76">
        <w:rPr>
          <w:lang w:val="en-NZ"/>
        </w:rPr>
        <w:t xml:space="preserve">in the last five years </w:t>
      </w:r>
      <w:r w:rsidR="00DE3E39" w:rsidRPr="00CF3F55">
        <w:rPr>
          <w:lang w:val="en-NZ"/>
        </w:rPr>
        <w:t>incurred an overpayment</w:t>
      </w:r>
      <w:r w:rsidR="00C2206E" w:rsidRPr="00CF3F55">
        <w:rPr>
          <w:lang w:val="en-NZ"/>
        </w:rPr>
        <w:t>.</w:t>
      </w:r>
      <w:r w:rsidRPr="00CF3F55">
        <w:rPr>
          <w:lang w:val="en-NZ"/>
        </w:rPr>
        <w:t xml:space="preserve"> </w:t>
      </w:r>
      <w:r w:rsidR="00E349C1" w:rsidRPr="00C44A76">
        <w:rPr>
          <w:lang w:val="en-NZ"/>
        </w:rPr>
        <w:t xml:space="preserve">The total amount overpaid was estimated to be $870,000. </w:t>
      </w:r>
      <w:r w:rsidR="00CF3F55" w:rsidRPr="00CF3F55">
        <w:rPr>
          <w:lang w:val="en-NZ"/>
        </w:rPr>
        <w:t>Overpayments were most commonly due to non-declaration or under-</w:t>
      </w:r>
      <w:r w:rsidR="00CF3F55" w:rsidRPr="00CF3F55">
        <w:rPr>
          <w:lang w:val="en-NZ"/>
        </w:rPr>
        <w:lastRenderedPageBreak/>
        <w:t>reporting of income, or not reporting they were in a relationship with another person.</w:t>
      </w:r>
      <w:r w:rsidR="00FA4A03" w:rsidRPr="00FA4A03">
        <w:rPr>
          <w:lang w:val="en-NZ"/>
        </w:rPr>
        <w:t xml:space="preserve"> </w:t>
      </w:r>
      <w:r w:rsidR="00FA4A03" w:rsidRPr="00CF3F55">
        <w:rPr>
          <w:lang w:val="en-NZ"/>
        </w:rPr>
        <w:t xml:space="preserve">An overpayment generally means the person has a debt to MSD that must </w:t>
      </w:r>
      <w:r w:rsidR="00FA4A03">
        <w:rPr>
          <w:lang w:val="en-NZ"/>
        </w:rPr>
        <w:t xml:space="preserve">be </w:t>
      </w:r>
      <w:r w:rsidR="00FA4A03" w:rsidRPr="00CF3F55">
        <w:rPr>
          <w:lang w:val="en-NZ"/>
        </w:rPr>
        <w:t>repa</w:t>
      </w:r>
      <w:r w:rsidR="00FA4A03">
        <w:rPr>
          <w:lang w:val="en-NZ"/>
        </w:rPr>
        <w:t>id</w:t>
      </w:r>
      <w:r w:rsidR="00FA4A03" w:rsidRPr="00CF3F55">
        <w:rPr>
          <w:lang w:val="en-NZ"/>
        </w:rPr>
        <w:t>.</w:t>
      </w:r>
    </w:p>
    <w:p w:rsidR="00905C6F" w:rsidRDefault="00C80207" w:rsidP="008A586F">
      <w:pPr>
        <w:rPr>
          <w:lang w:val="en-NZ" w:eastAsia="en-AU"/>
        </w:rPr>
      </w:pPr>
      <w:r w:rsidRPr="00CF3F55">
        <w:rPr>
          <w:lang w:val="en-NZ" w:eastAsia="en-AU"/>
        </w:rPr>
        <w:t xml:space="preserve">One </w:t>
      </w:r>
      <w:r w:rsidR="005D7755" w:rsidRPr="00CF3F55">
        <w:rPr>
          <w:lang w:val="en-NZ" w:eastAsia="en-AU"/>
        </w:rPr>
        <w:t>percent</w:t>
      </w:r>
      <w:r w:rsidRPr="00CF3F55">
        <w:rPr>
          <w:lang w:val="en-NZ" w:eastAsia="en-AU"/>
        </w:rPr>
        <w:t xml:space="preserve"> (3</w:t>
      </w:r>
      <w:r w:rsidR="00CF3F55" w:rsidRPr="00C44A76">
        <w:rPr>
          <w:lang w:val="en-NZ" w:eastAsia="en-AU"/>
        </w:rPr>
        <w:t>2</w:t>
      </w:r>
      <w:r w:rsidRPr="00CF3F55">
        <w:rPr>
          <w:lang w:val="en-NZ" w:eastAsia="en-AU"/>
        </w:rPr>
        <w:t xml:space="preserve">) of </w:t>
      </w:r>
      <w:r w:rsidR="00DE3E39" w:rsidRPr="00CF3F55">
        <w:rPr>
          <w:lang w:val="en-NZ" w:eastAsia="en-AU"/>
        </w:rPr>
        <w:t>the 3,</w:t>
      </w:r>
      <w:r w:rsidR="00CF3F55" w:rsidRPr="00C44A76">
        <w:rPr>
          <w:lang w:val="en-NZ" w:eastAsia="en-AU"/>
        </w:rPr>
        <w:t>055</w:t>
      </w:r>
      <w:r w:rsidR="00CF3F55" w:rsidRPr="00CF3F55">
        <w:rPr>
          <w:lang w:val="en-NZ" w:eastAsia="en-AU"/>
        </w:rPr>
        <w:t xml:space="preserve"> </w:t>
      </w:r>
      <w:r w:rsidRPr="00CF3F55">
        <w:rPr>
          <w:lang w:val="en-NZ" w:eastAsia="en-AU"/>
        </w:rPr>
        <w:t>gang members</w:t>
      </w:r>
      <w:r w:rsidR="00DE3E39" w:rsidRPr="00CF3F55">
        <w:rPr>
          <w:lang w:val="en-NZ" w:eastAsia="en-AU"/>
        </w:rPr>
        <w:t xml:space="preserve"> who have received a main benefit</w:t>
      </w:r>
      <w:r w:rsidRPr="00CF3F55">
        <w:rPr>
          <w:lang w:val="en-NZ" w:eastAsia="en-AU"/>
        </w:rPr>
        <w:t xml:space="preserve"> </w:t>
      </w:r>
      <w:r w:rsidR="00CF3F55" w:rsidRPr="00C44A76">
        <w:rPr>
          <w:lang w:val="en-NZ" w:eastAsia="en-AU"/>
        </w:rPr>
        <w:t xml:space="preserve">in the last five years </w:t>
      </w:r>
      <w:r w:rsidRPr="00CF3F55">
        <w:rPr>
          <w:lang w:val="en-NZ" w:eastAsia="en-AU"/>
        </w:rPr>
        <w:t>have been prosecuted for welfare fraud.</w:t>
      </w:r>
    </w:p>
    <w:p w:rsidR="00682847" w:rsidRPr="00B9395B" w:rsidRDefault="00682847" w:rsidP="00682847">
      <w:pPr>
        <w:pStyle w:val="Heading2"/>
        <w:rPr>
          <w:sz w:val="26"/>
          <w:szCs w:val="26"/>
        </w:rPr>
      </w:pPr>
      <w:r w:rsidRPr="00B9395B">
        <w:rPr>
          <w:sz w:val="26"/>
          <w:szCs w:val="26"/>
        </w:rPr>
        <w:t>Gang members as the perpetrators of abuse or neglect</w:t>
      </w:r>
      <w:r w:rsidR="001B057B">
        <w:rPr>
          <w:sz w:val="26"/>
          <w:szCs w:val="26"/>
        </w:rPr>
        <w:t xml:space="preserve"> of children</w:t>
      </w:r>
    </w:p>
    <w:p w:rsidR="00A76985" w:rsidRPr="002D52BF" w:rsidRDefault="00835C3F" w:rsidP="00A76985">
      <w:pPr>
        <w:rPr>
          <w:b/>
          <w:color w:val="121F6B"/>
          <w:lang w:val="en-NZ"/>
        </w:rPr>
      </w:pPr>
      <w:r>
        <w:rPr>
          <w:b/>
          <w:color w:val="121F6B"/>
          <w:lang w:val="en-NZ"/>
        </w:rPr>
        <w:t xml:space="preserve">Over </w:t>
      </w:r>
      <w:r w:rsidR="00D30ED3">
        <w:rPr>
          <w:b/>
          <w:color w:val="121F6B"/>
          <w:lang w:val="en-NZ"/>
        </w:rPr>
        <w:t>a quarter</w:t>
      </w:r>
      <w:r>
        <w:rPr>
          <w:b/>
          <w:color w:val="121F6B"/>
          <w:lang w:val="en-NZ"/>
        </w:rPr>
        <w:t xml:space="preserve"> </w:t>
      </w:r>
      <w:r w:rsidR="00A76985">
        <w:rPr>
          <w:b/>
          <w:color w:val="121F6B"/>
          <w:lang w:val="en-NZ"/>
        </w:rPr>
        <w:t xml:space="preserve">of </w:t>
      </w:r>
      <w:r>
        <w:rPr>
          <w:b/>
          <w:color w:val="121F6B"/>
          <w:lang w:val="en-NZ"/>
        </w:rPr>
        <w:t xml:space="preserve">adult </w:t>
      </w:r>
      <w:r w:rsidR="00A76985">
        <w:rPr>
          <w:b/>
          <w:color w:val="121F6B"/>
          <w:lang w:val="en-NZ"/>
        </w:rPr>
        <w:t xml:space="preserve">gang members </w:t>
      </w:r>
      <w:r w:rsidR="00BE578B">
        <w:rPr>
          <w:b/>
          <w:color w:val="121F6B"/>
          <w:lang w:val="en-NZ"/>
        </w:rPr>
        <w:t>we</w:t>
      </w:r>
      <w:r w:rsidR="00B41C54">
        <w:rPr>
          <w:b/>
          <w:color w:val="121F6B"/>
          <w:lang w:val="en-NZ"/>
        </w:rPr>
        <w:t xml:space="preserve">re recorded by Child, Youth and Family as the </w:t>
      </w:r>
      <w:r w:rsidR="008F499A">
        <w:rPr>
          <w:b/>
          <w:color w:val="121F6B"/>
          <w:lang w:val="en-NZ"/>
        </w:rPr>
        <w:t xml:space="preserve">alleged </w:t>
      </w:r>
      <w:r w:rsidR="00B41C54">
        <w:rPr>
          <w:b/>
          <w:color w:val="121F6B"/>
          <w:lang w:val="en-NZ"/>
        </w:rPr>
        <w:t xml:space="preserve">perpetrators of </w:t>
      </w:r>
      <w:r w:rsidR="00A76985">
        <w:rPr>
          <w:b/>
          <w:color w:val="121F6B"/>
          <w:lang w:val="en-NZ"/>
        </w:rPr>
        <w:t>abuse or neglect</w:t>
      </w:r>
      <w:r w:rsidR="00B41C54">
        <w:rPr>
          <w:b/>
          <w:color w:val="121F6B"/>
          <w:lang w:val="en-NZ"/>
        </w:rPr>
        <w:t xml:space="preserve"> of</w:t>
      </w:r>
      <w:r w:rsidR="00A76985">
        <w:rPr>
          <w:b/>
          <w:color w:val="121F6B"/>
          <w:lang w:val="en-NZ"/>
        </w:rPr>
        <w:t xml:space="preserve"> children</w:t>
      </w:r>
    </w:p>
    <w:p w:rsidR="00B41C54" w:rsidRDefault="00B41C54" w:rsidP="00EC2CE7">
      <w:pPr>
        <w:rPr>
          <w:lang w:val="en-NZ"/>
        </w:rPr>
      </w:pPr>
      <w:r>
        <w:rPr>
          <w:lang w:val="en-NZ"/>
        </w:rPr>
        <w:t xml:space="preserve">Of the total 3,960 known gang members, </w:t>
      </w:r>
      <w:r w:rsidR="00D30ED3">
        <w:rPr>
          <w:lang w:val="en-NZ"/>
        </w:rPr>
        <w:t>27</w:t>
      </w:r>
      <w:r>
        <w:rPr>
          <w:lang w:val="en-NZ"/>
        </w:rPr>
        <w:t xml:space="preserve"> </w:t>
      </w:r>
      <w:r w:rsidR="005D7755">
        <w:rPr>
          <w:lang w:val="en-NZ"/>
        </w:rPr>
        <w:t>percent</w:t>
      </w:r>
      <w:r>
        <w:rPr>
          <w:lang w:val="en-NZ"/>
        </w:rPr>
        <w:t xml:space="preserve"> (</w:t>
      </w:r>
      <w:r w:rsidR="00D30ED3">
        <w:rPr>
          <w:lang w:val="en-NZ"/>
        </w:rPr>
        <w:t>1,056</w:t>
      </w:r>
      <w:r>
        <w:rPr>
          <w:lang w:val="en-NZ"/>
        </w:rPr>
        <w:t xml:space="preserve">) were recorded </w:t>
      </w:r>
      <w:r w:rsidR="009E25F9">
        <w:rPr>
          <w:lang w:val="en-NZ"/>
        </w:rPr>
        <w:t xml:space="preserve">by Child, Youth and Family </w:t>
      </w:r>
      <w:r>
        <w:rPr>
          <w:lang w:val="en-NZ"/>
        </w:rPr>
        <w:t xml:space="preserve">as being the </w:t>
      </w:r>
      <w:r w:rsidR="008F499A">
        <w:rPr>
          <w:lang w:val="en-NZ"/>
        </w:rPr>
        <w:t xml:space="preserve">alleged </w:t>
      </w:r>
      <w:r>
        <w:rPr>
          <w:lang w:val="en-NZ"/>
        </w:rPr>
        <w:t xml:space="preserve">perpetrators of </w:t>
      </w:r>
      <w:r w:rsidR="00FF54D0">
        <w:rPr>
          <w:lang w:val="en-NZ"/>
        </w:rPr>
        <w:t xml:space="preserve">substantiated </w:t>
      </w:r>
      <w:r>
        <w:rPr>
          <w:lang w:val="en-NZ"/>
        </w:rPr>
        <w:t>abuse or neglect of children</w:t>
      </w:r>
      <w:r w:rsidR="00470C81">
        <w:rPr>
          <w:lang w:val="en-NZ"/>
        </w:rPr>
        <w:t xml:space="preserve"> </w:t>
      </w:r>
      <w:r w:rsidR="00F2114B">
        <w:rPr>
          <w:lang w:val="en-NZ"/>
        </w:rPr>
        <w:t>(noting limitations around the completeness of historical data)</w:t>
      </w:r>
      <w:r w:rsidR="00CD6899">
        <w:rPr>
          <w:lang w:val="en-NZ"/>
        </w:rPr>
        <w:t>.</w:t>
      </w:r>
    </w:p>
    <w:p w:rsidR="00B41C54" w:rsidRDefault="00B41C54" w:rsidP="00B41C54">
      <w:pPr>
        <w:rPr>
          <w:lang w:val="en-NZ"/>
        </w:rPr>
      </w:pPr>
      <w:r>
        <w:rPr>
          <w:lang w:val="en-NZ"/>
        </w:rPr>
        <w:t xml:space="preserve">Most commonly this was emotional abuse of children, recorded for </w:t>
      </w:r>
      <w:r w:rsidR="00D30ED3">
        <w:rPr>
          <w:lang w:val="en-NZ"/>
        </w:rPr>
        <w:t>21 percent</w:t>
      </w:r>
      <w:r>
        <w:rPr>
          <w:lang w:val="en-NZ"/>
        </w:rPr>
        <w:t xml:space="preserve"> of all gang members. </w:t>
      </w:r>
      <w:r w:rsidR="00D30ED3">
        <w:rPr>
          <w:lang w:val="en-NZ"/>
        </w:rPr>
        <w:t>Six</w:t>
      </w:r>
      <w:r>
        <w:rPr>
          <w:lang w:val="en-NZ"/>
        </w:rPr>
        <w:t xml:space="preserve"> </w:t>
      </w:r>
      <w:r w:rsidR="005D7755">
        <w:rPr>
          <w:lang w:val="en-NZ"/>
        </w:rPr>
        <w:t>percent</w:t>
      </w:r>
      <w:r>
        <w:rPr>
          <w:lang w:val="en-NZ"/>
        </w:rPr>
        <w:t xml:space="preserve"> of gang members were recorded as being the </w:t>
      </w:r>
      <w:r w:rsidR="008F499A">
        <w:rPr>
          <w:lang w:val="en-NZ"/>
        </w:rPr>
        <w:t xml:space="preserve">alleged </w:t>
      </w:r>
      <w:r>
        <w:rPr>
          <w:lang w:val="en-NZ"/>
        </w:rPr>
        <w:t xml:space="preserve">perpetrators of physical abuse of children, and two </w:t>
      </w:r>
      <w:r w:rsidR="005D7755">
        <w:rPr>
          <w:lang w:val="en-NZ"/>
        </w:rPr>
        <w:t>percent</w:t>
      </w:r>
      <w:r>
        <w:rPr>
          <w:lang w:val="en-NZ"/>
        </w:rPr>
        <w:t xml:space="preserve"> for the sexual abuse of children. </w:t>
      </w:r>
      <w:r w:rsidR="00D30ED3">
        <w:rPr>
          <w:lang w:val="en-NZ"/>
        </w:rPr>
        <w:t>Seven</w:t>
      </w:r>
      <w:r>
        <w:rPr>
          <w:lang w:val="en-NZ"/>
        </w:rPr>
        <w:t xml:space="preserve"> </w:t>
      </w:r>
      <w:r w:rsidR="005D7755">
        <w:rPr>
          <w:lang w:val="en-NZ"/>
        </w:rPr>
        <w:t>percent</w:t>
      </w:r>
      <w:r>
        <w:rPr>
          <w:lang w:val="en-NZ"/>
        </w:rPr>
        <w:t xml:space="preserve"> of gang members were recorded as having </w:t>
      </w:r>
      <w:r w:rsidR="008F499A">
        <w:rPr>
          <w:lang w:val="en-NZ"/>
        </w:rPr>
        <w:t xml:space="preserve">allegedly </w:t>
      </w:r>
      <w:r>
        <w:rPr>
          <w:lang w:val="en-NZ"/>
        </w:rPr>
        <w:t>neglected children.</w:t>
      </w:r>
    </w:p>
    <w:p w:rsidR="00B41C54" w:rsidRDefault="00B41C54" w:rsidP="005063AD">
      <w:pPr>
        <w:rPr>
          <w:lang w:val="en-NZ"/>
        </w:rPr>
      </w:pPr>
      <w:r>
        <w:rPr>
          <w:lang w:val="en-NZ"/>
        </w:rPr>
        <w:t xml:space="preserve">The </w:t>
      </w:r>
      <w:r w:rsidR="0028708C">
        <w:rPr>
          <w:lang w:val="en-NZ"/>
        </w:rPr>
        <w:t>1,056</w:t>
      </w:r>
      <w:r>
        <w:rPr>
          <w:lang w:val="en-NZ"/>
        </w:rPr>
        <w:t xml:space="preserve"> gang members were recorded as the </w:t>
      </w:r>
      <w:r w:rsidR="0059688B">
        <w:rPr>
          <w:lang w:val="en-NZ"/>
        </w:rPr>
        <w:t xml:space="preserve">alleged </w:t>
      </w:r>
      <w:r>
        <w:rPr>
          <w:lang w:val="en-NZ"/>
        </w:rPr>
        <w:t>perpetrator</w:t>
      </w:r>
      <w:r w:rsidR="00682847">
        <w:rPr>
          <w:lang w:val="en-NZ"/>
        </w:rPr>
        <w:t>s</w:t>
      </w:r>
      <w:r>
        <w:rPr>
          <w:lang w:val="en-NZ"/>
        </w:rPr>
        <w:t xml:space="preserve"> in a total of 4,</w:t>
      </w:r>
      <w:r w:rsidR="0028708C">
        <w:rPr>
          <w:lang w:val="en-NZ"/>
        </w:rPr>
        <w:t>944</w:t>
      </w:r>
      <w:r>
        <w:rPr>
          <w:lang w:val="en-NZ"/>
        </w:rPr>
        <w:t xml:space="preserve"> substantiated findings</w:t>
      </w:r>
      <w:r w:rsidR="0028708C">
        <w:rPr>
          <w:lang w:val="en-NZ"/>
        </w:rPr>
        <w:t xml:space="preserve"> involving 2,953 distinct children</w:t>
      </w:r>
      <w:r>
        <w:rPr>
          <w:lang w:val="en-NZ"/>
        </w:rPr>
        <w:t>.</w:t>
      </w:r>
      <w:r w:rsidR="0083659F">
        <w:rPr>
          <w:lang w:val="en-NZ"/>
        </w:rPr>
        <w:t xml:space="preserve"> </w:t>
      </w:r>
      <w:r w:rsidR="00C40FE7">
        <w:rPr>
          <w:lang w:val="en-NZ"/>
        </w:rPr>
        <w:t>The relationship of the gang member to the victim in the</w:t>
      </w:r>
      <w:r w:rsidR="00474076">
        <w:rPr>
          <w:lang w:val="en-NZ"/>
        </w:rPr>
        <w:t>se</w:t>
      </w:r>
      <w:r w:rsidR="00C40FE7">
        <w:rPr>
          <w:lang w:val="en-NZ"/>
        </w:rPr>
        <w:t xml:space="preserve"> </w:t>
      </w:r>
      <w:r w:rsidR="0028708C">
        <w:rPr>
          <w:lang w:val="en-NZ"/>
        </w:rPr>
        <w:t xml:space="preserve">4,944 </w:t>
      </w:r>
      <w:r w:rsidR="00C40FE7">
        <w:rPr>
          <w:lang w:val="en-NZ"/>
        </w:rPr>
        <w:t xml:space="preserve">findings was recorded as the parent in 77 </w:t>
      </w:r>
      <w:r w:rsidR="005D7755">
        <w:rPr>
          <w:lang w:val="en-NZ"/>
        </w:rPr>
        <w:t>percent</w:t>
      </w:r>
      <w:r w:rsidR="00C40FE7">
        <w:rPr>
          <w:lang w:val="en-NZ"/>
        </w:rPr>
        <w:t xml:space="preserve"> of </w:t>
      </w:r>
      <w:r w:rsidR="00474076">
        <w:rPr>
          <w:lang w:val="en-NZ"/>
        </w:rPr>
        <w:t>cases</w:t>
      </w:r>
      <w:r w:rsidR="00C40FE7">
        <w:rPr>
          <w:rStyle w:val="FootnoteReference"/>
        </w:rPr>
        <w:footnoteReference w:id="5"/>
      </w:r>
      <w:r w:rsidR="00C40FE7">
        <w:rPr>
          <w:lang w:val="en-NZ"/>
        </w:rPr>
        <w:t>, and as the step-parent or mother’s partner in 1</w:t>
      </w:r>
      <w:r w:rsidR="0028708C">
        <w:rPr>
          <w:lang w:val="en-NZ"/>
        </w:rPr>
        <w:t>5</w:t>
      </w:r>
      <w:r w:rsidR="00C40FE7">
        <w:rPr>
          <w:lang w:val="en-NZ"/>
        </w:rPr>
        <w:t xml:space="preserve"> </w:t>
      </w:r>
      <w:r w:rsidR="005D7755">
        <w:rPr>
          <w:lang w:val="en-NZ"/>
        </w:rPr>
        <w:t>percent</w:t>
      </w:r>
      <w:r w:rsidR="00C40FE7">
        <w:rPr>
          <w:lang w:val="en-NZ"/>
        </w:rPr>
        <w:t xml:space="preserve"> of </w:t>
      </w:r>
      <w:r w:rsidR="00474076">
        <w:rPr>
          <w:lang w:val="en-NZ"/>
        </w:rPr>
        <w:t>cases</w:t>
      </w:r>
      <w:r w:rsidR="00C40FE7">
        <w:rPr>
          <w:lang w:val="en-NZ"/>
        </w:rPr>
        <w:t xml:space="preserve">. In three </w:t>
      </w:r>
      <w:r w:rsidR="005D7755">
        <w:rPr>
          <w:lang w:val="en-NZ"/>
        </w:rPr>
        <w:t>percent</w:t>
      </w:r>
      <w:r w:rsidR="00C40FE7">
        <w:rPr>
          <w:lang w:val="en-NZ"/>
        </w:rPr>
        <w:t xml:space="preserve"> of findings, the gang member was recorded as some other relative to the victim</w:t>
      </w:r>
      <w:r w:rsidR="0059688B">
        <w:rPr>
          <w:lang w:val="en-NZ"/>
        </w:rPr>
        <w:t xml:space="preserve">, and in </w:t>
      </w:r>
      <w:r w:rsidR="00C40FE7">
        <w:rPr>
          <w:lang w:val="en-NZ"/>
        </w:rPr>
        <w:t xml:space="preserve">two </w:t>
      </w:r>
      <w:r w:rsidR="005D7755">
        <w:rPr>
          <w:lang w:val="en-NZ"/>
        </w:rPr>
        <w:t>percent</w:t>
      </w:r>
      <w:r w:rsidR="00C40FE7">
        <w:rPr>
          <w:lang w:val="en-NZ"/>
        </w:rPr>
        <w:t xml:space="preserve"> of </w:t>
      </w:r>
      <w:r w:rsidR="0059688B">
        <w:rPr>
          <w:lang w:val="en-NZ"/>
        </w:rPr>
        <w:t xml:space="preserve">cases </w:t>
      </w:r>
      <w:r w:rsidR="00C40FE7">
        <w:rPr>
          <w:lang w:val="en-NZ"/>
        </w:rPr>
        <w:t xml:space="preserve">had </w:t>
      </w:r>
      <w:r w:rsidR="00AF020D">
        <w:rPr>
          <w:lang w:val="en-NZ"/>
        </w:rPr>
        <w:t>a</w:t>
      </w:r>
      <w:r w:rsidR="00C40FE7">
        <w:rPr>
          <w:lang w:val="en-NZ"/>
        </w:rPr>
        <w:t xml:space="preserve"> non-familial type of relationship to the victim.</w:t>
      </w:r>
    </w:p>
    <w:p w:rsidR="00682847" w:rsidRPr="00B9395B" w:rsidRDefault="00682847" w:rsidP="00C44A76">
      <w:pPr>
        <w:pStyle w:val="Heading2"/>
        <w:rPr>
          <w:sz w:val="26"/>
          <w:szCs w:val="26"/>
        </w:rPr>
      </w:pPr>
      <w:r w:rsidRPr="00B9395B">
        <w:rPr>
          <w:sz w:val="26"/>
          <w:szCs w:val="26"/>
        </w:rPr>
        <w:t>Gang members’ children known to Child, Youth and Family</w:t>
      </w:r>
    </w:p>
    <w:p w:rsidR="00AF020D" w:rsidRDefault="001B057B" w:rsidP="00C44A76">
      <w:pPr>
        <w:rPr>
          <w:lang w:val="en-NZ"/>
        </w:rPr>
      </w:pPr>
      <w:r>
        <w:rPr>
          <w:lang w:val="en-NZ"/>
        </w:rPr>
        <w:t>Analysis was carried out on whether gang members</w:t>
      </w:r>
      <w:r w:rsidR="00F9334D">
        <w:rPr>
          <w:lang w:val="en-NZ"/>
        </w:rPr>
        <w:t>’</w:t>
      </w:r>
      <w:r>
        <w:rPr>
          <w:lang w:val="en-NZ"/>
        </w:rPr>
        <w:t xml:space="preserve"> </w:t>
      </w:r>
      <w:r w:rsidR="00F9334D">
        <w:rPr>
          <w:lang w:val="en-NZ"/>
        </w:rPr>
        <w:t xml:space="preserve">children </w:t>
      </w:r>
      <w:r w:rsidR="008535DB">
        <w:rPr>
          <w:lang w:val="en-NZ"/>
        </w:rPr>
        <w:t xml:space="preserve">had </w:t>
      </w:r>
      <w:r w:rsidR="00470C81">
        <w:rPr>
          <w:lang w:val="en-NZ"/>
        </w:rPr>
        <w:t xml:space="preserve">ever had </w:t>
      </w:r>
      <w:r w:rsidR="008535DB">
        <w:rPr>
          <w:lang w:val="en-NZ"/>
        </w:rPr>
        <w:t>contact with the</w:t>
      </w:r>
      <w:r>
        <w:rPr>
          <w:lang w:val="en-NZ"/>
        </w:rPr>
        <w:t xml:space="preserve"> Care and Protectio</w:t>
      </w:r>
      <w:r w:rsidR="008535DB">
        <w:rPr>
          <w:lang w:val="en-NZ"/>
        </w:rPr>
        <w:t>n</w:t>
      </w:r>
      <w:r>
        <w:rPr>
          <w:lang w:val="en-NZ"/>
        </w:rPr>
        <w:t xml:space="preserve"> </w:t>
      </w:r>
      <w:r w:rsidR="008535DB">
        <w:rPr>
          <w:lang w:val="en-NZ"/>
        </w:rPr>
        <w:t>or</w:t>
      </w:r>
      <w:r>
        <w:rPr>
          <w:lang w:val="en-NZ"/>
        </w:rPr>
        <w:t xml:space="preserve"> Youth Justice service arms</w:t>
      </w:r>
      <w:r w:rsidR="00F9334D">
        <w:rPr>
          <w:lang w:val="en-NZ"/>
        </w:rPr>
        <w:t xml:space="preserve"> of Child, Youth and Family</w:t>
      </w:r>
      <w:r>
        <w:rPr>
          <w:lang w:val="en-NZ"/>
        </w:rPr>
        <w:t>.</w:t>
      </w:r>
    </w:p>
    <w:p w:rsidR="0013692F" w:rsidRPr="002D52BF" w:rsidRDefault="00513C4A" w:rsidP="00FA4A03">
      <w:pPr>
        <w:rPr>
          <w:b/>
          <w:color w:val="121F6B"/>
          <w:lang w:val="en-NZ"/>
        </w:rPr>
      </w:pPr>
      <w:r>
        <w:rPr>
          <w:b/>
          <w:color w:val="121F6B"/>
          <w:lang w:val="en-NZ"/>
        </w:rPr>
        <w:t>Sixty</w:t>
      </w:r>
      <w:r w:rsidR="0013692F">
        <w:rPr>
          <w:b/>
          <w:color w:val="121F6B"/>
          <w:lang w:val="en-NZ"/>
        </w:rPr>
        <w:t xml:space="preserve"> </w:t>
      </w:r>
      <w:r w:rsidR="005D7755">
        <w:rPr>
          <w:b/>
          <w:color w:val="121F6B"/>
          <w:lang w:val="en-NZ"/>
        </w:rPr>
        <w:t>percent</w:t>
      </w:r>
      <w:r w:rsidR="0013692F">
        <w:rPr>
          <w:b/>
          <w:color w:val="121F6B"/>
          <w:lang w:val="en-NZ"/>
        </w:rPr>
        <w:t xml:space="preserve"> of the </w:t>
      </w:r>
      <w:r>
        <w:rPr>
          <w:b/>
          <w:color w:val="121F6B"/>
          <w:lang w:val="en-NZ"/>
        </w:rPr>
        <w:t xml:space="preserve">5,890 </w:t>
      </w:r>
      <w:r w:rsidR="0013692F">
        <w:rPr>
          <w:b/>
          <w:color w:val="121F6B"/>
          <w:lang w:val="en-NZ"/>
        </w:rPr>
        <w:t xml:space="preserve">children of gang members known to Child, Youth and Family </w:t>
      </w:r>
      <w:r w:rsidR="008535DB">
        <w:rPr>
          <w:b/>
          <w:color w:val="121F6B"/>
          <w:lang w:val="en-NZ"/>
        </w:rPr>
        <w:t>have been</w:t>
      </w:r>
      <w:r w:rsidR="0013692F">
        <w:rPr>
          <w:b/>
          <w:color w:val="121F6B"/>
          <w:lang w:val="en-NZ"/>
        </w:rPr>
        <w:t xml:space="preserve"> abuse</w:t>
      </w:r>
      <w:r w:rsidR="0025186D">
        <w:rPr>
          <w:b/>
          <w:color w:val="121F6B"/>
          <w:lang w:val="en-NZ"/>
        </w:rPr>
        <w:t>d</w:t>
      </w:r>
      <w:r w:rsidR="0013692F">
        <w:rPr>
          <w:b/>
          <w:color w:val="121F6B"/>
          <w:lang w:val="en-NZ"/>
        </w:rPr>
        <w:t xml:space="preserve"> or neglect</w:t>
      </w:r>
      <w:r w:rsidR="0025186D">
        <w:rPr>
          <w:b/>
          <w:color w:val="121F6B"/>
          <w:lang w:val="en-NZ"/>
        </w:rPr>
        <w:t>ed</w:t>
      </w:r>
    </w:p>
    <w:p w:rsidR="00883305" w:rsidRDefault="00883305" w:rsidP="00FA4A03">
      <w:pPr>
        <w:rPr>
          <w:lang w:val="en-NZ"/>
        </w:rPr>
      </w:pPr>
      <w:r>
        <w:rPr>
          <w:lang w:val="en-NZ"/>
        </w:rPr>
        <w:t>A total of 3,</w:t>
      </w:r>
      <w:r w:rsidR="000A1842">
        <w:rPr>
          <w:lang w:val="en-NZ"/>
        </w:rPr>
        <w:t>516</w:t>
      </w:r>
      <w:r>
        <w:rPr>
          <w:lang w:val="en-NZ"/>
        </w:rPr>
        <w:t xml:space="preserve"> children of gang members were recorded as being the victims of abuse or neglect that had been substantiated on investigation by Child, Youth and Family. This is 6</w:t>
      </w:r>
      <w:r w:rsidR="000A1842">
        <w:rPr>
          <w:lang w:val="en-NZ"/>
        </w:rPr>
        <w:t>0</w:t>
      </w:r>
      <w:r w:rsidRPr="00B65E0F">
        <w:rPr>
          <w:lang w:val="en-NZ"/>
        </w:rPr>
        <w:t xml:space="preserve"> </w:t>
      </w:r>
      <w:r w:rsidR="005D7755">
        <w:rPr>
          <w:lang w:val="en-NZ"/>
        </w:rPr>
        <w:t>percent</w:t>
      </w:r>
      <w:r>
        <w:rPr>
          <w:lang w:val="en-NZ"/>
        </w:rPr>
        <w:t xml:space="preserve"> of the total </w:t>
      </w:r>
      <w:r w:rsidR="005800D6">
        <w:rPr>
          <w:lang w:val="en-NZ"/>
        </w:rPr>
        <w:t>5,890</w:t>
      </w:r>
      <w:r>
        <w:rPr>
          <w:lang w:val="en-NZ"/>
        </w:rPr>
        <w:t xml:space="preserve"> </w:t>
      </w:r>
      <w:r w:rsidR="00470C81">
        <w:rPr>
          <w:lang w:val="en-NZ"/>
        </w:rPr>
        <w:t xml:space="preserve">known </w:t>
      </w:r>
      <w:r>
        <w:rPr>
          <w:lang w:val="en-NZ"/>
        </w:rPr>
        <w:t>children of gang members.</w:t>
      </w:r>
      <w:r w:rsidR="005800D6" w:rsidRPr="005800D6">
        <w:rPr>
          <w:vertAlign w:val="superscript"/>
          <w:lang w:val="en-NZ"/>
        </w:rPr>
        <w:footnoteReference w:id="6"/>
      </w:r>
      <w:r>
        <w:rPr>
          <w:lang w:val="en-NZ"/>
        </w:rPr>
        <w:t xml:space="preserve"> </w:t>
      </w:r>
    </w:p>
    <w:p w:rsidR="00C40FE7" w:rsidRDefault="000A1842" w:rsidP="00B41C54">
      <w:pPr>
        <w:rPr>
          <w:lang w:val="en-NZ"/>
        </w:rPr>
      </w:pPr>
      <w:r>
        <w:rPr>
          <w:lang w:val="en-NZ"/>
        </w:rPr>
        <w:t xml:space="preserve">Of the total 5,890 known children of gang members, 44 percent </w:t>
      </w:r>
      <w:r w:rsidR="007119E2">
        <w:rPr>
          <w:lang w:val="en-NZ"/>
        </w:rPr>
        <w:t>were</w:t>
      </w:r>
      <w:r>
        <w:rPr>
          <w:lang w:val="en-NZ"/>
        </w:rPr>
        <w:t xml:space="preserve"> emotionally abused, 28 percent </w:t>
      </w:r>
      <w:r w:rsidR="007119E2">
        <w:rPr>
          <w:lang w:val="en-NZ"/>
        </w:rPr>
        <w:t>were</w:t>
      </w:r>
      <w:r>
        <w:rPr>
          <w:lang w:val="en-NZ"/>
        </w:rPr>
        <w:t xml:space="preserve"> neglected, 13 percent </w:t>
      </w:r>
      <w:r w:rsidR="007119E2">
        <w:rPr>
          <w:lang w:val="en-NZ"/>
        </w:rPr>
        <w:t>were</w:t>
      </w:r>
      <w:r>
        <w:rPr>
          <w:lang w:val="en-NZ"/>
        </w:rPr>
        <w:t xml:space="preserve"> physically abused and four percent </w:t>
      </w:r>
      <w:r w:rsidR="007119E2">
        <w:rPr>
          <w:lang w:val="en-NZ"/>
        </w:rPr>
        <w:t>were</w:t>
      </w:r>
      <w:r>
        <w:rPr>
          <w:lang w:val="en-NZ"/>
        </w:rPr>
        <w:t xml:space="preserve"> sexually abused in terms of substantiated findings</w:t>
      </w:r>
      <w:r w:rsidR="00E55234">
        <w:rPr>
          <w:lang w:val="en-NZ"/>
        </w:rPr>
        <w:t>.</w:t>
      </w:r>
    </w:p>
    <w:p w:rsidR="001E2E14" w:rsidRDefault="001E2E14" w:rsidP="001E2E14">
      <w:pPr>
        <w:rPr>
          <w:lang w:val="en-NZ"/>
        </w:rPr>
      </w:pPr>
      <w:r w:rsidRPr="001E2E14">
        <w:rPr>
          <w:lang w:val="en-NZ"/>
        </w:rPr>
        <w:t xml:space="preserve">The </w:t>
      </w:r>
      <w:r w:rsidR="000A2341">
        <w:rPr>
          <w:lang w:val="en-NZ"/>
        </w:rPr>
        <w:t xml:space="preserve">alleged </w:t>
      </w:r>
      <w:r w:rsidRPr="001E2E14">
        <w:rPr>
          <w:lang w:val="en-NZ"/>
        </w:rPr>
        <w:t xml:space="preserve">perpetrator of abuse or neglect of gang member’s children was more often recorded as the </w:t>
      </w:r>
      <w:r w:rsidR="00FA6711">
        <w:rPr>
          <w:lang w:val="en-NZ"/>
        </w:rPr>
        <w:t xml:space="preserve">child’s </w:t>
      </w:r>
      <w:r w:rsidRPr="001E2E14">
        <w:rPr>
          <w:lang w:val="en-NZ"/>
        </w:rPr>
        <w:t>mother than the gang member</w:t>
      </w:r>
      <w:r w:rsidR="00947FE5">
        <w:rPr>
          <w:lang w:val="en-NZ"/>
        </w:rPr>
        <w:t xml:space="preserve"> father</w:t>
      </w:r>
      <w:r>
        <w:rPr>
          <w:lang w:val="en-NZ"/>
        </w:rPr>
        <w:t xml:space="preserve">. </w:t>
      </w:r>
      <w:r w:rsidR="00FA6711">
        <w:rPr>
          <w:lang w:val="en-NZ"/>
        </w:rPr>
        <w:t xml:space="preserve">However, </w:t>
      </w:r>
      <w:r w:rsidR="00474076">
        <w:rPr>
          <w:lang w:val="en-NZ"/>
        </w:rPr>
        <w:t>caution</w:t>
      </w:r>
      <w:r>
        <w:rPr>
          <w:lang w:val="en-NZ"/>
        </w:rPr>
        <w:t xml:space="preserve"> should be taken with th</w:t>
      </w:r>
      <w:r w:rsidR="00FA6711">
        <w:rPr>
          <w:lang w:val="en-NZ"/>
        </w:rPr>
        <w:t xml:space="preserve">is finding </w:t>
      </w:r>
      <w:r>
        <w:rPr>
          <w:lang w:val="en-NZ"/>
        </w:rPr>
        <w:t xml:space="preserve">as </w:t>
      </w:r>
      <w:r w:rsidR="00FC5D3A">
        <w:rPr>
          <w:lang w:val="en-NZ"/>
        </w:rPr>
        <w:t xml:space="preserve">the </w:t>
      </w:r>
      <w:r>
        <w:rPr>
          <w:lang w:val="en-NZ"/>
        </w:rPr>
        <w:t xml:space="preserve">relationship was not recorded for 20 </w:t>
      </w:r>
      <w:r w:rsidR="005D7755">
        <w:rPr>
          <w:lang w:val="en-NZ"/>
        </w:rPr>
        <w:t>percent</w:t>
      </w:r>
      <w:r>
        <w:rPr>
          <w:lang w:val="en-NZ"/>
        </w:rPr>
        <w:t xml:space="preserve"> of </w:t>
      </w:r>
      <w:r w:rsidR="00FA6711">
        <w:rPr>
          <w:lang w:val="en-NZ"/>
        </w:rPr>
        <w:t>cases</w:t>
      </w:r>
      <w:r>
        <w:rPr>
          <w:lang w:val="en-NZ"/>
        </w:rPr>
        <w:t>.</w:t>
      </w:r>
    </w:p>
    <w:p w:rsidR="00E55234" w:rsidRPr="00E55234" w:rsidRDefault="00AD35E8" w:rsidP="00C44A76">
      <w:pPr>
        <w:rPr>
          <w:b/>
          <w:color w:val="121F6B"/>
          <w:lang w:val="en-NZ"/>
        </w:rPr>
      </w:pPr>
      <w:r>
        <w:rPr>
          <w:b/>
          <w:color w:val="121F6B"/>
          <w:lang w:val="en-NZ"/>
        </w:rPr>
        <w:lastRenderedPageBreak/>
        <w:t>Nearly a quarter</w:t>
      </w:r>
      <w:r w:rsidR="00E55234" w:rsidRPr="00E55234">
        <w:rPr>
          <w:b/>
          <w:color w:val="121F6B"/>
          <w:lang w:val="en-NZ"/>
        </w:rPr>
        <w:t xml:space="preserve"> of the children of gang members aged 10 years </w:t>
      </w:r>
      <w:r w:rsidR="003D13C3">
        <w:rPr>
          <w:b/>
          <w:color w:val="121F6B"/>
          <w:lang w:val="en-NZ"/>
        </w:rPr>
        <w:t xml:space="preserve">or older </w:t>
      </w:r>
      <w:r w:rsidR="00E55234" w:rsidRPr="00E55234">
        <w:rPr>
          <w:b/>
          <w:color w:val="121F6B"/>
          <w:lang w:val="en-NZ"/>
        </w:rPr>
        <w:t>had youth justice involvement with Child, Youth and Family</w:t>
      </w:r>
    </w:p>
    <w:p w:rsidR="00E55234" w:rsidRDefault="00E55234" w:rsidP="005063AD">
      <w:pPr>
        <w:rPr>
          <w:lang w:val="en-NZ"/>
        </w:rPr>
      </w:pPr>
      <w:r>
        <w:rPr>
          <w:lang w:val="en-NZ"/>
        </w:rPr>
        <w:t xml:space="preserve">Of the </w:t>
      </w:r>
      <w:r w:rsidR="00424932">
        <w:rPr>
          <w:lang w:val="en-NZ"/>
        </w:rPr>
        <w:t xml:space="preserve">total </w:t>
      </w:r>
      <w:r w:rsidR="005800D6">
        <w:rPr>
          <w:lang w:val="en-NZ"/>
        </w:rPr>
        <w:t>5,890</w:t>
      </w:r>
      <w:r>
        <w:rPr>
          <w:lang w:val="en-NZ"/>
        </w:rPr>
        <w:t xml:space="preserve"> </w:t>
      </w:r>
      <w:r w:rsidR="00424932">
        <w:rPr>
          <w:lang w:val="en-NZ"/>
        </w:rPr>
        <w:t xml:space="preserve">known </w:t>
      </w:r>
      <w:r>
        <w:rPr>
          <w:lang w:val="en-NZ"/>
        </w:rPr>
        <w:t>children of gang members, 3,</w:t>
      </w:r>
      <w:r w:rsidR="00675A6B">
        <w:rPr>
          <w:lang w:val="en-NZ"/>
        </w:rPr>
        <w:t>372</w:t>
      </w:r>
      <w:r>
        <w:rPr>
          <w:lang w:val="en-NZ"/>
        </w:rPr>
        <w:t xml:space="preserve"> were aged 10 years </w:t>
      </w:r>
      <w:r w:rsidR="003D13C3">
        <w:rPr>
          <w:lang w:val="en-NZ"/>
        </w:rPr>
        <w:t xml:space="preserve">or older </w:t>
      </w:r>
      <w:r>
        <w:rPr>
          <w:lang w:val="en-NZ"/>
        </w:rPr>
        <w:t>at the time of this analysis. Of these 3,</w:t>
      </w:r>
      <w:r w:rsidR="00675A6B">
        <w:rPr>
          <w:lang w:val="en-NZ"/>
        </w:rPr>
        <w:t>372</w:t>
      </w:r>
      <w:r>
        <w:rPr>
          <w:lang w:val="en-NZ"/>
        </w:rPr>
        <w:t xml:space="preserve"> children, 23 </w:t>
      </w:r>
      <w:r w:rsidR="005D7755">
        <w:rPr>
          <w:lang w:val="en-NZ"/>
        </w:rPr>
        <w:t>percent</w:t>
      </w:r>
      <w:r>
        <w:rPr>
          <w:lang w:val="en-NZ"/>
        </w:rPr>
        <w:t xml:space="preserve"> (7</w:t>
      </w:r>
      <w:r w:rsidR="00675A6B">
        <w:rPr>
          <w:lang w:val="en-NZ"/>
        </w:rPr>
        <w:t>6</w:t>
      </w:r>
      <w:r w:rsidR="005969A7">
        <w:rPr>
          <w:lang w:val="en-NZ"/>
        </w:rPr>
        <w:t>2</w:t>
      </w:r>
      <w:r>
        <w:rPr>
          <w:lang w:val="en-NZ"/>
        </w:rPr>
        <w:t xml:space="preserve">) </w:t>
      </w:r>
      <w:r w:rsidR="00424932">
        <w:rPr>
          <w:lang w:val="en-NZ"/>
        </w:rPr>
        <w:t xml:space="preserve">had at least one referral to </w:t>
      </w:r>
      <w:r>
        <w:rPr>
          <w:lang w:val="en-NZ"/>
        </w:rPr>
        <w:t>Child, Youth and Family for a Youth Justice Family Group Conference (FGC).</w:t>
      </w:r>
    </w:p>
    <w:p w:rsidR="005C0B01" w:rsidRPr="00B9395B" w:rsidRDefault="005C0B01" w:rsidP="00C44A76">
      <w:pPr>
        <w:pStyle w:val="Heading2"/>
        <w:rPr>
          <w:sz w:val="26"/>
          <w:szCs w:val="26"/>
        </w:rPr>
      </w:pPr>
      <w:r w:rsidRPr="00B9395B">
        <w:rPr>
          <w:sz w:val="26"/>
          <w:szCs w:val="26"/>
        </w:rPr>
        <w:t>Estimated costs to Child, Youth and Family associated with gang members</w:t>
      </w:r>
    </w:p>
    <w:p w:rsidR="009A5E3F" w:rsidRPr="009A5E3F" w:rsidRDefault="009A5E3F" w:rsidP="00C44A76">
      <w:pPr>
        <w:rPr>
          <w:b/>
          <w:color w:val="121F6B"/>
          <w:lang w:val="en-NZ"/>
        </w:rPr>
      </w:pPr>
      <w:r w:rsidRPr="009A5E3F">
        <w:rPr>
          <w:b/>
          <w:color w:val="121F6B"/>
          <w:lang w:val="en-NZ"/>
        </w:rPr>
        <w:t xml:space="preserve">The </w:t>
      </w:r>
      <w:r w:rsidR="00BF6208" w:rsidRPr="000E303E">
        <w:rPr>
          <w:b/>
          <w:color w:val="121F6B"/>
          <w:lang w:val="en-NZ"/>
        </w:rPr>
        <w:t xml:space="preserve">estimated </w:t>
      </w:r>
      <w:r w:rsidR="00045FA0">
        <w:rPr>
          <w:b/>
          <w:color w:val="121F6B"/>
          <w:lang w:val="en-NZ"/>
        </w:rPr>
        <w:t xml:space="preserve">lifetime-to-date </w:t>
      </w:r>
      <w:r w:rsidR="00BF6208">
        <w:rPr>
          <w:b/>
          <w:color w:val="121F6B"/>
          <w:lang w:val="en-NZ"/>
        </w:rPr>
        <w:t xml:space="preserve">total </w:t>
      </w:r>
      <w:r w:rsidRPr="009A5E3F">
        <w:rPr>
          <w:b/>
          <w:color w:val="121F6B"/>
          <w:lang w:val="en-NZ"/>
        </w:rPr>
        <w:t xml:space="preserve">cost to Child, Youth and Family from </w:t>
      </w:r>
      <w:r w:rsidR="0070286B">
        <w:rPr>
          <w:b/>
          <w:color w:val="121F6B"/>
          <w:lang w:val="en-NZ"/>
        </w:rPr>
        <w:t>the</w:t>
      </w:r>
      <w:r w:rsidRPr="009A5E3F">
        <w:rPr>
          <w:b/>
          <w:color w:val="121F6B"/>
          <w:lang w:val="en-NZ"/>
        </w:rPr>
        <w:t xml:space="preserve"> </w:t>
      </w:r>
      <w:r w:rsidR="003B2737">
        <w:rPr>
          <w:b/>
          <w:color w:val="121F6B"/>
          <w:lang w:val="en-NZ"/>
        </w:rPr>
        <w:t xml:space="preserve">adult </w:t>
      </w:r>
      <w:r w:rsidRPr="009A5E3F">
        <w:rPr>
          <w:b/>
          <w:color w:val="121F6B"/>
          <w:lang w:val="en-NZ"/>
        </w:rPr>
        <w:t xml:space="preserve">gang members and their children </w:t>
      </w:r>
      <w:r w:rsidR="00454D37">
        <w:rPr>
          <w:b/>
          <w:color w:val="121F6B"/>
          <w:lang w:val="en-NZ"/>
        </w:rPr>
        <w:t>wa</w:t>
      </w:r>
      <w:r w:rsidRPr="009A5E3F">
        <w:rPr>
          <w:b/>
          <w:color w:val="121F6B"/>
          <w:lang w:val="en-NZ"/>
        </w:rPr>
        <w:t xml:space="preserve">s </w:t>
      </w:r>
      <w:r w:rsidR="00B2142D">
        <w:rPr>
          <w:b/>
          <w:color w:val="121F6B"/>
          <w:lang w:val="en-NZ"/>
        </w:rPr>
        <w:t xml:space="preserve">at least </w:t>
      </w:r>
      <w:r w:rsidRPr="009A5E3F">
        <w:rPr>
          <w:b/>
          <w:color w:val="121F6B"/>
          <w:lang w:val="en-NZ"/>
        </w:rPr>
        <w:t>$18</w:t>
      </w:r>
      <w:r w:rsidR="00675A6B">
        <w:rPr>
          <w:b/>
          <w:color w:val="121F6B"/>
          <w:lang w:val="en-NZ"/>
        </w:rPr>
        <w:t>9</w:t>
      </w:r>
      <w:r w:rsidR="00AC24EB">
        <w:rPr>
          <w:b/>
          <w:color w:val="121F6B"/>
          <w:lang w:val="en-NZ"/>
        </w:rPr>
        <w:t xml:space="preserve"> </w:t>
      </w:r>
      <w:r w:rsidRPr="009A5E3F">
        <w:rPr>
          <w:b/>
          <w:color w:val="121F6B"/>
          <w:lang w:val="en-NZ"/>
        </w:rPr>
        <w:t>m</w:t>
      </w:r>
      <w:r w:rsidR="00AC24EB">
        <w:rPr>
          <w:b/>
          <w:color w:val="121F6B"/>
          <w:lang w:val="en-NZ"/>
        </w:rPr>
        <w:t>illion</w:t>
      </w:r>
    </w:p>
    <w:p w:rsidR="009A5E3F" w:rsidRDefault="00725ECC" w:rsidP="00C44A76">
      <w:pPr>
        <w:rPr>
          <w:lang w:val="en-NZ"/>
        </w:rPr>
      </w:pPr>
      <w:r>
        <w:rPr>
          <w:lang w:val="en-NZ"/>
        </w:rPr>
        <w:t>We</w:t>
      </w:r>
      <w:r w:rsidR="009A5E3F">
        <w:rPr>
          <w:lang w:val="en-NZ"/>
        </w:rPr>
        <w:t xml:space="preserve"> estimate</w:t>
      </w:r>
      <w:r>
        <w:rPr>
          <w:lang w:val="en-NZ"/>
        </w:rPr>
        <w:t xml:space="preserve"> </w:t>
      </w:r>
      <w:r w:rsidR="009A5E3F">
        <w:rPr>
          <w:lang w:val="en-NZ"/>
        </w:rPr>
        <w:t xml:space="preserve">the direct and indirect costs </w:t>
      </w:r>
      <w:r w:rsidR="00627A52">
        <w:rPr>
          <w:lang w:val="en-NZ"/>
        </w:rPr>
        <w:t xml:space="preserve">of </w:t>
      </w:r>
      <w:r w:rsidR="0070286B">
        <w:rPr>
          <w:lang w:val="en-NZ"/>
        </w:rPr>
        <w:t xml:space="preserve">the 3,960 </w:t>
      </w:r>
      <w:r w:rsidR="00627A52">
        <w:rPr>
          <w:lang w:val="en-NZ"/>
        </w:rPr>
        <w:t xml:space="preserve">known gang members </w:t>
      </w:r>
      <w:r w:rsidR="0065664D">
        <w:rPr>
          <w:lang w:val="en-NZ"/>
        </w:rPr>
        <w:t xml:space="preserve">lifetime-to-date </w:t>
      </w:r>
      <w:r w:rsidR="00627A52">
        <w:rPr>
          <w:lang w:val="en-NZ"/>
        </w:rPr>
        <w:t>contact with</w:t>
      </w:r>
      <w:r w:rsidR="009A5E3F">
        <w:rPr>
          <w:lang w:val="en-NZ"/>
        </w:rPr>
        <w:t xml:space="preserve"> the Child, Youth and Family service arms </w:t>
      </w:r>
      <w:r w:rsidR="00454D37">
        <w:rPr>
          <w:lang w:val="en-NZ"/>
        </w:rPr>
        <w:t>wa</w:t>
      </w:r>
      <w:r w:rsidR="009A5E3F">
        <w:rPr>
          <w:lang w:val="en-NZ"/>
        </w:rPr>
        <w:t xml:space="preserve">s in the vicinity of $58m. This is likely to be an under-estimate due </w:t>
      </w:r>
      <w:r w:rsidR="00B33DA5">
        <w:rPr>
          <w:lang w:val="en-NZ"/>
        </w:rPr>
        <w:t xml:space="preserve">to </w:t>
      </w:r>
      <w:r w:rsidR="009A5E3F">
        <w:rPr>
          <w:lang w:val="en-NZ"/>
        </w:rPr>
        <w:t>data limitations.</w:t>
      </w:r>
      <w:r w:rsidR="006622EC">
        <w:rPr>
          <w:lang w:val="en-NZ"/>
        </w:rPr>
        <w:t xml:space="preserve"> </w:t>
      </w:r>
      <w:r w:rsidR="006622EC" w:rsidRPr="006622EC">
        <w:rPr>
          <w:lang w:val="en-NZ"/>
        </w:rPr>
        <w:t>Estimated costs cover both the care and protection and youth justice areas.</w:t>
      </w:r>
    </w:p>
    <w:p w:rsidR="009A5E3F" w:rsidRDefault="00725ECC" w:rsidP="009A5E3F">
      <w:pPr>
        <w:rPr>
          <w:lang w:val="en-NZ"/>
        </w:rPr>
      </w:pPr>
      <w:r>
        <w:rPr>
          <w:lang w:val="en-NZ"/>
        </w:rPr>
        <w:t xml:space="preserve">We </w:t>
      </w:r>
      <w:r w:rsidR="009A5E3F">
        <w:rPr>
          <w:lang w:val="en-NZ"/>
        </w:rPr>
        <w:t xml:space="preserve">estimate that the direct and indirect costs to Child, Youth and Family of the </w:t>
      </w:r>
      <w:r w:rsidR="005800D6">
        <w:rPr>
          <w:lang w:val="en-NZ"/>
        </w:rPr>
        <w:t>5,890</w:t>
      </w:r>
      <w:r w:rsidR="009A5E3F">
        <w:rPr>
          <w:lang w:val="en-NZ"/>
        </w:rPr>
        <w:t xml:space="preserve"> known children of gang members </w:t>
      </w:r>
      <w:r w:rsidR="00454D37">
        <w:rPr>
          <w:lang w:val="en-NZ"/>
        </w:rPr>
        <w:t>wa</w:t>
      </w:r>
      <w:r w:rsidR="009A5E3F">
        <w:rPr>
          <w:lang w:val="en-NZ"/>
        </w:rPr>
        <w:t xml:space="preserve">s in the vicinity of </w:t>
      </w:r>
      <w:r w:rsidR="009A5E3F" w:rsidRPr="002F69D6">
        <w:rPr>
          <w:lang w:val="en-NZ"/>
        </w:rPr>
        <w:t>$</w:t>
      </w:r>
      <w:r w:rsidR="009A5E3F">
        <w:rPr>
          <w:lang w:val="en-NZ"/>
        </w:rPr>
        <w:t>1</w:t>
      </w:r>
      <w:r w:rsidR="00675A6B">
        <w:rPr>
          <w:lang w:val="en-NZ"/>
        </w:rPr>
        <w:t>31</w:t>
      </w:r>
      <w:r w:rsidR="009A5E3F">
        <w:rPr>
          <w:lang w:val="en-NZ"/>
        </w:rPr>
        <w:t>m</w:t>
      </w:r>
      <w:r w:rsidR="00627A52">
        <w:rPr>
          <w:lang w:val="en-NZ"/>
        </w:rPr>
        <w:t xml:space="preserve">, making an overall </w:t>
      </w:r>
      <w:r w:rsidR="00422EF9">
        <w:rPr>
          <w:lang w:val="en-NZ"/>
        </w:rPr>
        <w:t xml:space="preserve">estimated </w:t>
      </w:r>
      <w:r w:rsidR="00627A52">
        <w:rPr>
          <w:lang w:val="en-NZ"/>
        </w:rPr>
        <w:t>total of $18</w:t>
      </w:r>
      <w:r w:rsidR="00675A6B">
        <w:rPr>
          <w:lang w:val="en-NZ"/>
        </w:rPr>
        <w:t>9</w:t>
      </w:r>
      <w:r w:rsidR="00363F25">
        <w:rPr>
          <w:lang w:val="en-NZ"/>
        </w:rPr>
        <w:t>m</w:t>
      </w:r>
      <w:r w:rsidR="009A5E3F">
        <w:rPr>
          <w:lang w:val="en-NZ"/>
        </w:rPr>
        <w:t>.</w:t>
      </w:r>
    </w:p>
    <w:p w:rsidR="0057127C" w:rsidRPr="00B9395B" w:rsidRDefault="0057127C" w:rsidP="0057127C">
      <w:pPr>
        <w:pStyle w:val="Heading2"/>
        <w:rPr>
          <w:sz w:val="26"/>
          <w:szCs w:val="26"/>
        </w:rPr>
      </w:pPr>
      <w:r w:rsidRPr="00B9395B">
        <w:rPr>
          <w:sz w:val="26"/>
          <w:szCs w:val="26"/>
        </w:rPr>
        <w:t>Conclusions</w:t>
      </w:r>
    </w:p>
    <w:p w:rsidR="00D53FC1" w:rsidRDefault="00D53FC1" w:rsidP="00D53FC1">
      <w:pPr>
        <w:rPr>
          <w:lang w:val="en-NZ"/>
        </w:rPr>
      </w:pPr>
      <w:r>
        <w:rPr>
          <w:lang w:val="en-NZ"/>
        </w:rPr>
        <w:t>Perhaps not surprising</w:t>
      </w:r>
      <w:r w:rsidR="0053124C">
        <w:rPr>
          <w:lang w:val="en-NZ"/>
        </w:rPr>
        <w:t>ly</w:t>
      </w:r>
      <w:r>
        <w:rPr>
          <w:lang w:val="en-NZ"/>
        </w:rPr>
        <w:t xml:space="preserve">, gang members </w:t>
      </w:r>
      <w:r w:rsidR="0053124C">
        <w:rPr>
          <w:lang w:val="en-NZ"/>
        </w:rPr>
        <w:t>tend to be</w:t>
      </w:r>
      <w:r w:rsidR="00F41FE3">
        <w:rPr>
          <w:lang w:val="en-NZ"/>
        </w:rPr>
        <w:t xml:space="preserve"> </w:t>
      </w:r>
      <w:r>
        <w:rPr>
          <w:lang w:val="en-NZ"/>
        </w:rPr>
        <w:t xml:space="preserve">costly clients </w:t>
      </w:r>
      <w:r w:rsidR="00740C8C">
        <w:rPr>
          <w:lang w:val="en-NZ"/>
        </w:rPr>
        <w:t>for</w:t>
      </w:r>
      <w:r>
        <w:rPr>
          <w:lang w:val="en-NZ"/>
        </w:rPr>
        <w:t xml:space="preserve"> MSD. </w:t>
      </w:r>
      <w:r w:rsidR="006C5C25">
        <w:rPr>
          <w:lang w:val="en-NZ"/>
        </w:rPr>
        <w:t>We</w:t>
      </w:r>
      <w:r>
        <w:rPr>
          <w:lang w:val="en-NZ"/>
        </w:rPr>
        <w:t xml:space="preserve"> estimate that the </w:t>
      </w:r>
      <w:r w:rsidR="0070286B">
        <w:rPr>
          <w:lang w:val="en-NZ"/>
        </w:rPr>
        <w:t>3,960</w:t>
      </w:r>
      <w:r w:rsidR="009441B9">
        <w:rPr>
          <w:lang w:val="en-NZ"/>
        </w:rPr>
        <w:t xml:space="preserve"> known adult </w:t>
      </w:r>
      <w:r>
        <w:rPr>
          <w:lang w:val="en-NZ"/>
        </w:rPr>
        <w:t xml:space="preserve">gang members and their children amassed costs </w:t>
      </w:r>
      <w:r w:rsidR="008257AF">
        <w:rPr>
          <w:lang w:val="en-NZ"/>
        </w:rPr>
        <w:t xml:space="preserve">for MSD </w:t>
      </w:r>
      <w:r>
        <w:rPr>
          <w:lang w:val="en-NZ"/>
        </w:rPr>
        <w:t xml:space="preserve">of </w:t>
      </w:r>
      <w:r w:rsidR="008257AF">
        <w:rPr>
          <w:lang w:val="en-NZ"/>
        </w:rPr>
        <w:t xml:space="preserve">over </w:t>
      </w:r>
      <w:r w:rsidR="008257AF" w:rsidRPr="00D53FC1">
        <w:rPr>
          <w:lang w:val="en-NZ"/>
        </w:rPr>
        <w:t>$</w:t>
      </w:r>
      <w:r w:rsidR="008257AF">
        <w:rPr>
          <w:lang w:val="en-NZ"/>
        </w:rPr>
        <w:t>700 million</w:t>
      </w:r>
      <w:r w:rsidR="00A37004">
        <w:rPr>
          <w:lang w:val="en-NZ"/>
        </w:rPr>
        <w:t>.</w:t>
      </w:r>
    </w:p>
    <w:p w:rsidR="0088598D" w:rsidRDefault="00725ECC" w:rsidP="0088598D">
      <w:pPr>
        <w:rPr>
          <w:lang w:val="en-NZ"/>
        </w:rPr>
      </w:pPr>
      <w:r>
        <w:rPr>
          <w:lang w:val="en-NZ"/>
        </w:rPr>
        <w:t>T</w:t>
      </w:r>
      <w:r w:rsidR="0088598D">
        <w:rPr>
          <w:lang w:val="en-NZ"/>
        </w:rPr>
        <w:t xml:space="preserve">he children of gang members are a vulnerable group at high risk of experiencing negative life outcomes. There are in the order of 6,000 to 7,000 children </w:t>
      </w:r>
      <w:r w:rsidR="0053124C">
        <w:rPr>
          <w:lang w:val="en-NZ"/>
        </w:rPr>
        <w:t xml:space="preserve">known to be </w:t>
      </w:r>
      <w:r w:rsidR="0088598D">
        <w:rPr>
          <w:lang w:val="en-NZ"/>
        </w:rPr>
        <w:t xml:space="preserve">associated with gang members who are growing up in welfare recipient families, </w:t>
      </w:r>
      <w:r w:rsidR="008257AF">
        <w:rPr>
          <w:lang w:val="en-NZ"/>
        </w:rPr>
        <w:t xml:space="preserve">and are </w:t>
      </w:r>
      <w:r w:rsidR="0088598D">
        <w:rPr>
          <w:lang w:val="en-NZ"/>
        </w:rPr>
        <w:t xml:space="preserve">subject to high rates of abuse and neglect. Also, nearly a quarter of the children of gang members aged 10 years </w:t>
      </w:r>
      <w:r w:rsidR="0053124C">
        <w:rPr>
          <w:lang w:val="en-NZ"/>
        </w:rPr>
        <w:t xml:space="preserve">or older </w:t>
      </w:r>
      <w:r w:rsidR="0088598D">
        <w:rPr>
          <w:lang w:val="en-NZ"/>
        </w:rPr>
        <w:t>are already known to the Youth Justice service arm of Child, Youth and Family.</w:t>
      </w:r>
    </w:p>
    <w:p w:rsidR="00B742F7" w:rsidRDefault="00B742F7" w:rsidP="00B742F7">
      <w:pPr>
        <w:rPr>
          <w:lang w:val="en-NZ"/>
        </w:rPr>
      </w:pPr>
      <w:r>
        <w:rPr>
          <w:lang w:val="en-NZ"/>
        </w:rPr>
        <w:t xml:space="preserve">These negative life outcomes suggest that the children of gang members are likely to have a heightened risk of being future costly adult clients to MSD and the wider </w:t>
      </w:r>
      <w:r w:rsidR="006428DD">
        <w:rPr>
          <w:lang w:val="en-NZ"/>
        </w:rPr>
        <w:t>g</w:t>
      </w:r>
      <w:r>
        <w:rPr>
          <w:lang w:val="en-NZ"/>
        </w:rPr>
        <w:t>overnment.</w:t>
      </w:r>
    </w:p>
    <w:p w:rsidR="0000078A" w:rsidRPr="0000078A" w:rsidRDefault="0000078A" w:rsidP="0000078A">
      <w:pPr>
        <w:keepNext/>
        <w:rPr>
          <w:b/>
          <w:color w:val="121F6B"/>
          <w:lang w:val="en-NZ"/>
        </w:rPr>
      </w:pPr>
      <w:r w:rsidRPr="0000078A">
        <w:rPr>
          <w:b/>
          <w:color w:val="121F6B"/>
          <w:lang w:val="en-NZ"/>
        </w:rPr>
        <w:t>Next steps</w:t>
      </w:r>
    </w:p>
    <w:p w:rsidR="00C92C11" w:rsidRDefault="00C92C11" w:rsidP="007407B5">
      <w:pPr>
        <w:rPr>
          <w:lang w:val="en-NZ"/>
        </w:rPr>
      </w:pPr>
      <w:r>
        <w:rPr>
          <w:lang w:val="en-NZ"/>
        </w:rPr>
        <w:t xml:space="preserve">The profile of gang members is atypical compared </w:t>
      </w:r>
      <w:r w:rsidR="00725ECC">
        <w:rPr>
          <w:lang w:val="en-NZ"/>
        </w:rPr>
        <w:t>with</w:t>
      </w:r>
      <w:r>
        <w:rPr>
          <w:lang w:val="en-NZ"/>
        </w:rPr>
        <w:t xml:space="preserve"> the general New Zealand population which makes it difficult to put the findings in this report in context. </w:t>
      </w:r>
      <w:r w:rsidR="00D057E8">
        <w:rPr>
          <w:lang w:val="en-NZ"/>
        </w:rPr>
        <w:t xml:space="preserve">Whether meaningful </w:t>
      </w:r>
      <w:r w:rsidR="007E6068">
        <w:rPr>
          <w:lang w:val="en-NZ"/>
        </w:rPr>
        <w:t xml:space="preserve">non-gang </w:t>
      </w:r>
      <w:r w:rsidR="00D057E8">
        <w:rPr>
          <w:lang w:val="en-NZ"/>
        </w:rPr>
        <w:t>comparison groups could be formed requires further investigation.</w:t>
      </w:r>
    </w:p>
    <w:p w:rsidR="00E82980" w:rsidRPr="00E82980" w:rsidRDefault="00E82980" w:rsidP="00E82980">
      <w:pPr>
        <w:rPr>
          <w:lang w:val="en-NZ"/>
        </w:rPr>
      </w:pPr>
      <w:r w:rsidRPr="00E82980">
        <w:rPr>
          <w:lang w:val="en-NZ"/>
        </w:rPr>
        <w:t xml:space="preserve">There is opportunity for government agencies to work more collaboratively to address the social harms noted throughout this report. Most notably, there would be added benefit in incorporating </w:t>
      </w:r>
      <w:r w:rsidR="008257AF">
        <w:rPr>
          <w:lang w:val="en-NZ"/>
        </w:rPr>
        <w:t xml:space="preserve">wider </w:t>
      </w:r>
      <w:r w:rsidRPr="00E82980">
        <w:rPr>
          <w:lang w:val="en-NZ"/>
        </w:rPr>
        <w:t>social sector data to enhance the profile we have of gang families.</w:t>
      </w:r>
    </w:p>
    <w:p w:rsidR="00E82980" w:rsidRDefault="00E82980" w:rsidP="00E82980">
      <w:pPr>
        <w:rPr>
          <w:lang w:val="en-NZ"/>
        </w:rPr>
      </w:pPr>
      <w:r w:rsidRPr="00E82980">
        <w:rPr>
          <w:lang w:val="en-NZ"/>
        </w:rPr>
        <w:t xml:space="preserve">This report, as a first step, gives a much more comprehensive picture of </w:t>
      </w:r>
      <w:r w:rsidR="00A37004">
        <w:rPr>
          <w:lang w:val="en-NZ"/>
        </w:rPr>
        <w:t xml:space="preserve">some of </w:t>
      </w:r>
      <w:r w:rsidRPr="00E82980">
        <w:rPr>
          <w:lang w:val="en-NZ"/>
        </w:rPr>
        <w:t>the social costs associated with gang activity and will be used to inform the Start at Home initiative outlined in the Gang Action Plan. This initiative not only highlights the need for targeted interventions but also encourages government to work together with communities to improve social outcomes with this cohort</w:t>
      </w:r>
      <w:r>
        <w:rPr>
          <w:lang w:val="en-NZ"/>
        </w:rPr>
        <w:t>.</w:t>
      </w:r>
    </w:p>
    <w:p w:rsidR="00312697" w:rsidRDefault="00312697" w:rsidP="00E82980">
      <w:pPr>
        <w:rPr>
          <w:lang w:val="en-NZ"/>
        </w:rPr>
        <w:sectPr w:rsidR="00312697" w:rsidSect="00F615F9">
          <w:footerReference w:type="even" r:id="rId11"/>
          <w:footerReference w:type="default" r:id="rId12"/>
          <w:pgSz w:w="11906" w:h="16838"/>
          <w:pgMar w:top="1440" w:right="1440" w:bottom="1134" w:left="1440" w:header="340" w:footer="557" w:gutter="0"/>
          <w:pgNumType w:start="1"/>
          <w:cols w:space="708"/>
          <w:docGrid w:linePitch="360"/>
        </w:sectPr>
      </w:pPr>
    </w:p>
    <w:p w:rsidR="00EC2CE7" w:rsidRPr="00F926FD" w:rsidRDefault="00EC2CE7" w:rsidP="00E620BE">
      <w:pPr>
        <w:pStyle w:val="Heading1"/>
        <w:spacing w:before="0"/>
        <w:ind w:right="-45"/>
      </w:pPr>
      <w:bookmarkStart w:id="18" w:name="_Toc438039147"/>
      <w:r w:rsidRPr="00F926FD">
        <w:lastRenderedPageBreak/>
        <w:t xml:space="preserve">Part 1 – </w:t>
      </w:r>
      <w:r w:rsidR="00CC228B">
        <w:t>Introduction</w:t>
      </w:r>
      <w:bookmarkEnd w:id="18"/>
    </w:p>
    <w:p w:rsidR="006A3DA5" w:rsidRDefault="00F25032" w:rsidP="00E620BE">
      <w:pPr>
        <w:spacing w:after="40"/>
        <w:rPr>
          <w:lang w:val="en-NZ"/>
        </w:rPr>
      </w:pPr>
      <w:r w:rsidRPr="00F25032">
        <w:rPr>
          <w:lang w:val="en-NZ"/>
        </w:rPr>
        <w:t>The “Whole-of-Government Action Plan to Reduce the Harms Caused by Adult Gangs and Transnational Crime Groups” (CAB Min (14) 21/19 refers) was approved by Cabinet in June 2014.</w:t>
      </w:r>
      <w:r w:rsidR="006A3DA5">
        <w:rPr>
          <w:lang w:val="en-NZ"/>
        </w:rPr>
        <w:t xml:space="preserve"> </w:t>
      </w:r>
      <w:r w:rsidR="002E377A">
        <w:rPr>
          <w:lang w:val="en-NZ"/>
        </w:rPr>
        <w:t xml:space="preserve">Two of the four initiatives proposed </w:t>
      </w:r>
      <w:r w:rsidR="002E377A" w:rsidRPr="002E377A">
        <w:rPr>
          <w:lang w:val="en-NZ"/>
        </w:rPr>
        <w:t>to form the whole-of-government action plan were:</w:t>
      </w:r>
    </w:p>
    <w:p w:rsidR="002E377A" w:rsidRPr="002E377A" w:rsidRDefault="002E377A" w:rsidP="00487A14">
      <w:pPr>
        <w:pStyle w:val="ListParagraph"/>
        <w:numPr>
          <w:ilvl w:val="0"/>
          <w:numId w:val="6"/>
        </w:numPr>
        <w:spacing w:after="60"/>
        <w:ind w:left="357" w:hanging="357"/>
        <w:contextualSpacing w:val="0"/>
        <w:rPr>
          <w:lang w:val="en-NZ"/>
        </w:rPr>
      </w:pPr>
      <w:r>
        <w:rPr>
          <w:lang w:val="en-NZ"/>
        </w:rPr>
        <w:t>T</w:t>
      </w:r>
      <w:r w:rsidRPr="002E377A">
        <w:rPr>
          <w:lang w:val="en-NZ"/>
        </w:rPr>
        <w:t xml:space="preserve">he creation of a multi-agency </w:t>
      </w:r>
      <w:r w:rsidRPr="002E377A">
        <w:rPr>
          <w:b/>
          <w:i/>
          <w:lang w:val="en-NZ"/>
        </w:rPr>
        <w:t>Gang Intelligence Centre</w:t>
      </w:r>
      <w:r w:rsidRPr="002E377A">
        <w:rPr>
          <w:lang w:val="en-NZ"/>
        </w:rPr>
        <w:t xml:space="preserve"> to provide a combined intelligence picture of gang activity, inform decision</w:t>
      </w:r>
      <w:r w:rsidR="009D18A8">
        <w:rPr>
          <w:lang w:val="en-NZ"/>
        </w:rPr>
        <w:t>-</w:t>
      </w:r>
      <w:r w:rsidRPr="002E377A">
        <w:rPr>
          <w:lang w:val="en-NZ"/>
        </w:rPr>
        <w:t>making on preventative, investigative, and enforcement interventions, and identify vulnerable children, youth and gang family members for social service support</w:t>
      </w:r>
      <w:r>
        <w:rPr>
          <w:lang w:val="en-NZ"/>
        </w:rPr>
        <w:t>.</w:t>
      </w:r>
    </w:p>
    <w:p w:rsidR="002E377A" w:rsidRPr="002E377A" w:rsidRDefault="002E377A" w:rsidP="00487A14">
      <w:pPr>
        <w:pStyle w:val="ListParagraph"/>
        <w:numPr>
          <w:ilvl w:val="0"/>
          <w:numId w:val="6"/>
        </w:numPr>
        <w:ind w:left="357" w:hanging="357"/>
        <w:rPr>
          <w:lang w:val="en-NZ"/>
        </w:rPr>
      </w:pPr>
      <w:r w:rsidRPr="002E377A">
        <w:rPr>
          <w:b/>
          <w:i/>
          <w:lang w:val="en-NZ"/>
        </w:rPr>
        <w:t>Start at Home</w:t>
      </w:r>
      <w:r w:rsidRPr="002E377A">
        <w:rPr>
          <w:lang w:val="en-NZ"/>
        </w:rPr>
        <w:t>: a programme of social initiatives to support gang members and their families to turn away from the gang lifestyle, and reduce the likelihoo</w:t>
      </w:r>
      <w:r>
        <w:rPr>
          <w:lang w:val="en-NZ"/>
        </w:rPr>
        <w:t>d of young people joining gangs.</w:t>
      </w:r>
    </w:p>
    <w:p w:rsidR="009D18A8" w:rsidRDefault="00811B65" w:rsidP="009D18A8">
      <w:pPr>
        <w:rPr>
          <w:lang w:val="en-NZ"/>
        </w:rPr>
      </w:pPr>
      <w:r w:rsidRPr="0069532C">
        <w:rPr>
          <w:lang w:val="en-NZ"/>
        </w:rPr>
        <w:t>Th</w:t>
      </w:r>
      <w:r>
        <w:rPr>
          <w:lang w:val="en-NZ"/>
        </w:rPr>
        <w:t>is r</w:t>
      </w:r>
      <w:r w:rsidRPr="0069532C">
        <w:rPr>
          <w:lang w:val="en-NZ"/>
        </w:rPr>
        <w:t xml:space="preserve">esearch </w:t>
      </w:r>
      <w:r>
        <w:rPr>
          <w:lang w:val="en-NZ"/>
        </w:rPr>
        <w:t xml:space="preserve">seeks to </w:t>
      </w:r>
      <w:r w:rsidR="00644434">
        <w:rPr>
          <w:lang w:val="en-NZ"/>
        </w:rPr>
        <w:t>establish baseline figures on</w:t>
      </w:r>
      <w:r w:rsidR="00644434" w:rsidRPr="00F9161C">
        <w:rPr>
          <w:lang w:val="en-NZ"/>
        </w:rPr>
        <w:t xml:space="preserve"> </w:t>
      </w:r>
      <w:r w:rsidRPr="00F9161C">
        <w:rPr>
          <w:lang w:val="en-NZ"/>
        </w:rPr>
        <w:t xml:space="preserve">how many </w:t>
      </w:r>
      <w:r>
        <w:rPr>
          <w:lang w:val="en-NZ"/>
        </w:rPr>
        <w:t xml:space="preserve">adult </w:t>
      </w:r>
      <w:r w:rsidRPr="00F9161C">
        <w:rPr>
          <w:lang w:val="en-NZ"/>
        </w:rPr>
        <w:t xml:space="preserve">gang members, and how many </w:t>
      </w:r>
      <w:r w:rsidR="00D53413">
        <w:rPr>
          <w:lang w:val="en-NZ"/>
        </w:rPr>
        <w:t xml:space="preserve">of their </w:t>
      </w:r>
      <w:r w:rsidRPr="00F9161C">
        <w:rPr>
          <w:lang w:val="en-NZ"/>
        </w:rPr>
        <w:t xml:space="preserve">children, come into contact with </w:t>
      </w:r>
      <w:r>
        <w:rPr>
          <w:lang w:val="en-NZ"/>
        </w:rPr>
        <w:t>the Ministry of Social Development’s (</w:t>
      </w:r>
      <w:r w:rsidRPr="00F9161C">
        <w:rPr>
          <w:lang w:val="en-NZ"/>
        </w:rPr>
        <w:t>MSD’s</w:t>
      </w:r>
      <w:r>
        <w:rPr>
          <w:lang w:val="en-NZ"/>
        </w:rPr>
        <w:t>)</w:t>
      </w:r>
      <w:r w:rsidRPr="00F9161C">
        <w:rPr>
          <w:lang w:val="en-NZ"/>
        </w:rPr>
        <w:t xml:space="preserve"> service arms, and the types </w:t>
      </w:r>
      <w:r>
        <w:rPr>
          <w:lang w:val="en-NZ"/>
        </w:rPr>
        <w:t xml:space="preserve">and estimated total costs </w:t>
      </w:r>
      <w:r w:rsidRPr="00F9161C">
        <w:rPr>
          <w:lang w:val="en-NZ"/>
        </w:rPr>
        <w:t>of contact</w:t>
      </w:r>
      <w:r>
        <w:rPr>
          <w:lang w:val="en-NZ"/>
        </w:rPr>
        <w:t>s</w:t>
      </w:r>
      <w:r w:rsidRPr="00F9161C">
        <w:rPr>
          <w:lang w:val="en-NZ"/>
        </w:rPr>
        <w:t xml:space="preserve"> that occur.</w:t>
      </w:r>
      <w:r>
        <w:rPr>
          <w:lang w:val="en-NZ"/>
        </w:rPr>
        <w:t xml:space="preserve"> This includes welfare assistance</w:t>
      </w:r>
      <w:r w:rsidRPr="0069532C">
        <w:rPr>
          <w:lang w:val="en-NZ"/>
        </w:rPr>
        <w:t xml:space="preserve">, </w:t>
      </w:r>
      <w:r>
        <w:rPr>
          <w:lang w:val="en-NZ"/>
        </w:rPr>
        <w:t>benefit overpayment and</w:t>
      </w:r>
      <w:r w:rsidRPr="0069532C">
        <w:rPr>
          <w:lang w:val="en-NZ"/>
        </w:rPr>
        <w:t xml:space="preserve"> fraud</w:t>
      </w:r>
      <w:r>
        <w:rPr>
          <w:lang w:val="en-NZ"/>
        </w:rPr>
        <w:t>,</w:t>
      </w:r>
      <w:r w:rsidRPr="0069532C">
        <w:rPr>
          <w:lang w:val="en-NZ"/>
        </w:rPr>
        <w:t xml:space="preserve"> care and protection and youth justice</w:t>
      </w:r>
      <w:r>
        <w:rPr>
          <w:lang w:val="en-NZ"/>
        </w:rPr>
        <w:t>. The results of the research will inform policy work around the Gang Action Plan.</w:t>
      </w:r>
      <w:r w:rsidR="00183DA6">
        <w:rPr>
          <w:lang w:val="en-NZ"/>
        </w:rPr>
        <w:t xml:space="preserve"> As at </w:t>
      </w:r>
      <w:r w:rsidR="002A6BF2">
        <w:rPr>
          <w:lang w:val="en-NZ"/>
        </w:rPr>
        <w:t>July</w:t>
      </w:r>
      <w:r w:rsidR="00183DA6">
        <w:rPr>
          <w:lang w:val="en-NZ"/>
        </w:rPr>
        <w:t xml:space="preserve"> 2014, there were </w:t>
      </w:r>
      <w:r w:rsidR="00307675">
        <w:rPr>
          <w:lang w:val="en-NZ"/>
        </w:rPr>
        <w:t xml:space="preserve">an estimated </w:t>
      </w:r>
      <w:r w:rsidR="00183DA6">
        <w:rPr>
          <w:lang w:val="en-NZ"/>
        </w:rPr>
        <w:t>3,960 adult gang members known to New Zealand Police (</w:t>
      </w:r>
      <w:r w:rsidR="004167F0">
        <w:rPr>
          <w:lang w:val="en-NZ"/>
        </w:rPr>
        <w:t xml:space="preserve">NZ </w:t>
      </w:r>
      <w:r w:rsidR="00183DA6">
        <w:rPr>
          <w:lang w:val="en-NZ"/>
        </w:rPr>
        <w:t>Police).</w:t>
      </w:r>
    </w:p>
    <w:p w:rsidR="001558F6" w:rsidRPr="00B9395B" w:rsidRDefault="00A31A42" w:rsidP="009F5EFF">
      <w:pPr>
        <w:pStyle w:val="Heading2"/>
        <w:spacing w:before="0"/>
        <w:rPr>
          <w:sz w:val="26"/>
          <w:szCs w:val="26"/>
        </w:rPr>
      </w:pPr>
      <w:r>
        <w:rPr>
          <w:sz w:val="26"/>
          <w:szCs w:val="26"/>
        </w:rPr>
        <w:t>Caveats</w:t>
      </w:r>
    </w:p>
    <w:p w:rsidR="009D18A8" w:rsidRPr="00553684" w:rsidRDefault="00443D3A" w:rsidP="009D18A8">
      <w:pPr>
        <w:rPr>
          <w:b/>
          <w:color w:val="121F6B"/>
          <w:lang w:val="en-NZ"/>
        </w:rPr>
      </w:pPr>
      <w:r>
        <w:rPr>
          <w:b/>
          <w:color w:val="121F6B"/>
          <w:lang w:val="en-NZ"/>
        </w:rPr>
        <w:t>P</w:t>
      </w:r>
      <w:r w:rsidR="00A31A42">
        <w:rPr>
          <w:b/>
          <w:color w:val="121F6B"/>
          <w:lang w:val="en-NZ"/>
        </w:rPr>
        <w:t>robabilistic d</w:t>
      </w:r>
      <w:r w:rsidR="00553684" w:rsidRPr="00553684">
        <w:rPr>
          <w:b/>
          <w:color w:val="121F6B"/>
          <w:lang w:val="en-NZ"/>
        </w:rPr>
        <w:t>ata-match</w:t>
      </w:r>
      <w:r w:rsidR="00A31A42">
        <w:rPr>
          <w:b/>
          <w:color w:val="121F6B"/>
          <w:lang w:val="en-NZ"/>
        </w:rPr>
        <w:t>es inevitably involve error</w:t>
      </w:r>
      <w:r w:rsidR="00F82CAC">
        <w:rPr>
          <w:b/>
          <w:color w:val="121F6B"/>
          <w:lang w:val="en-NZ"/>
        </w:rPr>
        <w:t>s</w:t>
      </w:r>
    </w:p>
    <w:p w:rsidR="00553684" w:rsidRDefault="00553684" w:rsidP="00553684">
      <w:pPr>
        <w:rPr>
          <w:lang w:val="en-NZ"/>
        </w:rPr>
      </w:pPr>
      <w:r>
        <w:rPr>
          <w:lang w:val="en-NZ"/>
        </w:rPr>
        <w:t xml:space="preserve">The findings </w:t>
      </w:r>
      <w:r w:rsidRPr="00CE5CF9">
        <w:rPr>
          <w:lang w:val="en-NZ"/>
        </w:rPr>
        <w:t xml:space="preserve">of this research were based on </w:t>
      </w:r>
      <w:r>
        <w:rPr>
          <w:lang w:val="en-NZ"/>
        </w:rPr>
        <w:t xml:space="preserve">a probabilistic </w:t>
      </w:r>
      <w:r w:rsidRPr="00CE5CF9">
        <w:rPr>
          <w:lang w:val="en-NZ"/>
        </w:rPr>
        <w:t xml:space="preserve">data match </w:t>
      </w:r>
      <w:r>
        <w:rPr>
          <w:lang w:val="en-NZ"/>
        </w:rPr>
        <w:t xml:space="preserve">by MSD between </w:t>
      </w:r>
      <w:r w:rsidRPr="00CE5CF9">
        <w:rPr>
          <w:lang w:val="en-NZ"/>
        </w:rPr>
        <w:t xml:space="preserve">names and dates </w:t>
      </w:r>
      <w:r>
        <w:rPr>
          <w:lang w:val="en-NZ"/>
        </w:rPr>
        <w:t xml:space="preserve">of birth held by </w:t>
      </w:r>
      <w:r w:rsidR="004167F0">
        <w:rPr>
          <w:lang w:val="en-NZ"/>
        </w:rPr>
        <w:t xml:space="preserve">NZ </w:t>
      </w:r>
      <w:r>
        <w:rPr>
          <w:lang w:val="en-NZ"/>
        </w:rPr>
        <w:t>Police and those held by MSD. The entry of identity information into source systems sometimes contains errors or is incomplete. Inevitably this means that the match results, and therefore the subsequent findings, will have errors due to some matches that should have been made being missed, and some matches made being incorrect.</w:t>
      </w:r>
      <w:r w:rsidRPr="00CE5CF9">
        <w:rPr>
          <w:lang w:val="en-NZ"/>
        </w:rPr>
        <w:t xml:space="preserve"> While every effort has been made to minimise </w:t>
      </w:r>
      <w:r>
        <w:rPr>
          <w:lang w:val="en-NZ"/>
        </w:rPr>
        <w:t>these</w:t>
      </w:r>
      <w:r w:rsidRPr="00CE5CF9">
        <w:rPr>
          <w:lang w:val="en-NZ"/>
        </w:rPr>
        <w:t xml:space="preserve"> error</w:t>
      </w:r>
      <w:r>
        <w:rPr>
          <w:lang w:val="en-NZ"/>
        </w:rPr>
        <w:t>s</w:t>
      </w:r>
      <w:r w:rsidRPr="00CE5CF9">
        <w:rPr>
          <w:lang w:val="en-NZ"/>
        </w:rPr>
        <w:t>, it is not possible to produce absolutely accurate figures.</w:t>
      </w:r>
    </w:p>
    <w:p w:rsidR="00553684" w:rsidRPr="00553684" w:rsidRDefault="00553684" w:rsidP="00553684">
      <w:pPr>
        <w:rPr>
          <w:b/>
          <w:color w:val="121F6B"/>
          <w:lang w:val="en-NZ"/>
        </w:rPr>
      </w:pPr>
      <w:r>
        <w:rPr>
          <w:b/>
          <w:color w:val="121F6B"/>
          <w:lang w:val="en-NZ"/>
        </w:rPr>
        <w:t>Child, Youth and Family data</w:t>
      </w:r>
      <w:r w:rsidR="00A31A42">
        <w:rPr>
          <w:b/>
          <w:color w:val="121F6B"/>
          <w:lang w:val="en-NZ"/>
        </w:rPr>
        <w:t xml:space="preserve"> has limitations</w:t>
      </w:r>
    </w:p>
    <w:p w:rsidR="00553684" w:rsidRPr="00CE5CF9" w:rsidRDefault="00553684" w:rsidP="00E620BE">
      <w:pPr>
        <w:spacing w:after="60"/>
        <w:rPr>
          <w:lang w:val="en-NZ"/>
        </w:rPr>
      </w:pPr>
      <w:r>
        <w:rPr>
          <w:lang w:val="en-NZ"/>
        </w:rPr>
        <w:t>There are other limitations to Child, Youth and Family data which mean that findings relating to this data are likely to be under-estimates</w:t>
      </w:r>
      <w:r w:rsidR="00C85EBA">
        <w:rPr>
          <w:lang w:val="en-NZ"/>
        </w:rPr>
        <w:t>:</w:t>
      </w:r>
    </w:p>
    <w:p w:rsidR="00C85EBA" w:rsidRDefault="00167F6B" w:rsidP="00E620BE">
      <w:pPr>
        <w:pStyle w:val="Bullet1"/>
        <w:spacing w:after="60"/>
        <w:ind w:left="357" w:hanging="357"/>
      </w:pPr>
      <w:r>
        <w:t>T</w:t>
      </w:r>
      <w:r w:rsidR="00C85EBA">
        <w:t>he migration of some older data to the current CYRAS</w:t>
      </w:r>
      <w:r w:rsidR="00E20FB7" w:rsidRPr="0063185C">
        <w:rPr>
          <w:rStyle w:val="FootnoteReference"/>
          <w:rFonts w:ascii="Verdana" w:hAnsi="Verdana"/>
        </w:rPr>
        <w:footnoteReference w:id="7"/>
      </w:r>
      <w:r w:rsidR="00C85EBA" w:rsidRPr="0063185C">
        <w:t xml:space="preserve"> </w:t>
      </w:r>
      <w:r w:rsidR="00C85EBA">
        <w:t>computer system in late-2000</w:t>
      </w:r>
      <w:r>
        <w:t xml:space="preserve"> was incomplete</w:t>
      </w:r>
      <w:r w:rsidR="00C85EBA">
        <w:t>.</w:t>
      </w:r>
      <w:r w:rsidR="00DC28AF">
        <w:t xml:space="preserve"> Hence, h</w:t>
      </w:r>
      <w:r w:rsidR="00C85EBA">
        <w:t xml:space="preserve">istorical child abuse events by older gang members may not be recorded. </w:t>
      </w:r>
    </w:p>
    <w:p w:rsidR="00C85EBA" w:rsidRDefault="00C85EBA" w:rsidP="00E620BE">
      <w:pPr>
        <w:pStyle w:val="Bullet1"/>
        <w:spacing w:after="60"/>
        <w:ind w:left="357" w:hanging="357"/>
      </w:pPr>
      <w:r>
        <w:t xml:space="preserve">The </w:t>
      </w:r>
      <w:r w:rsidR="00EC71D4">
        <w:t xml:space="preserve">alleged </w:t>
      </w:r>
      <w:r>
        <w:t>perpetrators of child abuse may be unknown or not recorded in CYRAS.</w:t>
      </w:r>
    </w:p>
    <w:p w:rsidR="00553684" w:rsidRDefault="00C85EBA" w:rsidP="00E620BE">
      <w:pPr>
        <w:pStyle w:val="Bullet1"/>
        <w:spacing w:after="0"/>
      </w:pPr>
      <w:r>
        <w:t xml:space="preserve">We can identify only the children of gang members who have come to the attention of Child, Youth and Family and been linked in </w:t>
      </w:r>
      <w:r w:rsidR="00190D6B">
        <w:t>a</w:t>
      </w:r>
      <w:r>
        <w:t xml:space="preserve"> parent</w:t>
      </w:r>
      <w:r w:rsidRPr="00E20FB7">
        <w:rPr>
          <w:rFonts w:ascii="Courier New" w:hAnsi="Courier New" w:cs="Courier New"/>
        </w:rPr>
        <w:t>-</w:t>
      </w:r>
      <w:r>
        <w:t xml:space="preserve">child </w:t>
      </w:r>
      <w:r w:rsidR="00190D6B">
        <w:t xml:space="preserve">relationship </w:t>
      </w:r>
      <w:r>
        <w:t>role in CYRAS. This may under-estimate all children of the gang members.</w:t>
      </w:r>
    </w:p>
    <w:p w:rsidR="00167F6B" w:rsidRPr="00E20FB7" w:rsidRDefault="00167F6B" w:rsidP="00167F6B">
      <w:pPr>
        <w:pStyle w:val="Bullet1"/>
        <w:numPr>
          <w:ilvl w:val="0"/>
          <w:numId w:val="0"/>
        </w:numPr>
        <w:spacing w:after="0"/>
      </w:pPr>
    </w:p>
    <w:p w:rsidR="00CC228B" w:rsidRDefault="00CC228B" w:rsidP="00E620BE">
      <w:pPr>
        <w:spacing w:after="0"/>
        <w:rPr>
          <w:lang w:val="en-NZ" w:eastAsia="en-AU"/>
        </w:rPr>
        <w:sectPr w:rsidR="00CC228B" w:rsidSect="00B05301">
          <w:pgSz w:w="11906" w:h="16838"/>
          <w:pgMar w:top="1440" w:right="1440" w:bottom="1134" w:left="1440" w:header="708" w:footer="455" w:gutter="0"/>
          <w:cols w:space="708"/>
          <w:docGrid w:linePitch="360"/>
        </w:sectPr>
      </w:pPr>
    </w:p>
    <w:p w:rsidR="00CC228B" w:rsidRPr="00F926FD" w:rsidRDefault="00CC228B" w:rsidP="00E620BE">
      <w:pPr>
        <w:pStyle w:val="Heading1"/>
        <w:spacing w:before="240"/>
        <w:ind w:right="-45"/>
      </w:pPr>
      <w:bookmarkStart w:id="19" w:name="_Toc438039148"/>
      <w:r w:rsidRPr="00F926FD">
        <w:lastRenderedPageBreak/>
        <w:t xml:space="preserve">Part </w:t>
      </w:r>
      <w:r w:rsidR="00416EFF">
        <w:t>2</w:t>
      </w:r>
      <w:r w:rsidRPr="00F926FD">
        <w:t xml:space="preserve"> – </w:t>
      </w:r>
      <w:r w:rsidR="000029E6">
        <w:t>Profile of known</w:t>
      </w:r>
      <w:r w:rsidR="009F3DDE">
        <w:t xml:space="preserve"> a</w:t>
      </w:r>
      <w:r w:rsidR="00043A1F">
        <w:t>dult g</w:t>
      </w:r>
      <w:r w:rsidR="00D0494F">
        <w:t>ang member</w:t>
      </w:r>
      <w:r w:rsidR="000029E6">
        <w:t>s as at July 2014</w:t>
      </w:r>
      <w:bookmarkEnd w:id="19"/>
    </w:p>
    <w:p w:rsidR="006160EF" w:rsidRPr="00184D94" w:rsidRDefault="006160EF" w:rsidP="006160EF">
      <w:pPr>
        <w:rPr>
          <w:lang w:val="en-NZ"/>
        </w:rPr>
      </w:pPr>
      <w:r w:rsidRPr="00184D94">
        <w:rPr>
          <w:lang w:val="en-NZ"/>
        </w:rPr>
        <w:t xml:space="preserve">Data from </w:t>
      </w:r>
      <w:r w:rsidR="004167F0">
        <w:rPr>
          <w:lang w:val="en-NZ"/>
        </w:rPr>
        <w:t xml:space="preserve">NZ </w:t>
      </w:r>
      <w:r w:rsidRPr="00184D94">
        <w:rPr>
          <w:lang w:val="en-NZ"/>
        </w:rPr>
        <w:t xml:space="preserve">Police </w:t>
      </w:r>
      <w:r w:rsidRPr="001F2ACD">
        <w:rPr>
          <w:lang w:val="en-NZ"/>
        </w:rPr>
        <w:t>identified 3,960</w:t>
      </w:r>
      <w:r w:rsidRPr="00184D94">
        <w:rPr>
          <w:lang w:val="en-NZ"/>
        </w:rPr>
        <w:t xml:space="preserve"> known adult patch members or prospects </w:t>
      </w:r>
      <w:r w:rsidR="00F004DF" w:rsidRPr="00F004DF">
        <w:rPr>
          <w:lang w:val="en-NZ"/>
        </w:rPr>
        <w:t>("prospective" gang members)</w:t>
      </w:r>
      <w:r w:rsidR="00F004DF">
        <w:rPr>
          <w:lang w:val="en-NZ"/>
        </w:rPr>
        <w:t xml:space="preserve"> </w:t>
      </w:r>
      <w:r w:rsidRPr="00184D94">
        <w:rPr>
          <w:lang w:val="en-NZ"/>
        </w:rPr>
        <w:t>in New Zealand</w:t>
      </w:r>
      <w:r w:rsidR="00D82075">
        <w:rPr>
          <w:lang w:val="en-NZ"/>
        </w:rPr>
        <w:t xml:space="preserve"> as at July 2014</w:t>
      </w:r>
      <w:r w:rsidRPr="00184D94">
        <w:rPr>
          <w:lang w:val="en-NZ"/>
        </w:rPr>
        <w:t>.</w:t>
      </w:r>
      <w:r w:rsidRPr="00F004DF">
        <w:rPr>
          <w:vertAlign w:val="superscript"/>
          <w:lang w:val="en-NZ"/>
        </w:rPr>
        <w:footnoteReference w:id="8"/>
      </w:r>
      <w:r w:rsidRPr="00184D94">
        <w:rPr>
          <w:lang w:val="en-NZ"/>
        </w:rPr>
        <w:t xml:space="preserve"> These figures do not include gang “associates” or </w:t>
      </w:r>
      <w:r w:rsidR="00520829" w:rsidRPr="00184D94">
        <w:rPr>
          <w:lang w:val="en-NZ"/>
        </w:rPr>
        <w:t xml:space="preserve">individuals </w:t>
      </w:r>
      <w:r w:rsidRPr="00184D94">
        <w:rPr>
          <w:lang w:val="en-NZ"/>
        </w:rPr>
        <w:t>who are members of youth gangs.</w:t>
      </w:r>
    </w:p>
    <w:p w:rsidR="0078646B" w:rsidRPr="0078646B" w:rsidRDefault="001B11A5" w:rsidP="0078646B">
      <w:pPr>
        <w:rPr>
          <w:lang w:val="en-NZ"/>
        </w:rPr>
      </w:pPr>
      <w:r w:rsidRPr="00184D94">
        <w:rPr>
          <w:lang w:val="en-NZ"/>
        </w:rPr>
        <w:t>A</w:t>
      </w:r>
      <w:r w:rsidR="0078646B" w:rsidRPr="00184D94">
        <w:rPr>
          <w:lang w:val="en-NZ"/>
        </w:rPr>
        <w:t xml:space="preserve">dult gangs </w:t>
      </w:r>
      <w:r w:rsidR="001D00EB" w:rsidRPr="00184D94">
        <w:rPr>
          <w:lang w:val="en-NZ"/>
        </w:rPr>
        <w:t>are</w:t>
      </w:r>
      <w:r w:rsidR="0078646B" w:rsidRPr="00184D94">
        <w:rPr>
          <w:lang w:val="en-NZ"/>
        </w:rPr>
        <w:t xml:space="preserve"> </w:t>
      </w:r>
      <w:r w:rsidRPr="00184D94">
        <w:rPr>
          <w:lang w:val="en-NZ"/>
        </w:rPr>
        <w:t xml:space="preserve">usually </w:t>
      </w:r>
      <w:r w:rsidR="0078646B" w:rsidRPr="00184D94">
        <w:rPr>
          <w:lang w:val="en-NZ"/>
        </w:rPr>
        <w:t xml:space="preserve">either ethnic gangs of New Zealand origin (such as the Mongrel Mob or Black Power) or outlaw motorcycle gangs (such as the Tribesman or Headhunters). There are also </w:t>
      </w:r>
      <w:r w:rsidR="0078646B" w:rsidRPr="0078646B">
        <w:rPr>
          <w:lang w:val="en-NZ"/>
        </w:rPr>
        <w:t xml:space="preserve">transnational </w:t>
      </w:r>
      <w:r w:rsidR="008578EA" w:rsidRPr="00184D94">
        <w:rPr>
          <w:lang w:val="en-NZ"/>
        </w:rPr>
        <w:t xml:space="preserve">organised </w:t>
      </w:r>
      <w:r w:rsidR="0078646B" w:rsidRPr="0078646B">
        <w:rPr>
          <w:lang w:val="en-NZ"/>
        </w:rPr>
        <w:t>crime groups</w:t>
      </w:r>
      <w:r w:rsidR="0078646B" w:rsidRPr="00184D94">
        <w:rPr>
          <w:lang w:val="en-NZ"/>
        </w:rPr>
        <w:t xml:space="preserve"> operating in New</w:t>
      </w:r>
      <w:r w:rsidR="005D57E3">
        <w:rPr>
          <w:lang w:val="en-NZ"/>
        </w:rPr>
        <w:t> </w:t>
      </w:r>
      <w:r w:rsidR="0078646B" w:rsidRPr="00184D94">
        <w:rPr>
          <w:lang w:val="en-NZ"/>
        </w:rPr>
        <w:t>Zealand.</w:t>
      </w:r>
    </w:p>
    <w:p w:rsidR="00F004DF" w:rsidRDefault="00F004DF" w:rsidP="00F004DF">
      <w:pPr>
        <w:rPr>
          <w:lang w:val="en-NZ"/>
        </w:rPr>
      </w:pPr>
      <w:r>
        <w:rPr>
          <w:lang w:val="en-NZ"/>
        </w:rPr>
        <w:t>Most (86 percent) of the gang</w:t>
      </w:r>
      <w:r w:rsidR="00E028C8">
        <w:rPr>
          <w:lang w:val="en-NZ"/>
        </w:rPr>
        <w:t xml:space="preserve"> </w:t>
      </w:r>
      <w:r>
        <w:rPr>
          <w:lang w:val="en-NZ"/>
        </w:rPr>
        <w:t>members are patched, with the other 14 percent being prospects. Gang members are always male.</w:t>
      </w:r>
    </w:p>
    <w:p w:rsidR="00043A1F" w:rsidRPr="00F342D1" w:rsidRDefault="00043A1F" w:rsidP="00043A1F">
      <w:pPr>
        <w:rPr>
          <w:b/>
          <w:color w:val="121F6B"/>
          <w:lang w:val="en-NZ"/>
        </w:rPr>
      </w:pPr>
      <w:r>
        <w:rPr>
          <w:b/>
          <w:color w:val="121F6B"/>
          <w:lang w:val="en-NZ"/>
        </w:rPr>
        <w:t xml:space="preserve">The Mongrel Mob and Black Power account for two-thirds of </w:t>
      </w:r>
      <w:r w:rsidR="00F004DF">
        <w:rPr>
          <w:b/>
          <w:color w:val="121F6B"/>
          <w:lang w:val="en-NZ"/>
        </w:rPr>
        <w:t xml:space="preserve">known </w:t>
      </w:r>
      <w:r>
        <w:rPr>
          <w:b/>
          <w:color w:val="121F6B"/>
          <w:lang w:val="en-NZ"/>
        </w:rPr>
        <w:t>adult gang</w:t>
      </w:r>
      <w:r w:rsidR="003102B3">
        <w:rPr>
          <w:b/>
          <w:color w:val="121F6B"/>
          <w:lang w:val="en-NZ"/>
        </w:rPr>
        <w:t xml:space="preserve"> </w:t>
      </w:r>
      <w:r>
        <w:rPr>
          <w:b/>
          <w:color w:val="121F6B"/>
          <w:lang w:val="en-NZ"/>
        </w:rPr>
        <w:t>members in New Zealand</w:t>
      </w:r>
    </w:p>
    <w:p w:rsidR="00043A1F" w:rsidRDefault="00043A1F" w:rsidP="005C1F84">
      <w:pPr>
        <w:rPr>
          <w:lang w:val="en-NZ"/>
        </w:rPr>
      </w:pPr>
      <w:r>
        <w:rPr>
          <w:lang w:val="en-NZ"/>
        </w:rPr>
        <w:t xml:space="preserve">The two </w:t>
      </w:r>
      <w:r w:rsidR="0078646B">
        <w:rPr>
          <w:lang w:val="en-NZ"/>
        </w:rPr>
        <w:t>largest</w:t>
      </w:r>
      <w:r>
        <w:rPr>
          <w:lang w:val="en-NZ"/>
        </w:rPr>
        <w:t xml:space="preserve"> adult gangs in New Zealand – the Mongrel Mob and Black Power – account for two-thirds of all </w:t>
      </w:r>
      <w:r w:rsidR="006160EF">
        <w:rPr>
          <w:lang w:val="en-NZ"/>
        </w:rPr>
        <w:t xml:space="preserve">known </w:t>
      </w:r>
      <w:r>
        <w:rPr>
          <w:lang w:val="en-NZ"/>
        </w:rPr>
        <w:t>gang members (Table 1). The next biggest gang</w:t>
      </w:r>
      <w:r w:rsidR="00004690">
        <w:rPr>
          <w:lang w:val="en-NZ"/>
        </w:rPr>
        <w:t>,</w:t>
      </w:r>
      <w:r>
        <w:rPr>
          <w:lang w:val="en-NZ"/>
        </w:rPr>
        <w:t xml:space="preserve"> the Tribesman Motorcycle Club</w:t>
      </w:r>
      <w:r w:rsidR="00004690">
        <w:rPr>
          <w:lang w:val="en-NZ"/>
        </w:rPr>
        <w:t>,</w:t>
      </w:r>
      <w:r>
        <w:rPr>
          <w:lang w:val="en-NZ"/>
        </w:rPr>
        <w:t xml:space="preserve"> currently has around 200 known members (</w:t>
      </w:r>
      <w:r w:rsidR="00004690">
        <w:rPr>
          <w:lang w:val="en-NZ"/>
        </w:rPr>
        <w:t>five</w:t>
      </w:r>
      <w:r w:rsidR="009B2504">
        <w:rPr>
          <w:lang w:val="en-NZ"/>
        </w:rPr>
        <w:t xml:space="preserve"> </w:t>
      </w:r>
      <w:r w:rsidR="005D7755">
        <w:rPr>
          <w:lang w:val="en-NZ"/>
        </w:rPr>
        <w:t>percent</w:t>
      </w:r>
      <w:r>
        <w:rPr>
          <w:lang w:val="en-NZ"/>
        </w:rPr>
        <w:t xml:space="preserve"> of all </w:t>
      </w:r>
      <w:r w:rsidR="007E6F95">
        <w:rPr>
          <w:lang w:val="en-NZ"/>
        </w:rPr>
        <w:t>known</w:t>
      </w:r>
      <w:r>
        <w:rPr>
          <w:lang w:val="en-NZ"/>
        </w:rPr>
        <w:t xml:space="preserve"> adult gang members).</w:t>
      </w:r>
    </w:p>
    <w:p w:rsidR="00F342D1" w:rsidRPr="00F342D1" w:rsidRDefault="00693D7D" w:rsidP="005C1F84">
      <w:pPr>
        <w:rPr>
          <w:b/>
          <w:color w:val="121F6B"/>
          <w:lang w:val="en-NZ"/>
        </w:rPr>
      </w:pPr>
      <w:r>
        <w:rPr>
          <w:b/>
          <w:color w:val="121F6B"/>
          <w:lang w:val="en-NZ"/>
        </w:rPr>
        <w:t xml:space="preserve">The majority of </w:t>
      </w:r>
      <w:r w:rsidR="002E4CA6">
        <w:rPr>
          <w:b/>
          <w:color w:val="121F6B"/>
          <w:lang w:val="en-NZ"/>
        </w:rPr>
        <w:t>g</w:t>
      </w:r>
      <w:r w:rsidR="00043A1F">
        <w:rPr>
          <w:b/>
          <w:color w:val="121F6B"/>
          <w:lang w:val="en-NZ"/>
        </w:rPr>
        <w:t>ang members are M</w:t>
      </w:r>
      <w:r w:rsidR="00E725F3" w:rsidRPr="00F342D1">
        <w:rPr>
          <w:b/>
          <w:color w:val="121F6B"/>
          <w:lang w:val="en-NZ"/>
        </w:rPr>
        <w:t>ā</w:t>
      </w:r>
      <w:r w:rsidR="00043A1F">
        <w:rPr>
          <w:b/>
          <w:color w:val="121F6B"/>
          <w:lang w:val="en-NZ"/>
        </w:rPr>
        <w:t>ori</w:t>
      </w:r>
      <w:r w:rsidR="002E4CA6">
        <w:rPr>
          <w:b/>
          <w:color w:val="121F6B"/>
          <w:lang w:val="en-NZ"/>
        </w:rPr>
        <w:t xml:space="preserve"> males </w:t>
      </w:r>
      <w:r w:rsidR="001C032C">
        <w:rPr>
          <w:b/>
          <w:color w:val="121F6B"/>
          <w:lang w:val="en-NZ"/>
        </w:rPr>
        <w:t>between</w:t>
      </w:r>
      <w:r>
        <w:rPr>
          <w:b/>
          <w:color w:val="121F6B"/>
          <w:lang w:val="en-NZ"/>
        </w:rPr>
        <w:t xml:space="preserve"> 30 </w:t>
      </w:r>
      <w:r w:rsidR="001C032C">
        <w:rPr>
          <w:b/>
          <w:color w:val="121F6B"/>
          <w:lang w:val="en-NZ"/>
        </w:rPr>
        <w:t xml:space="preserve">and 50 </w:t>
      </w:r>
      <w:r>
        <w:rPr>
          <w:b/>
          <w:color w:val="121F6B"/>
          <w:lang w:val="en-NZ"/>
        </w:rPr>
        <w:t>years</w:t>
      </w:r>
      <w:r w:rsidR="001C032C">
        <w:rPr>
          <w:b/>
          <w:color w:val="121F6B"/>
          <w:lang w:val="en-NZ"/>
        </w:rPr>
        <w:t xml:space="preserve"> old</w:t>
      </w:r>
    </w:p>
    <w:p w:rsidR="00E725F3" w:rsidRDefault="00017DC5" w:rsidP="00E725F3">
      <w:pPr>
        <w:rPr>
          <w:lang w:val="en-NZ"/>
        </w:rPr>
      </w:pPr>
      <w:r>
        <w:rPr>
          <w:lang w:val="en-NZ"/>
        </w:rPr>
        <w:t>Over t</w:t>
      </w:r>
      <w:r w:rsidR="00E725F3">
        <w:rPr>
          <w:lang w:val="en-NZ"/>
        </w:rPr>
        <w:t xml:space="preserve">hree-quarters of </w:t>
      </w:r>
      <w:r w:rsidR="008B2159">
        <w:rPr>
          <w:lang w:val="en-NZ"/>
        </w:rPr>
        <w:t xml:space="preserve">the known </w:t>
      </w:r>
      <w:r>
        <w:rPr>
          <w:lang w:val="en-NZ"/>
        </w:rPr>
        <w:t xml:space="preserve">adult </w:t>
      </w:r>
      <w:r w:rsidR="00E725F3">
        <w:rPr>
          <w:lang w:val="en-NZ"/>
        </w:rPr>
        <w:t xml:space="preserve">gang members </w:t>
      </w:r>
      <w:r>
        <w:rPr>
          <w:lang w:val="en-NZ"/>
        </w:rPr>
        <w:t xml:space="preserve">in New Zealand </w:t>
      </w:r>
      <w:r w:rsidR="00E725F3">
        <w:rPr>
          <w:lang w:val="en-NZ"/>
        </w:rPr>
        <w:t>are Māori</w:t>
      </w:r>
      <w:r>
        <w:rPr>
          <w:lang w:val="en-NZ"/>
        </w:rPr>
        <w:t>, 14</w:t>
      </w:r>
      <w:r w:rsidR="009B2504">
        <w:rPr>
          <w:lang w:val="en-NZ"/>
        </w:rPr>
        <w:t xml:space="preserve"> </w:t>
      </w:r>
      <w:r w:rsidR="005D7755">
        <w:rPr>
          <w:lang w:val="en-NZ"/>
        </w:rPr>
        <w:t>percent</w:t>
      </w:r>
      <w:r>
        <w:rPr>
          <w:lang w:val="en-NZ"/>
        </w:rPr>
        <w:t xml:space="preserve"> are European and </w:t>
      </w:r>
      <w:r w:rsidR="008B2159">
        <w:rPr>
          <w:lang w:val="en-NZ"/>
        </w:rPr>
        <w:t>eight</w:t>
      </w:r>
      <w:r w:rsidR="009B2504">
        <w:rPr>
          <w:lang w:val="en-NZ"/>
        </w:rPr>
        <w:t xml:space="preserve"> </w:t>
      </w:r>
      <w:r w:rsidR="005D7755">
        <w:rPr>
          <w:lang w:val="en-NZ"/>
        </w:rPr>
        <w:t>percent</w:t>
      </w:r>
      <w:r>
        <w:rPr>
          <w:lang w:val="en-NZ"/>
        </w:rPr>
        <w:t xml:space="preserve"> are Pacific peoples.</w:t>
      </w:r>
    </w:p>
    <w:p w:rsidR="00017DC5" w:rsidRPr="005C1F84" w:rsidRDefault="00017DC5" w:rsidP="00E725F3">
      <w:pPr>
        <w:rPr>
          <w:lang w:val="en-NZ"/>
        </w:rPr>
      </w:pPr>
      <w:r>
        <w:rPr>
          <w:lang w:val="en-NZ"/>
        </w:rPr>
        <w:t>Gang members ages are spread with 20</w:t>
      </w:r>
      <w:r w:rsidR="009B2504">
        <w:rPr>
          <w:lang w:val="en-NZ"/>
        </w:rPr>
        <w:t xml:space="preserve"> </w:t>
      </w:r>
      <w:r w:rsidR="005D7755">
        <w:rPr>
          <w:lang w:val="en-NZ"/>
        </w:rPr>
        <w:t>percent</w:t>
      </w:r>
      <w:r>
        <w:rPr>
          <w:lang w:val="en-NZ"/>
        </w:rPr>
        <w:t xml:space="preserve"> being in their twenties, 29</w:t>
      </w:r>
      <w:r w:rsidR="009B2504">
        <w:rPr>
          <w:lang w:val="en-NZ"/>
        </w:rPr>
        <w:t xml:space="preserve"> </w:t>
      </w:r>
      <w:r w:rsidR="005D7755">
        <w:rPr>
          <w:lang w:val="en-NZ"/>
        </w:rPr>
        <w:t>percent</w:t>
      </w:r>
      <w:r>
        <w:rPr>
          <w:lang w:val="en-NZ"/>
        </w:rPr>
        <w:t xml:space="preserve"> in their thirties, 31</w:t>
      </w:r>
      <w:r w:rsidR="009B2504">
        <w:rPr>
          <w:lang w:val="en-NZ"/>
        </w:rPr>
        <w:t xml:space="preserve"> </w:t>
      </w:r>
      <w:r w:rsidR="005D7755">
        <w:rPr>
          <w:lang w:val="en-NZ"/>
        </w:rPr>
        <w:t>percent</w:t>
      </w:r>
      <w:r>
        <w:rPr>
          <w:lang w:val="en-NZ"/>
        </w:rPr>
        <w:t xml:space="preserve"> in their forties and 17</w:t>
      </w:r>
      <w:r w:rsidR="009B2504">
        <w:rPr>
          <w:lang w:val="en-NZ"/>
        </w:rPr>
        <w:t xml:space="preserve"> </w:t>
      </w:r>
      <w:r w:rsidR="005D7755">
        <w:rPr>
          <w:lang w:val="en-NZ"/>
        </w:rPr>
        <w:t>percent</w:t>
      </w:r>
      <w:r>
        <w:rPr>
          <w:lang w:val="en-NZ"/>
        </w:rPr>
        <w:t xml:space="preserve"> in their fifties.</w:t>
      </w:r>
      <w:r w:rsidR="007E2248">
        <w:rPr>
          <w:lang w:val="en-NZ"/>
        </w:rPr>
        <w:t xml:space="preserve"> </w:t>
      </w:r>
      <w:r w:rsidR="0010486F">
        <w:rPr>
          <w:lang w:val="en-NZ"/>
        </w:rPr>
        <w:t>The average age of all known members is 39.5 years</w:t>
      </w:r>
      <w:r w:rsidR="003102B3">
        <w:rPr>
          <w:lang w:val="en-NZ"/>
        </w:rPr>
        <w:t xml:space="preserve"> (the median being 40.0 years)</w:t>
      </w:r>
      <w:r w:rsidR="0010486F">
        <w:rPr>
          <w:lang w:val="en-NZ"/>
        </w:rPr>
        <w:t>.</w:t>
      </w:r>
      <w:r w:rsidR="0010486F" w:rsidRPr="0010486F">
        <w:rPr>
          <w:lang w:val="en-NZ"/>
        </w:rPr>
        <w:t xml:space="preserve"> </w:t>
      </w:r>
      <w:r w:rsidR="0010486F">
        <w:rPr>
          <w:lang w:val="en-NZ"/>
        </w:rPr>
        <w:t>As may be expected, adult prospects are younger, on average, than patched members (31.7 years and 40.7 years respectively).</w:t>
      </w:r>
    </w:p>
    <w:p w:rsidR="00F342D1" w:rsidRPr="00F342D1" w:rsidRDefault="002E4CA6" w:rsidP="00F342D1">
      <w:pPr>
        <w:rPr>
          <w:b/>
          <w:color w:val="121F6B"/>
          <w:lang w:val="en-NZ"/>
        </w:rPr>
      </w:pPr>
      <w:r>
        <w:rPr>
          <w:b/>
          <w:color w:val="121F6B"/>
          <w:lang w:val="en-NZ"/>
        </w:rPr>
        <w:t xml:space="preserve">The vast majority of </w:t>
      </w:r>
      <w:r w:rsidR="007E2248">
        <w:rPr>
          <w:b/>
          <w:color w:val="121F6B"/>
          <w:lang w:val="en-NZ"/>
        </w:rPr>
        <w:t xml:space="preserve">gang members </w:t>
      </w:r>
      <w:r w:rsidR="002A6BF2">
        <w:rPr>
          <w:b/>
          <w:color w:val="121F6B"/>
          <w:lang w:val="en-NZ"/>
        </w:rPr>
        <w:t>were</w:t>
      </w:r>
      <w:r w:rsidR="007E2248">
        <w:rPr>
          <w:b/>
          <w:color w:val="121F6B"/>
          <w:lang w:val="en-NZ"/>
        </w:rPr>
        <w:t xml:space="preserve"> resid</w:t>
      </w:r>
      <w:r w:rsidR="002A6BF2">
        <w:rPr>
          <w:b/>
          <w:color w:val="121F6B"/>
          <w:lang w:val="en-NZ"/>
        </w:rPr>
        <w:t>ing</w:t>
      </w:r>
      <w:r w:rsidR="007E2248">
        <w:rPr>
          <w:b/>
          <w:color w:val="121F6B"/>
          <w:lang w:val="en-NZ"/>
        </w:rPr>
        <w:t xml:space="preserve"> in the </w:t>
      </w:r>
      <w:r>
        <w:rPr>
          <w:b/>
          <w:color w:val="121F6B"/>
          <w:lang w:val="en-NZ"/>
        </w:rPr>
        <w:t>North</w:t>
      </w:r>
      <w:r w:rsidR="007E2248">
        <w:rPr>
          <w:b/>
          <w:color w:val="121F6B"/>
          <w:lang w:val="en-NZ"/>
        </w:rPr>
        <w:t xml:space="preserve"> Island</w:t>
      </w:r>
    </w:p>
    <w:p w:rsidR="00EA7BB2" w:rsidRPr="007156FD" w:rsidRDefault="00357728" w:rsidP="00EA7BB2">
      <w:pPr>
        <w:rPr>
          <w:szCs w:val="22"/>
          <w:lang w:val="en-NZ"/>
        </w:rPr>
      </w:pPr>
      <w:r>
        <w:rPr>
          <w:szCs w:val="22"/>
          <w:lang w:val="en-NZ"/>
        </w:rPr>
        <w:t xml:space="preserve">The geographical spread of gang members was different </w:t>
      </w:r>
      <w:r w:rsidR="000E76F9">
        <w:rPr>
          <w:szCs w:val="22"/>
          <w:lang w:val="en-NZ"/>
        </w:rPr>
        <w:t xml:space="preserve">from that of </w:t>
      </w:r>
      <w:r>
        <w:rPr>
          <w:szCs w:val="22"/>
          <w:lang w:val="en-NZ"/>
        </w:rPr>
        <w:t xml:space="preserve">the general New Zealand population in terms of proportionally fewer residing in the wider Auckland region or the South Island. </w:t>
      </w:r>
      <w:r w:rsidR="001414F1">
        <w:rPr>
          <w:szCs w:val="22"/>
          <w:lang w:val="en-NZ"/>
        </w:rPr>
        <w:t xml:space="preserve">Nine out of every ten gang members </w:t>
      </w:r>
      <w:r w:rsidR="002A6BF2">
        <w:rPr>
          <w:szCs w:val="22"/>
          <w:lang w:val="en-NZ"/>
        </w:rPr>
        <w:t>were</w:t>
      </w:r>
      <w:r w:rsidR="001414F1">
        <w:rPr>
          <w:szCs w:val="22"/>
          <w:lang w:val="en-NZ"/>
        </w:rPr>
        <w:t xml:space="preserve"> </w:t>
      </w:r>
      <w:r w:rsidR="009C5BF8">
        <w:rPr>
          <w:szCs w:val="22"/>
          <w:lang w:val="en-NZ"/>
        </w:rPr>
        <w:t xml:space="preserve">recorded as </w:t>
      </w:r>
      <w:r w:rsidR="001414F1">
        <w:rPr>
          <w:szCs w:val="22"/>
          <w:lang w:val="en-NZ"/>
        </w:rPr>
        <w:t>resid</w:t>
      </w:r>
      <w:r w:rsidR="002A6BF2">
        <w:rPr>
          <w:szCs w:val="22"/>
          <w:lang w:val="en-NZ"/>
        </w:rPr>
        <w:t>ing</w:t>
      </w:r>
      <w:r w:rsidR="001414F1">
        <w:rPr>
          <w:szCs w:val="22"/>
          <w:lang w:val="en-NZ"/>
        </w:rPr>
        <w:t xml:space="preserve"> in the North Island. Of these, a</w:t>
      </w:r>
      <w:r w:rsidR="00F35112">
        <w:rPr>
          <w:szCs w:val="22"/>
          <w:lang w:val="en-NZ"/>
        </w:rPr>
        <w:t xml:space="preserve"> little under one in </w:t>
      </w:r>
      <w:r w:rsidR="001414F1">
        <w:rPr>
          <w:szCs w:val="22"/>
          <w:lang w:val="en-NZ"/>
        </w:rPr>
        <w:t xml:space="preserve">five </w:t>
      </w:r>
      <w:r w:rsidR="002A6BF2">
        <w:rPr>
          <w:szCs w:val="22"/>
          <w:lang w:val="en-NZ"/>
        </w:rPr>
        <w:t xml:space="preserve">were </w:t>
      </w:r>
      <w:r w:rsidR="00F35112">
        <w:rPr>
          <w:szCs w:val="22"/>
          <w:lang w:val="en-NZ"/>
        </w:rPr>
        <w:t>liv</w:t>
      </w:r>
      <w:r w:rsidR="002A6BF2">
        <w:rPr>
          <w:szCs w:val="22"/>
          <w:lang w:val="en-NZ"/>
        </w:rPr>
        <w:t>ing</w:t>
      </w:r>
      <w:r w:rsidR="00F35112">
        <w:rPr>
          <w:szCs w:val="22"/>
          <w:lang w:val="en-NZ"/>
        </w:rPr>
        <w:t xml:space="preserve"> in each of the Auckland, Bay of Plenty and Eastern districts.</w:t>
      </w:r>
      <w:r w:rsidR="002E4CA6" w:rsidRPr="002E4CA6">
        <w:rPr>
          <w:szCs w:val="22"/>
          <w:lang w:val="en-NZ"/>
        </w:rPr>
        <w:t xml:space="preserve"> </w:t>
      </w:r>
      <w:r w:rsidR="002E4CA6">
        <w:rPr>
          <w:szCs w:val="22"/>
          <w:lang w:val="en-NZ"/>
        </w:rPr>
        <w:t xml:space="preserve">Just under 10 percent of known adult gang members </w:t>
      </w:r>
      <w:r w:rsidR="002A6BF2">
        <w:rPr>
          <w:szCs w:val="22"/>
          <w:lang w:val="en-NZ"/>
        </w:rPr>
        <w:t>were</w:t>
      </w:r>
      <w:r w:rsidR="002E4CA6">
        <w:rPr>
          <w:szCs w:val="22"/>
          <w:lang w:val="en-NZ"/>
        </w:rPr>
        <w:t xml:space="preserve"> resid</w:t>
      </w:r>
      <w:r w:rsidR="002A6BF2">
        <w:rPr>
          <w:szCs w:val="22"/>
          <w:lang w:val="en-NZ"/>
        </w:rPr>
        <w:t>ing</w:t>
      </w:r>
      <w:r w:rsidR="002E4CA6">
        <w:rPr>
          <w:szCs w:val="22"/>
          <w:lang w:val="en-NZ"/>
        </w:rPr>
        <w:t xml:space="preserve"> in the South Island.</w:t>
      </w:r>
      <w:r w:rsidR="001534B7" w:rsidRPr="001534B7">
        <w:rPr>
          <w:szCs w:val="22"/>
          <w:lang w:val="en-NZ"/>
        </w:rPr>
        <w:t xml:space="preserve"> </w:t>
      </w:r>
    </w:p>
    <w:p w:rsidR="00C94DDD" w:rsidRDefault="00C94DDD" w:rsidP="005C1F84">
      <w:pPr>
        <w:rPr>
          <w:lang w:val="en-NZ"/>
        </w:rPr>
      </w:pPr>
    </w:p>
    <w:p w:rsidR="00E725F3" w:rsidRDefault="00E725F3">
      <w:pPr>
        <w:spacing w:after="0" w:line="240" w:lineRule="auto"/>
        <w:rPr>
          <w:b/>
          <w:color w:val="121F6B"/>
          <w:sz w:val="18"/>
          <w:szCs w:val="18"/>
        </w:rPr>
      </w:pPr>
      <w:bookmarkStart w:id="20" w:name="_Toc402532990"/>
      <w:bookmarkStart w:id="21" w:name="_Toc402534049"/>
      <w:r>
        <w:rPr>
          <w:b/>
          <w:color w:val="121F6B"/>
          <w:sz w:val="18"/>
          <w:szCs w:val="18"/>
        </w:rPr>
        <w:br w:type="page"/>
      </w:r>
    </w:p>
    <w:p w:rsidR="003C6BD4" w:rsidRPr="00D16E12" w:rsidRDefault="003C6BD4" w:rsidP="00D16E12">
      <w:pPr>
        <w:pStyle w:val="TableofFigures"/>
        <w:keepNext/>
        <w:tabs>
          <w:tab w:val="left" w:pos="993"/>
        </w:tabs>
        <w:spacing w:before="240" w:after="120" w:line="240" w:lineRule="auto"/>
        <w:ind w:left="993" w:hanging="993"/>
        <w:rPr>
          <w:b/>
          <w:color w:val="121F6B"/>
          <w:sz w:val="18"/>
          <w:szCs w:val="18"/>
        </w:rPr>
      </w:pPr>
      <w:r w:rsidRPr="00D16E12">
        <w:rPr>
          <w:b/>
          <w:color w:val="121F6B"/>
          <w:sz w:val="18"/>
          <w:szCs w:val="18"/>
        </w:rPr>
        <w:lastRenderedPageBreak/>
        <w:t xml:space="preserve">Table </w:t>
      </w:r>
      <w:r w:rsidRPr="00D16E12">
        <w:rPr>
          <w:b/>
          <w:color w:val="121F6B"/>
          <w:sz w:val="18"/>
          <w:szCs w:val="18"/>
        </w:rPr>
        <w:fldChar w:fldCharType="begin"/>
      </w:r>
      <w:r w:rsidRPr="00D16E12">
        <w:rPr>
          <w:b/>
          <w:color w:val="121F6B"/>
          <w:sz w:val="18"/>
          <w:szCs w:val="18"/>
        </w:rPr>
        <w:instrText xml:space="preserve"> SEQ Table \* ARABIC </w:instrText>
      </w:r>
      <w:r w:rsidRPr="00D16E12">
        <w:rPr>
          <w:b/>
          <w:color w:val="121F6B"/>
          <w:sz w:val="18"/>
          <w:szCs w:val="18"/>
        </w:rPr>
        <w:fldChar w:fldCharType="separate"/>
      </w:r>
      <w:r w:rsidR="006428DD">
        <w:rPr>
          <w:b/>
          <w:noProof/>
          <w:color w:val="121F6B"/>
          <w:sz w:val="18"/>
          <w:szCs w:val="18"/>
        </w:rPr>
        <w:t>1</w:t>
      </w:r>
      <w:r w:rsidRPr="00D16E12">
        <w:rPr>
          <w:b/>
          <w:color w:val="121F6B"/>
          <w:sz w:val="18"/>
          <w:szCs w:val="18"/>
        </w:rPr>
        <w:fldChar w:fldCharType="end"/>
      </w:r>
      <w:r w:rsidRPr="00D16E12">
        <w:rPr>
          <w:b/>
          <w:color w:val="121F6B"/>
          <w:sz w:val="18"/>
          <w:szCs w:val="18"/>
        </w:rPr>
        <w:t>:</w:t>
      </w:r>
      <w:r w:rsidRPr="00D16E12">
        <w:rPr>
          <w:b/>
          <w:color w:val="121F6B"/>
          <w:sz w:val="18"/>
          <w:szCs w:val="18"/>
        </w:rPr>
        <w:tab/>
        <w:t xml:space="preserve">Characteristics of </w:t>
      </w:r>
      <w:r w:rsidR="00F72C3E">
        <w:rPr>
          <w:b/>
          <w:color w:val="121F6B"/>
          <w:sz w:val="18"/>
          <w:szCs w:val="18"/>
        </w:rPr>
        <w:t xml:space="preserve">known adult </w:t>
      </w:r>
      <w:r w:rsidR="00416EFF">
        <w:rPr>
          <w:b/>
          <w:color w:val="121F6B"/>
          <w:sz w:val="18"/>
          <w:szCs w:val="18"/>
        </w:rPr>
        <w:t xml:space="preserve">gang members as at </w:t>
      </w:r>
      <w:r w:rsidR="009C5BF8">
        <w:rPr>
          <w:b/>
          <w:color w:val="121F6B"/>
          <w:sz w:val="18"/>
          <w:szCs w:val="18"/>
        </w:rPr>
        <w:t>July</w:t>
      </w:r>
      <w:r w:rsidR="00416EFF">
        <w:rPr>
          <w:b/>
          <w:color w:val="121F6B"/>
          <w:sz w:val="18"/>
          <w:szCs w:val="18"/>
        </w:rPr>
        <w:t xml:space="preserve"> 2014</w:t>
      </w:r>
      <w:bookmarkEnd w:id="20"/>
      <w:bookmarkEnd w:id="21"/>
      <w:r w:rsidR="00C717CE" w:rsidRPr="00C717CE">
        <w:rPr>
          <w:color w:val="121F6B"/>
          <w:sz w:val="18"/>
          <w:szCs w:val="18"/>
          <w:vertAlign w:val="superscript"/>
        </w:rPr>
        <w:t>1</w:t>
      </w:r>
    </w:p>
    <w:tbl>
      <w:tblPr>
        <w:tblStyle w:val="TableGrid"/>
        <w:tblW w:w="8613" w:type="dxa"/>
        <w:tblLayout w:type="fixed"/>
        <w:tblCellMar>
          <w:top w:w="28" w:type="dxa"/>
          <w:bottom w:w="28" w:type="dxa"/>
        </w:tblCellMar>
        <w:tblLook w:val="04A0" w:firstRow="1" w:lastRow="0" w:firstColumn="1" w:lastColumn="0" w:noHBand="0" w:noVBand="1"/>
      </w:tblPr>
      <w:tblGrid>
        <w:gridCol w:w="3652"/>
        <w:gridCol w:w="2480"/>
        <w:gridCol w:w="2481"/>
      </w:tblGrid>
      <w:tr w:rsidR="00416EFF" w:rsidRPr="0073602A" w:rsidTr="00F72C3E">
        <w:tc>
          <w:tcPr>
            <w:tcW w:w="3652" w:type="dxa"/>
            <w:tcBorders>
              <w:top w:val="single" w:sz="4" w:space="0" w:color="FFFFFF" w:themeColor="background1"/>
              <w:left w:val="single" w:sz="4" w:space="0" w:color="FFFFFF" w:themeColor="background1"/>
              <w:bottom w:val="nil"/>
              <w:right w:val="nil"/>
            </w:tcBorders>
            <w:shd w:val="clear" w:color="auto" w:fill="121F6B"/>
            <w:vAlign w:val="center"/>
          </w:tcPr>
          <w:p w:rsidR="00416EFF" w:rsidRPr="00301009" w:rsidRDefault="00416EFF" w:rsidP="003C6BD4">
            <w:pPr>
              <w:spacing w:after="0" w:line="240" w:lineRule="auto"/>
              <w:rPr>
                <w:b/>
                <w:sz w:val="18"/>
                <w:szCs w:val="18"/>
                <w:lang w:val="en-NZ" w:eastAsia="en-AU"/>
              </w:rPr>
            </w:pPr>
          </w:p>
        </w:tc>
        <w:tc>
          <w:tcPr>
            <w:tcW w:w="2480" w:type="dxa"/>
            <w:tcBorders>
              <w:top w:val="single" w:sz="4" w:space="0" w:color="FFFFFF" w:themeColor="background1"/>
              <w:left w:val="nil"/>
              <w:bottom w:val="nil"/>
              <w:right w:val="nil"/>
            </w:tcBorders>
            <w:shd w:val="clear" w:color="auto" w:fill="121F6B"/>
            <w:vAlign w:val="center"/>
          </w:tcPr>
          <w:p w:rsidR="00416EFF" w:rsidRPr="00301009" w:rsidRDefault="00416EFF" w:rsidP="00416EFF">
            <w:pPr>
              <w:spacing w:after="0" w:line="240" w:lineRule="auto"/>
              <w:jc w:val="center"/>
              <w:rPr>
                <w:b/>
                <w:sz w:val="18"/>
                <w:szCs w:val="18"/>
                <w:lang w:val="en-NZ" w:eastAsia="en-AU"/>
              </w:rPr>
            </w:pPr>
            <w:r>
              <w:rPr>
                <w:b/>
                <w:sz w:val="18"/>
                <w:szCs w:val="18"/>
                <w:lang w:val="en-NZ" w:eastAsia="en-AU"/>
              </w:rPr>
              <w:t>Number</w:t>
            </w:r>
          </w:p>
        </w:tc>
        <w:tc>
          <w:tcPr>
            <w:tcW w:w="2481" w:type="dxa"/>
            <w:tcBorders>
              <w:top w:val="single" w:sz="4" w:space="0" w:color="FFFFFF" w:themeColor="background1"/>
              <w:left w:val="nil"/>
              <w:bottom w:val="nil"/>
              <w:right w:val="nil"/>
            </w:tcBorders>
            <w:shd w:val="clear" w:color="auto" w:fill="121F6B"/>
            <w:vAlign w:val="center"/>
          </w:tcPr>
          <w:p w:rsidR="00416EFF" w:rsidRPr="00301009" w:rsidRDefault="00416EFF" w:rsidP="00416EFF">
            <w:pPr>
              <w:spacing w:after="0" w:line="240" w:lineRule="auto"/>
              <w:jc w:val="center"/>
              <w:rPr>
                <w:b/>
                <w:sz w:val="18"/>
                <w:szCs w:val="18"/>
                <w:lang w:val="en-NZ" w:eastAsia="en-AU"/>
              </w:rPr>
            </w:pPr>
            <w:r>
              <w:rPr>
                <w:b/>
                <w:sz w:val="18"/>
                <w:szCs w:val="18"/>
                <w:lang w:val="en-NZ" w:eastAsia="en-AU"/>
              </w:rPr>
              <w:t>Percentage</w:t>
            </w:r>
          </w:p>
        </w:tc>
      </w:tr>
      <w:tr w:rsidR="00332B83" w:rsidRPr="0073602A" w:rsidTr="00F72C3E">
        <w:tc>
          <w:tcPr>
            <w:tcW w:w="3652" w:type="dxa"/>
            <w:tcBorders>
              <w:top w:val="single" w:sz="4" w:space="0" w:color="auto"/>
              <w:left w:val="nil"/>
              <w:bottom w:val="nil"/>
              <w:right w:val="nil"/>
            </w:tcBorders>
            <w:vAlign w:val="center"/>
          </w:tcPr>
          <w:p w:rsidR="00332B83" w:rsidRPr="00301009" w:rsidRDefault="00332B83" w:rsidP="002C5D6B">
            <w:pPr>
              <w:spacing w:after="0" w:line="240" w:lineRule="auto"/>
              <w:rPr>
                <w:b/>
                <w:sz w:val="18"/>
                <w:szCs w:val="18"/>
                <w:lang w:val="en-NZ" w:eastAsia="en-AU"/>
              </w:rPr>
            </w:pPr>
            <w:r>
              <w:rPr>
                <w:b/>
                <w:sz w:val="18"/>
                <w:szCs w:val="18"/>
                <w:lang w:val="en-NZ" w:eastAsia="en-AU"/>
              </w:rPr>
              <w:t>Gang name</w:t>
            </w:r>
            <w:r w:rsidR="00C717CE">
              <w:rPr>
                <w:sz w:val="18"/>
                <w:szCs w:val="18"/>
                <w:vertAlign w:val="superscript"/>
                <w:lang w:val="en-NZ" w:eastAsia="en-AU"/>
              </w:rPr>
              <w:t>2</w:t>
            </w:r>
          </w:p>
        </w:tc>
        <w:tc>
          <w:tcPr>
            <w:tcW w:w="2480" w:type="dxa"/>
            <w:tcBorders>
              <w:top w:val="single" w:sz="4" w:space="0" w:color="auto"/>
              <w:left w:val="nil"/>
              <w:bottom w:val="nil"/>
              <w:right w:val="nil"/>
            </w:tcBorders>
            <w:vAlign w:val="center"/>
          </w:tcPr>
          <w:p w:rsidR="00332B83" w:rsidRPr="00301009" w:rsidRDefault="00332B83" w:rsidP="002C5D6B">
            <w:pPr>
              <w:tabs>
                <w:tab w:val="decimal" w:pos="1451"/>
              </w:tabs>
              <w:spacing w:after="0" w:line="240" w:lineRule="auto"/>
              <w:rPr>
                <w:sz w:val="18"/>
                <w:szCs w:val="18"/>
                <w:lang w:val="en-NZ" w:eastAsia="en-AU"/>
              </w:rPr>
            </w:pPr>
          </w:p>
        </w:tc>
        <w:tc>
          <w:tcPr>
            <w:tcW w:w="2481" w:type="dxa"/>
            <w:tcBorders>
              <w:top w:val="single" w:sz="4" w:space="0" w:color="auto"/>
              <w:left w:val="nil"/>
              <w:bottom w:val="nil"/>
              <w:right w:val="nil"/>
            </w:tcBorders>
            <w:vAlign w:val="center"/>
          </w:tcPr>
          <w:p w:rsidR="00332B83" w:rsidRPr="00301009" w:rsidRDefault="00332B83" w:rsidP="002C5D6B">
            <w:pPr>
              <w:tabs>
                <w:tab w:val="decimal" w:pos="1098"/>
              </w:tabs>
              <w:spacing w:after="0" w:line="240" w:lineRule="auto"/>
              <w:rPr>
                <w:sz w:val="18"/>
                <w:szCs w:val="18"/>
                <w:lang w:val="en-NZ" w:eastAsia="en-AU"/>
              </w:rPr>
            </w:pPr>
          </w:p>
        </w:tc>
      </w:tr>
      <w:tr w:rsidR="00332B83" w:rsidRPr="0073602A" w:rsidTr="00F72C3E">
        <w:tc>
          <w:tcPr>
            <w:tcW w:w="3652" w:type="dxa"/>
            <w:tcBorders>
              <w:top w:val="nil"/>
              <w:left w:val="nil"/>
              <w:bottom w:val="nil"/>
              <w:right w:val="nil"/>
            </w:tcBorders>
            <w:shd w:val="clear" w:color="auto" w:fill="CDD3F7"/>
            <w:vAlign w:val="center"/>
          </w:tcPr>
          <w:p w:rsidR="00332B83" w:rsidRPr="00301009" w:rsidRDefault="00332B83" w:rsidP="002C5D6B">
            <w:pPr>
              <w:spacing w:after="0" w:line="240" w:lineRule="auto"/>
              <w:rPr>
                <w:sz w:val="18"/>
                <w:szCs w:val="18"/>
                <w:lang w:val="en-NZ" w:eastAsia="en-AU"/>
              </w:rPr>
            </w:pPr>
            <w:r>
              <w:rPr>
                <w:sz w:val="18"/>
                <w:szCs w:val="18"/>
                <w:lang w:val="en-NZ" w:eastAsia="en-AU"/>
              </w:rPr>
              <w:t>Mongrel Mob</w:t>
            </w:r>
          </w:p>
        </w:tc>
        <w:tc>
          <w:tcPr>
            <w:tcW w:w="2480" w:type="dxa"/>
            <w:tcBorders>
              <w:top w:val="nil"/>
              <w:left w:val="nil"/>
              <w:bottom w:val="nil"/>
              <w:right w:val="nil"/>
            </w:tcBorders>
            <w:shd w:val="clear" w:color="auto" w:fill="CDD3F7"/>
            <w:vAlign w:val="center"/>
          </w:tcPr>
          <w:p w:rsidR="00332B83" w:rsidRPr="00301009" w:rsidRDefault="00332B83" w:rsidP="002C5D6B">
            <w:pPr>
              <w:tabs>
                <w:tab w:val="decimal" w:pos="1451"/>
              </w:tabs>
              <w:spacing w:before="20" w:after="20" w:line="240" w:lineRule="auto"/>
              <w:rPr>
                <w:sz w:val="18"/>
                <w:szCs w:val="18"/>
              </w:rPr>
            </w:pPr>
            <w:r>
              <w:rPr>
                <w:sz w:val="18"/>
                <w:szCs w:val="18"/>
              </w:rPr>
              <w:t>1,510</w:t>
            </w:r>
          </w:p>
        </w:tc>
        <w:tc>
          <w:tcPr>
            <w:tcW w:w="2481" w:type="dxa"/>
            <w:tcBorders>
              <w:top w:val="nil"/>
              <w:left w:val="nil"/>
              <w:bottom w:val="nil"/>
              <w:right w:val="nil"/>
            </w:tcBorders>
            <w:shd w:val="clear" w:color="auto" w:fill="CDD3F7"/>
            <w:vAlign w:val="center"/>
          </w:tcPr>
          <w:p w:rsidR="00332B83" w:rsidRPr="00301009" w:rsidRDefault="00332B83" w:rsidP="002C5D6B">
            <w:pPr>
              <w:tabs>
                <w:tab w:val="decimal" w:pos="1098"/>
              </w:tabs>
              <w:spacing w:before="20" w:after="20" w:line="240" w:lineRule="auto"/>
              <w:rPr>
                <w:sz w:val="18"/>
                <w:szCs w:val="18"/>
              </w:rPr>
            </w:pPr>
            <w:r>
              <w:rPr>
                <w:sz w:val="18"/>
                <w:szCs w:val="18"/>
              </w:rPr>
              <w:t>38.1%</w:t>
            </w:r>
          </w:p>
        </w:tc>
      </w:tr>
      <w:tr w:rsidR="00332B83" w:rsidRPr="0073602A" w:rsidTr="00F72C3E">
        <w:tc>
          <w:tcPr>
            <w:tcW w:w="3652" w:type="dxa"/>
            <w:tcBorders>
              <w:top w:val="nil"/>
              <w:left w:val="nil"/>
              <w:bottom w:val="nil"/>
              <w:right w:val="nil"/>
            </w:tcBorders>
            <w:vAlign w:val="center"/>
          </w:tcPr>
          <w:p w:rsidR="00332B83" w:rsidRPr="00301009" w:rsidRDefault="00332B83" w:rsidP="002C5D6B">
            <w:pPr>
              <w:spacing w:after="0" w:line="240" w:lineRule="auto"/>
              <w:rPr>
                <w:sz w:val="18"/>
                <w:szCs w:val="18"/>
                <w:lang w:val="en-NZ" w:eastAsia="en-AU"/>
              </w:rPr>
            </w:pPr>
            <w:r>
              <w:rPr>
                <w:sz w:val="18"/>
                <w:szCs w:val="18"/>
                <w:lang w:val="en-NZ" w:eastAsia="en-AU"/>
              </w:rPr>
              <w:t>Black Power</w:t>
            </w:r>
          </w:p>
        </w:tc>
        <w:tc>
          <w:tcPr>
            <w:tcW w:w="2480" w:type="dxa"/>
            <w:tcBorders>
              <w:top w:val="nil"/>
              <w:left w:val="nil"/>
              <w:bottom w:val="nil"/>
              <w:right w:val="nil"/>
            </w:tcBorders>
            <w:vAlign w:val="center"/>
          </w:tcPr>
          <w:p w:rsidR="00332B83" w:rsidRPr="00301009" w:rsidRDefault="00332B83" w:rsidP="002C5D6B">
            <w:pPr>
              <w:tabs>
                <w:tab w:val="decimal" w:pos="1451"/>
              </w:tabs>
              <w:spacing w:before="20" w:after="20" w:line="240" w:lineRule="auto"/>
              <w:rPr>
                <w:sz w:val="18"/>
                <w:szCs w:val="18"/>
              </w:rPr>
            </w:pPr>
            <w:r>
              <w:rPr>
                <w:sz w:val="18"/>
                <w:szCs w:val="18"/>
              </w:rPr>
              <w:t>1,154</w:t>
            </w:r>
          </w:p>
        </w:tc>
        <w:tc>
          <w:tcPr>
            <w:tcW w:w="2481" w:type="dxa"/>
            <w:tcBorders>
              <w:top w:val="nil"/>
              <w:left w:val="nil"/>
              <w:bottom w:val="nil"/>
              <w:right w:val="nil"/>
            </w:tcBorders>
            <w:vAlign w:val="center"/>
          </w:tcPr>
          <w:p w:rsidR="00332B83" w:rsidRPr="00301009" w:rsidRDefault="00332B83" w:rsidP="002C5D6B">
            <w:pPr>
              <w:tabs>
                <w:tab w:val="decimal" w:pos="1098"/>
              </w:tabs>
              <w:spacing w:before="20" w:after="20" w:line="240" w:lineRule="auto"/>
              <w:rPr>
                <w:sz w:val="18"/>
                <w:szCs w:val="18"/>
              </w:rPr>
            </w:pPr>
            <w:r>
              <w:rPr>
                <w:sz w:val="18"/>
                <w:szCs w:val="18"/>
              </w:rPr>
              <w:t>29.1%</w:t>
            </w:r>
          </w:p>
        </w:tc>
      </w:tr>
      <w:tr w:rsidR="00332B83" w:rsidRPr="0073602A" w:rsidTr="00F72C3E">
        <w:tc>
          <w:tcPr>
            <w:tcW w:w="3652" w:type="dxa"/>
            <w:tcBorders>
              <w:top w:val="nil"/>
              <w:left w:val="nil"/>
              <w:bottom w:val="nil"/>
              <w:right w:val="nil"/>
            </w:tcBorders>
            <w:shd w:val="clear" w:color="auto" w:fill="CDD3F7"/>
            <w:vAlign w:val="center"/>
          </w:tcPr>
          <w:p w:rsidR="00332B83" w:rsidRPr="00301009" w:rsidRDefault="00C717CE" w:rsidP="002C5D6B">
            <w:pPr>
              <w:spacing w:after="0" w:line="240" w:lineRule="auto"/>
              <w:rPr>
                <w:sz w:val="18"/>
                <w:szCs w:val="18"/>
                <w:lang w:val="en-NZ" w:eastAsia="en-AU"/>
              </w:rPr>
            </w:pPr>
            <w:r>
              <w:rPr>
                <w:sz w:val="18"/>
                <w:szCs w:val="18"/>
                <w:lang w:val="en-NZ" w:eastAsia="en-AU"/>
              </w:rPr>
              <w:t>Tribesman MC</w:t>
            </w:r>
          </w:p>
        </w:tc>
        <w:tc>
          <w:tcPr>
            <w:tcW w:w="2480" w:type="dxa"/>
            <w:tcBorders>
              <w:top w:val="nil"/>
              <w:left w:val="nil"/>
              <w:bottom w:val="nil"/>
              <w:right w:val="nil"/>
            </w:tcBorders>
            <w:shd w:val="clear" w:color="auto" w:fill="CDD3F7"/>
            <w:vAlign w:val="center"/>
          </w:tcPr>
          <w:p w:rsidR="00332B83" w:rsidRPr="00301009" w:rsidRDefault="00C717CE" w:rsidP="002C5D6B">
            <w:pPr>
              <w:tabs>
                <w:tab w:val="decimal" w:pos="1451"/>
              </w:tabs>
              <w:spacing w:before="20" w:after="20" w:line="240" w:lineRule="auto"/>
              <w:rPr>
                <w:sz w:val="18"/>
                <w:szCs w:val="18"/>
              </w:rPr>
            </w:pPr>
            <w:r>
              <w:rPr>
                <w:sz w:val="18"/>
                <w:szCs w:val="18"/>
              </w:rPr>
              <w:t>200</w:t>
            </w:r>
          </w:p>
        </w:tc>
        <w:tc>
          <w:tcPr>
            <w:tcW w:w="2481" w:type="dxa"/>
            <w:tcBorders>
              <w:top w:val="nil"/>
              <w:left w:val="nil"/>
              <w:bottom w:val="nil"/>
              <w:right w:val="nil"/>
            </w:tcBorders>
            <w:shd w:val="clear" w:color="auto" w:fill="CDD3F7"/>
            <w:vAlign w:val="center"/>
          </w:tcPr>
          <w:p w:rsidR="00332B83" w:rsidRPr="00301009" w:rsidRDefault="00C717CE" w:rsidP="002C5D6B">
            <w:pPr>
              <w:tabs>
                <w:tab w:val="decimal" w:pos="1098"/>
              </w:tabs>
              <w:spacing w:before="20" w:after="20" w:line="240" w:lineRule="auto"/>
              <w:rPr>
                <w:sz w:val="18"/>
                <w:szCs w:val="18"/>
              </w:rPr>
            </w:pPr>
            <w:r>
              <w:rPr>
                <w:sz w:val="18"/>
                <w:szCs w:val="18"/>
              </w:rPr>
              <w:t>5.1</w:t>
            </w:r>
            <w:r w:rsidR="00332B83">
              <w:rPr>
                <w:sz w:val="18"/>
                <w:szCs w:val="18"/>
              </w:rPr>
              <w:t>%</w:t>
            </w:r>
          </w:p>
        </w:tc>
      </w:tr>
      <w:tr w:rsidR="00C717CE" w:rsidRPr="0073602A" w:rsidTr="00F72C3E">
        <w:tc>
          <w:tcPr>
            <w:tcW w:w="3652" w:type="dxa"/>
            <w:tcBorders>
              <w:top w:val="nil"/>
              <w:left w:val="nil"/>
              <w:bottom w:val="nil"/>
              <w:right w:val="nil"/>
            </w:tcBorders>
            <w:vAlign w:val="center"/>
          </w:tcPr>
          <w:p w:rsidR="00C717CE" w:rsidRPr="00301009" w:rsidRDefault="00C717CE" w:rsidP="002C5D6B">
            <w:pPr>
              <w:spacing w:after="0" w:line="240" w:lineRule="auto"/>
              <w:rPr>
                <w:sz w:val="18"/>
                <w:szCs w:val="18"/>
                <w:lang w:val="en-NZ" w:eastAsia="en-AU"/>
              </w:rPr>
            </w:pPr>
            <w:r>
              <w:rPr>
                <w:sz w:val="18"/>
                <w:szCs w:val="18"/>
                <w:lang w:val="en-NZ" w:eastAsia="en-AU"/>
              </w:rPr>
              <w:t>King Cobra</w:t>
            </w:r>
            <w:r w:rsidR="00C332D1">
              <w:rPr>
                <w:sz w:val="18"/>
                <w:szCs w:val="18"/>
                <w:lang w:val="en-NZ" w:eastAsia="en-AU"/>
              </w:rPr>
              <w:t>s</w:t>
            </w:r>
          </w:p>
        </w:tc>
        <w:tc>
          <w:tcPr>
            <w:tcW w:w="2480" w:type="dxa"/>
            <w:tcBorders>
              <w:top w:val="nil"/>
              <w:left w:val="nil"/>
              <w:bottom w:val="nil"/>
              <w:right w:val="nil"/>
            </w:tcBorders>
            <w:vAlign w:val="center"/>
          </w:tcPr>
          <w:p w:rsidR="00C717CE" w:rsidRPr="00301009" w:rsidRDefault="00C717CE" w:rsidP="00C717CE">
            <w:pPr>
              <w:tabs>
                <w:tab w:val="decimal" w:pos="1451"/>
              </w:tabs>
              <w:spacing w:before="20" w:after="20" w:line="240" w:lineRule="auto"/>
              <w:rPr>
                <w:sz w:val="18"/>
                <w:szCs w:val="18"/>
              </w:rPr>
            </w:pPr>
            <w:r>
              <w:rPr>
                <w:sz w:val="18"/>
                <w:szCs w:val="18"/>
              </w:rPr>
              <w:t>177</w:t>
            </w:r>
          </w:p>
        </w:tc>
        <w:tc>
          <w:tcPr>
            <w:tcW w:w="2481" w:type="dxa"/>
            <w:tcBorders>
              <w:top w:val="nil"/>
              <w:left w:val="nil"/>
              <w:bottom w:val="nil"/>
              <w:right w:val="nil"/>
            </w:tcBorders>
            <w:vAlign w:val="center"/>
          </w:tcPr>
          <w:p w:rsidR="00C717CE" w:rsidRPr="00301009" w:rsidRDefault="00C717CE" w:rsidP="002C5D6B">
            <w:pPr>
              <w:tabs>
                <w:tab w:val="decimal" w:pos="1098"/>
              </w:tabs>
              <w:spacing w:before="20" w:after="20" w:line="240" w:lineRule="auto"/>
              <w:rPr>
                <w:sz w:val="18"/>
                <w:szCs w:val="18"/>
              </w:rPr>
            </w:pPr>
            <w:r>
              <w:rPr>
                <w:sz w:val="18"/>
                <w:szCs w:val="18"/>
              </w:rPr>
              <w:t>4.5%</w:t>
            </w:r>
          </w:p>
        </w:tc>
      </w:tr>
      <w:tr w:rsidR="00C717CE" w:rsidRPr="0073602A" w:rsidTr="00F72C3E">
        <w:tc>
          <w:tcPr>
            <w:tcW w:w="3652" w:type="dxa"/>
            <w:tcBorders>
              <w:top w:val="nil"/>
              <w:left w:val="nil"/>
              <w:bottom w:val="nil"/>
              <w:right w:val="nil"/>
            </w:tcBorders>
            <w:shd w:val="clear" w:color="auto" w:fill="CDD3F7"/>
            <w:vAlign w:val="center"/>
          </w:tcPr>
          <w:p w:rsidR="00C717CE" w:rsidRPr="00301009" w:rsidRDefault="00C717CE" w:rsidP="002C5D6B">
            <w:pPr>
              <w:spacing w:after="0" w:line="240" w:lineRule="auto"/>
              <w:rPr>
                <w:sz w:val="18"/>
                <w:szCs w:val="18"/>
                <w:lang w:val="en-NZ" w:eastAsia="en-AU"/>
              </w:rPr>
            </w:pPr>
            <w:r>
              <w:rPr>
                <w:sz w:val="18"/>
                <w:szCs w:val="18"/>
                <w:lang w:val="en-NZ" w:eastAsia="en-AU"/>
              </w:rPr>
              <w:t>Head Hunters MC</w:t>
            </w:r>
          </w:p>
        </w:tc>
        <w:tc>
          <w:tcPr>
            <w:tcW w:w="2480" w:type="dxa"/>
            <w:tcBorders>
              <w:top w:val="nil"/>
              <w:left w:val="nil"/>
              <w:bottom w:val="nil"/>
              <w:right w:val="nil"/>
            </w:tcBorders>
            <w:shd w:val="clear" w:color="auto" w:fill="CDD3F7"/>
            <w:vAlign w:val="center"/>
          </w:tcPr>
          <w:p w:rsidR="00C717CE" w:rsidRPr="00301009" w:rsidRDefault="00C717CE" w:rsidP="00C717CE">
            <w:pPr>
              <w:tabs>
                <w:tab w:val="decimal" w:pos="1451"/>
              </w:tabs>
              <w:spacing w:before="20" w:after="20" w:line="240" w:lineRule="auto"/>
              <w:rPr>
                <w:sz w:val="18"/>
                <w:szCs w:val="18"/>
              </w:rPr>
            </w:pPr>
            <w:r>
              <w:rPr>
                <w:sz w:val="18"/>
                <w:szCs w:val="18"/>
              </w:rPr>
              <w:t>150</w:t>
            </w:r>
          </w:p>
        </w:tc>
        <w:tc>
          <w:tcPr>
            <w:tcW w:w="2481" w:type="dxa"/>
            <w:tcBorders>
              <w:top w:val="nil"/>
              <w:left w:val="nil"/>
              <w:bottom w:val="nil"/>
              <w:right w:val="nil"/>
            </w:tcBorders>
            <w:shd w:val="clear" w:color="auto" w:fill="CDD3F7"/>
            <w:vAlign w:val="center"/>
          </w:tcPr>
          <w:p w:rsidR="00C717CE" w:rsidRPr="00301009" w:rsidRDefault="00C717CE" w:rsidP="00C717CE">
            <w:pPr>
              <w:tabs>
                <w:tab w:val="decimal" w:pos="1098"/>
              </w:tabs>
              <w:spacing w:before="20" w:after="20" w:line="240" w:lineRule="auto"/>
              <w:rPr>
                <w:sz w:val="18"/>
                <w:szCs w:val="18"/>
              </w:rPr>
            </w:pPr>
            <w:r>
              <w:rPr>
                <w:sz w:val="18"/>
                <w:szCs w:val="18"/>
              </w:rPr>
              <w:t>3.8%</w:t>
            </w:r>
          </w:p>
        </w:tc>
      </w:tr>
      <w:tr w:rsidR="00C717CE" w:rsidRPr="0073602A" w:rsidTr="00F72C3E">
        <w:tc>
          <w:tcPr>
            <w:tcW w:w="3652" w:type="dxa"/>
            <w:tcBorders>
              <w:top w:val="nil"/>
              <w:left w:val="nil"/>
              <w:bottom w:val="nil"/>
              <w:right w:val="nil"/>
            </w:tcBorders>
            <w:vAlign w:val="center"/>
          </w:tcPr>
          <w:p w:rsidR="00C717CE" w:rsidRPr="00301009" w:rsidRDefault="00C717CE" w:rsidP="002C5D6B">
            <w:pPr>
              <w:spacing w:after="0" w:line="240" w:lineRule="auto"/>
              <w:rPr>
                <w:sz w:val="18"/>
                <w:szCs w:val="18"/>
                <w:lang w:val="en-NZ" w:eastAsia="en-AU"/>
              </w:rPr>
            </w:pPr>
            <w:r>
              <w:rPr>
                <w:sz w:val="18"/>
                <w:szCs w:val="18"/>
                <w:lang w:val="en-NZ" w:eastAsia="en-AU"/>
              </w:rPr>
              <w:t>Filthy Few MC</w:t>
            </w:r>
          </w:p>
        </w:tc>
        <w:tc>
          <w:tcPr>
            <w:tcW w:w="2480" w:type="dxa"/>
            <w:tcBorders>
              <w:top w:val="nil"/>
              <w:left w:val="nil"/>
              <w:bottom w:val="nil"/>
              <w:right w:val="nil"/>
            </w:tcBorders>
            <w:vAlign w:val="center"/>
          </w:tcPr>
          <w:p w:rsidR="00C717CE" w:rsidRPr="00301009" w:rsidRDefault="00C717CE" w:rsidP="00C717CE">
            <w:pPr>
              <w:tabs>
                <w:tab w:val="decimal" w:pos="1451"/>
              </w:tabs>
              <w:spacing w:before="20" w:after="20" w:line="240" w:lineRule="auto"/>
              <w:rPr>
                <w:sz w:val="18"/>
                <w:szCs w:val="18"/>
              </w:rPr>
            </w:pPr>
            <w:r>
              <w:rPr>
                <w:sz w:val="18"/>
                <w:szCs w:val="18"/>
              </w:rPr>
              <w:t>119</w:t>
            </w:r>
          </w:p>
        </w:tc>
        <w:tc>
          <w:tcPr>
            <w:tcW w:w="2481" w:type="dxa"/>
            <w:tcBorders>
              <w:top w:val="nil"/>
              <w:left w:val="nil"/>
              <w:bottom w:val="nil"/>
              <w:right w:val="nil"/>
            </w:tcBorders>
            <w:vAlign w:val="center"/>
          </w:tcPr>
          <w:p w:rsidR="00C717CE" w:rsidRPr="00301009" w:rsidRDefault="00C717CE" w:rsidP="002C5D6B">
            <w:pPr>
              <w:tabs>
                <w:tab w:val="decimal" w:pos="1098"/>
              </w:tabs>
              <w:spacing w:before="20" w:after="20" w:line="240" w:lineRule="auto"/>
              <w:rPr>
                <w:sz w:val="18"/>
                <w:szCs w:val="18"/>
              </w:rPr>
            </w:pPr>
            <w:r>
              <w:rPr>
                <w:sz w:val="18"/>
                <w:szCs w:val="18"/>
              </w:rPr>
              <w:t>3.0%</w:t>
            </w:r>
          </w:p>
        </w:tc>
      </w:tr>
      <w:tr w:rsidR="00C717CE" w:rsidRPr="0073602A" w:rsidTr="00F72C3E">
        <w:tc>
          <w:tcPr>
            <w:tcW w:w="3652" w:type="dxa"/>
            <w:tcBorders>
              <w:top w:val="nil"/>
              <w:left w:val="nil"/>
              <w:bottom w:val="nil"/>
              <w:right w:val="nil"/>
            </w:tcBorders>
            <w:shd w:val="clear" w:color="auto" w:fill="CDD3F7"/>
            <w:vAlign w:val="center"/>
          </w:tcPr>
          <w:p w:rsidR="00C717CE" w:rsidRPr="00301009" w:rsidRDefault="00C717CE" w:rsidP="002C5D6B">
            <w:pPr>
              <w:spacing w:after="0" w:line="240" w:lineRule="auto"/>
              <w:rPr>
                <w:sz w:val="18"/>
                <w:szCs w:val="18"/>
                <w:lang w:val="en-NZ" w:eastAsia="en-AU"/>
              </w:rPr>
            </w:pPr>
            <w:r>
              <w:rPr>
                <w:sz w:val="18"/>
                <w:szCs w:val="18"/>
                <w:lang w:val="en-NZ" w:eastAsia="en-AU"/>
              </w:rPr>
              <w:t>Nomads</w:t>
            </w:r>
          </w:p>
        </w:tc>
        <w:tc>
          <w:tcPr>
            <w:tcW w:w="2480" w:type="dxa"/>
            <w:tcBorders>
              <w:top w:val="nil"/>
              <w:left w:val="nil"/>
              <w:bottom w:val="nil"/>
              <w:right w:val="nil"/>
            </w:tcBorders>
            <w:shd w:val="clear" w:color="auto" w:fill="CDD3F7"/>
            <w:vAlign w:val="center"/>
          </w:tcPr>
          <w:p w:rsidR="00C717CE" w:rsidRPr="00301009" w:rsidRDefault="00C717CE" w:rsidP="00C717CE">
            <w:pPr>
              <w:tabs>
                <w:tab w:val="decimal" w:pos="1451"/>
              </w:tabs>
              <w:spacing w:before="20" w:after="20" w:line="240" w:lineRule="auto"/>
              <w:rPr>
                <w:sz w:val="18"/>
                <w:szCs w:val="18"/>
              </w:rPr>
            </w:pPr>
            <w:r>
              <w:rPr>
                <w:sz w:val="18"/>
                <w:szCs w:val="18"/>
              </w:rPr>
              <w:t>105</w:t>
            </w:r>
          </w:p>
        </w:tc>
        <w:tc>
          <w:tcPr>
            <w:tcW w:w="2481" w:type="dxa"/>
            <w:tcBorders>
              <w:top w:val="nil"/>
              <w:left w:val="nil"/>
              <w:bottom w:val="nil"/>
              <w:right w:val="nil"/>
            </w:tcBorders>
            <w:shd w:val="clear" w:color="auto" w:fill="CDD3F7"/>
            <w:vAlign w:val="center"/>
          </w:tcPr>
          <w:p w:rsidR="00C717CE" w:rsidRPr="00301009" w:rsidRDefault="00C717CE" w:rsidP="002C5D6B">
            <w:pPr>
              <w:tabs>
                <w:tab w:val="decimal" w:pos="1098"/>
              </w:tabs>
              <w:spacing w:before="20" w:after="20" w:line="240" w:lineRule="auto"/>
              <w:rPr>
                <w:sz w:val="18"/>
                <w:szCs w:val="18"/>
              </w:rPr>
            </w:pPr>
            <w:r>
              <w:rPr>
                <w:sz w:val="18"/>
                <w:szCs w:val="18"/>
              </w:rPr>
              <w:t>2.7%</w:t>
            </w:r>
          </w:p>
        </w:tc>
      </w:tr>
      <w:tr w:rsidR="00C717CE" w:rsidRPr="0073602A" w:rsidTr="00F72C3E">
        <w:tc>
          <w:tcPr>
            <w:tcW w:w="3652" w:type="dxa"/>
            <w:tcBorders>
              <w:top w:val="nil"/>
              <w:left w:val="nil"/>
              <w:bottom w:val="nil"/>
              <w:right w:val="nil"/>
            </w:tcBorders>
            <w:vAlign w:val="center"/>
          </w:tcPr>
          <w:p w:rsidR="00C717CE" w:rsidRPr="00301009" w:rsidRDefault="00C717CE" w:rsidP="002C5D6B">
            <w:pPr>
              <w:spacing w:after="0" w:line="240" w:lineRule="auto"/>
              <w:rPr>
                <w:sz w:val="18"/>
                <w:szCs w:val="18"/>
                <w:lang w:val="en-NZ" w:eastAsia="en-AU"/>
              </w:rPr>
            </w:pPr>
            <w:r>
              <w:rPr>
                <w:sz w:val="18"/>
                <w:szCs w:val="18"/>
                <w:lang w:val="en-NZ" w:eastAsia="en-AU"/>
              </w:rPr>
              <w:t>All others</w:t>
            </w:r>
          </w:p>
        </w:tc>
        <w:tc>
          <w:tcPr>
            <w:tcW w:w="2480" w:type="dxa"/>
            <w:tcBorders>
              <w:top w:val="nil"/>
              <w:left w:val="nil"/>
              <w:bottom w:val="nil"/>
              <w:right w:val="nil"/>
            </w:tcBorders>
            <w:vAlign w:val="center"/>
          </w:tcPr>
          <w:p w:rsidR="00C717CE" w:rsidRPr="00301009" w:rsidRDefault="00C717CE" w:rsidP="002C5D6B">
            <w:pPr>
              <w:tabs>
                <w:tab w:val="decimal" w:pos="1451"/>
              </w:tabs>
              <w:spacing w:before="20" w:after="20" w:line="240" w:lineRule="auto"/>
              <w:rPr>
                <w:sz w:val="18"/>
                <w:szCs w:val="18"/>
              </w:rPr>
            </w:pPr>
            <w:r>
              <w:rPr>
                <w:sz w:val="18"/>
                <w:szCs w:val="18"/>
              </w:rPr>
              <w:t>545</w:t>
            </w:r>
          </w:p>
        </w:tc>
        <w:tc>
          <w:tcPr>
            <w:tcW w:w="2481" w:type="dxa"/>
            <w:tcBorders>
              <w:top w:val="nil"/>
              <w:left w:val="nil"/>
              <w:bottom w:val="nil"/>
              <w:right w:val="nil"/>
            </w:tcBorders>
            <w:vAlign w:val="center"/>
          </w:tcPr>
          <w:p w:rsidR="00C717CE" w:rsidRPr="00301009" w:rsidRDefault="00C717CE" w:rsidP="002C5D6B">
            <w:pPr>
              <w:tabs>
                <w:tab w:val="decimal" w:pos="1098"/>
              </w:tabs>
              <w:spacing w:before="20" w:after="20" w:line="240" w:lineRule="auto"/>
              <w:rPr>
                <w:sz w:val="18"/>
                <w:szCs w:val="18"/>
              </w:rPr>
            </w:pPr>
            <w:r>
              <w:rPr>
                <w:sz w:val="18"/>
                <w:szCs w:val="18"/>
              </w:rPr>
              <w:t>13.8%</w:t>
            </w:r>
          </w:p>
        </w:tc>
      </w:tr>
      <w:tr w:rsidR="00B77F43" w:rsidRPr="0073602A" w:rsidTr="00F72C3E">
        <w:tc>
          <w:tcPr>
            <w:tcW w:w="3652" w:type="dxa"/>
            <w:tcBorders>
              <w:top w:val="single" w:sz="4" w:space="0" w:color="auto"/>
              <w:left w:val="nil"/>
              <w:bottom w:val="nil"/>
              <w:right w:val="nil"/>
            </w:tcBorders>
            <w:vAlign w:val="center"/>
          </w:tcPr>
          <w:p w:rsidR="00B77F43" w:rsidRPr="00301009" w:rsidRDefault="00B77F43" w:rsidP="002C5D6B">
            <w:pPr>
              <w:spacing w:after="0" w:line="240" w:lineRule="auto"/>
              <w:rPr>
                <w:b/>
                <w:sz w:val="18"/>
                <w:szCs w:val="18"/>
                <w:lang w:val="en-NZ" w:eastAsia="en-AU"/>
              </w:rPr>
            </w:pPr>
            <w:r>
              <w:rPr>
                <w:b/>
                <w:sz w:val="18"/>
                <w:szCs w:val="18"/>
                <w:lang w:val="en-NZ" w:eastAsia="en-AU"/>
              </w:rPr>
              <w:t>Membership status</w:t>
            </w:r>
          </w:p>
        </w:tc>
        <w:tc>
          <w:tcPr>
            <w:tcW w:w="2480" w:type="dxa"/>
            <w:tcBorders>
              <w:top w:val="single" w:sz="4" w:space="0" w:color="auto"/>
              <w:left w:val="nil"/>
              <w:bottom w:val="nil"/>
              <w:right w:val="nil"/>
            </w:tcBorders>
            <w:vAlign w:val="center"/>
          </w:tcPr>
          <w:p w:rsidR="00B77F43" w:rsidRPr="00301009" w:rsidRDefault="00B77F43" w:rsidP="002C5D6B">
            <w:pPr>
              <w:spacing w:after="0" w:line="240" w:lineRule="auto"/>
              <w:jc w:val="center"/>
              <w:rPr>
                <w:sz w:val="18"/>
                <w:szCs w:val="18"/>
                <w:lang w:val="en-NZ" w:eastAsia="en-AU"/>
              </w:rPr>
            </w:pPr>
          </w:p>
        </w:tc>
        <w:tc>
          <w:tcPr>
            <w:tcW w:w="2481" w:type="dxa"/>
            <w:tcBorders>
              <w:top w:val="single" w:sz="4" w:space="0" w:color="auto"/>
              <w:left w:val="nil"/>
              <w:bottom w:val="nil"/>
              <w:right w:val="nil"/>
            </w:tcBorders>
            <w:vAlign w:val="center"/>
          </w:tcPr>
          <w:p w:rsidR="00B77F43" w:rsidRPr="00301009" w:rsidRDefault="00B77F43" w:rsidP="002C5D6B">
            <w:pPr>
              <w:spacing w:after="0" w:line="240" w:lineRule="auto"/>
              <w:jc w:val="center"/>
              <w:rPr>
                <w:sz w:val="18"/>
                <w:szCs w:val="18"/>
                <w:lang w:val="en-NZ" w:eastAsia="en-AU"/>
              </w:rPr>
            </w:pPr>
          </w:p>
        </w:tc>
      </w:tr>
      <w:tr w:rsidR="00B77F43" w:rsidRPr="0073602A" w:rsidTr="00F72C3E">
        <w:tc>
          <w:tcPr>
            <w:tcW w:w="3652" w:type="dxa"/>
            <w:tcBorders>
              <w:top w:val="nil"/>
              <w:left w:val="nil"/>
              <w:bottom w:val="nil"/>
              <w:right w:val="nil"/>
            </w:tcBorders>
            <w:shd w:val="clear" w:color="auto" w:fill="CDD3F7"/>
            <w:vAlign w:val="center"/>
          </w:tcPr>
          <w:p w:rsidR="00B77F43" w:rsidRPr="00301009" w:rsidRDefault="00B77F43" w:rsidP="002C5D6B">
            <w:pPr>
              <w:spacing w:after="0" w:line="240" w:lineRule="auto"/>
              <w:rPr>
                <w:sz w:val="18"/>
                <w:szCs w:val="18"/>
                <w:lang w:val="en-NZ" w:eastAsia="en-AU"/>
              </w:rPr>
            </w:pPr>
            <w:r>
              <w:rPr>
                <w:sz w:val="18"/>
                <w:szCs w:val="18"/>
                <w:lang w:val="en-NZ" w:eastAsia="en-AU"/>
              </w:rPr>
              <w:t>Patched member</w:t>
            </w:r>
          </w:p>
        </w:tc>
        <w:tc>
          <w:tcPr>
            <w:tcW w:w="2480" w:type="dxa"/>
            <w:tcBorders>
              <w:top w:val="nil"/>
              <w:left w:val="nil"/>
              <w:bottom w:val="nil"/>
              <w:right w:val="nil"/>
            </w:tcBorders>
            <w:shd w:val="clear" w:color="auto" w:fill="CDD3F7"/>
            <w:vAlign w:val="center"/>
          </w:tcPr>
          <w:p w:rsidR="00B77F43" w:rsidRPr="00301009" w:rsidRDefault="00B77F43" w:rsidP="00332B83">
            <w:pPr>
              <w:tabs>
                <w:tab w:val="decimal" w:pos="1451"/>
              </w:tabs>
              <w:spacing w:before="20" w:after="20" w:line="240" w:lineRule="auto"/>
              <w:rPr>
                <w:sz w:val="18"/>
                <w:szCs w:val="18"/>
              </w:rPr>
            </w:pPr>
            <w:r>
              <w:rPr>
                <w:sz w:val="18"/>
                <w:szCs w:val="18"/>
              </w:rPr>
              <w:t>3,404</w:t>
            </w:r>
          </w:p>
        </w:tc>
        <w:tc>
          <w:tcPr>
            <w:tcW w:w="2481" w:type="dxa"/>
            <w:tcBorders>
              <w:top w:val="nil"/>
              <w:left w:val="nil"/>
              <w:bottom w:val="nil"/>
              <w:right w:val="nil"/>
            </w:tcBorders>
            <w:shd w:val="clear" w:color="auto" w:fill="CDD3F7"/>
            <w:vAlign w:val="center"/>
          </w:tcPr>
          <w:p w:rsidR="00B77F43" w:rsidRPr="00301009" w:rsidRDefault="00B77F43" w:rsidP="00332B83">
            <w:pPr>
              <w:tabs>
                <w:tab w:val="decimal" w:pos="1098"/>
              </w:tabs>
              <w:spacing w:before="20" w:after="20" w:line="240" w:lineRule="auto"/>
              <w:rPr>
                <w:sz w:val="18"/>
                <w:szCs w:val="18"/>
              </w:rPr>
            </w:pPr>
            <w:r>
              <w:rPr>
                <w:sz w:val="18"/>
                <w:szCs w:val="18"/>
              </w:rPr>
              <w:t>86.0%</w:t>
            </w:r>
          </w:p>
        </w:tc>
      </w:tr>
      <w:tr w:rsidR="00B77F43" w:rsidRPr="0073602A" w:rsidTr="00F72C3E">
        <w:tc>
          <w:tcPr>
            <w:tcW w:w="3652" w:type="dxa"/>
            <w:tcBorders>
              <w:top w:val="nil"/>
              <w:left w:val="nil"/>
              <w:bottom w:val="nil"/>
              <w:right w:val="nil"/>
            </w:tcBorders>
            <w:vAlign w:val="center"/>
          </w:tcPr>
          <w:p w:rsidR="00B77F43" w:rsidRPr="00301009" w:rsidRDefault="00B77F43" w:rsidP="002C5D6B">
            <w:pPr>
              <w:spacing w:after="0" w:line="240" w:lineRule="auto"/>
              <w:rPr>
                <w:sz w:val="18"/>
                <w:szCs w:val="18"/>
                <w:lang w:val="en-NZ" w:eastAsia="en-AU"/>
              </w:rPr>
            </w:pPr>
            <w:r>
              <w:rPr>
                <w:sz w:val="18"/>
                <w:szCs w:val="18"/>
                <w:lang w:val="en-NZ" w:eastAsia="en-AU"/>
              </w:rPr>
              <w:t>Prospect</w:t>
            </w:r>
          </w:p>
        </w:tc>
        <w:tc>
          <w:tcPr>
            <w:tcW w:w="2480" w:type="dxa"/>
            <w:tcBorders>
              <w:top w:val="nil"/>
              <w:left w:val="nil"/>
              <w:bottom w:val="nil"/>
              <w:right w:val="nil"/>
            </w:tcBorders>
            <w:vAlign w:val="center"/>
          </w:tcPr>
          <w:p w:rsidR="00B77F43" w:rsidRPr="00301009" w:rsidRDefault="00B77F43" w:rsidP="00332B83">
            <w:pPr>
              <w:tabs>
                <w:tab w:val="decimal" w:pos="1451"/>
              </w:tabs>
              <w:spacing w:before="20" w:after="20" w:line="240" w:lineRule="auto"/>
              <w:rPr>
                <w:sz w:val="18"/>
                <w:szCs w:val="18"/>
              </w:rPr>
            </w:pPr>
            <w:r>
              <w:rPr>
                <w:sz w:val="18"/>
                <w:szCs w:val="18"/>
              </w:rPr>
              <w:t>556</w:t>
            </w:r>
          </w:p>
        </w:tc>
        <w:tc>
          <w:tcPr>
            <w:tcW w:w="2481" w:type="dxa"/>
            <w:tcBorders>
              <w:top w:val="nil"/>
              <w:left w:val="nil"/>
              <w:bottom w:val="nil"/>
              <w:right w:val="nil"/>
            </w:tcBorders>
            <w:vAlign w:val="center"/>
          </w:tcPr>
          <w:p w:rsidR="00B77F43" w:rsidRPr="00301009" w:rsidRDefault="00B77F43" w:rsidP="00332B83">
            <w:pPr>
              <w:tabs>
                <w:tab w:val="decimal" w:pos="1098"/>
              </w:tabs>
              <w:spacing w:before="20" w:after="20" w:line="240" w:lineRule="auto"/>
              <w:rPr>
                <w:sz w:val="18"/>
                <w:szCs w:val="18"/>
              </w:rPr>
            </w:pPr>
            <w:r>
              <w:rPr>
                <w:sz w:val="18"/>
                <w:szCs w:val="18"/>
              </w:rPr>
              <w:t>14.0%</w:t>
            </w:r>
          </w:p>
        </w:tc>
      </w:tr>
      <w:tr w:rsidR="00416EFF" w:rsidRPr="0073602A" w:rsidTr="00F72C3E">
        <w:tc>
          <w:tcPr>
            <w:tcW w:w="3652" w:type="dxa"/>
            <w:tcBorders>
              <w:top w:val="single" w:sz="4" w:space="0" w:color="auto"/>
              <w:left w:val="nil"/>
              <w:bottom w:val="nil"/>
              <w:right w:val="nil"/>
            </w:tcBorders>
            <w:vAlign w:val="center"/>
          </w:tcPr>
          <w:p w:rsidR="00416EFF" w:rsidRPr="00301009" w:rsidRDefault="00416EFF" w:rsidP="00F72C3E">
            <w:pPr>
              <w:spacing w:after="0" w:line="240" w:lineRule="auto"/>
              <w:rPr>
                <w:b/>
                <w:sz w:val="18"/>
                <w:szCs w:val="18"/>
                <w:lang w:val="en-NZ" w:eastAsia="en-AU"/>
              </w:rPr>
            </w:pPr>
            <w:r w:rsidRPr="00301009">
              <w:rPr>
                <w:b/>
                <w:sz w:val="18"/>
                <w:szCs w:val="18"/>
                <w:lang w:val="en-NZ" w:eastAsia="en-AU"/>
              </w:rPr>
              <w:t>Ethnicity</w:t>
            </w:r>
            <w:r w:rsidR="00F72C3E">
              <w:rPr>
                <w:sz w:val="18"/>
                <w:szCs w:val="18"/>
                <w:vertAlign w:val="superscript"/>
                <w:lang w:val="en-NZ" w:eastAsia="en-AU"/>
              </w:rPr>
              <w:t>3</w:t>
            </w:r>
          </w:p>
        </w:tc>
        <w:tc>
          <w:tcPr>
            <w:tcW w:w="2480" w:type="dxa"/>
            <w:tcBorders>
              <w:top w:val="single" w:sz="4" w:space="0" w:color="auto"/>
              <w:left w:val="nil"/>
              <w:bottom w:val="nil"/>
              <w:right w:val="nil"/>
            </w:tcBorders>
            <w:vAlign w:val="center"/>
          </w:tcPr>
          <w:p w:rsidR="00416EFF" w:rsidRPr="00301009" w:rsidRDefault="00416EFF" w:rsidP="00332B83">
            <w:pPr>
              <w:tabs>
                <w:tab w:val="decimal" w:pos="1451"/>
              </w:tabs>
              <w:spacing w:after="0" w:line="240" w:lineRule="auto"/>
              <w:rPr>
                <w:sz w:val="18"/>
                <w:szCs w:val="18"/>
                <w:lang w:val="en-NZ" w:eastAsia="en-AU"/>
              </w:rPr>
            </w:pPr>
          </w:p>
        </w:tc>
        <w:tc>
          <w:tcPr>
            <w:tcW w:w="2481" w:type="dxa"/>
            <w:tcBorders>
              <w:top w:val="single" w:sz="4" w:space="0" w:color="auto"/>
              <w:left w:val="nil"/>
              <w:bottom w:val="nil"/>
              <w:right w:val="nil"/>
            </w:tcBorders>
            <w:vAlign w:val="center"/>
          </w:tcPr>
          <w:p w:rsidR="00416EFF" w:rsidRPr="00301009" w:rsidRDefault="00416EFF" w:rsidP="00332B83">
            <w:pPr>
              <w:tabs>
                <w:tab w:val="decimal" w:pos="1098"/>
              </w:tabs>
              <w:spacing w:after="0" w:line="240" w:lineRule="auto"/>
              <w:rPr>
                <w:sz w:val="18"/>
                <w:szCs w:val="18"/>
                <w:lang w:val="en-NZ" w:eastAsia="en-AU"/>
              </w:rPr>
            </w:pPr>
          </w:p>
        </w:tc>
      </w:tr>
      <w:tr w:rsidR="00416EFF" w:rsidRPr="0073602A" w:rsidTr="00F72C3E">
        <w:tc>
          <w:tcPr>
            <w:tcW w:w="3652" w:type="dxa"/>
            <w:tcBorders>
              <w:top w:val="nil"/>
              <w:left w:val="nil"/>
              <w:bottom w:val="nil"/>
              <w:right w:val="nil"/>
            </w:tcBorders>
            <w:shd w:val="clear" w:color="auto" w:fill="CDD3F7"/>
            <w:vAlign w:val="center"/>
          </w:tcPr>
          <w:p w:rsidR="00416EFF" w:rsidRPr="00301009" w:rsidRDefault="00416EFF" w:rsidP="00C94DDD">
            <w:pPr>
              <w:spacing w:after="0" w:line="240" w:lineRule="auto"/>
              <w:rPr>
                <w:sz w:val="18"/>
                <w:szCs w:val="18"/>
                <w:lang w:val="en-NZ" w:eastAsia="en-AU"/>
              </w:rPr>
            </w:pPr>
            <w:r w:rsidRPr="00301009">
              <w:rPr>
                <w:sz w:val="18"/>
                <w:szCs w:val="18"/>
                <w:lang w:val="en-NZ" w:eastAsia="en-AU"/>
              </w:rPr>
              <w:t>Māori</w:t>
            </w:r>
          </w:p>
        </w:tc>
        <w:tc>
          <w:tcPr>
            <w:tcW w:w="2480" w:type="dxa"/>
            <w:tcBorders>
              <w:top w:val="nil"/>
              <w:left w:val="nil"/>
              <w:bottom w:val="nil"/>
              <w:right w:val="nil"/>
            </w:tcBorders>
            <w:shd w:val="clear" w:color="auto" w:fill="CDD3F7"/>
            <w:vAlign w:val="center"/>
          </w:tcPr>
          <w:p w:rsidR="00416EFF" w:rsidRPr="00301009" w:rsidRDefault="00D11EDC" w:rsidP="0073295D">
            <w:pPr>
              <w:tabs>
                <w:tab w:val="decimal" w:pos="1451"/>
              </w:tabs>
              <w:spacing w:before="20" w:after="20" w:line="240" w:lineRule="auto"/>
              <w:rPr>
                <w:sz w:val="18"/>
                <w:szCs w:val="18"/>
              </w:rPr>
            </w:pPr>
            <w:r>
              <w:rPr>
                <w:sz w:val="18"/>
                <w:szCs w:val="18"/>
              </w:rPr>
              <w:t>2,9</w:t>
            </w:r>
            <w:r w:rsidR="0073295D">
              <w:rPr>
                <w:sz w:val="18"/>
                <w:szCs w:val="18"/>
              </w:rPr>
              <w:t>9</w:t>
            </w:r>
            <w:r w:rsidR="00AF72BA">
              <w:rPr>
                <w:sz w:val="18"/>
                <w:szCs w:val="18"/>
              </w:rPr>
              <w:t>4</w:t>
            </w:r>
          </w:p>
        </w:tc>
        <w:tc>
          <w:tcPr>
            <w:tcW w:w="2481" w:type="dxa"/>
            <w:tcBorders>
              <w:top w:val="nil"/>
              <w:left w:val="nil"/>
              <w:bottom w:val="nil"/>
              <w:right w:val="nil"/>
            </w:tcBorders>
            <w:shd w:val="clear" w:color="auto" w:fill="CDD3F7"/>
            <w:vAlign w:val="center"/>
          </w:tcPr>
          <w:p w:rsidR="00416EFF" w:rsidRPr="00301009" w:rsidRDefault="00D11EDC" w:rsidP="00C80FA6">
            <w:pPr>
              <w:tabs>
                <w:tab w:val="decimal" w:pos="1098"/>
              </w:tabs>
              <w:spacing w:before="20" w:after="20" w:line="240" w:lineRule="auto"/>
              <w:rPr>
                <w:sz w:val="18"/>
                <w:szCs w:val="18"/>
              </w:rPr>
            </w:pPr>
            <w:r>
              <w:rPr>
                <w:sz w:val="18"/>
                <w:szCs w:val="18"/>
              </w:rPr>
              <w:t>7</w:t>
            </w:r>
            <w:r w:rsidR="00017DC5">
              <w:rPr>
                <w:sz w:val="18"/>
                <w:szCs w:val="18"/>
              </w:rPr>
              <w:t>7.</w:t>
            </w:r>
            <w:r w:rsidR="0073295D">
              <w:rPr>
                <w:sz w:val="18"/>
                <w:szCs w:val="18"/>
              </w:rPr>
              <w:t>2</w:t>
            </w:r>
            <w:r>
              <w:rPr>
                <w:sz w:val="18"/>
                <w:szCs w:val="18"/>
              </w:rPr>
              <w:t>%</w:t>
            </w:r>
          </w:p>
        </w:tc>
      </w:tr>
      <w:tr w:rsidR="00416EFF" w:rsidRPr="0073602A" w:rsidTr="00F72C3E">
        <w:tc>
          <w:tcPr>
            <w:tcW w:w="3652" w:type="dxa"/>
            <w:tcBorders>
              <w:top w:val="nil"/>
              <w:left w:val="nil"/>
              <w:bottom w:val="nil"/>
              <w:right w:val="nil"/>
            </w:tcBorders>
            <w:vAlign w:val="center"/>
          </w:tcPr>
          <w:p w:rsidR="00416EFF" w:rsidRPr="00301009" w:rsidRDefault="00416EFF" w:rsidP="00C94DDD">
            <w:pPr>
              <w:spacing w:after="0" w:line="240" w:lineRule="auto"/>
              <w:rPr>
                <w:sz w:val="18"/>
                <w:szCs w:val="18"/>
                <w:lang w:val="en-NZ" w:eastAsia="en-AU"/>
              </w:rPr>
            </w:pPr>
            <w:r w:rsidRPr="00301009">
              <w:rPr>
                <w:sz w:val="18"/>
                <w:szCs w:val="18"/>
                <w:lang w:val="en-NZ" w:eastAsia="en-AU"/>
              </w:rPr>
              <w:t>European</w:t>
            </w:r>
          </w:p>
        </w:tc>
        <w:tc>
          <w:tcPr>
            <w:tcW w:w="2480" w:type="dxa"/>
            <w:tcBorders>
              <w:top w:val="nil"/>
              <w:left w:val="nil"/>
              <w:bottom w:val="nil"/>
              <w:right w:val="nil"/>
            </w:tcBorders>
            <w:vAlign w:val="center"/>
          </w:tcPr>
          <w:p w:rsidR="00416EFF" w:rsidRPr="00301009" w:rsidRDefault="00D11EDC" w:rsidP="00AF72BA">
            <w:pPr>
              <w:tabs>
                <w:tab w:val="decimal" w:pos="1451"/>
              </w:tabs>
              <w:spacing w:before="20" w:after="20" w:line="240" w:lineRule="auto"/>
              <w:rPr>
                <w:sz w:val="18"/>
                <w:szCs w:val="18"/>
              </w:rPr>
            </w:pPr>
            <w:r>
              <w:rPr>
                <w:sz w:val="18"/>
                <w:szCs w:val="18"/>
              </w:rPr>
              <w:t>5</w:t>
            </w:r>
            <w:r w:rsidR="00C80FA6">
              <w:rPr>
                <w:sz w:val="18"/>
                <w:szCs w:val="18"/>
              </w:rPr>
              <w:t>4</w:t>
            </w:r>
            <w:r w:rsidR="0073295D">
              <w:rPr>
                <w:sz w:val="18"/>
                <w:szCs w:val="18"/>
              </w:rPr>
              <w:t>6</w:t>
            </w:r>
          </w:p>
        </w:tc>
        <w:tc>
          <w:tcPr>
            <w:tcW w:w="2481" w:type="dxa"/>
            <w:tcBorders>
              <w:top w:val="nil"/>
              <w:left w:val="nil"/>
              <w:bottom w:val="nil"/>
              <w:right w:val="nil"/>
            </w:tcBorders>
            <w:vAlign w:val="center"/>
          </w:tcPr>
          <w:p w:rsidR="00416EFF" w:rsidRPr="00301009" w:rsidRDefault="00017DC5" w:rsidP="00AF72BA">
            <w:pPr>
              <w:tabs>
                <w:tab w:val="decimal" w:pos="1098"/>
              </w:tabs>
              <w:spacing w:before="20" w:after="20" w:line="240" w:lineRule="auto"/>
              <w:rPr>
                <w:sz w:val="18"/>
                <w:szCs w:val="18"/>
              </w:rPr>
            </w:pPr>
            <w:r>
              <w:rPr>
                <w:sz w:val="18"/>
                <w:szCs w:val="18"/>
              </w:rPr>
              <w:t>14.</w:t>
            </w:r>
            <w:r w:rsidR="00AF72BA">
              <w:rPr>
                <w:sz w:val="18"/>
                <w:szCs w:val="18"/>
              </w:rPr>
              <w:t>1</w:t>
            </w:r>
            <w:r w:rsidR="00D11EDC">
              <w:rPr>
                <w:sz w:val="18"/>
                <w:szCs w:val="18"/>
              </w:rPr>
              <w:t>%</w:t>
            </w:r>
          </w:p>
        </w:tc>
      </w:tr>
      <w:tr w:rsidR="00416EFF" w:rsidRPr="0073602A" w:rsidTr="00F72C3E">
        <w:tc>
          <w:tcPr>
            <w:tcW w:w="3652" w:type="dxa"/>
            <w:tcBorders>
              <w:top w:val="nil"/>
              <w:left w:val="nil"/>
              <w:bottom w:val="nil"/>
              <w:right w:val="nil"/>
            </w:tcBorders>
            <w:shd w:val="clear" w:color="auto" w:fill="CDD3F7"/>
            <w:vAlign w:val="center"/>
          </w:tcPr>
          <w:p w:rsidR="00416EFF" w:rsidRPr="00301009" w:rsidRDefault="00416EFF" w:rsidP="00C94DDD">
            <w:pPr>
              <w:spacing w:after="0" w:line="240" w:lineRule="auto"/>
              <w:rPr>
                <w:sz w:val="18"/>
                <w:szCs w:val="18"/>
                <w:lang w:val="en-NZ" w:eastAsia="en-AU"/>
              </w:rPr>
            </w:pPr>
            <w:r w:rsidRPr="00301009">
              <w:rPr>
                <w:sz w:val="18"/>
                <w:szCs w:val="18"/>
                <w:lang w:val="en-NZ" w:eastAsia="en-AU"/>
              </w:rPr>
              <w:t>Pacific peoples</w:t>
            </w:r>
          </w:p>
        </w:tc>
        <w:tc>
          <w:tcPr>
            <w:tcW w:w="2480" w:type="dxa"/>
            <w:tcBorders>
              <w:top w:val="nil"/>
              <w:left w:val="nil"/>
              <w:bottom w:val="nil"/>
              <w:right w:val="nil"/>
            </w:tcBorders>
            <w:shd w:val="clear" w:color="auto" w:fill="CDD3F7"/>
            <w:vAlign w:val="center"/>
          </w:tcPr>
          <w:p w:rsidR="00416EFF" w:rsidRPr="00301009" w:rsidRDefault="0073295D" w:rsidP="00332B83">
            <w:pPr>
              <w:tabs>
                <w:tab w:val="decimal" w:pos="1451"/>
              </w:tabs>
              <w:spacing w:before="20" w:after="20" w:line="240" w:lineRule="auto"/>
              <w:rPr>
                <w:sz w:val="18"/>
                <w:szCs w:val="18"/>
              </w:rPr>
            </w:pPr>
            <w:r>
              <w:rPr>
                <w:sz w:val="18"/>
                <w:szCs w:val="18"/>
              </w:rPr>
              <w:t>321</w:t>
            </w:r>
          </w:p>
        </w:tc>
        <w:tc>
          <w:tcPr>
            <w:tcW w:w="2481" w:type="dxa"/>
            <w:tcBorders>
              <w:top w:val="nil"/>
              <w:left w:val="nil"/>
              <w:bottom w:val="nil"/>
              <w:right w:val="nil"/>
            </w:tcBorders>
            <w:shd w:val="clear" w:color="auto" w:fill="CDD3F7"/>
            <w:vAlign w:val="center"/>
          </w:tcPr>
          <w:p w:rsidR="00416EFF" w:rsidRPr="00301009" w:rsidRDefault="00C80FA6" w:rsidP="0073295D">
            <w:pPr>
              <w:tabs>
                <w:tab w:val="decimal" w:pos="1098"/>
              </w:tabs>
              <w:spacing w:before="20" w:after="20" w:line="240" w:lineRule="auto"/>
              <w:rPr>
                <w:sz w:val="18"/>
                <w:szCs w:val="18"/>
              </w:rPr>
            </w:pPr>
            <w:r>
              <w:rPr>
                <w:sz w:val="18"/>
                <w:szCs w:val="18"/>
              </w:rPr>
              <w:t>8.</w:t>
            </w:r>
            <w:r w:rsidR="0073295D">
              <w:rPr>
                <w:sz w:val="18"/>
                <w:szCs w:val="18"/>
              </w:rPr>
              <w:t>3</w:t>
            </w:r>
            <w:r w:rsidR="00D11EDC">
              <w:rPr>
                <w:sz w:val="18"/>
                <w:szCs w:val="18"/>
              </w:rPr>
              <w:t>%</w:t>
            </w:r>
          </w:p>
        </w:tc>
      </w:tr>
      <w:tr w:rsidR="00416EFF" w:rsidRPr="0073602A" w:rsidTr="00F72C3E">
        <w:tc>
          <w:tcPr>
            <w:tcW w:w="3652" w:type="dxa"/>
            <w:tcBorders>
              <w:top w:val="nil"/>
              <w:left w:val="nil"/>
              <w:bottom w:val="nil"/>
              <w:right w:val="nil"/>
            </w:tcBorders>
            <w:vAlign w:val="center"/>
          </w:tcPr>
          <w:p w:rsidR="00416EFF" w:rsidRPr="00301009" w:rsidRDefault="00416EFF" w:rsidP="00C94DDD">
            <w:pPr>
              <w:spacing w:after="0" w:line="240" w:lineRule="auto"/>
              <w:rPr>
                <w:sz w:val="18"/>
                <w:szCs w:val="18"/>
                <w:lang w:val="en-NZ" w:eastAsia="en-AU"/>
              </w:rPr>
            </w:pPr>
            <w:r w:rsidRPr="00301009">
              <w:rPr>
                <w:sz w:val="18"/>
                <w:szCs w:val="18"/>
                <w:lang w:val="en-NZ" w:eastAsia="en-AU"/>
              </w:rPr>
              <w:t>Other</w:t>
            </w:r>
          </w:p>
        </w:tc>
        <w:tc>
          <w:tcPr>
            <w:tcW w:w="2480" w:type="dxa"/>
            <w:tcBorders>
              <w:top w:val="nil"/>
              <w:left w:val="nil"/>
              <w:bottom w:val="nil"/>
              <w:right w:val="nil"/>
            </w:tcBorders>
            <w:vAlign w:val="center"/>
          </w:tcPr>
          <w:p w:rsidR="00416EFF" w:rsidRPr="00301009" w:rsidRDefault="00D11EDC" w:rsidP="008B1C0C">
            <w:pPr>
              <w:tabs>
                <w:tab w:val="decimal" w:pos="1451"/>
              </w:tabs>
              <w:spacing w:before="20" w:after="20" w:line="240" w:lineRule="auto"/>
              <w:rPr>
                <w:sz w:val="18"/>
                <w:szCs w:val="18"/>
              </w:rPr>
            </w:pPr>
            <w:r>
              <w:rPr>
                <w:sz w:val="18"/>
                <w:szCs w:val="18"/>
              </w:rPr>
              <w:t>1</w:t>
            </w:r>
            <w:r w:rsidR="008B1C0C">
              <w:rPr>
                <w:sz w:val="18"/>
                <w:szCs w:val="18"/>
              </w:rPr>
              <w:t>6</w:t>
            </w:r>
          </w:p>
        </w:tc>
        <w:tc>
          <w:tcPr>
            <w:tcW w:w="2481" w:type="dxa"/>
            <w:tcBorders>
              <w:top w:val="nil"/>
              <w:left w:val="nil"/>
              <w:bottom w:val="nil"/>
              <w:right w:val="nil"/>
            </w:tcBorders>
            <w:vAlign w:val="center"/>
          </w:tcPr>
          <w:p w:rsidR="00416EFF" w:rsidRPr="00301009" w:rsidRDefault="00D11EDC" w:rsidP="008B1C0C">
            <w:pPr>
              <w:tabs>
                <w:tab w:val="decimal" w:pos="1098"/>
              </w:tabs>
              <w:spacing w:before="20" w:after="20" w:line="240" w:lineRule="auto"/>
              <w:rPr>
                <w:sz w:val="18"/>
                <w:szCs w:val="18"/>
              </w:rPr>
            </w:pPr>
            <w:r>
              <w:rPr>
                <w:sz w:val="18"/>
                <w:szCs w:val="18"/>
              </w:rPr>
              <w:t>0.</w:t>
            </w:r>
            <w:r w:rsidR="008B1C0C">
              <w:rPr>
                <w:sz w:val="18"/>
                <w:szCs w:val="18"/>
              </w:rPr>
              <w:t>4</w:t>
            </w:r>
            <w:r>
              <w:rPr>
                <w:sz w:val="18"/>
                <w:szCs w:val="18"/>
              </w:rPr>
              <w:t>%</w:t>
            </w:r>
          </w:p>
        </w:tc>
      </w:tr>
      <w:tr w:rsidR="00416EFF" w:rsidRPr="0073602A" w:rsidTr="00F72C3E">
        <w:tc>
          <w:tcPr>
            <w:tcW w:w="3652" w:type="dxa"/>
            <w:tcBorders>
              <w:top w:val="nil"/>
              <w:left w:val="nil"/>
              <w:bottom w:val="single" w:sz="4" w:space="0" w:color="auto"/>
              <w:right w:val="nil"/>
            </w:tcBorders>
            <w:shd w:val="clear" w:color="auto" w:fill="CDD3F7"/>
            <w:vAlign w:val="center"/>
          </w:tcPr>
          <w:p w:rsidR="00416EFF" w:rsidRPr="00301009" w:rsidRDefault="00416EFF" w:rsidP="00C94DDD">
            <w:pPr>
              <w:spacing w:after="0" w:line="240" w:lineRule="auto"/>
              <w:rPr>
                <w:sz w:val="18"/>
                <w:szCs w:val="18"/>
                <w:lang w:val="en-NZ" w:eastAsia="en-AU"/>
              </w:rPr>
            </w:pPr>
            <w:r w:rsidRPr="00301009">
              <w:rPr>
                <w:sz w:val="18"/>
                <w:szCs w:val="18"/>
                <w:lang w:val="en-NZ" w:eastAsia="en-AU"/>
              </w:rPr>
              <w:t>Unknown</w:t>
            </w:r>
          </w:p>
        </w:tc>
        <w:tc>
          <w:tcPr>
            <w:tcW w:w="2480" w:type="dxa"/>
            <w:tcBorders>
              <w:top w:val="nil"/>
              <w:left w:val="nil"/>
              <w:bottom w:val="single" w:sz="4" w:space="0" w:color="auto"/>
              <w:right w:val="nil"/>
            </w:tcBorders>
            <w:shd w:val="clear" w:color="auto" w:fill="CDD3F7"/>
            <w:vAlign w:val="center"/>
          </w:tcPr>
          <w:p w:rsidR="00416EFF" w:rsidRPr="00301009" w:rsidRDefault="0073295D" w:rsidP="00332B83">
            <w:pPr>
              <w:tabs>
                <w:tab w:val="decimal" w:pos="1451"/>
              </w:tabs>
              <w:spacing w:before="20" w:after="20" w:line="240" w:lineRule="auto"/>
              <w:rPr>
                <w:sz w:val="18"/>
                <w:szCs w:val="18"/>
              </w:rPr>
            </w:pPr>
            <w:r>
              <w:rPr>
                <w:sz w:val="18"/>
                <w:szCs w:val="18"/>
              </w:rPr>
              <w:t>83</w:t>
            </w:r>
          </w:p>
        </w:tc>
        <w:tc>
          <w:tcPr>
            <w:tcW w:w="2481" w:type="dxa"/>
            <w:tcBorders>
              <w:top w:val="nil"/>
              <w:left w:val="nil"/>
              <w:bottom w:val="single" w:sz="4" w:space="0" w:color="auto"/>
              <w:right w:val="nil"/>
            </w:tcBorders>
            <w:shd w:val="clear" w:color="auto" w:fill="CDD3F7"/>
            <w:vAlign w:val="center"/>
          </w:tcPr>
          <w:p w:rsidR="00416EFF" w:rsidRPr="00301009" w:rsidRDefault="00017DC5" w:rsidP="00332B83">
            <w:pPr>
              <w:tabs>
                <w:tab w:val="decimal" w:pos="1098"/>
              </w:tabs>
              <w:spacing w:before="20" w:after="20" w:line="240" w:lineRule="auto"/>
              <w:rPr>
                <w:sz w:val="18"/>
                <w:szCs w:val="18"/>
              </w:rPr>
            </w:pPr>
            <w:r>
              <w:rPr>
                <w:sz w:val="18"/>
                <w:szCs w:val="18"/>
              </w:rPr>
              <w:t>-</w:t>
            </w:r>
          </w:p>
        </w:tc>
      </w:tr>
      <w:tr w:rsidR="00416EFF" w:rsidRPr="0073602A" w:rsidTr="00F72C3E">
        <w:tc>
          <w:tcPr>
            <w:tcW w:w="3652" w:type="dxa"/>
            <w:tcBorders>
              <w:top w:val="single" w:sz="4" w:space="0" w:color="FFFFFF" w:themeColor="background1"/>
              <w:left w:val="nil"/>
              <w:bottom w:val="nil"/>
              <w:right w:val="nil"/>
            </w:tcBorders>
            <w:vAlign w:val="center"/>
          </w:tcPr>
          <w:p w:rsidR="00416EFF" w:rsidRPr="00301009" w:rsidRDefault="00416EFF" w:rsidP="000B155D">
            <w:pPr>
              <w:spacing w:after="0" w:line="240" w:lineRule="auto"/>
              <w:rPr>
                <w:b/>
                <w:sz w:val="18"/>
                <w:szCs w:val="18"/>
                <w:lang w:val="en-NZ" w:eastAsia="en-AU"/>
              </w:rPr>
            </w:pPr>
            <w:r w:rsidRPr="00301009">
              <w:rPr>
                <w:b/>
                <w:sz w:val="18"/>
                <w:szCs w:val="18"/>
                <w:lang w:val="en-NZ" w:eastAsia="en-AU"/>
              </w:rPr>
              <w:t>Age</w:t>
            </w:r>
            <w:r w:rsidR="000B155D">
              <w:rPr>
                <w:sz w:val="18"/>
                <w:szCs w:val="18"/>
                <w:vertAlign w:val="superscript"/>
                <w:lang w:val="en-NZ" w:eastAsia="en-AU"/>
              </w:rPr>
              <w:t>4</w:t>
            </w:r>
          </w:p>
        </w:tc>
        <w:tc>
          <w:tcPr>
            <w:tcW w:w="2480" w:type="dxa"/>
            <w:tcBorders>
              <w:top w:val="single" w:sz="4" w:space="0" w:color="FFFFFF" w:themeColor="background1"/>
              <w:left w:val="nil"/>
              <w:bottom w:val="nil"/>
              <w:right w:val="nil"/>
            </w:tcBorders>
            <w:vAlign w:val="center"/>
          </w:tcPr>
          <w:p w:rsidR="00416EFF" w:rsidRPr="00301009" w:rsidRDefault="00416EFF" w:rsidP="00332B83">
            <w:pPr>
              <w:tabs>
                <w:tab w:val="decimal" w:pos="1451"/>
              </w:tabs>
              <w:spacing w:after="0" w:line="240" w:lineRule="auto"/>
              <w:rPr>
                <w:sz w:val="18"/>
                <w:szCs w:val="18"/>
                <w:lang w:val="en-NZ" w:eastAsia="en-AU"/>
              </w:rPr>
            </w:pPr>
          </w:p>
        </w:tc>
        <w:tc>
          <w:tcPr>
            <w:tcW w:w="2481" w:type="dxa"/>
            <w:tcBorders>
              <w:top w:val="single" w:sz="4" w:space="0" w:color="FFFFFF" w:themeColor="background1"/>
              <w:left w:val="nil"/>
              <w:bottom w:val="nil"/>
              <w:right w:val="nil"/>
            </w:tcBorders>
            <w:vAlign w:val="center"/>
          </w:tcPr>
          <w:p w:rsidR="00416EFF" w:rsidRPr="00301009" w:rsidRDefault="00416EFF" w:rsidP="00332B83">
            <w:pPr>
              <w:tabs>
                <w:tab w:val="decimal" w:pos="1098"/>
              </w:tabs>
              <w:spacing w:after="0" w:line="240" w:lineRule="auto"/>
              <w:rPr>
                <w:sz w:val="18"/>
                <w:szCs w:val="18"/>
                <w:lang w:val="en-NZ" w:eastAsia="en-AU"/>
              </w:rPr>
            </w:pPr>
          </w:p>
        </w:tc>
      </w:tr>
      <w:tr w:rsidR="00416EFF" w:rsidRPr="0073602A" w:rsidTr="00F72C3E">
        <w:tc>
          <w:tcPr>
            <w:tcW w:w="3652" w:type="dxa"/>
            <w:tcBorders>
              <w:top w:val="nil"/>
              <w:left w:val="nil"/>
              <w:bottom w:val="nil"/>
              <w:right w:val="nil"/>
            </w:tcBorders>
            <w:shd w:val="clear" w:color="auto" w:fill="CDD3F7"/>
            <w:vAlign w:val="center"/>
          </w:tcPr>
          <w:p w:rsidR="00416EFF" w:rsidRPr="00301009" w:rsidRDefault="00A6249B" w:rsidP="00A6249B">
            <w:pPr>
              <w:spacing w:after="0" w:line="240" w:lineRule="auto"/>
              <w:rPr>
                <w:sz w:val="18"/>
                <w:szCs w:val="18"/>
                <w:lang w:val="en-NZ" w:eastAsia="en-AU"/>
              </w:rPr>
            </w:pPr>
            <w:r>
              <w:rPr>
                <w:sz w:val="18"/>
                <w:szCs w:val="18"/>
                <w:lang w:val="en-NZ" w:eastAsia="en-AU"/>
              </w:rPr>
              <w:t xml:space="preserve">Under </w:t>
            </w:r>
            <w:r w:rsidR="00D11EDC">
              <w:rPr>
                <w:sz w:val="18"/>
                <w:szCs w:val="18"/>
                <w:lang w:val="en-NZ" w:eastAsia="en-AU"/>
              </w:rPr>
              <w:t>20</w:t>
            </w:r>
            <w:r w:rsidR="00416EFF" w:rsidRPr="00301009">
              <w:rPr>
                <w:sz w:val="18"/>
                <w:szCs w:val="18"/>
                <w:lang w:val="en-NZ" w:eastAsia="en-AU"/>
              </w:rPr>
              <w:t xml:space="preserve"> years</w:t>
            </w:r>
          </w:p>
        </w:tc>
        <w:tc>
          <w:tcPr>
            <w:tcW w:w="2480" w:type="dxa"/>
            <w:tcBorders>
              <w:top w:val="nil"/>
              <w:left w:val="nil"/>
              <w:bottom w:val="nil"/>
              <w:right w:val="nil"/>
            </w:tcBorders>
            <w:shd w:val="clear" w:color="auto" w:fill="CDD3F7"/>
            <w:vAlign w:val="center"/>
          </w:tcPr>
          <w:p w:rsidR="00416EFF" w:rsidRPr="00301009" w:rsidRDefault="00D11EDC" w:rsidP="00332B83">
            <w:pPr>
              <w:tabs>
                <w:tab w:val="decimal" w:pos="1451"/>
              </w:tabs>
              <w:spacing w:before="20" w:after="20" w:line="240" w:lineRule="auto"/>
              <w:rPr>
                <w:sz w:val="18"/>
                <w:szCs w:val="18"/>
              </w:rPr>
            </w:pPr>
            <w:r>
              <w:rPr>
                <w:sz w:val="18"/>
                <w:szCs w:val="18"/>
              </w:rPr>
              <w:t>21</w:t>
            </w:r>
          </w:p>
        </w:tc>
        <w:tc>
          <w:tcPr>
            <w:tcW w:w="2481" w:type="dxa"/>
            <w:tcBorders>
              <w:top w:val="nil"/>
              <w:left w:val="nil"/>
              <w:bottom w:val="nil"/>
              <w:right w:val="nil"/>
            </w:tcBorders>
            <w:shd w:val="clear" w:color="auto" w:fill="CDD3F7"/>
            <w:vAlign w:val="center"/>
          </w:tcPr>
          <w:p w:rsidR="00416EFF" w:rsidRPr="00301009" w:rsidRDefault="00D11EDC" w:rsidP="00332B83">
            <w:pPr>
              <w:tabs>
                <w:tab w:val="decimal" w:pos="1098"/>
              </w:tabs>
              <w:spacing w:before="20" w:after="20" w:line="240" w:lineRule="auto"/>
              <w:rPr>
                <w:sz w:val="18"/>
                <w:szCs w:val="18"/>
              </w:rPr>
            </w:pPr>
            <w:r>
              <w:rPr>
                <w:sz w:val="18"/>
                <w:szCs w:val="18"/>
              </w:rPr>
              <w:t>0.5%</w:t>
            </w:r>
          </w:p>
        </w:tc>
      </w:tr>
      <w:tr w:rsidR="00416EFF" w:rsidRPr="0073602A" w:rsidTr="00F72C3E">
        <w:tc>
          <w:tcPr>
            <w:tcW w:w="3652" w:type="dxa"/>
            <w:tcBorders>
              <w:top w:val="nil"/>
              <w:left w:val="nil"/>
              <w:bottom w:val="nil"/>
              <w:right w:val="nil"/>
            </w:tcBorders>
            <w:vAlign w:val="center"/>
          </w:tcPr>
          <w:p w:rsidR="00416EFF" w:rsidRPr="00301009" w:rsidRDefault="00D11EDC" w:rsidP="00D11EDC">
            <w:pPr>
              <w:spacing w:after="0" w:line="240" w:lineRule="auto"/>
              <w:rPr>
                <w:sz w:val="18"/>
                <w:szCs w:val="18"/>
                <w:lang w:val="en-NZ" w:eastAsia="en-AU"/>
              </w:rPr>
            </w:pPr>
            <w:r>
              <w:rPr>
                <w:sz w:val="18"/>
                <w:szCs w:val="18"/>
                <w:lang w:val="en-NZ" w:eastAsia="en-AU"/>
              </w:rPr>
              <w:t>20</w:t>
            </w:r>
            <w:r>
              <w:rPr>
                <w:rFonts w:ascii="Courier New" w:hAnsi="Courier New" w:cs="Courier New"/>
                <w:sz w:val="18"/>
                <w:szCs w:val="18"/>
                <w:lang w:val="en-NZ" w:eastAsia="en-AU"/>
              </w:rPr>
              <w:t>-</w:t>
            </w:r>
            <w:r>
              <w:rPr>
                <w:sz w:val="18"/>
                <w:szCs w:val="18"/>
                <w:lang w:val="en-NZ" w:eastAsia="en-AU"/>
              </w:rPr>
              <w:t>29</w:t>
            </w:r>
            <w:r w:rsidRPr="00301009">
              <w:rPr>
                <w:sz w:val="18"/>
                <w:szCs w:val="18"/>
                <w:lang w:val="en-NZ" w:eastAsia="en-AU"/>
              </w:rPr>
              <w:t xml:space="preserve"> years</w:t>
            </w:r>
          </w:p>
        </w:tc>
        <w:tc>
          <w:tcPr>
            <w:tcW w:w="2480" w:type="dxa"/>
            <w:tcBorders>
              <w:top w:val="nil"/>
              <w:left w:val="nil"/>
              <w:bottom w:val="nil"/>
              <w:right w:val="nil"/>
            </w:tcBorders>
            <w:vAlign w:val="center"/>
          </w:tcPr>
          <w:p w:rsidR="00416EFF" w:rsidRPr="00301009" w:rsidRDefault="00D11EDC" w:rsidP="00332B83">
            <w:pPr>
              <w:tabs>
                <w:tab w:val="decimal" w:pos="1451"/>
              </w:tabs>
              <w:spacing w:before="20" w:after="20" w:line="240" w:lineRule="auto"/>
              <w:rPr>
                <w:sz w:val="18"/>
                <w:szCs w:val="18"/>
              </w:rPr>
            </w:pPr>
            <w:r>
              <w:rPr>
                <w:sz w:val="18"/>
                <w:szCs w:val="18"/>
              </w:rPr>
              <w:t>808</w:t>
            </w:r>
          </w:p>
        </w:tc>
        <w:tc>
          <w:tcPr>
            <w:tcW w:w="2481" w:type="dxa"/>
            <w:tcBorders>
              <w:top w:val="nil"/>
              <w:left w:val="nil"/>
              <w:bottom w:val="nil"/>
              <w:right w:val="nil"/>
            </w:tcBorders>
            <w:vAlign w:val="center"/>
          </w:tcPr>
          <w:p w:rsidR="00416EFF" w:rsidRPr="00301009" w:rsidRDefault="00D11EDC" w:rsidP="00332B83">
            <w:pPr>
              <w:tabs>
                <w:tab w:val="decimal" w:pos="1098"/>
              </w:tabs>
              <w:spacing w:before="20" w:after="20" w:line="240" w:lineRule="auto"/>
              <w:rPr>
                <w:sz w:val="18"/>
                <w:szCs w:val="18"/>
              </w:rPr>
            </w:pPr>
            <w:r>
              <w:rPr>
                <w:sz w:val="18"/>
                <w:szCs w:val="18"/>
              </w:rPr>
              <w:t>20.4%</w:t>
            </w:r>
          </w:p>
        </w:tc>
      </w:tr>
      <w:tr w:rsidR="00416EFF" w:rsidRPr="0073602A" w:rsidTr="00F72C3E">
        <w:tc>
          <w:tcPr>
            <w:tcW w:w="3652" w:type="dxa"/>
            <w:tcBorders>
              <w:top w:val="nil"/>
              <w:left w:val="nil"/>
              <w:bottom w:val="nil"/>
              <w:right w:val="nil"/>
            </w:tcBorders>
            <w:shd w:val="clear" w:color="auto" w:fill="CDD3F7"/>
            <w:vAlign w:val="center"/>
          </w:tcPr>
          <w:p w:rsidR="00416EFF" w:rsidRPr="00301009" w:rsidRDefault="00D11EDC" w:rsidP="00D11EDC">
            <w:pPr>
              <w:spacing w:after="0" w:line="240" w:lineRule="auto"/>
              <w:rPr>
                <w:sz w:val="18"/>
                <w:szCs w:val="18"/>
                <w:lang w:val="en-NZ" w:eastAsia="en-AU"/>
              </w:rPr>
            </w:pPr>
            <w:r>
              <w:rPr>
                <w:sz w:val="18"/>
                <w:szCs w:val="18"/>
                <w:lang w:val="en-NZ" w:eastAsia="en-AU"/>
              </w:rPr>
              <w:t>30</w:t>
            </w:r>
            <w:r>
              <w:rPr>
                <w:rFonts w:ascii="Courier New" w:hAnsi="Courier New" w:cs="Courier New"/>
                <w:sz w:val="18"/>
                <w:szCs w:val="18"/>
                <w:lang w:val="en-NZ" w:eastAsia="en-AU"/>
              </w:rPr>
              <w:t>-</w:t>
            </w:r>
            <w:r>
              <w:rPr>
                <w:sz w:val="18"/>
                <w:szCs w:val="18"/>
                <w:lang w:val="en-NZ" w:eastAsia="en-AU"/>
              </w:rPr>
              <w:t>39</w:t>
            </w:r>
            <w:r w:rsidRPr="00301009">
              <w:rPr>
                <w:sz w:val="18"/>
                <w:szCs w:val="18"/>
                <w:lang w:val="en-NZ" w:eastAsia="en-AU"/>
              </w:rPr>
              <w:t xml:space="preserve"> </w:t>
            </w:r>
            <w:r w:rsidR="00416EFF" w:rsidRPr="00301009">
              <w:rPr>
                <w:sz w:val="18"/>
                <w:szCs w:val="18"/>
                <w:lang w:val="en-NZ" w:eastAsia="en-AU"/>
              </w:rPr>
              <w:t>years</w:t>
            </w:r>
          </w:p>
        </w:tc>
        <w:tc>
          <w:tcPr>
            <w:tcW w:w="2480" w:type="dxa"/>
            <w:tcBorders>
              <w:top w:val="nil"/>
              <w:left w:val="nil"/>
              <w:bottom w:val="nil"/>
              <w:right w:val="nil"/>
            </w:tcBorders>
            <w:shd w:val="clear" w:color="auto" w:fill="CDD3F7"/>
            <w:vAlign w:val="center"/>
          </w:tcPr>
          <w:p w:rsidR="00416EFF" w:rsidRPr="00301009" w:rsidRDefault="00416EFF" w:rsidP="00332B83">
            <w:pPr>
              <w:tabs>
                <w:tab w:val="decimal" w:pos="1451"/>
              </w:tabs>
              <w:spacing w:before="20" w:after="20" w:line="240" w:lineRule="auto"/>
              <w:rPr>
                <w:sz w:val="18"/>
                <w:szCs w:val="18"/>
              </w:rPr>
            </w:pPr>
            <w:r w:rsidRPr="00301009">
              <w:rPr>
                <w:sz w:val="18"/>
                <w:szCs w:val="18"/>
              </w:rPr>
              <w:t>1,</w:t>
            </w:r>
            <w:r w:rsidR="00D11EDC">
              <w:rPr>
                <w:sz w:val="18"/>
                <w:szCs w:val="18"/>
              </w:rPr>
              <w:t>140</w:t>
            </w:r>
          </w:p>
        </w:tc>
        <w:tc>
          <w:tcPr>
            <w:tcW w:w="2481" w:type="dxa"/>
            <w:tcBorders>
              <w:top w:val="nil"/>
              <w:left w:val="nil"/>
              <w:bottom w:val="nil"/>
              <w:right w:val="nil"/>
            </w:tcBorders>
            <w:shd w:val="clear" w:color="auto" w:fill="CDD3F7"/>
            <w:vAlign w:val="center"/>
          </w:tcPr>
          <w:p w:rsidR="00416EFF" w:rsidRPr="00301009" w:rsidRDefault="00D11EDC" w:rsidP="00332B83">
            <w:pPr>
              <w:tabs>
                <w:tab w:val="decimal" w:pos="1098"/>
              </w:tabs>
              <w:spacing w:before="20" w:after="20" w:line="240" w:lineRule="auto"/>
              <w:rPr>
                <w:sz w:val="18"/>
                <w:szCs w:val="18"/>
              </w:rPr>
            </w:pPr>
            <w:r>
              <w:rPr>
                <w:sz w:val="18"/>
                <w:szCs w:val="18"/>
              </w:rPr>
              <w:t>28.8%</w:t>
            </w:r>
          </w:p>
        </w:tc>
      </w:tr>
      <w:tr w:rsidR="00D11EDC" w:rsidRPr="0073602A" w:rsidTr="00F72C3E">
        <w:tc>
          <w:tcPr>
            <w:tcW w:w="3652" w:type="dxa"/>
            <w:tcBorders>
              <w:top w:val="nil"/>
              <w:left w:val="nil"/>
              <w:bottom w:val="nil"/>
              <w:right w:val="nil"/>
            </w:tcBorders>
            <w:vAlign w:val="center"/>
          </w:tcPr>
          <w:p w:rsidR="00D11EDC" w:rsidRPr="00301009" w:rsidRDefault="00D11EDC" w:rsidP="00D11EDC">
            <w:pPr>
              <w:spacing w:after="0" w:line="240" w:lineRule="auto"/>
              <w:rPr>
                <w:sz w:val="18"/>
                <w:szCs w:val="18"/>
                <w:lang w:val="en-NZ" w:eastAsia="en-AU"/>
              </w:rPr>
            </w:pPr>
            <w:r>
              <w:rPr>
                <w:sz w:val="18"/>
                <w:szCs w:val="18"/>
                <w:lang w:val="en-NZ" w:eastAsia="en-AU"/>
              </w:rPr>
              <w:t>40</w:t>
            </w:r>
            <w:r>
              <w:rPr>
                <w:rFonts w:ascii="Courier New" w:hAnsi="Courier New" w:cs="Courier New"/>
                <w:sz w:val="18"/>
                <w:szCs w:val="18"/>
                <w:lang w:val="en-NZ" w:eastAsia="en-AU"/>
              </w:rPr>
              <w:t>-</w:t>
            </w:r>
            <w:r>
              <w:rPr>
                <w:sz w:val="18"/>
                <w:szCs w:val="18"/>
                <w:lang w:val="en-NZ" w:eastAsia="en-AU"/>
              </w:rPr>
              <w:t>49</w:t>
            </w:r>
            <w:r w:rsidRPr="00301009">
              <w:rPr>
                <w:sz w:val="18"/>
                <w:szCs w:val="18"/>
                <w:lang w:val="en-NZ" w:eastAsia="en-AU"/>
              </w:rPr>
              <w:t xml:space="preserve"> years</w:t>
            </w:r>
          </w:p>
        </w:tc>
        <w:tc>
          <w:tcPr>
            <w:tcW w:w="2480" w:type="dxa"/>
            <w:tcBorders>
              <w:top w:val="nil"/>
              <w:left w:val="nil"/>
              <w:bottom w:val="nil"/>
              <w:right w:val="nil"/>
            </w:tcBorders>
            <w:vAlign w:val="center"/>
          </w:tcPr>
          <w:p w:rsidR="00D11EDC" w:rsidRPr="00301009" w:rsidRDefault="00D11EDC" w:rsidP="00332B83">
            <w:pPr>
              <w:tabs>
                <w:tab w:val="decimal" w:pos="1451"/>
              </w:tabs>
              <w:spacing w:before="20" w:after="20" w:line="240" w:lineRule="auto"/>
              <w:rPr>
                <w:sz w:val="18"/>
                <w:szCs w:val="18"/>
              </w:rPr>
            </w:pPr>
            <w:r>
              <w:rPr>
                <w:sz w:val="18"/>
                <w:szCs w:val="18"/>
              </w:rPr>
              <w:t>1,229</w:t>
            </w:r>
          </w:p>
        </w:tc>
        <w:tc>
          <w:tcPr>
            <w:tcW w:w="2481" w:type="dxa"/>
            <w:tcBorders>
              <w:top w:val="nil"/>
              <w:left w:val="nil"/>
              <w:bottom w:val="nil"/>
              <w:right w:val="nil"/>
            </w:tcBorders>
            <w:vAlign w:val="center"/>
          </w:tcPr>
          <w:p w:rsidR="00D11EDC" w:rsidRPr="00301009" w:rsidRDefault="00D11EDC" w:rsidP="00332B83">
            <w:pPr>
              <w:tabs>
                <w:tab w:val="decimal" w:pos="1098"/>
              </w:tabs>
              <w:spacing w:before="20" w:after="20" w:line="240" w:lineRule="auto"/>
              <w:rPr>
                <w:sz w:val="18"/>
                <w:szCs w:val="18"/>
              </w:rPr>
            </w:pPr>
            <w:r>
              <w:rPr>
                <w:sz w:val="18"/>
                <w:szCs w:val="18"/>
              </w:rPr>
              <w:t>31.0%</w:t>
            </w:r>
          </w:p>
        </w:tc>
      </w:tr>
      <w:tr w:rsidR="00D11EDC" w:rsidRPr="0073602A" w:rsidTr="00F72C3E">
        <w:tc>
          <w:tcPr>
            <w:tcW w:w="3652" w:type="dxa"/>
            <w:tcBorders>
              <w:top w:val="nil"/>
              <w:left w:val="nil"/>
              <w:bottom w:val="nil"/>
              <w:right w:val="nil"/>
            </w:tcBorders>
            <w:shd w:val="clear" w:color="auto" w:fill="CDD3F7"/>
            <w:vAlign w:val="center"/>
          </w:tcPr>
          <w:p w:rsidR="00D11EDC" w:rsidRPr="00301009" w:rsidRDefault="00D11EDC" w:rsidP="00D11EDC">
            <w:pPr>
              <w:spacing w:after="0" w:line="240" w:lineRule="auto"/>
              <w:rPr>
                <w:sz w:val="18"/>
                <w:szCs w:val="18"/>
                <w:lang w:val="en-NZ" w:eastAsia="en-AU"/>
              </w:rPr>
            </w:pPr>
            <w:r>
              <w:rPr>
                <w:sz w:val="18"/>
                <w:szCs w:val="18"/>
                <w:lang w:val="en-NZ" w:eastAsia="en-AU"/>
              </w:rPr>
              <w:t>50</w:t>
            </w:r>
            <w:r>
              <w:rPr>
                <w:rFonts w:ascii="Courier New" w:hAnsi="Courier New" w:cs="Courier New"/>
                <w:sz w:val="18"/>
                <w:szCs w:val="18"/>
                <w:lang w:val="en-NZ" w:eastAsia="en-AU"/>
              </w:rPr>
              <w:t>-</w:t>
            </w:r>
            <w:r>
              <w:rPr>
                <w:sz w:val="18"/>
                <w:szCs w:val="18"/>
                <w:lang w:val="en-NZ" w:eastAsia="en-AU"/>
              </w:rPr>
              <w:t>59</w:t>
            </w:r>
            <w:r w:rsidRPr="00301009">
              <w:rPr>
                <w:sz w:val="18"/>
                <w:szCs w:val="18"/>
                <w:lang w:val="en-NZ" w:eastAsia="en-AU"/>
              </w:rPr>
              <w:t xml:space="preserve"> years</w:t>
            </w:r>
          </w:p>
        </w:tc>
        <w:tc>
          <w:tcPr>
            <w:tcW w:w="2480" w:type="dxa"/>
            <w:tcBorders>
              <w:top w:val="nil"/>
              <w:left w:val="nil"/>
              <w:bottom w:val="nil"/>
              <w:right w:val="nil"/>
            </w:tcBorders>
            <w:shd w:val="clear" w:color="auto" w:fill="CDD3F7"/>
            <w:vAlign w:val="center"/>
          </w:tcPr>
          <w:p w:rsidR="00D11EDC" w:rsidRPr="00301009" w:rsidRDefault="00D11EDC" w:rsidP="00332B83">
            <w:pPr>
              <w:tabs>
                <w:tab w:val="decimal" w:pos="1451"/>
              </w:tabs>
              <w:spacing w:before="20" w:after="20" w:line="240" w:lineRule="auto"/>
              <w:rPr>
                <w:sz w:val="18"/>
                <w:szCs w:val="18"/>
              </w:rPr>
            </w:pPr>
            <w:r>
              <w:rPr>
                <w:sz w:val="18"/>
                <w:szCs w:val="18"/>
              </w:rPr>
              <w:t>682</w:t>
            </w:r>
          </w:p>
        </w:tc>
        <w:tc>
          <w:tcPr>
            <w:tcW w:w="2481" w:type="dxa"/>
            <w:tcBorders>
              <w:top w:val="nil"/>
              <w:left w:val="nil"/>
              <w:bottom w:val="nil"/>
              <w:right w:val="nil"/>
            </w:tcBorders>
            <w:shd w:val="clear" w:color="auto" w:fill="CDD3F7"/>
            <w:vAlign w:val="center"/>
          </w:tcPr>
          <w:p w:rsidR="00D11EDC" w:rsidRPr="00301009" w:rsidRDefault="00D11EDC" w:rsidP="00332B83">
            <w:pPr>
              <w:tabs>
                <w:tab w:val="decimal" w:pos="1098"/>
              </w:tabs>
              <w:spacing w:before="20" w:after="20" w:line="240" w:lineRule="auto"/>
              <w:rPr>
                <w:sz w:val="18"/>
                <w:szCs w:val="18"/>
              </w:rPr>
            </w:pPr>
            <w:r>
              <w:rPr>
                <w:sz w:val="18"/>
                <w:szCs w:val="18"/>
              </w:rPr>
              <w:t>17.2%</w:t>
            </w:r>
          </w:p>
        </w:tc>
      </w:tr>
      <w:tr w:rsidR="00416EFF" w:rsidRPr="0073602A" w:rsidTr="00F72C3E">
        <w:tc>
          <w:tcPr>
            <w:tcW w:w="3652" w:type="dxa"/>
            <w:tcBorders>
              <w:top w:val="nil"/>
              <w:left w:val="nil"/>
              <w:bottom w:val="single" w:sz="4" w:space="0" w:color="auto"/>
              <w:right w:val="nil"/>
            </w:tcBorders>
            <w:vAlign w:val="center"/>
          </w:tcPr>
          <w:p w:rsidR="00416EFF" w:rsidRPr="00301009" w:rsidRDefault="00D11EDC" w:rsidP="00A6249B">
            <w:pPr>
              <w:spacing w:after="0" w:line="240" w:lineRule="auto"/>
              <w:rPr>
                <w:sz w:val="18"/>
                <w:szCs w:val="18"/>
                <w:lang w:val="en-NZ" w:eastAsia="en-AU"/>
              </w:rPr>
            </w:pPr>
            <w:r>
              <w:rPr>
                <w:sz w:val="18"/>
                <w:szCs w:val="18"/>
                <w:lang w:val="en-NZ" w:eastAsia="en-AU"/>
              </w:rPr>
              <w:t>60</w:t>
            </w:r>
            <w:r w:rsidR="00416EFF" w:rsidRPr="00301009">
              <w:rPr>
                <w:sz w:val="18"/>
                <w:szCs w:val="18"/>
                <w:lang w:val="en-NZ" w:eastAsia="en-AU"/>
              </w:rPr>
              <w:t xml:space="preserve"> years</w:t>
            </w:r>
            <w:r w:rsidR="00A6249B">
              <w:rPr>
                <w:sz w:val="18"/>
                <w:szCs w:val="18"/>
                <w:lang w:val="en-NZ" w:eastAsia="en-AU"/>
              </w:rPr>
              <w:t xml:space="preserve"> or over</w:t>
            </w:r>
          </w:p>
        </w:tc>
        <w:tc>
          <w:tcPr>
            <w:tcW w:w="2480" w:type="dxa"/>
            <w:tcBorders>
              <w:top w:val="nil"/>
              <w:left w:val="nil"/>
              <w:bottom w:val="single" w:sz="4" w:space="0" w:color="auto"/>
              <w:right w:val="nil"/>
            </w:tcBorders>
            <w:vAlign w:val="center"/>
          </w:tcPr>
          <w:p w:rsidR="00416EFF" w:rsidRPr="00301009" w:rsidRDefault="00D11EDC" w:rsidP="00332B83">
            <w:pPr>
              <w:tabs>
                <w:tab w:val="decimal" w:pos="1451"/>
              </w:tabs>
              <w:spacing w:before="20" w:after="20" w:line="240" w:lineRule="auto"/>
              <w:rPr>
                <w:sz w:val="18"/>
                <w:szCs w:val="18"/>
              </w:rPr>
            </w:pPr>
            <w:r>
              <w:rPr>
                <w:sz w:val="18"/>
                <w:szCs w:val="18"/>
              </w:rPr>
              <w:t>79</w:t>
            </w:r>
          </w:p>
        </w:tc>
        <w:tc>
          <w:tcPr>
            <w:tcW w:w="2481" w:type="dxa"/>
            <w:tcBorders>
              <w:top w:val="nil"/>
              <w:left w:val="nil"/>
              <w:bottom w:val="single" w:sz="4" w:space="0" w:color="auto"/>
              <w:right w:val="nil"/>
            </w:tcBorders>
            <w:vAlign w:val="center"/>
          </w:tcPr>
          <w:p w:rsidR="00416EFF" w:rsidRPr="00301009" w:rsidRDefault="00D11EDC" w:rsidP="00332B83">
            <w:pPr>
              <w:tabs>
                <w:tab w:val="decimal" w:pos="1098"/>
              </w:tabs>
              <w:spacing w:before="20" w:after="20" w:line="240" w:lineRule="auto"/>
              <w:rPr>
                <w:sz w:val="18"/>
                <w:szCs w:val="18"/>
              </w:rPr>
            </w:pPr>
            <w:r>
              <w:rPr>
                <w:sz w:val="18"/>
                <w:szCs w:val="18"/>
              </w:rPr>
              <w:t>2.0%</w:t>
            </w:r>
          </w:p>
        </w:tc>
      </w:tr>
      <w:tr w:rsidR="00416EFF" w:rsidRPr="0073602A" w:rsidTr="00F72C3E">
        <w:tc>
          <w:tcPr>
            <w:tcW w:w="3652" w:type="dxa"/>
            <w:tcBorders>
              <w:top w:val="single" w:sz="4" w:space="0" w:color="FFFFFF" w:themeColor="background1"/>
              <w:left w:val="nil"/>
              <w:bottom w:val="nil"/>
              <w:right w:val="nil"/>
            </w:tcBorders>
            <w:vAlign w:val="center"/>
          </w:tcPr>
          <w:p w:rsidR="00416EFF" w:rsidRPr="00301009" w:rsidRDefault="00F35112" w:rsidP="00C94DDD">
            <w:pPr>
              <w:spacing w:after="0" w:line="240" w:lineRule="auto"/>
              <w:rPr>
                <w:b/>
                <w:sz w:val="18"/>
                <w:szCs w:val="18"/>
                <w:lang w:val="en-NZ" w:eastAsia="en-AU"/>
              </w:rPr>
            </w:pPr>
            <w:r>
              <w:rPr>
                <w:b/>
                <w:sz w:val="18"/>
                <w:szCs w:val="18"/>
                <w:lang w:val="en-NZ" w:eastAsia="en-AU"/>
              </w:rPr>
              <w:t>Police District</w:t>
            </w:r>
          </w:p>
        </w:tc>
        <w:tc>
          <w:tcPr>
            <w:tcW w:w="2480" w:type="dxa"/>
            <w:tcBorders>
              <w:top w:val="single" w:sz="4" w:space="0" w:color="FFFFFF" w:themeColor="background1"/>
              <w:left w:val="nil"/>
              <w:bottom w:val="nil"/>
              <w:right w:val="nil"/>
            </w:tcBorders>
            <w:vAlign w:val="center"/>
          </w:tcPr>
          <w:p w:rsidR="00416EFF" w:rsidRPr="00301009" w:rsidRDefault="00416EFF" w:rsidP="00332B83">
            <w:pPr>
              <w:tabs>
                <w:tab w:val="decimal" w:pos="1451"/>
              </w:tabs>
              <w:spacing w:after="0" w:line="240" w:lineRule="auto"/>
              <w:rPr>
                <w:sz w:val="18"/>
                <w:szCs w:val="18"/>
                <w:lang w:val="en-NZ" w:eastAsia="en-AU"/>
              </w:rPr>
            </w:pPr>
          </w:p>
        </w:tc>
        <w:tc>
          <w:tcPr>
            <w:tcW w:w="2481" w:type="dxa"/>
            <w:tcBorders>
              <w:top w:val="single" w:sz="4" w:space="0" w:color="FFFFFF" w:themeColor="background1"/>
              <w:left w:val="nil"/>
              <w:bottom w:val="nil"/>
              <w:right w:val="nil"/>
            </w:tcBorders>
            <w:vAlign w:val="center"/>
          </w:tcPr>
          <w:p w:rsidR="00416EFF" w:rsidRPr="00301009" w:rsidRDefault="00416EFF" w:rsidP="00332B83">
            <w:pPr>
              <w:tabs>
                <w:tab w:val="decimal" w:pos="1098"/>
              </w:tabs>
              <w:spacing w:after="0" w:line="240" w:lineRule="auto"/>
              <w:rPr>
                <w:sz w:val="18"/>
                <w:szCs w:val="18"/>
                <w:lang w:val="en-NZ" w:eastAsia="en-AU"/>
              </w:rPr>
            </w:pPr>
          </w:p>
        </w:tc>
      </w:tr>
      <w:tr w:rsidR="00416EFF" w:rsidRPr="0073602A" w:rsidTr="00F72C3E">
        <w:tc>
          <w:tcPr>
            <w:tcW w:w="3652" w:type="dxa"/>
            <w:tcBorders>
              <w:top w:val="nil"/>
              <w:left w:val="nil"/>
              <w:bottom w:val="nil"/>
              <w:right w:val="nil"/>
            </w:tcBorders>
            <w:shd w:val="clear" w:color="auto" w:fill="CDD3F7"/>
            <w:vAlign w:val="center"/>
          </w:tcPr>
          <w:p w:rsidR="00416EFF" w:rsidRPr="00301009" w:rsidRDefault="00971B2C" w:rsidP="00C94DDD">
            <w:pPr>
              <w:spacing w:before="20" w:after="20" w:line="240" w:lineRule="auto"/>
              <w:rPr>
                <w:sz w:val="18"/>
                <w:szCs w:val="18"/>
              </w:rPr>
            </w:pPr>
            <w:r>
              <w:rPr>
                <w:sz w:val="18"/>
                <w:szCs w:val="18"/>
              </w:rPr>
              <w:t>Northland</w:t>
            </w:r>
          </w:p>
        </w:tc>
        <w:tc>
          <w:tcPr>
            <w:tcW w:w="2480" w:type="dxa"/>
            <w:tcBorders>
              <w:top w:val="nil"/>
              <w:left w:val="nil"/>
              <w:bottom w:val="nil"/>
              <w:right w:val="nil"/>
            </w:tcBorders>
            <w:shd w:val="clear" w:color="auto" w:fill="CDD3F7"/>
            <w:vAlign w:val="center"/>
          </w:tcPr>
          <w:p w:rsidR="00416EFF" w:rsidRPr="00301009" w:rsidRDefault="00971B2C" w:rsidP="00982435">
            <w:pPr>
              <w:tabs>
                <w:tab w:val="decimal" w:pos="1451"/>
              </w:tabs>
              <w:spacing w:before="20" w:after="20" w:line="240" w:lineRule="auto"/>
              <w:rPr>
                <w:sz w:val="18"/>
                <w:szCs w:val="18"/>
              </w:rPr>
            </w:pPr>
            <w:r>
              <w:rPr>
                <w:sz w:val="18"/>
                <w:szCs w:val="18"/>
              </w:rPr>
              <w:t>30</w:t>
            </w:r>
            <w:r w:rsidR="00982435">
              <w:rPr>
                <w:sz w:val="18"/>
                <w:szCs w:val="18"/>
              </w:rPr>
              <w:t>9</w:t>
            </w:r>
          </w:p>
        </w:tc>
        <w:tc>
          <w:tcPr>
            <w:tcW w:w="2481" w:type="dxa"/>
            <w:tcBorders>
              <w:top w:val="nil"/>
              <w:left w:val="nil"/>
              <w:bottom w:val="nil"/>
              <w:right w:val="nil"/>
            </w:tcBorders>
            <w:shd w:val="clear" w:color="auto" w:fill="CDD3F7"/>
            <w:vAlign w:val="center"/>
          </w:tcPr>
          <w:p w:rsidR="00416EFF" w:rsidRPr="00301009" w:rsidRDefault="00971B2C" w:rsidP="00332B83">
            <w:pPr>
              <w:tabs>
                <w:tab w:val="decimal" w:pos="1098"/>
              </w:tabs>
              <w:spacing w:before="20" w:after="20" w:line="240" w:lineRule="auto"/>
              <w:rPr>
                <w:sz w:val="18"/>
                <w:szCs w:val="18"/>
              </w:rPr>
            </w:pPr>
            <w:r>
              <w:rPr>
                <w:sz w:val="18"/>
                <w:szCs w:val="18"/>
              </w:rPr>
              <w:t>7.8%</w:t>
            </w:r>
          </w:p>
        </w:tc>
      </w:tr>
      <w:tr w:rsidR="00416EFF" w:rsidRPr="0073602A" w:rsidTr="00F72C3E">
        <w:tc>
          <w:tcPr>
            <w:tcW w:w="3652" w:type="dxa"/>
            <w:tcBorders>
              <w:top w:val="nil"/>
              <w:left w:val="nil"/>
              <w:bottom w:val="nil"/>
              <w:right w:val="nil"/>
            </w:tcBorders>
            <w:vAlign w:val="center"/>
          </w:tcPr>
          <w:p w:rsidR="00416EFF" w:rsidRPr="00301009" w:rsidRDefault="00971B2C" w:rsidP="00A05EB3">
            <w:pPr>
              <w:spacing w:before="20" w:after="20" w:line="240" w:lineRule="auto"/>
              <w:rPr>
                <w:sz w:val="18"/>
                <w:szCs w:val="18"/>
              </w:rPr>
            </w:pPr>
            <w:r>
              <w:rPr>
                <w:sz w:val="18"/>
                <w:szCs w:val="18"/>
              </w:rPr>
              <w:t>Auckland</w:t>
            </w:r>
            <w:r w:rsidR="00A05EB3">
              <w:rPr>
                <w:sz w:val="18"/>
                <w:szCs w:val="18"/>
                <w:vertAlign w:val="superscript"/>
                <w:lang w:val="en-NZ" w:eastAsia="en-AU"/>
              </w:rPr>
              <w:t>5</w:t>
            </w:r>
          </w:p>
        </w:tc>
        <w:tc>
          <w:tcPr>
            <w:tcW w:w="2480" w:type="dxa"/>
            <w:tcBorders>
              <w:top w:val="nil"/>
              <w:left w:val="nil"/>
              <w:bottom w:val="nil"/>
              <w:right w:val="nil"/>
            </w:tcBorders>
            <w:vAlign w:val="center"/>
          </w:tcPr>
          <w:p w:rsidR="00416EFF" w:rsidRPr="00301009" w:rsidRDefault="00971B2C" w:rsidP="00332B83">
            <w:pPr>
              <w:tabs>
                <w:tab w:val="decimal" w:pos="1451"/>
              </w:tabs>
              <w:spacing w:before="20" w:after="20" w:line="240" w:lineRule="auto"/>
              <w:rPr>
                <w:sz w:val="18"/>
                <w:szCs w:val="18"/>
              </w:rPr>
            </w:pPr>
            <w:r>
              <w:rPr>
                <w:sz w:val="18"/>
                <w:szCs w:val="18"/>
              </w:rPr>
              <w:t>774</w:t>
            </w:r>
          </w:p>
        </w:tc>
        <w:tc>
          <w:tcPr>
            <w:tcW w:w="2481" w:type="dxa"/>
            <w:tcBorders>
              <w:top w:val="nil"/>
              <w:left w:val="nil"/>
              <w:bottom w:val="nil"/>
              <w:right w:val="nil"/>
            </w:tcBorders>
            <w:vAlign w:val="center"/>
          </w:tcPr>
          <w:p w:rsidR="00416EFF" w:rsidRPr="00301009" w:rsidRDefault="00971B2C" w:rsidP="00332B83">
            <w:pPr>
              <w:tabs>
                <w:tab w:val="decimal" w:pos="1098"/>
              </w:tabs>
              <w:spacing w:before="20" w:after="20" w:line="240" w:lineRule="auto"/>
              <w:rPr>
                <w:sz w:val="18"/>
                <w:szCs w:val="18"/>
              </w:rPr>
            </w:pPr>
            <w:r>
              <w:rPr>
                <w:sz w:val="18"/>
                <w:szCs w:val="18"/>
              </w:rPr>
              <w:t>19.5%</w:t>
            </w:r>
          </w:p>
        </w:tc>
      </w:tr>
      <w:tr w:rsidR="00416EFF" w:rsidRPr="0073602A" w:rsidTr="00F72C3E">
        <w:tc>
          <w:tcPr>
            <w:tcW w:w="3652" w:type="dxa"/>
            <w:tcBorders>
              <w:top w:val="nil"/>
              <w:left w:val="nil"/>
              <w:bottom w:val="nil"/>
              <w:right w:val="nil"/>
            </w:tcBorders>
            <w:shd w:val="clear" w:color="auto" w:fill="CDD3F7"/>
            <w:vAlign w:val="center"/>
          </w:tcPr>
          <w:p w:rsidR="00416EFF" w:rsidRPr="00301009" w:rsidRDefault="00971B2C" w:rsidP="00C94DDD">
            <w:pPr>
              <w:spacing w:before="20" w:after="20" w:line="240" w:lineRule="auto"/>
              <w:rPr>
                <w:sz w:val="18"/>
                <w:szCs w:val="18"/>
              </w:rPr>
            </w:pPr>
            <w:r>
              <w:rPr>
                <w:sz w:val="18"/>
                <w:szCs w:val="18"/>
              </w:rPr>
              <w:t>Waikato</w:t>
            </w:r>
          </w:p>
        </w:tc>
        <w:tc>
          <w:tcPr>
            <w:tcW w:w="2480" w:type="dxa"/>
            <w:tcBorders>
              <w:top w:val="nil"/>
              <w:left w:val="nil"/>
              <w:bottom w:val="nil"/>
              <w:right w:val="nil"/>
            </w:tcBorders>
            <w:shd w:val="clear" w:color="auto" w:fill="CDD3F7"/>
            <w:vAlign w:val="center"/>
          </w:tcPr>
          <w:p w:rsidR="00416EFF" w:rsidRPr="00301009" w:rsidRDefault="00971B2C" w:rsidP="00332B83">
            <w:pPr>
              <w:tabs>
                <w:tab w:val="decimal" w:pos="1451"/>
              </w:tabs>
              <w:spacing w:before="20" w:after="20" w:line="240" w:lineRule="auto"/>
              <w:rPr>
                <w:sz w:val="18"/>
                <w:szCs w:val="18"/>
              </w:rPr>
            </w:pPr>
            <w:r>
              <w:rPr>
                <w:sz w:val="18"/>
                <w:szCs w:val="18"/>
              </w:rPr>
              <w:t>281</w:t>
            </w:r>
          </w:p>
        </w:tc>
        <w:tc>
          <w:tcPr>
            <w:tcW w:w="2481" w:type="dxa"/>
            <w:tcBorders>
              <w:top w:val="nil"/>
              <w:left w:val="nil"/>
              <w:bottom w:val="nil"/>
              <w:right w:val="nil"/>
            </w:tcBorders>
            <w:shd w:val="clear" w:color="auto" w:fill="CDD3F7"/>
            <w:vAlign w:val="center"/>
          </w:tcPr>
          <w:p w:rsidR="00416EFF" w:rsidRPr="00301009" w:rsidRDefault="00971B2C" w:rsidP="00332B83">
            <w:pPr>
              <w:tabs>
                <w:tab w:val="decimal" w:pos="1098"/>
              </w:tabs>
              <w:spacing w:before="20" w:after="20" w:line="240" w:lineRule="auto"/>
              <w:rPr>
                <w:sz w:val="18"/>
                <w:szCs w:val="18"/>
              </w:rPr>
            </w:pPr>
            <w:r>
              <w:rPr>
                <w:sz w:val="18"/>
                <w:szCs w:val="18"/>
              </w:rPr>
              <w:t>7.1%</w:t>
            </w:r>
          </w:p>
        </w:tc>
      </w:tr>
      <w:tr w:rsidR="00416EFF" w:rsidRPr="0073602A" w:rsidTr="00F72C3E">
        <w:tc>
          <w:tcPr>
            <w:tcW w:w="3652" w:type="dxa"/>
            <w:tcBorders>
              <w:top w:val="nil"/>
              <w:left w:val="nil"/>
              <w:bottom w:val="nil"/>
              <w:right w:val="nil"/>
            </w:tcBorders>
            <w:vAlign w:val="center"/>
          </w:tcPr>
          <w:p w:rsidR="00416EFF" w:rsidRPr="00301009" w:rsidRDefault="00971B2C" w:rsidP="00C94DDD">
            <w:pPr>
              <w:spacing w:before="20" w:after="20" w:line="240" w:lineRule="auto"/>
              <w:rPr>
                <w:sz w:val="18"/>
                <w:szCs w:val="18"/>
              </w:rPr>
            </w:pPr>
            <w:r>
              <w:rPr>
                <w:sz w:val="18"/>
                <w:szCs w:val="18"/>
              </w:rPr>
              <w:t>Bay of Plenty</w:t>
            </w:r>
          </w:p>
        </w:tc>
        <w:tc>
          <w:tcPr>
            <w:tcW w:w="2480" w:type="dxa"/>
            <w:tcBorders>
              <w:top w:val="nil"/>
              <w:left w:val="nil"/>
              <w:bottom w:val="nil"/>
              <w:right w:val="nil"/>
            </w:tcBorders>
            <w:vAlign w:val="center"/>
          </w:tcPr>
          <w:p w:rsidR="00416EFF" w:rsidRPr="00301009" w:rsidRDefault="00971B2C" w:rsidP="00332B83">
            <w:pPr>
              <w:tabs>
                <w:tab w:val="decimal" w:pos="1451"/>
              </w:tabs>
              <w:spacing w:before="20" w:after="20" w:line="240" w:lineRule="auto"/>
              <w:rPr>
                <w:sz w:val="18"/>
                <w:szCs w:val="18"/>
              </w:rPr>
            </w:pPr>
            <w:r>
              <w:rPr>
                <w:sz w:val="18"/>
                <w:szCs w:val="18"/>
              </w:rPr>
              <w:t>733</w:t>
            </w:r>
          </w:p>
        </w:tc>
        <w:tc>
          <w:tcPr>
            <w:tcW w:w="2481" w:type="dxa"/>
            <w:tcBorders>
              <w:top w:val="nil"/>
              <w:left w:val="nil"/>
              <w:bottom w:val="nil"/>
              <w:right w:val="nil"/>
            </w:tcBorders>
            <w:vAlign w:val="center"/>
          </w:tcPr>
          <w:p w:rsidR="00416EFF" w:rsidRPr="00301009" w:rsidRDefault="00971B2C" w:rsidP="00332B83">
            <w:pPr>
              <w:tabs>
                <w:tab w:val="decimal" w:pos="1098"/>
              </w:tabs>
              <w:spacing w:before="20" w:after="20" w:line="240" w:lineRule="auto"/>
              <w:rPr>
                <w:sz w:val="18"/>
                <w:szCs w:val="18"/>
              </w:rPr>
            </w:pPr>
            <w:r>
              <w:rPr>
                <w:sz w:val="18"/>
                <w:szCs w:val="18"/>
              </w:rPr>
              <w:t>18.5%</w:t>
            </w:r>
          </w:p>
        </w:tc>
      </w:tr>
      <w:tr w:rsidR="00416EFF" w:rsidRPr="0073602A" w:rsidTr="00F72C3E">
        <w:tc>
          <w:tcPr>
            <w:tcW w:w="3652" w:type="dxa"/>
            <w:tcBorders>
              <w:top w:val="nil"/>
              <w:left w:val="nil"/>
              <w:bottom w:val="nil"/>
              <w:right w:val="nil"/>
            </w:tcBorders>
            <w:shd w:val="clear" w:color="auto" w:fill="CDD3F7"/>
            <w:vAlign w:val="center"/>
          </w:tcPr>
          <w:p w:rsidR="00416EFF" w:rsidRPr="00301009" w:rsidRDefault="00971B2C" w:rsidP="00C94DDD">
            <w:pPr>
              <w:spacing w:before="20" w:after="20" w:line="240" w:lineRule="auto"/>
              <w:rPr>
                <w:sz w:val="18"/>
                <w:szCs w:val="18"/>
              </w:rPr>
            </w:pPr>
            <w:r>
              <w:rPr>
                <w:sz w:val="18"/>
                <w:szCs w:val="18"/>
              </w:rPr>
              <w:t>Eastern</w:t>
            </w:r>
          </w:p>
        </w:tc>
        <w:tc>
          <w:tcPr>
            <w:tcW w:w="2480" w:type="dxa"/>
            <w:tcBorders>
              <w:top w:val="nil"/>
              <w:left w:val="nil"/>
              <w:bottom w:val="nil"/>
              <w:right w:val="nil"/>
            </w:tcBorders>
            <w:shd w:val="clear" w:color="auto" w:fill="CDD3F7"/>
            <w:vAlign w:val="center"/>
          </w:tcPr>
          <w:p w:rsidR="00416EFF" w:rsidRPr="00301009" w:rsidRDefault="00971B2C" w:rsidP="00332B83">
            <w:pPr>
              <w:tabs>
                <w:tab w:val="decimal" w:pos="1451"/>
              </w:tabs>
              <w:spacing w:before="20" w:after="20" w:line="240" w:lineRule="auto"/>
              <w:rPr>
                <w:sz w:val="18"/>
                <w:szCs w:val="18"/>
              </w:rPr>
            </w:pPr>
            <w:r>
              <w:rPr>
                <w:sz w:val="18"/>
                <w:szCs w:val="18"/>
              </w:rPr>
              <w:t>677</w:t>
            </w:r>
          </w:p>
        </w:tc>
        <w:tc>
          <w:tcPr>
            <w:tcW w:w="2481" w:type="dxa"/>
            <w:tcBorders>
              <w:top w:val="nil"/>
              <w:left w:val="nil"/>
              <w:bottom w:val="nil"/>
              <w:right w:val="nil"/>
            </w:tcBorders>
            <w:shd w:val="clear" w:color="auto" w:fill="CDD3F7"/>
            <w:vAlign w:val="center"/>
          </w:tcPr>
          <w:p w:rsidR="00416EFF" w:rsidRPr="00301009" w:rsidRDefault="00971B2C" w:rsidP="00332B83">
            <w:pPr>
              <w:tabs>
                <w:tab w:val="decimal" w:pos="1098"/>
              </w:tabs>
              <w:spacing w:before="20" w:after="20" w:line="240" w:lineRule="auto"/>
              <w:rPr>
                <w:sz w:val="18"/>
                <w:szCs w:val="18"/>
              </w:rPr>
            </w:pPr>
            <w:r>
              <w:rPr>
                <w:sz w:val="18"/>
                <w:szCs w:val="18"/>
              </w:rPr>
              <w:t>17.1%</w:t>
            </w:r>
          </w:p>
        </w:tc>
      </w:tr>
      <w:tr w:rsidR="00416EFF" w:rsidRPr="0073602A" w:rsidTr="00F72C3E">
        <w:tc>
          <w:tcPr>
            <w:tcW w:w="3652" w:type="dxa"/>
            <w:tcBorders>
              <w:top w:val="nil"/>
              <w:left w:val="nil"/>
              <w:bottom w:val="nil"/>
              <w:right w:val="nil"/>
            </w:tcBorders>
            <w:vAlign w:val="center"/>
          </w:tcPr>
          <w:p w:rsidR="00416EFF" w:rsidRPr="00301009" w:rsidRDefault="00971B2C" w:rsidP="00C94DDD">
            <w:pPr>
              <w:spacing w:before="20" w:after="20" w:line="240" w:lineRule="auto"/>
              <w:rPr>
                <w:sz w:val="18"/>
                <w:szCs w:val="18"/>
              </w:rPr>
            </w:pPr>
            <w:r>
              <w:rPr>
                <w:sz w:val="18"/>
                <w:szCs w:val="18"/>
              </w:rPr>
              <w:t>Central</w:t>
            </w:r>
          </w:p>
        </w:tc>
        <w:tc>
          <w:tcPr>
            <w:tcW w:w="2480" w:type="dxa"/>
            <w:tcBorders>
              <w:top w:val="nil"/>
              <w:left w:val="nil"/>
              <w:bottom w:val="nil"/>
              <w:right w:val="nil"/>
            </w:tcBorders>
            <w:vAlign w:val="center"/>
          </w:tcPr>
          <w:p w:rsidR="00416EFF" w:rsidRPr="00301009" w:rsidRDefault="00971B2C" w:rsidP="00332B83">
            <w:pPr>
              <w:tabs>
                <w:tab w:val="decimal" w:pos="1451"/>
              </w:tabs>
              <w:spacing w:before="20" w:after="20" w:line="240" w:lineRule="auto"/>
              <w:rPr>
                <w:sz w:val="18"/>
                <w:szCs w:val="18"/>
              </w:rPr>
            </w:pPr>
            <w:r>
              <w:rPr>
                <w:sz w:val="18"/>
                <w:szCs w:val="18"/>
              </w:rPr>
              <w:t>358</w:t>
            </w:r>
          </w:p>
        </w:tc>
        <w:tc>
          <w:tcPr>
            <w:tcW w:w="2481" w:type="dxa"/>
            <w:tcBorders>
              <w:top w:val="nil"/>
              <w:left w:val="nil"/>
              <w:bottom w:val="nil"/>
              <w:right w:val="nil"/>
            </w:tcBorders>
            <w:vAlign w:val="center"/>
          </w:tcPr>
          <w:p w:rsidR="00416EFF" w:rsidRPr="00301009" w:rsidRDefault="00971B2C" w:rsidP="00332B83">
            <w:pPr>
              <w:tabs>
                <w:tab w:val="decimal" w:pos="1098"/>
              </w:tabs>
              <w:spacing w:before="20" w:after="20" w:line="240" w:lineRule="auto"/>
              <w:rPr>
                <w:sz w:val="18"/>
                <w:szCs w:val="18"/>
              </w:rPr>
            </w:pPr>
            <w:r>
              <w:rPr>
                <w:sz w:val="18"/>
                <w:szCs w:val="18"/>
              </w:rPr>
              <w:t>9.0%</w:t>
            </w:r>
          </w:p>
        </w:tc>
      </w:tr>
      <w:tr w:rsidR="00416EFF" w:rsidRPr="0073602A" w:rsidTr="00F72C3E">
        <w:tc>
          <w:tcPr>
            <w:tcW w:w="3652" w:type="dxa"/>
            <w:tcBorders>
              <w:top w:val="nil"/>
              <w:left w:val="nil"/>
              <w:bottom w:val="nil"/>
              <w:right w:val="nil"/>
            </w:tcBorders>
            <w:shd w:val="clear" w:color="auto" w:fill="CDD3F7"/>
            <w:vAlign w:val="center"/>
          </w:tcPr>
          <w:p w:rsidR="00416EFF" w:rsidRPr="00301009" w:rsidRDefault="00971B2C" w:rsidP="00C94DDD">
            <w:pPr>
              <w:spacing w:before="20" w:after="20" w:line="240" w:lineRule="auto"/>
              <w:rPr>
                <w:sz w:val="18"/>
                <w:szCs w:val="18"/>
              </w:rPr>
            </w:pPr>
            <w:r>
              <w:rPr>
                <w:sz w:val="18"/>
                <w:szCs w:val="18"/>
              </w:rPr>
              <w:t>Wellington</w:t>
            </w:r>
          </w:p>
        </w:tc>
        <w:tc>
          <w:tcPr>
            <w:tcW w:w="2480" w:type="dxa"/>
            <w:tcBorders>
              <w:top w:val="nil"/>
              <w:left w:val="nil"/>
              <w:bottom w:val="nil"/>
              <w:right w:val="nil"/>
            </w:tcBorders>
            <w:shd w:val="clear" w:color="auto" w:fill="CDD3F7"/>
            <w:vAlign w:val="center"/>
          </w:tcPr>
          <w:p w:rsidR="00416EFF" w:rsidRPr="00301009" w:rsidRDefault="00971B2C" w:rsidP="00332B83">
            <w:pPr>
              <w:tabs>
                <w:tab w:val="decimal" w:pos="1451"/>
              </w:tabs>
              <w:spacing w:before="20" w:after="20" w:line="240" w:lineRule="auto"/>
              <w:rPr>
                <w:sz w:val="18"/>
                <w:szCs w:val="18"/>
              </w:rPr>
            </w:pPr>
            <w:r>
              <w:rPr>
                <w:sz w:val="18"/>
                <w:szCs w:val="18"/>
              </w:rPr>
              <w:t>439</w:t>
            </w:r>
          </w:p>
        </w:tc>
        <w:tc>
          <w:tcPr>
            <w:tcW w:w="2481" w:type="dxa"/>
            <w:tcBorders>
              <w:top w:val="nil"/>
              <w:left w:val="nil"/>
              <w:bottom w:val="nil"/>
              <w:right w:val="nil"/>
            </w:tcBorders>
            <w:shd w:val="clear" w:color="auto" w:fill="CDD3F7"/>
            <w:vAlign w:val="center"/>
          </w:tcPr>
          <w:p w:rsidR="00416EFF" w:rsidRPr="00301009" w:rsidRDefault="00971B2C" w:rsidP="00982435">
            <w:pPr>
              <w:tabs>
                <w:tab w:val="decimal" w:pos="1098"/>
              </w:tabs>
              <w:spacing w:before="20" w:after="20" w:line="240" w:lineRule="auto"/>
              <w:rPr>
                <w:sz w:val="18"/>
                <w:szCs w:val="18"/>
              </w:rPr>
            </w:pPr>
            <w:r>
              <w:rPr>
                <w:sz w:val="18"/>
                <w:szCs w:val="18"/>
              </w:rPr>
              <w:t>11.</w:t>
            </w:r>
            <w:r w:rsidR="00982435">
              <w:rPr>
                <w:sz w:val="18"/>
                <w:szCs w:val="18"/>
              </w:rPr>
              <w:t>1</w:t>
            </w:r>
            <w:r>
              <w:rPr>
                <w:sz w:val="18"/>
                <w:szCs w:val="18"/>
              </w:rPr>
              <w:t>%</w:t>
            </w:r>
          </w:p>
        </w:tc>
      </w:tr>
      <w:tr w:rsidR="00416EFF" w:rsidRPr="0073602A" w:rsidTr="00F72C3E">
        <w:tc>
          <w:tcPr>
            <w:tcW w:w="3652" w:type="dxa"/>
            <w:tcBorders>
              <w:top w:val="nil"/>
              <w:left w:val="nil"/>
              <w:bottom w:val="nil"/>
              <w:right w:val="nil"/>
            </w:tcBorders>
            <w:vAlign w:val="center"/>
          </w:tcPr>
          <w:p w:rsidR="00416EFF" w:rsidRPr="00301009" w:rsidRDefault="00971B2C" w:rsidP="00C94DDD">
            <w:pPr>
              <w:spacing w:before="20" w:after="20" w:line="240" w:lineRule="auto"/>
              <w:rPr>
                <w:sz w:val="18"/>
                <w:szCs w:val="18"/>
              </w:rPr>
            </w:pPr>
            <w:r>
              <w:rPr>
                <w:sz w:val="18"/>
                <w:szCs w:val="18"/>
              </w:rPr>
              <w:t>Tasman</w:t>
            </w:r>
          </w:p>
        </w:tc>
        <w:tc>
          <w:tcPr>
            <w:tcW w:w="2480" w:type="dxa"/>
            <w:tcBorders>
              <w:top w:val="nil"/>
              <w:left w:val="nil"/>
              <w:bottom w:val="nil"/>
              <w:right w:val="nil"/>
            </w:tcBorders>
            <w:vAlign w:val="center"/>
          </w:tcPr>
          <w:p w:rsidR="00416EFF" w:rsidRPr="00301009" w:rsidRDefault="00971B2C" w:rsidP="00332B83">
            <w:pPr>
              <w:tabs>
                <w:tab w:val="decimal" w:pos="1451"/>
              </w:tabs>
              <w:spacing w:before="20" w:after="20" w:line="240" w:lineRule="auto"/>
              <w:rPr>
                <w:sz w:val="18"/>
                <w:szCs w:val="18"/>
              </w:rPr>
            </w:pPr>
            <w:r>
              <w:rPr>
                <w:sz w:val="18"/>
                <w:szCs w:val="18"/>
              </w:rPr>
              <w:t>63</w:t>
            </w:r>
          </w:p>
        </w:tc>
        <w:tc>
          <w:tcPr>
            <w:tcW w:w="2481" w:type="dxa"/>
            <w:tcBorders>
              <w:top w:val="nil"/>
              <w:left w:val="nil"/>
              <w:bottom w:val="nil"/>
              <w:right w:val="nil"/>
            </w:tcBorders>
            <w:vAlign w:val="center"/>
          </w:tcPr>
          <w:p w:rsidR="00416EFF" w:rsidRPr="00301009" w:rsidRDefault="00971B2C" w:rsidP="00332B83">
            <w:pPr>
              <w:tabs>
                <w:tab w:val="decimal" w:pos="1098"/>
              </w:tabs>
              <w:spacing w:before="20" w:after="20" w:line="240" w:lineRule="auto"/>
              <w:rPr>
                <w:sz w:val="18"/>
                <w:szCs w:val="18"/>
              </w:rPr>
            </w:pPr>
            <w:r>
              <w:rPr>
                <w:sz w:val="18"/>
                <w:szCs w:val="18"/>
              </w:rPr>
              <w:t>1.6%</w:t>
            </w:r>
          </w:p>
        </w:tc>
      </w:tr>
      <w:tr w:rsidR="00416EFF" w:rsidRPr="0073602A" w:rsidTr="00F72C3E">
        <w:tc>
          <w:tcPr>
            <w:tcW w:w="3652" w:type="dxa"/>
            <w:tcBorders>
              <w:top w:val="nil"/>
              <w:left w:val="nil"/>
              <w:bottom w:val="nil"/>
              <w:right w:val="nil"/>
            </w:tcBorders>
            <w:shd w:val="clear" w:color="auto" w:fill="CDD3F7"/>
            <w:vAlign w:val="center"/>
          </w:tcPr>
          <w:p w:rsidR="00416EFF" w:rsidRPr="00301009" w:rsidRDefault="00971B2C" w:rsidP="00C94DDD">
            <w:pPr>
              <w:spacing w:before="20" w:after="20" w:line="240" w:lineRule="auto"/>
              <w:rPr>
                <w:sz w:val="18"/>
                <w:szCs w:val="18"/>
              </w:rPr>
            </w:pPr>
            <w:r>
              <w:rPr>
                <w:sz w:val="18"/>
                <w:szCs w:val="18"/>
              </w:rPr>
              <w:t>Canterbury</w:t>
            </w:r>
          </w:p>
        </w:tc>
        <w:tc>
          <w:tcPr>
            <w:tcW w:w="2480" w:type="dxa"/>
            <w:tcBorders>
              <w:top w:val="nil"/>
              <w:left w:val="nil"/>
              <w:bottom w:val="nil"/>
              <w:right w:val="nil"/>
            </w:tcBorders>
            <w:shd w:val="clear" w:color="auto" w:fill="CDD3F7"/>
            <w:vAlign w:val="center"/>
          </w:tcPr>
          <w:p w:rsidR="00416EFF" w:rsidRPr="00301009" w:rsidRDefault="00971B2C" w:rsidP="00332B83">
            <w:pPr>
              <w:tabs>
                <w:tab w:val="decimal" w:pos="1451"/>
              </w:tabs>
              <w:spacing w:before="20" w:after="20" w:line="240" w:lineRule="auto"/>
              <w:rPr>
                <w:sz w:val="18"/>
                <w:szCs w:val="18"/>
              </w:rPr>
            </w:pPr>
            <w:r>
              <w:rPr>
                <w:sz w:val="18"/>
                <w:szCs w:val="18"/>
              </w:rPr>
              <w:t>237</w:t>
            </w:r>
          </w:p>
        </w:tc>
        <w:tc>
          <w:tcPr>
            <w:tcW w:w="2481" w:type="dxa"/>
            <w:tcBorders>
              <w:top w:val="nil"/>
              <w:left w:val="nil"/>
              <w:bottom w:val="nil"/>
              <w:right w:val="nil"/>
            </w:tcBorders>
            <w:shd w:val="clear" w:color="auto" w:fill="CDD3F7"/>
            <w:vAlign w:val="center"/>
          </w:tcPr>
          <w:p w:rsidR="00416EFF" w:rsidRPr="00301009" w:rsidRDefault="00971B2C" w:rsidP="00332B83">
            <w:pPr>
              <w:tabs>
                <w:tab w:val="decimal" w:pos="1098"/>
              </w:tabs>
              <w:spacing w:before="20" w:after="20" w:line="240" w:lineRule="auto"/>
              <w:rPr>
                <w:sz w:val="18"/>
                <w:szCs w:val="18"/>
              </w:rPr>
            </w:pPr>
            <w:r>
              <w:rPr>
                <w:sz w:val="18"/>
                <w:szCs w:val="18"/>
              </w:rPr>
              <w:t>6.0%</w:t>
            </w:r>
          </w:p>
        </w:tc>
      </w:tr>
      <w:tr w:rsidR="00332B83" w:rsidRPr="0073602A" w:rsidTr="00F72C3E">
        <w:tc>
          <w:tcPr>
            <w:tcW w:w="3652" w:type="dxa"/>
            <w:tcBorders>
              <w:top w:val="nil"/>
              <w:left w:val="nil"/>
              <w:bottom w:val="single" w:sz="4" w:space="0" w:color="auto"/>
              <w:right w:val="nil"/>
            </w:tcBorders>
            <w:vAlign w:val="center"/>
          </w:tcPr>
          <w:p w:rsidR="00332B83" w:rsidRPr="00301009" w:rsidRDefault="00332B83" w:rsidP="002C5D6B">
            <w:pPr>
              <w:spacing w:before="20" w:after="20" w:line="240" w:lineRule="auto"/>
              <w:rPr>
                <w:sz w:val="18"/>
                <w:szCs w:val="18"/>
              </w:rPr>
            </w:pPr>
            <w:r>
              <w:rPr>
                <w:sz w:val="18"/>
                <w:szCs w:val="18"/>
              </w:rPr>
              <w:t>Southern</w:t>
            </w:r>
          </w:p>
        </w:tc>
        <w:tc>
          <w:tcPr>
            <w:tcW w:w="2480" w:type="dxa"/>
            <w:tcBorders>
              <w:top w:val="nil"/>
              <w:left w:val="nil"/>
              <w:bottom w:val="single" w:sz="4" w:space="0" w:color="auto"/>
              <w:right w:val="nil"/>
            </w:tcBorders>
            <w:vAlign w:val="center"/>
          </w:tcPr>
          <w:p w:rsidR="00332B83" w:rsidRPr="00301009" w:rsidRDefault="00332B83" w:rsidP="002C5D6B">
            <w:pPr>
              <w:tabs>
                <w:tab w:val="decimal" w:pos="1451"/>
              </w:tabs>
              <w:spacing w:before="20" w:after="20" w:line="240" w:lineRule="auto"/>
              <w:rPr>
                <w:sz w:val="18"/>
                <w:szCs w:val="18"/>
              </w:rPr>
            </w:pPr>
            <w:r>
              <w:rPr>
                <w:sz w:val="18"/>
                <w:szCs w:val="18"/>
              </w:rPr>
              <w:t>89</w:t>
            </w:r>
          </w:p>
        </w:tc>
        <w:tc>
          <w:tcPr>
            <w:tcW w:w="2481" w:type="dxa"/>
            <w:tcBorders>
              <w:top w:val="nil"/>
              <w:left w:val="nil"/>
              <w:bottom w:val="single" w:sz="4" w:space="0" w:color="auto"/>
              <w:right w:val="nil"/>
            </w:tcBorders>
            <w:vAlign w:val="center"/>
          </w:tcPr>
          <w:p w:rsidR="00332B83" w:rsidRPr="00301009" w:rsidRDefault="00332B83" w:rsidP="002C5D6B">
            <w:pPr>
              <w:tabs>
                <w:tab w:val="decimal" w:pos="1098"/>
              </w:tabs>
              <w:spacing w:before="20" w:after="20" w:line="240" w:lineRule="auto"/>
              <w:rPr>
                <w:sz w:val="18"/>
                <w:szCs w:val="18"/>
              </w:rPr>
            </w:pPr>
            <w:r>
              <w:rPr>
                <w:sz w:val="18"/>
                <w:szCs w:val="18"/>
              </w:rPr>
              <w:t>2.2%</w:t>
            </w:r>
          </w:p>
        </w:tc>
      </w:tr>
      <w:tr w:rsidR="00332B83" w:rsidRPr="0073602A" w:rsidTr="00F72C3E">
        <w:tc>
          <w:tcPr>
            <w:tcW w:w="3652" w:type="dxa"/>
            <w:tcBorders>
              <w:top w:val="single" w:sz="4" w:space="0" w:color="auto"/>
              <w:left w:val="nil"/>
              <w:bottom w:val="single" w:sz="4" w:space="0" w:color="auto"/>
              <w:right w:val="nil"/>
            </w:tcBorders>
            <w:shd w:val="clear" w:color="auto" w:fill="CDD3F7"/>
            <w:vAlign w:val="center"/>
          </w:tcPr>
          <w:p w:rsidR="00332B83" w:rsidRPr="00301009" w:rsidRDefault="00332B83" w:rsidP="002C5D6B">
            <w:pPr>
              <w:spacing w:before="20" w:after="20" w:line="240" w:lineRule="auto"/>
              <w:rPr>
                <w:sz w:val="18"/>
                <w:szCs w:val="18"/>
              </w:rPr>
            </w:pPr>
            <w:r>
              <w:rPr>
                <w:sz w:val="18"/>
                <w:szCs w:val="18"/>
              </w:rPr>
              <w:t>Total</w:t>
            </w:r>
          </w:p>
        </w:tc>
        <w:tc>
          <w:tcPr>
            <w:tcW w:w="2480" w:type="dxa"/>
            <w:tcBorders>
              <w:top w:val="single" w:sz="4" w:space="0" w:color="auto"/>
              <w:left w:val="nil"/>
              <w:bottom w:val="single" w:sz="4" w:space="0" w:color="auto"/>
              <w:right w:val="nil"/>
            </w:tcBorders>
            <w:shd w:val="clear" w:color="auto" w:fill="CDD3F7"/>
            <w:vAlign w:val="center"/>
          </w:tcPr>
          <w:p w:rsidR="00332B83" w:rsidRPr="00301009" w:rsidRDefault="00332B83" w:rsidP="002C5D6B">
            <w:pPr>
              <w:tabs>
                <w:tab w:val="decimal" w:pos="1451"/>
              </w:tabs>
              <w:spacing w:before="20" w:after="20" w:line="240" w:lineRule="auto"/>
              <w:rPr>
                <w:sz w:val="18"/>
                <w:szCs w:val="18"/>
              </w:rPr>
            </w:pPr>
            <w:r>
              <w:rPr>
                <w:sz w:val="18"/>
                <w:szCs w:val="18"/>
              </w:rPr>
              <w:t>3,960</w:t>
            </w:r>
          </w:p>
        </w:tc>
        <w:tc>
          <w:tcPr>
            <w:tcW w:w="2481" w:type="dxa"/>
            <w:tcBorders>
              <w:top w:val="single" w:sz="4" w:space="0" w:color="auto"/>
              <w:left w:val="nil"/>
              <w:bottom w:val="single" w:sz="4" w:space="0" w:color="auto"/>
              <w:right w:val="nil"/>
            </w:tcBorders>
            <w:shd w:val="clear" w:color="auto" w:fill="CDD3F7"/>
            <w:vAlign w:val="center"/>
          </w:tcPr>
          <w:p w:rsidR="00332B83" w:rsidRPr="00301009" w:rsidRDefault="00332B83" w:rsidP="00332B83">
            <w:pPr>
              <w:tabs>
                <w:tab w:val="decimal" w:pos="1098"/>
              </w:tabs>
              <w:spacing w:before="20" w:after="20" w:line="240" w:lineRule="auto"/>
              <w:rPr>
                <w:sz w:val="18"/>
                <w:szCs w:val="18"/>
              </w:rPr>
            </w:pPr>
            <w:r>
              <w:rPr>
                <w:sz w:val="18"/>
                <w:szCs w:val="18"/>
              </w:rPr>
              <w:t>100.0%</w:t>
            </w:r>
          </w:p>
        </w:tc>
      </w:tr>
    </w:tbl>
    <w:p w:rsidR="008D507D" w:rsidRPr="001D348C" w:rsidRDefault="008D507D" w:rsidP="00332B83">
      <w:pPr>
        <w:tabs>
          <w:tab w:val="left" w:pos="567"/>
        </w:tabs>
        <w:spacing w:after="0" w:line="240" w:lineRule="auto"/>
        <w:ind w:left="567" w:right="1088" w:hanging="567"/>
        <w:rPr>
          <w:sz w:val="16"/>
          <w:szCs w:val="16"/>
          <w:lang w:val="en-NZ"/>
        </w:rPr>
      </w:pPr>
      <w:r w:rsidRPr="001D348C">
        <w:rPr>
          <w:sz w:val="16"/>
          <w:szCs w:val="16"/>
          <w:lang w:val="en-NZ"/>
        </w:rPr>
        <w:t>Notes:</w:t>
      </w:r>
    </w:p>
    <w:p w:rsidR="00C717CE" w:rsidRDefault="00E452F7" w:rsidP="00487A14">
      <w:pPr>
        <w:numPr>
          <w:ilvl w:val="0"/>
          <w:numId w:val="5"/>
        </w:numPr>
        <w:tabs>
          <w:tab w:val="left" w:pos="567"/>
        </w:tabs>
        <w:spacing w:after="20" w:line="240" w:lineRule="auto"/>
        <w:ind w:left="357" w:right="521" w:hanging="357"/>
        <w:rPr>
          <w:sz w:val="16"/>
          <w:szCs w:val="16"/>
          <w:lang w:val="en-NZ"/>
        </w:rPr>
      </w:pPr>
      <w:r>
        <w:rPr>
          <w:sz w:val="16"/>
          <w:szCs w:val="16"/>
          <w:lang w:val="en-NZ"/>
        </w:rPr>
        <w:t>P</w:t>
      </w:r>
      <w:r w:rsidR="009B0875">
        <w:rPr>
          <w:sz w:val="16"/>
          <w:szCs w:val="16"/>
          <w:lang w:val="en-NZ"/>
        </w:rPr>
        <w:t>atch</w:t>
      </w:r>
      <w:r w:rsidR="00C717CE">
        <w:rPr>
          <w:sz w:val="16"/>
          <w:szCs w:val="16"/>
          <w:lang w:val="en-NZ"/>
        </w:rPr>
        <w:t xml:space="preserve"> members and prospects are </w:t>
      </w:r>
      <w:r>
        <w:rPr>
          <w:sz w:val="16"/>
          <w:szCs w:val="16"/>
          <w:lang w:val="en-NZ"/>
        </w:rPr>
        <w:t xml:space="preserve">always </w:t>
      </w:r>
      <w:r w:rsidR="00C717CE">
        <w:rPr>
          <w:sz w:val="16"/>
          <w:szCs w:val="16"/>
          <w:lang w:val="en-NZ"/>
        </w:rPr>
        <w:t>male.</w:t>
      </w:r>
    </w:p>
    <w:p w:rsidR="00C717CE" w:rsidRDefault="00C717CE" w:rsidP="00487A14">
      <w:pPr>
        <w:numPr>
          <w:ilvl w:val="0"/>
          <w:numId w:val="5"/>
        </w:numPr>
        <w:tabs>
          <w:tab w:val="left" w:pos="567"/>
        </w:tabs>
        <w:spacing w:after="20" w:line="240" w:lineRule="auto"/>
        <w:ind w:left="357" w:right="521" w:hanging="357"/>
        <w:rPr>
          <w:sz w:val="16"/>
          <w:szCs w:val="16"/>
          <w:lang w:val="en-NZ"/>
        </w:rPr>
      </w:pPr>
      <w:r>
        <w:rPr>
          <w:sz w:val="16"/>
          <w:szCs w:val="16"/>
          <w:lang w:val="en-NZ"/>
        </w:rPr>
        <w:t>Gangs are listed separately in descending numerical order where they ha</w:t>
      </w:r>
      <w:r w:rsidR="00C046D1">
        <w:rPr>
          <w:sz w:val="16"/>
          <w:szCs w:val="16"/>
          <w:lang w:val="en-NZ"/>
        </w:rPr>
        <w:t>d</w:t>
      </w:r>
      <w:r>
        <w:rPr>
          <w:sz w:val="16"/>
          <w:szCs w:val="16"/>
          <w:lang w:val="en-NZ"/>
        </w:rPr>
        <w:t xml:space="preserve"> at least 100 known </w:t>
      </w:r>
      <w:r w:rsidR="007E442C">
        <w:rPr>
          <w:sz w:val="16"/>
          <w:szCs w:val="16"/>
          <w:lang w:val="en-NZ"/>
        </w:rPr>
        <w:t xml:space="preserve">adult </w:t>
      </w:r>
      <w:r>
        <w:rPr>
          <w:sz w:val="16"/>
          <w:szCs w:val="16"/>
          <w:lang w:val="en-NZ"/>
        </w:rPr>
        <w:t>members or prospects</w:t>
      </w:r>
      <w:r w:rsidR="00C046D1">
        <w:rPr>
          <w:sz w:val="16"/>
          <w:szCs w:val="16"/>
          <w:lang w:val="en-NZ"/>
        </w:rPr>
        <w:t xml:space="preserve"> as at July 2014</w:t>
      </w:r>
      <w:r>
        <w:rPr>
          <w:sz w:val="16"/>
          <w:szCs w:val="16"/>
          <w:lang w:val="en-NZ"/>
        </w:rPr>
        <w:t>.</w:t>
      </w:r>
      <w:r w:rsidR="007E442C">
        <w:rPr>
          <w:sz w:val="16"/>
          <w:szCs w:val="16"/>
          <w:lang w:val="en-NZ"/>
        </w:rPr>
        <w:t xml:space="preserve"> MC = Motorcycle Club.</w:t>
      </w:r>
    </w:p>
    <w:p w:rsidR="008D507D" w:rsidRDefault="00332B83" w:rsidP="00487A14">
      <w:pPr>
        <w:numPr>
          <w:ilvl w:val="0"/>
          <w:numId w:val="5"/>
        </w:numPr>
        <w:tabs>
          <w:tab w:val="left" w:pos="567"/>
        </w:tabs>
        <w:spacing w:after="20" w:line="240" w:lineRule="auto"/>
        <w:ind w:left="357" w:right="521" w:hanging="357"/>
        <w:rPr>
          <w:sz w:val="16"/>
          <w:szCs w:val="16"/>
          <w:lang w:val="en-NZ"/>
        </w:rPr>
      </w:pPr>
      <w:r>
        <w:rPr>
          <w:sz w:val="16"/>
          <w:szCs w:val="16"/>
          <w:lang w:val="en-NZ"/>
        </w:rPr>
        <w:t xml:space="preserve">Ethnicity of the gang members was sourced from </w:t>
      </w:r>
      <w:r w:rsidR="00DF4536">
        <w:rPr>
          <w:sz w:val="16"/>
          <w:szCs w:val="16"/>
          <w:lang w:val="en-NZ"/>
        </w:rPr>
        <w:t xml:space="preserve">matched </w:t>
      </w:r>
      <w:r>
        <w:rPr>
          <w:sz w:val="16"/>
          <w:szCs w:val="16"/>
          <w:lang w:val="en-NZ"/>
        </w:rPr>
        <w:t xml:space="preserve">Work and Income or Child, Youth and Family </w:t>
      </w:r>
      <w:r w:rsidR="00DF4536">
        <w:rPr>
          <w:sz w:val="16"/>
          <w:szCs w:val="16"/>
          <w:lang w:val="en-NZ"/>
        </w:rPr>
        <w:t xml:space="preserve">data </w:t>
      </w:r>
      <w:r>
        <w:rPr>
          <w:sz w:val="16"/>
          <w:szCs w:val="16"/>
          <w:lang w:val="en-NZ"/>
        </w:rPr>
        <w:t>where available.</w:t>
      </w:r>
    </w:p>
    <w:p w:rsidR="000B155D" w:rsidRDefault="000B155D" w:rsidP="00487A14">
      <w:pPr>
        <w:numPr>
          <w:ilvl w:val="0"/>
          <w:numId w:val="5"/>
        </w:numPr>
        <w:tabs>
          <w:tab w:val="left" w:pos="567"/>
        </w:tabs>
        <w:spacing w:after="20" w:line="240" w:lineRule="auto"/>
        <w:ind w:left="357" w:right="521" w:hanging="357"/>
        <w:rPr>
          <w:sz w:val="16"/>
          <w:szCs w:val="16"/>
          <w:lang w:val="en-NZ"/>
        </w:rPr>
      </w:pPr>
      <w:r>
        <w:rPr>
          <w:sz w:val="16"/>
          <w:szCs w:val="16"/>
          <w:lang w:val="en-NZ"/>
        </w:rPr>
        <w:t>One gang member’s age was not known.</w:t>
      </w:r>
    </w:p>
    <w:p w:rsidR="00A05EB3" w:rsidRPr="001D348C" w:rsidRDefault="00A05EB3" w:rsidP="00487A14">
      <w:pPr>
        <w:numPr>
          <w:ilvl w:val="0"/>
          <w:numId w:val="5"/>
        </w:numPr>
        <w:tabs>
          <w:tab w:val="left" w:pos="567"/>
        </w:tabs>
        <w:spacing w:after="20" w:line="240" w:lineRule="auto"/>
        <w:ind w:left="357" w:right="521" w:hanging="357"/>
        <w:rPr>
          <w:sz w:val="16"/>
          <w:szCs w:val="16"/>
          <w:lang w:val="en-NZ"/>
        </w:rPr>
      </w:pPr>
      <w:r>
        <w:rPr>
          <w:sz w:val="16"/>
          <w:szCs w:val="16"/>
          <w:lang w:val="en-NZ"/>
        </w:rPr>
        <w:t>Includes the Waitemata, Auckland City and Counties Manukau districts.</w:t>
      </w:r>
    </w:p>
    <w:p w:rsidR="00906452" w:rsidRPr="00906452" w:rsidRDefault="00906452" w:rsidP="00DF4536">
      <w:pPr>
        <w:tabs>
          <w:tab w:val="left" w:pos="851"/>
        </w:tabs>
        <w:spacing w:after="20" w:line="240" w:lineRule="auto"/>
        <w:ind w:right="521"/>
        <w:rPr>
          <w:sz w:val="16"/>
          <w:szCs w:val="16"/>
          <w:lang w:val="en-NZ"/>
        </w:rPr>
      </w:pPr>
      <w:r w:rsidRPr="00906452">
        <w:rPr>
          <w:sz w:val="16"/>
          <w:szCs w:val="16"/>
          <w:lang w:val="en-NZ"/>
        </w:rPr>
        <w:t>Source:</w:t>
      </w:r>
      <w:r w:rsidRPr="00906452">
        <w:rPr>
          <w:sz w:val="16"/>
          <w:szCs w:val="16"/>
          <w:lang w:val="en-NZ"/>
        </w:rPr>
        <w:tab/>
      </w:r>
      <w:r w:rsidR="00F72C3E" w:rsidRPr="00F72C3E">
        <w:rPr>
          <w:sz w:val="16"/>
          <w:szCs w:val="16"/>
        </w:rPr>
        <w:t>National Intelligence Centre</w:t>
      </w:r>
      <w:r w:rsidR="00F72C3E">
        <w:rPr>
          <w:sz w:val="16"/>
          <w:szCs w:val="16"/>
        </w:rPr>
        <w:t xml:space="preserve">, </w:t>
      </w:r>
      <w:r w:rsidR="00332B83">
        <w:rPr>
          <w:sz w:val="16"/>
          <w:szCs w:val="16"/>
          <w:lang w:val="en-NZ"/>
        </w:rPr>
        <w:t>New Zealand Police</w:t>
      </w:r>
      <w:r w:rsidR="005E56DC">
        <w:rPr>
          <w:sz w:val="16"/>
          <w:szCs w:val="16"/>
          <w:lang w:val="en-NZ"/>
        </w:rPr>
        <w:t xml:space="preserve"> (except for ethnicity data)</w:t>
      </w:r>
      <w:r w:rsidRPr="00906452">
        <w:rPr>
          <w:sz w:val="16"/>
          <w:szCs w:val="16"/>
          <w:lang w:val="en-NZ"/>
        </w:rPr>
        <w:t>.</w:t>
      </w:r>
    </w:p>
    <w:p w:rsidR="00CC228B" w:rsidRDefault="00CC228B" w:rsidP="00CC228B">
      <w:pPr>
        <w:rPr>
          <w:lang w:val="en-NZ" w:eastAsia="en-AU"/>
        </w:rPr>
      </w:pPr>
    </w:p>
    <w:p w:rsidR="00CC228B" w:rsidRDefault="00CC228B" w:rsidP="00CC228B">
      <w:pPr>
        <w:rPr>
          <w:lang w:val="en-NZ" w:eastAsia="en-AU"/>
        </w:rPr>
        <w:sectPr w:rsidR="00CC228B" w:rsidSect="00B05301">
          <w:pgSz w:w="11906" w:h="16838"/>
          <w:pgMar w:top="1440" w:right="1440" w:bottom="1134" w:left="1440" w:header="708" w:footer="455" w:gutter="0"/>
          <w:cols w:space="708"/>
          <w:docGrid w:linePitch="360"/>
        </w:sectPr>
      </w:pPr>
    </w:p>
    <w:p w:rsidR="00CC228B" w:rsidRPr="00F926FD" w:rsidRDefault="00CC228B" w:rsidP="004803BF">
      <w:pPr>
        <w:pStyle w:val="Heading1"/>
        <w:spacing w:before="120"/>
        <w:ind w:right="-187"/>
      </w:pPr>
      <w:bookmarkStart w:id="22" w:name="_Toc438039149"/>
      <w:r w:rsidRPr="00F926FD">
        <w:lastRenderedPageBreak/>
        <w:t xml:space="preserve">Part </w:t>
      </w:r>
      <w:r w:rsidR="002C5D6B">
        <w:t>3</w:t>
      </w:r>
      <w:r w:rsidRPr="00F926FD">
        <w:t xml:space="preserve"> –</w:t>
      </w:r>
      <w:r w:rsidR="00E32959">
        <w:t xml:space="preserve"> </w:t>
      </w:r>
      <w:r w:rsidR="009A6520">
        <w:t xml:space="preserve">Over </w:t>
      </w:r>
      <w:r w:rsidR="00112DCD">
        <w:t>nine out of every ten</w:t>
      </w:r>
      <w:r w:rsidR="002C5D6B">
        <w:t xml:space="preserve"> gang members have received welfare </w:t>
      </w:r>
      <w:r w:rsidR="00112DCD">
        <w:t>assistance</w:t>
      </w:r>
      <w:bookmarkEnd w:id="22"/>
    </w:p>
    <w:p w:rsidR="00A43A41" w:rsidRDefault="007617D5" w:rsidP="00680F02">
      <w:pPr>
        <w:rPr>
          <w:lang w:val="en-NZ"/>
        </w:rPr>
      </w:pPr>
      <w:bookmarkStart w:id="23" w:name="_Toc402532699"/>
      <w:r>
        <w:rPr>
          <w:lang w:val="en-NZ"/>
        </w:rPr>
        <w:t>D</w:t>
      </w:r>
      <w:r w:rsidR="00680F02">
        <w:rPr>
          <w:lang w:val="en-NZ"/>
        </w:rPr>
        <w:t xml:space="preserve">ata on </w:t>
      </w:r>
      <w:r>
        <w:rPr>
          <w:lang w:val="en-NZ"/>
        </w:rPr>
        <w:t xml:space="preserve">the </w:t>
      </w:r>
      <w:r w:rsidR="00680F02">
        <w:rPr>
          <w:lang w:val="en-NZ"/>
        </w:rPr>
        <w:t xml:space="preserve">receipt of main benefits </w:t>
      </w:r>
      <w:r>
        <w:rPr>
          <w:lang w:val="en-NZ"/>
        </w:rPr>
        <w:t xml:space="preserve">by gang members </w:t>
      </w:r>
      <w:r w:rsidR="00680F02">
        <w:rPr>
          <w:lang w:val="en-NZ"/>
        </w:rPr>
        <w:t xml:space="preserve">was analysed </w:t>
      </w:r>
      <w:r w:rsidR="00E80FCD">
        <w:rPr>
          <w:lang w:val="en-NZ"/>
        </w:rPr>
        <w:t xml:space="preserve">for the period from 1 January 1993 to 31 December </w:t>
      </w:r>
      <w:r w:rsidR="00C1591F">
        <w:rPr>
          <w:lang w:val="en-NZ"/>
        </w:rPr>
        <w:t>2014</w:t>
      </w:r>
      <w:r w:rsidR="00680F02">
        <w:rPr>
          <w:lang w:val="en-NZ"/>
        </w:rPr>
        <w:t>.</w:t>
      </w:r>
      <w:r w:rsidRPr="00EF286E">
        <w:rPr>
          <w:vertAlign w:val="superscript"/>
          <w:lang w:val="en-NZ"/>
        </w:rPr>
        <w:footnoteReference w:id="9"/>
      </w:r>
      <w:r w:rsidR="00680F02">
        <w:rPr>
          <w:lang w:val="en-NZ"/>
        </w:rPr>
        <w:t xml:space="preserve"> </w:t>
      </w:r>
      <w:r w:rsidR="00E80FCD">
        <w:rPr>
          <w:lang w:val="en-NZ"/>
        </w:rPr>
        <w:t xml:space="preserve">Analysis was also carried out to </w:t>
      </w:r>
      <w:r w:rsidR="00680F02">
        <w:rPr>
          <w:lang w:val="en-NZ"/>
        </w:rPr>
        <w:t xml:space="preserve">identify spells where </w:t>
      </w:r>
      <w:r w:rsidR="00C25E43">
        <w:rPr>
          <w:lang w:val="en-NZ"/>
        </w:rPr>
        <w:t xml:space="preserve">dependent </w:t>
      </w:r>
      <w:r w:rsidR="00680F02">
        <w:rPr>
          <w:lang w:val="en-NZ"/>
        </w:rPr>
        <w:t xml:space="preserve">children were included in benefit with the gang member. </w:t>
      </w:r>
      <w:r w:rsidR="00C12CA6">
        <w:rPr>
          <w:lang w:val="en-NZ"/>
        </w:rPr>
        <w:t xml:space="preserve">Benefit </w:t>
      </w:r>
      <w:r w:rsidR="00680F02">
        <w:rPr>
          <w:lang w:val="en-NZ"/>
        </w:rPr>
        <w:t xml:space="preserve">data </w:t>
      </w:r>
      <w:r w:rsidR="00E80FCD">
        <w:rPr>
          <w:lang w:val="en-NZ"/>
        </w:rPr>
        <w:t>are not reliable before</w:t>
      </w:r>
      <w:r w:rsidR="00642021">
        <w:rPr>
          <w:lang w:val="en-NZ"/>
        </w:rPr>
        <w:t xml:space="preserve"> </w:t>
      </w:r>
      <w:r w:rsidR="00680F02">
        <w:rPr>
          <w:lang w:val="en-NZ"/>
        </w:rPr>
        <w:t>199</w:t>
      </w:r>
      <w:r w:rsidR="00642021">
        <w:rPr>
          <w:lang w:val="en-NZ"/>
        </w:rPr>
        <w:t>3</w:t>
      </w:r>
      <w:r w:rsidR="005D57E3">
        <w:rPr>
          <w:lang w:val="en-NZ"/>
        </w:rPr>
        <w:t>:</w:t>
      </w:r>
      <w:r w:rsidR="00A971CF">
        <w:rPr>
          <w:lang w:val="en-NZ"/>
        </w:rPr>
        <w:t xml:space="preserve"> </w:t>
      </w:r>
      <w:r w:rsidR="00E80FCD">
        <w:rPr>
          <w:lang w:val="en-NZ"/>
        </w:rPr>
        <w:t xml:space="preserve">therefore </w:t>
      </w:r>
      <w:r w:rsidR="00642021">
        <w:rPr>
          <w:lang w:val="en-NZ"/>
        </w:rPr>
        <w:t xml:space="preserve">any </w:t>
      </w:r>
      <w:r>
        <w:rPr>
          <w:lang w:val="en-NZ"/>
        </w:rPr>
        <w:t xml:space="preserve">earlier spells for </w:t>
      </w:r>
      <w:r w:rsidR="00642021">
        <w:rPr>
          <w:lang w:val="en-NZ"/>
        </w:rPr>
        <w:t xml:space="preserve">gang members </w:t>
      </w:r>
      <w:r w:rsidR="00C12CA6">
        <w:rPr>
          <w:lang w:val="en-NZ"/>
        </w:rPr>
        <w:t xml:space="preserve">aged over 40 years </w:t>
      </w:r>
      <w:r w:rsidR="00557BB5">
        <w:rPr>
          <w:lang w:val="en-NZ"/>
        </w:rPr>
        <w:t>were not</w:t>
      </w:r>
      <w:r w:rsidR="00680F02">
        <w:rPr>
          <w:lang w:val="en-NZ"/>
        </w:rPr>
        <w:t xml:space="preserve"> included.</w:t>
      </w:r>
      <w:r w:rsidR="00BA16CC" w:rsidRPr="00BA16CC">
        <w:rPr>
          <w:lang w:val="en-NZ"/>
        </w:rPr>
        <w:t xml:space="preserve"> </w:t>
      </w:r>
      <w:r w:rsidR="00A43A41">
        <w:rPr>
          <w:lang w:val="en-NZ"/>
        </w:rPr>
        <w:t xml:space="preserve">Figures are also </w:t>
      </w:r>
      <w:r w:rsidR="005D57E3">
        <w:rPr>
          <w:lang w:val="en-NZ"/>
        </w:rPr>
        <w:t>affected</w:t>
      </w:r>
      <w:r w:rsidR="00A43A41">
        <w:rPr>
          <w:lang w:val="en-NZ"/>
        </w:rPr>
        <w:t xml:space="preserve"> to some degree by data-match errors</w:t>
      </w:r>
      <w:r w:rsidR="00B52F1C">
        <w:rPr>
          <w:lang w:val="en-NZ"/>
        </w:rPr>
        <w:t xml:space="preserve"> (see</w:t>
      </w:r>
      <w:r w:rsidR="00A43A41">
        <w:rPr>
          <w:lang w:val="en-NZ"/>
        </w:rPr>
        <w:t xml:space="preserve"> Appendix</w:t>
      </w:r>
      <w:r w:rsidR="00B52F1C">
        <w:rPr>
          <w:lang w:val="en-NZ"/>
        </w:rPr>
        <w:t> </w:t>
      </w:r>
      <w:r w:rsidR="00A43A41">
        <w:rPr>
          <w:lang w:val="en-NZ"/>
        </w:rPr>
        <w:t>A</w:t>
      </w:r>
      <w:r w:rsidR="00B52F1C">
        <w:rPr>
          <w:lang w:val="en-NZ"/>
        </w:rPr>
        <w:t xml:space="preserve"> for </w:t>
      </w:r>
      <w:r w:rsidR="00D46A9A">
        <w:rPr>
          <w:lang w:val="en-NZ"/>
        </w:rPr>
        <w:t>further</w:t>
      </w:r>
      <w:r w:rsidR="00B52F1C">
        <w:rPr>
          <w:lang w:val="en-NZ"/>
        </w:rPr>
        <w:t xml:space="preserve"> detail</w:t>
      </w:r>
      <w:r w:rsidR="00D46A9A">
        <w:rPr>
          <w:lang w:val="en-NZ"/>
        </w:rPr>
        <w:t>s</w:t>
      </w:r>
      <w:r w:rsidR="00B52F1C">
        <w:rPr>
          <w:lang w:val="en-NZ"/>
        </w:rPr>
        <w:t>)</w:t>
      </w:r>
      <w:r w:rsidR="00A43A41">
        <w:rPr>
          <w:lang w:val="en-NZ"/>
        </w:rPr>
        <w:t>.</w:t>
      </w:r>
    </w:p>
    <w:p w:rsidR="00680F02" w:rsidRDefault="00BA16CC" w:rsidP="00680F02">
      <w:pPr>
        <w:rPr>
          <w:lang w:val="en-NZ"/>
        </w:rPr>
      </w:pPr>
      <w:r w:rsidRPr="00BA16CC">
        <w:rPr>
          <w:lang w:val="en-NZ"/>
        </w:rPr>
        <w:t xml:space="preserve">While the individuals were known to be adult gang members as at </w:t>
      </w:r>
      <w:r w:rsidR="002A6BF2">
        <w:rPr>
          <w:lang w:val="en-NZ"/>
        </w:rPr>
        <w:t>July</w:t>
      </w:r>
      <w:r w:rsidRPr="00BA16CC">
        <w:rPr>
          <w:lang w:val="en-NZ"/>
        </w:rPr>
        <w:t xml:space="preserve"> 2014, they were not necessarily gang members at the time they received benefits.</w:t>
      </w:r>
    </w:p>
    <w:bookmarkEnd w:id="23"/>
    <w:p w:rsidR="00CC228B" w:rsidRPr="008728C9" w:rsidRDefault="00C1591F" w:rsidP="008728C9">
      <w:pPr>
        <w:rPr>
          <w:b/>
          <w:color w:val="121F6B"/>
          <w:lang w:val="en-NZ"/>
        </w:rPr>
      </w:pPr>
      <w:r w:rsidRPr="008728C9">
        <w:rPr>
          <w:b/>
          <w:color w:val="121F6B"/>
          <w:lang w:val="en-NZ"/>
        </w:rPr>
        <w:t>The vast majority of</w:t>
      </w:r>
      <w:r w:rsidR="00E42BB8" w:rsidRPr="008728C9">
        <w:rPr>
          <w:b/>
          <w:color w:val="121F6B"/>
          <w:lang w:val="en-NZ"/>
        </w:rPr>
        <w:t xml:space="preserve"> </w:t>
      </w:r>
      <w:r w:rsidRPr="008728C9">
        <w:rPr>
          <w:b/>
          <w:color w:val="121F6B"/>
          <w:lang w:val="en-NZ"/>
        </w:rPr>
        <w:t xml:space="preserve">adult </w:t>
      </w:r>
      <w:r w:rsidR="00E42BB8" w:rsidRPr="008728C9">
        <w:rPr>
          <w:b/>
          <w:color w:val="121F6B"/>
          <w:lang w:val="en-NZ"/>
        </w:rPr>
        <w:t xml:space="preserve">gang members have received </w:t>
      </w:r>
      <w:r w:rsidRPr="008728C9">
        <w:rPr>
          <w:b/>
          <w:color w:val="121F6B"/>
          <w:lang w:val="en-NZ"/>
        </w:rPr>
        <w:t>a main benefit</w:t>
      </w:r>
    </w:p>
    <w:p w:rsidR="00797084" w:rsidRDefault="00680F02" w:rsidP="00F47E19">
      <w:pPr>
        <w:spacing w:after="170"/>
        <w:rPr>
          <w:lang w:val="en-NZ"/>
        </w:rPr>
      </w:pPr>
      <w:bookmarkStart w:id="24" w:name="_Toc402532700"/>
      <w:r w:rsidRPr="00A546F6">
        <w:rPr>
          <w:lang w:val="en-NZ"/>
        </w:rPr>
        <w:t>Ninet</w:t>
      </w:r>
      <w:r w:rsidR="0041002D">
        <w:rPr>
          <w:lang w:val="en-NZ"/>
        </w:rPr>
        <w:t>y-two</w:t>
      </w:r>
      <w:r w:rsidRPr="00A546F6">
        <w:rPr>
          <w:lang w:val="en-NZ"/>
        </w:rPr>
        <w:t xml:space="preserve"> </w:t>
      </w:r>
      <w:r w:rsidR="005D7755">
        <w:rPr>
          <w:lang w:val="en-NZ"/>
        </w:rPr>
        <w:t>percent</w:t>
      </w:r>
      <w:r w:rsidRPr="00A546F6">
        <w:rPr>
          <w:lang w:val="en-NZ"/>
        </w:rPr>
        <w:t xml:space="preserve"> (</w:t>
      </w:r>
      <w:r w:rsidR="0041002D">
        <w:rPr>
          <w:lang w:val="en-NZ"/>
        </w:rPr>
        <w:t>3,62</w:t>
      </w:r>
      <w:r w:rsidR="00633F6B">
        <w:rPr>
          <w:lang w:val="en-NZ"/>
        </w:rPr>
        <w:t>7</w:t>
      </w:r>
      <w:r w:rsidRPr="00A546F6">
        <w:rPr>
          <w:lang w:val="en-NZ"/>
        </w:rPr>
        <w:t xml:space="preserve">) of the </w:t>
      </w:r>
      <w:r w:rsidR="00C12CA6">
        <w:rPr>
          <w:lang w:val="en-NZ"/>
        </w:rPr>
        <w:t>3,960</w:t>
      </w:r>
      <w:r w:rsidR="00C12CA6" w:rsidRPr="00A546F6">
        <w:rPr>
          <w:lang w:val="en-NZ"/>
        </w:rPr>
        <w:t xml:space="preserve"> </w:t>
      </w:r>
      <w:r w:rsidRPr="00A546F6">
        <w:rPr>
          <w:lang w:val="en-NZ"/>
        </w:rPr>
        <w:t>gang members had received main benefit</w:t>
      </w:r>
      <w:r w:rsidR="000D7BC5">
        <w:rPr>
          <w:lang w:val="en-NZ"/>
        </w:rPr>
        <w:t>s</w:t>
      </w:r>
      <w:r w:rsidRPr="00A546F6">
        <w:rPr>
          <w:lang w:val="en-NZ"/>
        </w:rPr>
        <w:t xml:space="preserve"> from Work and Income</w:t>
      </w:r>
      <w:r w:rsidR="004803BF">
        <w:rPr>
          <w:lang w:val="en-NZ"/>
        </w:rPr>
        <w:t xml:space="preserve"> </w:t>
      </w:r>
      <w:r w:rsidR="00557BB5">
        <w:rPr>
          <w:lang w:val="en-NZ"/>
        </w:rPr>
        <w:t xml:space="preserve">at some time </w:t>
      </w:r>
      <w:r w:rsidR="004803BF">
        <w:rPr>
          <w:lang w:val="en-NZ"/>
        </w:rPr>
        <w:t>in the period analysed</w:t>
      </w:r>
      <w:r w:rsidR="002A714A">
        <w:rPr>
          <w:lang w:val="en-NZ"/>
        </w:rPr>
        <w:t xml:space="preserve">, with the remaining </w:t>
      </w:r>
      <w:r w:rsidR="006F4C37">
        <w:rPr>
          <w:lang w:val="en-NZ"/>
        </w:rPr>
        <w:t xml:space="preserve">eight </w:t>
      </w:r>
      <w:r w:rsidR="005D7755">
        <w:rPr>
          <w:lang w:val="en-NZ"/>
        </w:rPr>
        <w:t>percent</w:t>
      </w:r>
      <w:r w:rsidR="002A714A">
        <w:rPr>
          <w:lang w:val="en-NZ"/>
        </w:rPr>
        <w:t xml:space="preserve"> </w:t>
      </w:r>
      <w:r w:rsidR="00797084">
        <w:rPr>
          <w:lang w:val="en-NZ"/>
        </w:rPr>
        <w:t xml:space="preserve">(333) </w:t>
      </w:r>
      <w:r w:rsidR="002A714A">
        <w:rPr>
          <w:lang w:val="en-NZ"/>
        </w:rPr>
        <w:t xml:space="preserve">having no </w:t>
      </w:r>
      <w:r w:rsidR="00797084">
        <w:rPr>
          <w:lang w:val="en-NZ"/>
        </w:rPr>
        <w:t xml:space="preserve">main </w:t>
      </w:r>
      <w:r w:rsidR="002A714A">
        <w:rPr>
          <w:lang w:val="en-NZ"/>
        </w:rPr>
        <w:t xml:space="preserve">benefit receipt recorded in the data </w:t>
      </w:r>
      <w:r w:rsidR="004803BF">
        <w:rPr>
          <w:lang w:val="en-NZ"/>
        </w:rPr>
        <w:t>(Table 2)</w:t>
      </w:r>
      <w:r w:rsidR="003A0D0D">
        <w:rPr>
          <w:lang w:val="en-NZ"/>
        </w:rPr>
        <w:t>.</w:t>
      </w:r>
    </w:p>
    <w:p w:rsidR="00220C80" w:rsidRPr="00D16E12" w:rsidRDefault="00220C80" w:rsidP="009F5EFF">
      <w:pPr>
        <w:pStyle w:val="TableofFigures"/>
        <w:keepNext/>
        <w:tabs>
          <w:tab w:val="left" w:pos="993"/>
        </w:tabs>
        <w:spacing w:after="120" w:line="240" w:lineRule="auto"/>
        <w:ind w:left="992" w:right="1089" w:hanging="992"/>
        <w:rPr>
          <w:b/>
          <w:color w:val="121F6B"/>
          <w:sz w:val="18"/>
          <w:szCs w:val="18"/>
        </w:rPr>
      </w:pPr>
      <w:r w:rsidRPr="00D16E12">
        <w:rPr>
          <w:b/>
          <w:color w:val="121F6B"/>
          <w:sz w:val="18"/>
          <w:szCs w:val="18"/>
        </w:rPr>
        <w:t xml:space="preserve">Table </w:t>
      </w:r>
      <w:r w:rsidR="0062296F">
        <w:rPr>
          <w:b/>
          <w:color w:val="121F6B"/>
          <w:sz w:val="18"/>
          <w:szCs w:val="18"/>
        </w:rPr>
        <w:t>2</w:t>
      </w:r>
      <w:r w:rsidRPr="00D16E12">
        <w:rPr>
          <w:b/>
          <w:color w:val="121F6B"/>
          <w:sz w:val="18"/>
          <w:szCs w:val="18"/>
        </w:rPr>
        <w:t>:</w:t>
      </w:r>
      <w:r w:rsidRPr="00D16E12">
        <w:rPr>
          <w:b/>
          <w:color w:val="121F6B"/>
          <w:sz w:val="18"/>
          <w:szCs w:val="18"/>
        </w:rPr>
        <w:tab/>
      </w:r>
      <w:r w:rsidR="00E90FC1">
        <w:rPr>
          <w:b/>
          <w:color w:val="121F6B"/>
          <w:sz w:val="18"/>
          <w:szCs w:val="18"/>
        </w:rPr>
        <w:t xml:space="preserve">Total length of time spent in receipt </w:t>
      </w:r>
      <w:r w:rsidR="008027FA">
        <w:rPr>
          <w:b/>
          <w:color w:val="121F6B"/>
          <w:sz w:val="18"/>
          <w:szCs w:val="18"/>
        </w:rPr>
        <w:t>of</w:t>
      </w:r>
      <w:r w:rsidR="00E90FC1">
        <w:rPr>
          <w:b/>
          <w:color w:val="121F6B"/>
          <w:sz w:val="18"/>
          <w:szCs w:val="18"/>
        </w:rPr>
        <w:t xml:space="preserve"> a main benefit by </w:t>
      </w:r>
      <w:r w:rsidR="00C046D1">
        <w:rPr>
          <w:b/>
          <w:color w:val="121F6B"/>
          <w:sz w:val="18"/>
          <w:szCs w:val="18"/>
        </w:rPr>
        <w:t>the</w:t>
      </w:r>
      <w:r w:rsidR="00E90FC1">
        <w:rPr>
          <w:b/>
          <w:color w:val="121F6B"/>
          <w:sz w:val="18"/>
          <w:szCs w:val="18"/>
        </w:rPr>
        <w:t xml:space="preserve"> gang members</w:t>
      </w:r>
      <w:r w:rsidR="006F4C37">
        <w:rPr>
          <w:b/>
          <w:color w:val="121F6B"/>
          <w:sz w:val="18"/>
          <w:szCs w:val="18"/>
        </w:rPr>
        <w:t xml:space="preserve">, </w:t>
      </w:r>
      <w:r w:rsidR="00C960BA">
        <w:rPr>
          <w:b/>
          <w:color w:val="121F6B"/>
          <w:sz w:val="18"/>
          <w:szCs w:val="18"/>
        </w:rPr>
        <w:t>1 January 1993 to</w:t>
      </w:r>
      <w:r w:rsidR="006F4C37">
        <w:rPr>
          <w:b/>
          <w:color w:val="121F6B"/>
          <w:sz w:val="18"/>
          <w:szCs w:val="18"/>
        </w:rPr>
        <w:t xml:space="preserve"> 31 December 2014</w:t>
      </w:r>
    </w:p>
    <w:tbl>
      <w:tblPr>
        <w:tblStyle w:val="TableGrid"/>
        <w:tblW w:w="8188" w:type="dxa"/>
        <w:tblLayout w:type="fixed"/>
        <w:tblCellMar>
          <w:top w:w="28" w:type="dxa"/>
          <w:bottom w:w="28" w:type="dxa"/>
        </w:tblCellMar>
        <w:tblLook w:val="04A0" w:firstRow="1" w:lastRow="0" w:firstColumn="1" w:lastColumn="0" w:noHBand="0" w:noVBand="1"/>
      </w:tblPr>
      <w:tblGrid>
        <w:gridCol w:w="3369"/>
        <w:gridCol w:w="2409"/>
        <w:gridCol w:w="2410"/>
      </w:tblGrid>
      <w:tr w:rsidR="005A55FA" w:rsidRPr="0073602A" w:rsidTr="005A55FA">
        <w:tc>
          <w:tcPr>
            <w:tcW w:w="3369" w:type="dxa"/>
            <w:tcBorders>
              <w:top w:val="nil"/>
              <w:left w:val="nil"/>
              <w:bottom w:val="nil"/>
              <w:right w:val="nil"/>
            </w:tcBorders>
            <w:shd w:val="clear" w:color="auto" w:fill="121F6B"/>
            <w:vAlign w:val="center"/>
          </w:tcPr>
          <w:p w:rsidR="005A55FA" w:rsidRPr="00D76347" w:rsidRDefault="005A55FA" w:rsidP="005A55FA">
            <w:pPr>
              <w:spacing w:before="60" w:after="60" w:line="240" w:lineRule="auto"/>
              <w:rPr>
                <w:b/>
                <w:sz w:val="18"/>
                <w:szCs w:val="18"/>
                <w:lang w:val="en-NZ" w:eastAsia="en-AU"/>
              </w:rPr>
            </w:pPr>
            <w:r>
              <w:rPr>
                <w:b/>
                <w:sz w:val="18"/>
                <w:szCs w:val="18"/>
                <w:lang w:val="en-NZ" w:eastAsia="en-AU"/>
              </w:rPr>
              <w:t>Total length of time on benefit</w:t>
            </w:r>
          </w:p>
        </w:tc>
        <w:tc>
          <w:tcPr>
            <w:tcW w:w="2409" w:type="dxa"/>
            <w:tcBorders>
              <w:top w:val="nil"/>
              <w:left w:val="nil"/>
              <w:bottom w:val="nil"/>
              <w:right w:val="nil"/>
            </w:tcBorders>
            <w:shd w:val="clear" w:color="auto" w:fill="121F6B"/>
            <w:vAlign w:val="center"/>
          </w:tcPr>
          <w:p w:rsidR="005A55FA" w:rsidRPr="00D76347" w:rsidRDefault="005A55FA" w:rsidP="005A55FA">
            <w:pPr>
              <w:spacing w:before="60" w:after="60" w:line="240" w:lineRule="auto"/>
              <w:jc w:val="center"/>
              <w:rPr>
                <w:sz w:val="18"/>
                <w:szCs w:val="18"/>
                <w:lang w:val="en-NZ" w:eastAsia="en-AU"/>
              </w:rPr>
            </w:pPr>
            <w:r>
              <w:rPr>
                <w:b/>
                <w:sz w:val="18"/>
                <w:szCs w:val="18"/>
                <w:lang w:val="en-NZ" w:eastAsia="en-AU"/>
              </w:rPr>
              <w:t>Number</w:t>
            </w:r>
          </w:p>
        </w:tc>
        <w:tc>
          <w:tcPr>
            <w:tcW w:w="2410" w:type="dxa"/>
            <w:tcBorders>
              <w:top w:val="nil"/>
              <w:left w:val="nil"/>
              <w:bottom w:val="nil"/>
              <w:right w:val="nil"/>
            </w:tcBorders>
            <w:shd w:val="clear" w:color="auto" w:fill="121F6B"/>
            <w:vAlign w:val="center"/>
          </w:tcPr>
          <w:p w:rsidR="005A55FA" w:rsidRPr="005A55FA" w:rsidRDefault="005A55FA" w:rsidP="005A55FA">
            <w:pPr>
              <w:spacing w:before="60" w:after="60" w:line="240" w:lineRule="auto"/>
              <w:jc w:val="center"/>
              <w:rPr>
                <w:sz w:val="16"/>
                <w:szCs w:val="16"/>
                <w:lang w:val="en-NZ" w:eastAsia="en-AU"/>
              </w:rPr>
            </w:pPr>
            <w:r>
              <w:rPr>
                <w:b/>
                <w:sz w:val="18"/>
                <w:szCs w:val="18"/>
                <w:lang w:val="en-NZ" w:eastAsia="en-AU"/>
              </w:rPr>
              <w:t>Percentage</w:t>
            </w:r>
          </w:p>
        </w:tc>
      </w:tr>
      <w:tr w:rsidR="005A55FA" w:rsidRPr="0073602A" w:rsidTr="005A55FA">
        <w:tc>
          <w:tcPr>
            <w:tcW w:w="3369" w:type="dxa"/>
            <w:tcBorders>
              <w:top w:val="nil"/>
              <w:left w:val="nil"/>
              <w:bottom w:val="nil"/>
              <w:right w:val="nil"/>
            </w:tcBorders>
            <w:vAlign w:val="center"/>
          </w:tcPr>
          <w:p w:rsidR="005A55FA" w:rsidRPr="00D76347" w:rsidRDefault="005A55FA" w:rsidP="009F3DDE">
            <w:pPr>
              <w:spacing w:after="0" w:line="240" w:lineRule="auto"/>
              <w:rPr>
                <w:sz w:val="18"/>
                <w:szCs w:val="18"/>
                <w:lang w:val="en-NZ" w:eastAsia="en-AU"/>
              </w:rPr>
            </w:pPr>
            <w:r>
              <w:rPr>
                <w:sz w:val="18"/>
                <w:szCs w:val="18"/>
                <w:lang w:val="en-NZ" w:eastAsia="en-AU"/>
              </w:rPr>
              <w:t>No time on benefit</w:t>
            </w:r>
          </w:p>
        </w:tc>
        <w:tc>
          <w:tcPr>
            <w:tcW w:w="2409" w:type="dxa"/>
            <w:tcBorders>
              <w:top w:val="nil"/>
              <w:left w:val="nil"/>
              <w:bottom w:val="nil"/>
              <w:right w:val="nil"/>
            </w:tcBorders>
            <w:vAlign w:val="bottom"/>
          </w:tcPr>
          <w:p w:rsidR="005A55FA" w:rsidRPr="00D76347" w:rsidRDefault="005A55FA" w:rsidP="0068270B">
            <w:pPr>
              <w:tabs>
                <w:tab w:val="decimal" w:pos="1309"/>
              </w:tabs>
              <w:spacing w:before="20" w:after="20" w:line="240" w:lineRule="auto"/>
              <w:rPr>
                <w:sz w:val="18"/>
                <w:szCs w:val="18"/>
              </w:rPr>
            </w:pPr>
            <w:r>
              <w:rPr>
                <w:sz w:val="18"/>
                <w:szCs w:val="18"/>
              </w:rPr>
              <w:t>33</w:t>
            </w:r>
            <w:r w:rsidR="0068270B">
              <w:rPr>
                <w:sz w:val="18"/>
                <w:szCs w:val="18"/>
              </w:rPr>
              <w:t>3</w:t>
            </w:r>
          </w:p>
        </w:tc>
        <w:tc>
          <w:tcPr>
            <w:tcW w:w="2410" w:type="dxa"/>
            <w:tcBorders>
              <w:top w:val="nil"/>
              <w:left w:val="nil"/>
              <w:bottom w:val="nil"/>
              <w:right w:val="nil"/>
            </w:tcBorders>
            <w:vAlign w:val="bottom"/>
          </w:tcPr>
          <w:p w:rsidR="005A55FA" w:rsidRPr="00D76347" w:rsidRDefault="005A55FA" w:rsidP="005A55FA">
            <w:pPr>
              <w:tabs>
                <w:tab w:val="decimal" w:pos="1026"/>
              </w:tabs>
              <w:spacing w:before="20" w:after="20" w:line="240" w:lineRule="auto"/>
              <w:rPr>
                <w:sz w:val="18"/>
                <w:szCs w:val="18"/>
              </w:rPr>
            </w:pPr>
            <w:r>
              <w:rPr>
                <w:sz w:val="18"/>
                <w:szCs w:val="18"/>
              </w:rPr>
              <w:t>8.4%</w:t>
            </w:r>
          </w:p>
        </w:tc>
      </w:tr>
      <w:tr w:rsidR="005A55FA" w:rsidRPr="0073602A" w:rsidTr="005A55FA">
        <w:tc>
          <w:tcPr>
            <w:tcW w:w="3369" w:type="dxa"/>
            <w:tcBorders>
              <w:top w:val="nil"/>
              <w:left w:val="nil"/>
              <w:bottom w:val="nil"/>
              <w:right w:val="nil"/>
            </w:tcBorders>
            <w:shd w:val="clear" w:color="auto" w:fill="CDD3F7"/>
            <w:vAlign w:val="center"/>
          </w:tcPr>
          <w:p w:rsidR="005A55FA" w:rsidRPr="00D76347" w:rsidRDefault="005A55FA" w:rsidP="00E90FC1">
            <w:pPr>
              <w:spacing w:after="0" w:line="240" w:lineRule="auto"/>
              <w:rPr>
                <w:sz w:val="18"/>
                <w:szCs w:val="18"/>
                <w:lang w:val="en-NZ" w:eastAsia="en-AU"/>
              </w:rPr>
            </w:pPr>
            <w:r>
              <w:rPr>
                <w:sz w:val="18"/>
                <w:szCs w:val="18"/>
                <w:lang w:val="en-NZ" w:eastAsia="en-AU"/>
              </w:rPr>
              <w:t>Up to 1 year</w:t>
            </w:r>
          </w:p>
        </w:tc>
        <w:tc>
          <w:tcPr>
            <w:tcW w:w="2409" w:type="dxa"/>
            <w:tcBorders>
              <w:top w:val="nil"/>
              <w:left w:val="nil"/>
              <w:bottom w:val="nil"/>
              <w:right w:val="nil"/>
            </w:tcBorders>
            <w:shd w:val="clear" w:color="auto" w:fill="CDD3F7"/>
            <w:vAlign w:val="bottom"/>
          </w:tcPr>
          <w:p w:rsidR="005A55FA" w:rsidRPr="00D76347" w:rsidRDefault="005A55FA" w:rsidP="0068270B">
            <w:pPr>
              <w:tabs>
                <w:tab w:val="decimal" w:pos="1309"/>
              </w:tabs>
              <w:spacing w:before="20" w:after="20" w:line="240" w:lineRule="auto"/>
              <w:rPr>
                <w:sz w:val="18"/>
                <w:szCs w:val="18"/>
              </w:rPr>
            </w:pPr>
            <w:r>
              <w:rPr>
                <w:sz w:val="18"/>
                <w:szCs w:val="18"/>
              </w:rPr>
              <w:t>25</w:t>
            </w:r>
            <w:r w:rsidR="0068270B">
              <w:rPr>
                <w:sz w:val="18"/>
                <w:szCs w:val="18"/>
              </w:rPr>
              <w:t>4</w:t>
            </w:r>
          </w:p>
        </w:tc>
        <w:tc>
          <w:tcPr>
            <w:tcW w:w="2410" w:type="dxa"/>
            <w:tcBorders>
              <w:top w:val="nil"/>
              <w:left w:val="nil"/>
              <w:bottom w:val="nil"/>
              <w:right w:val="nil"/>
            </w:tcBorders>
            <w:shd w:val="clear" w:color="auto" w:fill="CDD3F7"/>
            <w:vAlign w:val="bottom"/>
          </w:tcPr>
          <w:p w:rsidR="005A55FA" w:rsidRPr="00D76347" w:rsidRDefault="005A55FA" w:rsidP="005A55FA">
            <w:pPr>
              <w:tabs>
                <w:tab w:val="decimal" w:pos="1026"/>
              </w:tabs>
              <w:spacing w:before="20" w:after="20" w:line="240" w:lineRule="auto"/>
              <w:rPr>
                <w:sz w:val="18"/>
                <w:szCs w:val="18"/>
              </w:rPr>
            </w:pPr>
            <w:r>
              <w:rPr>
                <w:sz w:val="18"/>
                <w:szCs w:val="18"/>
              </w:rPr>
              <w:t>6.4%</w:t>
            </w:r>
          </w:p>
        </w:tc>
      </w:tr>
      <w:tr w:rsidR="005A55FA" w:rsidRPr="0073602A" w:rsidTr="005A55FA">
        <w:tc>
          <w:tcPr>
            <w:tcW w:w="3369" w:type="dxa"/>
            <w:tcBorders>
              <w:top w:val="nil"/>
              <w:left w:val="nil"/>
              <w:bottom w:val="nil"/>
              <w:right w:val="nil"/>
            </w:tcBorders>
            <w:vAlign w:val="center"/>
          </w:tcPr>
          <w:p w:rsidR="005A55FA" w:rsidRPr="00D76347" w:rsidRDefault="005A55FA" w:rsidP="0039366E">
            <w:pPr>
              <w:spacing w:after="0" w:line="240" w:lineRule="auto"/>
              <w:rPr>
                <w:sz w:val="18"/>
                <w:szCs w:val="18"/>
                <w:lang w:val="en-NZ" w:eastAsia="en-AU"/>
              </w:rPr>
            </w:pPr>
            <w:r>
              <w:rPr>
                <w:sz w:val="18"/>
                <w:szCs w:val="18"/>
                <w:lang w:val="en-NZ" w:eastAsia="en-AU"/>
              </w:rPr>
              <w:t>&gt;1 to 2 years</w:t>
            </w:r>
          </w:p>
        </w:tc>
        <w:tc>
          <w:tcPr>
            <w:tcW w:w="2409" w:type="dxa"/>
            <w:tcBorders>
              <w:top w:val="nil"/>
              <w:left w:val="nil"/>
              <w:bottom w:val="nil"/>
              <w:right w:val="nil"/>
            </w:tcBorders>
            <w:vAlign w:val="bottom"/>
          </w:tcPr>
          <w:p w:rsidR="005A55FA" w:rsidRPr="00D76347" w:rsidRDefault="005A55FA" w:rsidP="0081115C">
            <w:pPr>
              <w:tabs>
                <w:tab w:val="decimal" w:pos="1309"/>
              </w:tabs>
              <w:spacing w:before="20" w:after="20" w:line="240" w:lineRule="auto"/>
              <w:rPr>
                <w:sz w:val="18"/>
                <w:szCs w:val="18"/>
              </w:rPr>
            </w:pPr>
            <w:r>
              <w:rPr>
                <w:sz w:val="18"/>
                <w:szCs w:val="18"/>
              </w:rPr>
              <w:t>25</w:t>
            </w:r>
            <w:r w:rsidR="0081115C">
              <w:rPr>
                <w:sz w:val="18"/>
                <w:szCs w:val="18"/>
              </w:rPr>
              <w:t>4</w:t>
            </w:r>
          </w:p>
        </w:tc>
        <w:tc>
          <w:tcPr>
            <w:tcW w:w="2410" w:type="dxa"/>
            <w:tcBorders>
              <w:top w:val="nil"/>
              <w:left w:val="nil"/>
              <w:bottom w:val="nil"/>
              <w:right w:val="nil"/>
            </w:tcBorders>
            <w:vAlign w:val="bottom"/>
          </w:tcPr>
          <w:p w:rsidR="005A55FA" w:rsidRPr="00D76347" w:rsidRDefault="005A55FA" w:rsidP="0068270B">
            <w:pPr>
              <w:tabs>
                <w:tab w:val="decimal" w:pos="1026"/>
              </w:tabs>
              <w:spacing w:before="20" w:after="20" w:line="240" w:lineRule="auto"/>
              <w:rPr>
                <w:sz w:val="18"/>
                <w:szCs w:val="18"/>
              </w:rPr>
            </w:pPr>
            <w:r>
              <w:rPr>
                <w:sz w:val="18"/>
                <w:szCs w:val="18"/>
              </w:rPr>
              <w:t>6.</w:t>
            </w:r>
            <w:r w:rsidR="0068270B">
              <w:rPr>
                <w:sz w:val="18"/>
                <w:szCs w:val="18"/>
              </w:rPr>
              <w:t>4</w:t>
            </w:r>
            <w:r>
              <w:rPr>
                <w:sz w:val="18"/>
                <w:szCs w:val="18"/>
              </w:rPr>
              <w:t>%</w:t>
            </w:r>
          </w:p>
        </w:tc>
      </w:tr>
      <w:tr w:rsidR="005A55FA" w:rsidRPr="0073602A" w:rsidTr="005A55FA">
        <w:tc>
          <w:tcPr>
            <w:tcW w:w="3369" w:type="dxa"/>
            <w:tcBorders>
              <w:top w:val="nil"/>
              <w:left w:val="nil"/>
              <w:bottom w:val="nil"/>
              <w:right w:val="nil"/>
            </w:tcBorders>
            <w:shd w:val="clear" w:color="auto" w:fill="CDD3F7"/>
            <w:vAlign w:val="center"/>
          </w:tcPr>
          <w:p w:rsidR="005A55FA" w:rsidRPr="00D76347" w:rsidRDefault="005A55FA" w:rsidP="0039366E">
            <w:pPr>
              <w:spacing w:after="0" w:line="240" w:lineRule="auto"/>
              <w:rPr>
                <w:sz w:val="18"/>
                <w:szCs w:val="18"/>
                <w:lang w:val="en-NZ" w:eastAsia="en-AU"/>
              </w:rPr>
            </w:pPr>
            <w:r>
              <w:rPr>
                <w:sz w:val="18"/>
                <w:szCs w:val="18"/>
                <w:lang w:val="en-NZ" w:eastAsia="en-AU"/>
              </w:rPr>
              <w:t>&gt;2 to 5 years</w:t>
            </w:r>
          </w:p>
        </w:tc>
        <w:tc>
          <w:tcPr>
            <w:tcW w:w="2409" w:type="dxa"/>
            <w:tcBorders>
              <w:top w:val="nil"/>
              <w:left w:val="nil"/>
              <w:bottom w:val="nil"/>
              <w:right w:val="nil"/>
            </w:tcBorders>
            <w:shd w:val="clear" w:color="auto" w:fill="CDD3F7"/>
            <w:vAlign w:val="bottom"/>
          </w:tcPr>
          <w:p w:rsidR="005A55FA" w:rsidRPr="00D76347" w:rsidRDefault="005A55FA" w:rsidP="0081115C">
            <w:pPr>
              <w:tabs>
                <w:tab w:val="decimal" w:pos="1309"/>
              </w:tabs>
              <w:spacing w:before="20" w:after="20" w:line="240" w:lineRule="auto"/>
              <w:rPr>
                <w:sz w:val="18"/>
                <w:szCs w:val="18"/>
              </w:rPr>
            </w:pPr>
            <w:r>
              <w:rPr>
                <w:sz w:val="18"/>
                <w:szCs w:val="18"/>
              </w:rPr>
              <w:t>68</w:t>
            </w:r>
            <w:r w:rsidR="0081115C">
              <w:rPr>
                <w:sz w:val="18"/>
                <w:szCs w:val="18"/>
              </w:rPr>
              <w:t>2</w:t>
            </w:r>
          </w:p>
        </w:tc>
        <w:tc>
          <w:tcPr>
            <w:tcW w:w="2410" w:type="dxa"/>
            <w:tcBorders>
              <w:top w:val="nil"/>
              <w:left w:val="nil"/>
              <w:bottom w:val="nil"/>
              <w:right w:val="nil"/>
            </w:tcBorders>
            <w:shd w:val="clear" w:color="auto" w:fill="CDD3F7"/>
            <w:vAlign w:val="bottom"/>
          </w:tcPr>
          <w:p w:rsidR="005A55FA" w:rsidRPr="00D76347" w:rsidRDefault="005A55FA" w:rsidP="005A55FA">
            <w:pPr>
              <w:tabs>
                <w:tab w:val="decimal" w:pos="1026"/>
              </w:tabs>
              <w:spacing w:before="20" w:after="20" w:line="240" w:lineRule="auto"/>
              <w:rPr>
                <w:sz w:val="18"/>
                <w:szCs w:val="18"/>
              </w:rPr>
            </w:pPr>
            <w:r>
              <w:rPr>
                <w:sz w:val="18"/>
                <w:szCs w:val="18"/>
              </w:rPr>
              <w:t>17.2%</w:t>
            </w:r>
          </w:p>
        </w:tc>
      </w:tr>
      <w:tr w:rsidR="005A55FA" w:rsidRPr="0073602A" w:rsidTr="005A55FA">
        <w:tc>
          <w:tcPr>
            <w:tcW w:w="3369" w:type="dxa"/>
            <w:tcBorders>
              <w:top w:val="nil"/>
              <w:left w:val="nil"/>
              <w:bottom w:val="nil"/>
              <w:right w:val="nil"/>
            </w:tcBorders>
            <w:vAlign w:val="center"/>
          </w:tcPr>
          <w:p w:rsidR="005A55FA" w:rsidRPr="00D76347" w:rsidRDefault="005A55FA" w:rsidP="0039366E">
            <w:pPr>
              <w:spacing w:after="0" w:line="240" w:lineRule="auto"/>
              <w:rPr>
                <w:sz w:val="18"/>
                <w:szCs w:val="18"/>
                <w:lang w:val="en-NZ" w:eastAsia="en-AU"/>
              </w:rPr>
            </w:pPr>
            <w:r>
              <w:rPr>
                <w:sz w:val="18"/>
                <w:szCs w:val="18"/>
                <w:lang w:val="en-NZ" w:eastAsia="en-AU"/>
              </w:rPr>
              <w:t>&gt;5 to 10 years</w:t>
            </w:r>
          </w:p>
        </w:tc>
        <w:tc>
          <w:tcPr>
            <w:tcW w:w="2409" w:type="dxa"/>
            <w:tcBorders>
              <w:top w:val="nil"/>
              <w:left w:val="nil"/>
              <w:bottom w:val="nil"/>
              <w:right w:val="nil"/>
            </w:tcBorders>
            <w:vAlign w:val="bottom"/>
          </w:tcPr>
          <w:p w:rsidR="005A55FA" w:rsidRPr="00D76347" w:rsidRDefault="005A55FA" w:rsidP="0068270B">
            <w:pPr>
              <w:tabs>
                <w:tab w:val="decimal" w:pos="1309"/>
              </w:tabs>
              <w:spacing w:before="20" w:after="20" w:line="240" w:lineRule="auto"/>
              <w:rPr>
                <w:sz w:val="18"/>
                <w:szCs w:val="18"/>
              </w:rPr>
            </w:pPr>
            <w:r>
              <w:rPr>
                <w:sz w:val="18"/>
                <w:szCs w:val="18"/>
              </w:rPr>
              <w:t>95</w:t>
            </w:r>
            <w:r w:rsidR="0068270B">
              <w:rPr>
                <w:sz w:val="18"/>
                <w:szCs w:val="18"/>
              </w:rPr>
              <w:t>0</w:t>
            </w:r>
          </w:p>
        </w:tc>
        <w:tc>
          <w:tcPr>
            <w:tcW w:w="2410" w:type="dxa"/>
            <w:tcBorders>
              <w:top w:val="nil"/>
              <w:left w:val="nil"/>
              <w:bottom w:val="nil"/>
              <w:right w:val="nil"/>
            </w:tcBorders>
            <w:vAlign w:val="bottom"/>
          </w:tcPr>
          <w:p w:rsidR="005A55FA" w:rsidRPr="00D76347" w:rsidRDefault="005A55FA" w:rsidP="005A55FA">
            <w:pPr>
              <w:tabs>
                <w:tab w:val="decimal" w:pos="1026"/>
              </w:tabs>
              <w:spacing w:before="20" w:after="20" w:line="240" w:lineRule="auto"/>
              <w:rPr>
                <w:sz w:val="18"/>
                <w:szCs w:val="18"/>
              </w:rPr>
            </w:pPr>
            <w:r>
              <w:rPr>
                <w:sz w:val="18"/>
                <w:szCs w:val="18"/>
              </w:rPr>
              <w:t>24.0%</w:t>
            </w:r>
          </w:p>
        </w:tc>
      </w:tr>
      <w:tr w:rsidR="005A55FA" w:rsidRPr="0073602A" w:rsidTr="005A55FA">
        <w:tc>
          <w:tcPr>
            <w:tcW w:w="3369" w:type="dxa"/>
            <w:tcBorders>
              <w:top w:val="nil"/>
              <w:left w:val="nil"/>
              <w:bottom w:val="nil"/>
              <w:right w:val="nil"/>
            </w:tcBorders>
            <w:shd w:val="clear" w:color="auto" w:fill="CDD3F7"/>
            <w:vAlign w:val="center"/>
          </w:tcPr>
          <w:p w:rsidR="005A55FA" w:rsidRPr="00D76347" w:rsidRDefault="005A55FA" w:rsidP="00E90FC1">
            <w:pPr>
              <w:spacing w:after="0" w:line="240" w:lineRule="auto"/>
              <w:rPr>
                <w:sz w:val="18"/>
                <w:szCs w:val="18"/>
                <w:lang w:val="en-NZ" w:eastAsia="en-AU"/>
              </w:rPr>
            </w:pPr>
            <w:r>
              <w:rPr>
                <w:sz w:val="18"/>
                <w:szCs w:val="18"/>
                <w:lang w:val="en-NZ" w:eastAsia="en-AU"/>
              </w:rPr>
              <w:t>&gt;10 to 15 years</w:t>
            </w:r>
          </w:p>
        </w:tc>
        <w:tc>
          <w:tcPr>
            <w:tcW w:w="2409" w:type="dxa"/>
            <w:tcBorders>
              <w:top w:val="nil"/>
              <w:left w:val="nil"/>
              <w:bottom w:val="nil"/>
              <w:right w:val="nil"/>
            </w:tcBorders>
            <w:shd w:val="clear" w:color="auto" w:fill="CDD3F7"/>
            <w:vAlign w:val="bottom"/>
          </w:tcPr>
          <w:p w:rsidR="005A55FA" w:rsidRPr="00D76347" w:rsidRDefault="005A55FA" w:rsidP="0068270B">
            <w:pPr>
              <w:tabs>
                <w:tab w:val="decimal" w:pos="1309"/>
              </w:tabs>
              <w:spacing w:before="20" w:after="20" w:line="240" w:lineRule="auto"/>
              <w:rPr>
                <w:sz w:val="18"/>
                <w:szCs w:val="18"/>
              </w:rPr>
            </w:pPr>
            <w:r>
              <w:rPr>
                <w:sz w:val="18"/>
                <w:szCs w:val="18"/>
              </w:rPr>
              <w:t>77</w:t>
            </w:r>
            <w:r w:rsidR="0068270B">
              <w:rPr>
                <w:sz w:val="18"/>
                <w:szCs w:val="18"/>
              </w:rPr>
              <w:t>2</w:t>
            </w:r>
          </w:p>
        </w:tc>
        <w:tc>
          <w:tcPr>
            <w:tcW w:w="2410" w:type="dxa"/>
            <w:tcBorders>
              <w:top w:val="nil"/>
              <w:left w:val="nil"/>
              <w:bottom w:val="nil"/>
              <w:right w:val="nil"/>
            </w:tcBorders>
            <w:shd w:val="clear" w:color="auto" w:fill="CDD3F7"/>
            <w:vAlign w:val="bottom"/>
          </w:tcPr>
          <w:p w:rsidR="005A55FA" w:rsidRPr="00D76347" w:rsidRDefault="005A55FA" w:rsidP="005A55FA">
            <w:pPr>
              <w:tabs>
                <w:tab w:val="decimal" w:pos="1026"/>
              </w:tabs>
              <w:spacing w:before="20" w:after="20" w:line="240" w:lineRule="auto"/>
              <w:rPr>
                <w:sz w:val="18"/>
                <w:szCs w:val="18"/>
              </w:rPr>
            </w:pPr>
            <w:r>
              <w:rPr>
                <w:sz w:val="18"/>
                <w:szCs w:val="18"/>
              </w:rPr>
              <w:t>19.5%</w:t>
            </w:r>
          </w:p>
        </w:tc>
      </w:tr>
      <w:tr w:rsidR="005A55FA" w:rsidRPr="0073602A" w:rsidTr="005A55FA">
        <w:tc>
          <w:tcPr>
            <w:tcW w:w="3369" w:type="dxa"/>
            <w:tcBorders>
              <w:top w:val="nil"/>
              <w:left w:val="nil"/>
              <w:bottom w:val="nil"/>
              <w:right w:val="nil"/>
            </w:tcBorders>
            <w:vAlign w:val="center"/>
          </w:tcPr>
          <w:p w:rsidR="005A55FA" w:rsidRPr="00D76347" w:rsidRDefault="005A55FA" w:rsidP="00E90FC1">
            <w:pPr>
              <w:spacing w:after="0" w:line="240" w:lineRule="auto"/>
              <w:rPr>
                <w:sz w:val="18"/>
                <w:szCs w:val="18"/>
                <w:lang w:val="en-NZ" w:eastAsia="en-AU"/>
              </w:rPr>
            </w:pPr>
            <w:r>
              <w:rPr>
                <w:sz w:val="18"/>
                <w:szCs w:val="18"/>
                <w:lang w:val="en-NZ" w:eastAsia="en-AU"/>
              </w:rPr>
              <w:t>&gt;15 to 20 years</w:t>
            </w:r>
          </w:p>
        </w:tc>
        <w:tc>
          <w:tcPr>
            <w:tcW w:w="2409" w:type="dxa"/>
            <w:tcBorders>
              <w:top w:val="nil"/>
              <w:left w:val="nil"/>
              <w:bottom w:val="nil"/>
              <w:right w:val="nil"/>
            </w:tcBorders>
            <w:vAlign w:val="bottom"/>
          </w:tcPr>
          <w:p w:rsidR="005A55FA" w:rsidRPr="00D76347" w:rsidRDefault="005A55FA" w:rsidP="0068270B">
            <w:pPr>
              <w:tabs>
                <w:tab w:val="decimal" w:pos="1309"/>
              </w:tabs>
              <w:spacing w:before="20" w:after="20" w:line="240" w:lineRule="auto"/>
              <w:rPr>
                <w:sz w:val="18"/>
                <w:szCs w:val="18"/>
              </w:rPr>
            </w:pPr>
            <w:r>
              <w:rPr>
                <w:sz w:val="18"/>
                <w:szCs w:val="18"/>
              </w:rPr>
              <w:t>54</w:t>
            </w:r>
            <w:r w:rsidR="0068270B">
              <w:rPr>
                <w:sz w:val="18"/>
                <w:szCs w:val="18"/>
              </w:rPr>
              <w:t>5</w:t>
            </w:r>
          </w:p>
        </w:tc>
        <w:tc>
          <w:tcPr>
            <w:tcW w:w="2410" w:type="dxa"/>
            <w:tcBorders>
              <w:top w:val="nil"/>
              <w:left w:val="nil"/>
              <w:bottom w:val="nil"/>
              <w:right w:val="nil"/>
            </w:tcBorders>
            <w:vAlign w:val="bottom"/>
          </w:tcPr>
          <w:p w:rsidR="005A55FA" w:rsidRPr="00D76347" w:rsidRDefault="005A55FA" w:rsidP="0068270B">
            <w:pPr>
              <w:tabs>
                <w:tab w:val="decimal" w:pos="1026"/>
              </w:tabs>
              <w:spacing w:before="20" w:after="20" w:line="240" w:lineRule="auto"/>
              <w:rPr>
                <w:sz w:val="18"/>
                <w:szCs w:val="18"/>
              </w:rPr>
            </w:pPr>
            <w:r>
              <w:rPr>
                <w:sz w:val="18"/>
                <w:szCs w:val="18"/>
              </w:rPr>
              <w:t>13.</w:t>
            </w:r>
            <w:r w:rsidR="0068270B">
              <w:rPr>
                <w:sz w:val="18"/>
                <w:szCs w:val="18"/>
              </w:rPr>
              <w:t>8</w:t>
            </w:r>
            <w:r>
              <w:rPr>
                <w:sz w:val="18"/>
                <w:szCs w:val="18"/>
              </w:rPr>
              <w:t>%</w:t>
            </w:r>
          </w:p>
        </w:tc>
      </w:tr>
      <w:tr w:rsidR="005A55FA" w:rsidRPr="0073602A" w:rsidTr="005A55FA">
        <w:tc>
          <w:tcPr>
            <w:tcW w:w="3369" w:type="dxa"/>
            <w:tcBorders>
              <w:top w:val="nil"/>
              <w:left w:val="nil"/>
              <w:bottom w:val="single" w:sz="4" w:space="0" w:color="auto"/>
              <w:right w:val="nil"/>
            </w:tcBorders>
            <w:shd w:val="clear" w:color="auto" w:fill="CDD3F7"/>
            <w:vAlign w:val="center"/>
          </w:tcPr>
          <w:p w:rsidR="005A55FA" w:rsidRPr="00D76347" w:rsidRDefault="005A55FA" w:rsidP="00220C80">
            <w:pPr>
              <w:spacing w:after="0" w:line="240" w:lineRule="auto"/>
              <w:rPr>
                <w:sz w:val="18"/>
                <w:szCs w:val="18"/>
                <w:lang w:val="en-NZ" w:eastAsia="en-AU"/>
              </w:rPr>
            </w:pPr>
            <w:r>
              <w:rPr>
                <w:sz w:val="18"/>
                <w:szCs w:val="18"/>
                <w:lang w:val="en-NZ" w:eastAsia="en-AU"/>
              </w:rPr>
              <w:t>&gt;20 years</w:t>
            </w:r>
          </w:p>
        </w:tc>
        <w:tc>
          <w:tcPr>
            <w:tcW w:w="2409" w:type="dxa"/>
            <w:tcBorders>
              <w:top w:val="nil"/>
              <w:left w:val="nil"/>
              <w:bottom w:val="single" w:sz="4" w:space="0" w:color="auto"/>
              <w:right w:val="nil"/>
            </w:tcBorders>
            <w:shd w:val="clear" w:color="auto" w:fill="CDD3F7"/>
            <w:vAlign w:val="bottom"/>
          </w:tcPr>
          <w:p w:rsidR="005A55FA" w:rsidRPr="00D76347" w:rsidRDefault="005A55FA" w:rsidP="0068270B">
            <w:pPr>
              <w:tabs>
                <w:tab w:val="decimal" w:pos="1309"/>
              </w:tabs>
              <w:spacing w:before="20" w:after="20" w:line="240" w:lineRule="auto"/>
              <w:rPr>
                <w:sz w:val="18"/>
                <w:szCs w:val="18"/>
              </w:rPr>
            </w:pPr>
            <w:r>
              <w:rPr>
                <w:sz w:val="18"/>
                <w:szCs w:val="18"/>
              </w:rPr>
              <w:t>17</w:t>
            </w:r>
            <w:r w:rsidR="0068270B">
              <w:rPr>
                <w:sz w:val="18"/>
                <w:szCs w:val="18"/>
              </w:rPr>
              <w:t>0</w:t>
            </w:r>
          </w:p>
        </w:tc>
        <w:tc>
          <w:tcPr>
            <w:tcW w:w="2410" w:type="dxa"/>
            <w:tcBorders>
              <w:top w:val="nil"/>
              <w:left w:val="nil"/>
              <w:bottom w:val="single" w:sz="4" w:space="0" w:color="auto"/>
              <w:right w:val="nil"/>
            </w:tcBorders>
            <w:shd w:val="clear" w:color="auto" w:fill="CDD3F7"/>
            <w:vAlign w:val="bottom"/>
          </w:tcPr>
          <w:p w:rsidR="005A55FA" w:rsidRPr="00D76347" w:rsidRDefault="005A55FA" w:rsidP="0068270B">
            <w:pPr>
              <w:tabs>
                <w:tab w:val="decimal" w:pos="1026"/>
              </w:tabs>
              <w:spacing w:before="20" w:after="20" w:line="240" w:lineRule="auto"/>
              <w:rPr>
                <w:sz w:val="18"/>
                <w:szCs w:val="18"/>
              </w:rPr>
            </w:pPr>
            <w:r>
              <w:rPr>
                <w:sz w:val="18"/>
                <w:szCs w:val="18"/>
              </w:rPr>
              <w:t>4.</w:t>
            </w:r>
            <w:r w:rsidR="0068270B">
              <w:rPr>
                <w:sz w:val="18"/>
                <w:szCs w:val="18"/>
              </w:rPr>
              <w:t>3</w:t>
            </w:r>
            <w:r>
              <w:rPr>
                <w:sz w:val="18"/>
                <w:szCs w:val="18"/>
              </w:rPr>
              <w:t>%</w:t>
            </w:r>
          </w:p>
        </w:tc>
      </w:tr>
      <w:tr w:rsidR="005A55FA" w:rsidRPr="0073602A" w:rsidTr="005A55FA">
        <w:tc>
          <w:tcPr>
            <w:tcW w:w="3369" w:type="dxa"/>
            <w:tcBorders>
              <w:top w:val="single" w:sz="4" w:space="0" w:color="auto"/>
              <w:left w:val="nil"/>
              <w:bottom w:val="single" w:sz="4" w:space="0" w:color="auto"/>
              <w:right w:val="nil"/>
            </w:tcBorders>
            <w:vAlign w:val="center"/>
          </w:tcPr>
          <w:p w:rsidR="005A55FA" w:rsidRPr="00D76347" w:rsidRDefault="005A55FA" w:rsidP="0039366E">
            <w:pPr>
              <w:spacing w:after="0" w:line="240" w:lineRule="auto"/>
              <w:rPr>
                <w:sz w:val="18"/>
                <w:szCs w:val="18"/>
                <w:lang w:val="en-NZ" w:eastAsia="en-AU"/>
              </w:rPr>
            </w:pPr>
            <w:r>
              <w:rPr>
                <w:sz w:val="18"/>
                <w:szCs w:val="18"/>
                <w:lang w:val="en-NZ" w:eastAsia="en-AU"/>
              </w:rPr>
              <w:t>Total</w:t>
            </w:r>
          </w:p>
        </w:tc>
        <w:tc>
          <w:tcPr>
            <w:tcW w:w="2409" w:type="dxa"/>
            <w:tcBorders>
              <w:top w:val="single" w:sz="4" w:space="0" w:color="auto"/>
              <w:left w:val="nil"/>
              <w:bottom w:val="single" w:sz="4" w:space="0" w:color="auto"/>
              <w:right w:val="nil"/>
            </w:tcBorders>
            <w:vAlign w:val="bottom"/>
          </w:tcPr>
          <w:p w:rsidR="005A55FA" w:rsidRPr="00D76347" w:rsidRDefault="005A55FA" w:rsidP="005A55FA">
            <w:pPr>
              <w:tabs>
                <w:tab w:val="decimal" w:pos="1309"/>
              </w:tabs>
              <w:spacing w:before="20" w:after="20" w:line="240" w:lineRule="auto"/>
              <w:rPr>
                <w:sz w:val="18"/>
                <w:szCs w:val="18"/>
              </w:rPr>
            </w:pPr>
            <w:r>
              <w:rPr>
                <w:sz w:val="18"/>
                <w:szCs w:val="18"/>
              </w:rPr>
              <w:t>3,960</w:t>
            </w:r>
          </w:p>
        </w:tc>
        <w:tc>
          <w:tcPr>
            <w:tcW w:w="2410" w:type="dxa"/>
            <w:tcBorders>
              <w:top w:val="single" w:sz="4" w:space="0" w:color="auto"/>
              <w:left w:val="nil"/>
              <w:bottom w:val="single" w:sz="4" w:space="0" w:color="auto"/>
              <w:right w:val="nil"/>
            </w:tcBorders>
            <w:vAlign w:val="bottom"/>
          </w:tcPr>
          <w:p w:rsidR="005A55FA" w:rsidRPr="00D76347" w:rsidRDefault="005A55FA" w:rsidP="005A55FA">
            <w:pPr>
              <w:tabs>
                <w:tab w:val="decimal" w:pos="1026"/>
              </w:tabs>
              <w:spacing w:before="20" w:after="20" w:line="240" w:lineRule="auto"/>
              <w:rPr>
                <w:sz w:val="18"/>
                <w:szCs w:val="18"/>
              </w:rPr>
            </w:pPr>
            <w:r>
              <w:rPr>
                <w:sz w:val="18"/>
                <w:szCs w:val="18"/>
              </w:rPr>
              <w:t>100.0%</w:t>
            </w:r>
          </w:p>
        </w:tc>
      </w:tr>
    </w:tbl>
    <w:p w:rsidR="00220C80" w:rsidRPr="006F4C37" w:rsidRDefault="00220C80" w:rsidP="006F4C37">
      <w:pPr>
        <w:tabs>
          <w:tab w:val="left" w:pos="709"/>
        </w:tabs>
        <w:spacing w:after="20" w:line="240" w:lineRule="auto"/>
        <w:ind w:left="709" w:right="946" w:hanging="709"/>
        <w:rPr>
          <w:sz w:val="16"/>
          <w:szCs w:val="16"/>
          <w:lang w:val="en-NZ"/>
        </w:rPr>
      </w:pPr>
      <w:r w:rsidRPr="006F4C37">
        <w:rPr>
          <w:sz w:val="16"/>
          <w:szCs w:val="16"/>
          <w:lang w:val="en-NZ"/>
        </w:rPr>
        <w:t>Note:</w:t>
      </w:r>
      <w:r w:rsidR="006F4C37" w:rsidRPr="006F4C37">
        <w:rPr>
          <w:sz w:val="16"/>
          <w:szCs w:val="16"/>
          <w:lang w:val="en-NZ"/>
        </w:rPr>
        <w:tab/>
      </w:r>
      <w:r w:rsidR="00082972">
        <w:rPr>
          <w:sz w:val="16"/>
          <w:szCs w:val="16"/>
          <w:lang w:val="en-NZ"/>
        </w:rPr>
        <w:t xml:space="preserve">Figures represent the total </w:t>
      </w:r>
      <w:r w:rsidR="00422462">
        <w:rPr>
          <w:sz w:val="16"/>
          <w:szCs w:val="16"/>
          <w:lang w:val="en-NZ"/>
        </w:rPr>
        <w:t>length of</w:t>
      </w:r>
      <w:r w:rsidR="00082972">
        <w:rPr>
          <w:sz w:val="16"/>
          <w:szCs w:val="16"/>
          <w:lang w:val="en-NZ"/>
        </w:rPr>
        <w:t xml:space="preserve"> time spent </w:t>
      </w:r>
      <w:r w:rsidR="00422462">
        <w:rPr>
          <w:sz w:val="16"/>
          <w:szCs w:val="16"/>
          <w:lang w:val="en-NZ"/>
        </w:rPr>
        <w:t>receiving</w:t>
      </w:r>
      <w:r w:rsidR="00082972">
        <w:rPr>
          <w:sz w:val="16"/>
          <w:szCs w:val="16"/>
          <w:lang w:val="en-NZ"/>
        </w:rPr>
        <w:t xml:space="preserve"> benefit, not necessarily continuously.</w:t>
      </w:r>
      <w:r w:rsidR="00082972" w:rsidRPr="00082972">
        <w:rPr>
          <w:sz w:val="16"/>
          <w:szCs w:val="16"/>
          <w:lang w:val="en-NZ"/>
        </w:rPr>
        <w:t xml:space="preserve"> </w:t>
      </w:r>
      <w:r w:rsidR="00082972" w:rsidRPr="006F4C37">
        <w:rPr>
          <w:sz w:val="16"/>
          <w:szCs w:val="16"/>
          <w:lang w:val="en-NZ"/>
        </w:rPr>
        <w:t xml:space="preserve">Data on benefit receipt </w:t>
      </w:r>
      <w:r w:rsidR="00082972">
        <w:rPr>
          <w:sz w:val="16"/>
          <w:szCs w:val="16"/>
          <w:lang w:val="en-NZ"/>
        </w:rPr>
        <w:t>are</w:t>
      </w:r>
      <w:r w:rsidR="00082972" w:rsidRPr="006F4C37">
        <w:rPr>
          <w:sz w:val="16"/>
          <w:szCs w:val="16"/>
          <w:lang w:val="en-NZ"/>
        </w:rPr>
        <w:t xml:space="preserve"> </w:t>
      </w:r>
      <w:r w:rsidR="00082972">
        <w:rPr>
          <w:sz w:val="16"/>
          <w:szCs w:val="16"/>
          <w:lang w:val="en-NZ"/>
        </w:rPr>
        <w:t>not reliable before</w:t>
      </w:r>
      <w:r w:rsidR="00082972" w:rsidRPr="006F4C37">
        <w:rPr>
          <w:sz w:val="16"/>
          <w:szCs w:val="16"/>
          <w:lang w:val="en-NZ"/>
        </w:rPr>
        <w:t xml:space="preserve"> 1993.</w:t>
      </w:r>
    </w:p>
    <w:p w:rsidR="00220C80" w:rsidRPr="006F4C37" w:rsidRDefault="00220C80" w:rsidP="006F4C37">
      <w:pPr>
        <w:tabs>
          <w:tab w:val="left" w:pos="851"/>
        </w:tabs>
        <w:spacing w:after="20" w:line="240" w:lineRule="auto"/>
        <w:ind w:right="946"/>
        <w:rPr>
          <w:sz w:val="16"/>
          <w:szCs w:val="16"/>
          <w:lang w:val="en-NZ"/>
        </w:rPr>
      </w:pPr>
      <w:r w:rsidRPr="006F4C37">
        <w:rPr>
          <w:sz w:val="16"/>
          <w:szCs w:val="16"/>
          <w:lang w:val="en-NZ"/>
        </w:rPr>
        <w:t>Source:</w:t>
      </w:r>
      <w:r w:rsidRPr="006F4C37">
        <w:rPr>
          <w:sz w:val="16"/>
          <w:szCs w:val="16"/>
          <w:lang w:val="en-NZ"/>
        </w:rPr>
        <w:tab/>
      </w:r>
      <w:r w:rsidR="008027FA" w:rsidRPr="006F4C37">
        <w:rPr>
          <w:sz w:val="16"/>
          <w:szCs w:val="16"/>
          <w:lang w:val="en-NZ"/>
        </w:rPr>
        <w:t>B</w:t>
      </w:r>
      <w:r w:rsidR="00E90FC1" w:rsidRPr="006F4C37">
        <w:rPr>
          <w:sz w:val="16"/>
          <w:szCs w:val="16"/>
          <w:lang w:val="en-NZ"/>
        </w:rPr>
        <w:t xml:space="preserve">enefit Dynamics Dataset, </w:t>
      </w:r>
      <w:r w:rsidRPr="006F4C37">
        <w:rPr>
          <w:sz w:val="16"/>
          <w:szCs w:val="16"/>
          <w:lang w:val="en-NZ"/>
        </w:rPr>
        <w:t>Ministry of Social Development.</w:t>
      </w:r>
    </w:p>
    <w:p w:rsidR="00E80FCD" w:rsidRDefault="00E80FCD" w:rsidP="00E80FCD">
      <w:pPr>
        <w:spacing w:before="170" w:after="170"/>
        <w:rPr>
          <w:lang w:val="en-NZ"/>
        </w:rPr>
      </w:pPr>
      <w:r>
        <w:rPr>
          <w:lang w:val="en-NZ"/>
        </w:rPr>
        <w:t>Eighteen percent of all gang members had received a main benefit for over 15 years</w:t>
      </w:r>
      <w:r w:rsidRPr="00A546F6">
        <w:rPr>
          <w:lang w:val="en-NZ"/>
        </w:rPr>
        <w:t xml:space="preserve"> (not necessarily continuously)</w:t>
      </w:r>
      <w:r>
        <w:rPr>
          <w:lang w:val="en-NZ"/>
        </w:rPr>
        <w:t>, including four percent who had received main benefits for over 20 years</w:t>
      </w:r>
      <w:r w:rsidRPr="00A546F6">
        <w:rPr>
          <w:lang w:val="en-NZ"/>
        </w:rPr>
        <w:t>.</w:t>
      </w:r>
      <w:r>
        <w:rPr>
          <w:lang w:val="en-NZ"/>
        </w:rPr>
        <w:t xml:space="preserve"> Thirteen percent of all gang members had received main benefits for </w:t>
      </w:r>
      <w:r w:rsidR="00557BB5">
        <w:rPr>
          <w:lang w:val="en-NZ"/>
        </w:rPr>
        <w:t xml:space="preserve">a period of time up to </w:t>
      </w:r>
      <w:r>
        <w:rPr>
          <w:lang w:val="en-NZ"/>
        </w:rPr>
        <w:t>two years.</w:t>
      </w:r>
      <w:r w:rsidRPr="00E44323">
        <w:rPr>
          <w:lang w:val="en-NZ"/>
        </w:rPr>
        <w:t xml:space="preserve"> </w:t>
      </w:r>
      <w:r>
        <w:rPr>
          <w:lang w:val="en-NZ"/>
        </w:rPr>
        <w:t xml:space="preserve">Of the 3,627 </w:t>
      </w:r>
      <w:r w:rsidRPr="00A546F6">
        <w:rPr>
          <w:lang w:val="en-NZ"/>
        </w:rPr>
        <w:t xml:space="preserve">gang members </w:t>
      </w:r>
      <w:r>
        <w:rPr>
          <w:lang w:val="en-NZ"/>
        </w:rPr>
        <w:t>who have received a main benefit, t</w:t>
      </w:r>
      <w:r w:rsidRPr="00A546F6">
        <w:rPr>
          <w:lang w:val="en-NZ"/>
        </w:rPr>
        <w:t xml:space="preserve">he </w:t>
      </w:r>
      <w:r>
        <w:rPr>
          <w:lang w:val="en-NZ"/>
        </w:rPr>
        <w:t>average total duration spent on benefit was</w:t>
      </w:r>
      <w:r w:rsidRPr="00A546F6">
        <w:rPr>
          <w:lang w:val="en-NZ"/>
        </w:rPr>
        <w:t xml:space="preserve"> </w:t>
      </w:r>
      <w:r>
        <w:rPr>
          <w:lang w:val="en-NZ"/>
        </w:rPr>
        <w:t>8.9</w:t>
      </w:r>
      <w:r w:rsidRPr="00A546F6">
        <w:rPr>
          <w:lang w:val="en-NZ"/>
        </w:rPr>
        <w:t xml:space="preserve"> years</w:t>
      </w:r>
      <w:r>
        <w:rPr>
          <w:lang w:val="en-NZ"/>
        </w:rPr>
        <w:t>, with the average being 8.2 years taken over all 3,960 gang members.</w:t>
      </w:r>
    </w:p>
    <w:p w:rsidR="000D7BC5" w:rsidRDefault="000E08C3" w:rsidP="00E80FCD">
      <w:pPr>
        <w:spacing w:before="170" w:after="170"/>
        <w:rPr>
          <w:lang w:val="en-NZ"/>
        </w:rPr>
      </w:pPr>
      <w:r>
        <w:rPr>
          <w:lang w:val="en-NZ"/>
        </w:rPr>
        <w:t>O</w:t>
      </w:r>
      <w:r w:rsidR="00C7001C">
        <w:rPr>
          <w:lang w:val="en-NZ"/>
        </w:rPr>
        <w:t xml:space="preserve">ver half the time spent on benefit </w:t>
      </w:r>
      <w:r w:rsidR="00813F70">
        <w:rPr>
          <w:lang w:val="en-NZ"/>
        </w:rPr>
        <w:t xml:space="preserve">by gang members </w:t>
      </w:r>
      <w:r w:rsidR="00C7001C">
        <w:rPr>
          <w:lang w:val="en-NZ"/>
        </w:rPr>
        <w:t xml:space="preserve">was receiving </w:t>
      </w:r>
      <w:r w:rsidR="000D7BC5">
        <w:rPr>
          <w:lang w:val="en-NZ"/>
        </w:rPr>
        <w:t>job seeker-related benefit</w:t>
      </w:r>
      <w:r w:rsidR="00C7001C">
        <w:rPr>
          <w:lang w:val="en-NZ"/>
        </w:rPr>
        <w:t>s</w:t>
      </w:r>
      <w:r w:rsidR="000D7BC5">
        <w:rPr>
          <w:lang w:val="en-NZ"/>
        </w:rPr>
        <w:t xml:space="preserve"> </w:t>
      </w:r>
      <w:r w:rsidR="007F5C51">
        <w:rPr>
          <w:lang w:val="en-NZ"/>
        </w:rPr>
        <w:t xml:space="preserve">and nearly </w:t>
      </w:r>
      <w:r w:rsidR="000D7BC5">
        <w:rPr>
          <w:lang w:val="en-NZ"/>
        </w:rPr>
        <w:t xml:space="preserve">a </w:t>
      </w:r>
      <w:r w:rsidR="007F5C51">
        <w:rPr>
          <w:lang w:val="en-NZ"/>
        </w:rPr>
        <w:t xml:space="preserve">quarter was receiving </w:t>
      </w:r>
      <w:r w:rsidR="000D7BC5">
        <w:rPr>
          <w:lang w:val="en-NZ"/>
        </w:rPr>
        <w:t>health or disability-related benefit</w:t>
      </w:r>
      <w:r w:rsidR="00C7001C">
        <w:rPr>
          <w:lang w:val="en-NZ"/>
        </w:rPr>
        <w:t>s</w:t>
      </w:r>
      <w:r>
        <w:rPr>
          <w:lang w:val="en-NZ"/>
        </w:rPr>
        <w:t xml:space="preserve"> </w:t>
      </w:r>
      <w:r>
        <w:rPr>
          <w:lang w:val="en-NZ"/>
        </w:rPr>
        <w:lastRenderedPageBreak/>
        <w:t>(Table 3)</w:t>
      </w:r>
      <w:r w:rsidR="007F5C51">
        <w:rPr>
          <w:lang w:val="en-NZ"/>
        </w:rPr>
        <w:t>. S</w:t>
      </w:r>
      <w:r w:rsidR="000D7BC5">
        <w:rPr>
          <w:lang w:val="en-NZ"/>
        </w:rPr>
        <w:t>ole parent-related benefit</w:t>
      </w:r>
      <w:r w:rsidR="007F5C51">
        <w:rPr>
          <w:lang w:val="en-NZ"/>
        </w:rPr>
        <w:t>s accounted for 1</w:t>
      </w:r>
      <w:r w:rsidR="00F55D9E">
        <w:rPr>
          <w:lang w:val="en-NZ"/>
        </w:rPr>
        <w:t>7</w:t>
      </w:r>
      <w:r w:rsidR="007F5C51">
        <w:rPr>
          <w:lang w:val="en-NZ"/>
        </w:rPr>
        <w:t xml:space="preserve"> </w:t>
      </w:r>
      <w:r w:rsidR="005D7755">
        <w:rPr>
          <w:lang w:val="en-NZ"/>
        </w:rPr>
        <w:t>percent</w:t>
      </w:r>
      <w:r w:rsidR="007F5C51">
        <w:rPr>
          <w:lang w:val="en-NZ"/>
        </w:rPr>
        <w:t xml:space="preserve"> of </w:t>
      </w:r>
      <w:r w:rsidR="00F605FF">
        <w:rPr>
          <w:lang w:val="en-NZ"/>
        </w:rPr>
        <w:t xml:space="preserve">the </w:t>
      </w:r>
      <w:r w:rsidR="007F5C51">
        <w:rPr>
          <w:lang w:val="en-NZ"/>
        </w:rPr>
        <w:t>total time spent on benefit</w:t>
      </w:r>
      <w:r w:rsidR="000D7BC5" w:rsidRPr="00A546F6">
        <w:rPr>
          <w:lang w:val="en-NZ"/>
        </w:rPr>
        <w:t>.</w:t>
      </w:r>
      <w:r w:rsidR="007F5C51">
        <w:rPr>
          <w:lang w:val="en-NZ"/>
        </w:rPr>
        <w:t xml:space="preserve"> Gang members received a benefit as a partner of another person two </w:t>
      </w:r>
      <w:r w:rsidR="005D7755">
        <w:rPr>
          <w:lang w:val="en-NZ"/>
        </w:rPr>
        <w:t>percent</w:t>
      </w:r>
      <w:r w:rsidR="007F5C51">
        <w:rPr>
          <w:lang w:val="en-NZ"/>
        </w:rPr>
        <w:t xml:space="preserve"> of the time.</w:t>
      </w:r>
    </w:p>
    <w:p w:rsidR="008027FA" w:rsidRPr="00D16E12" w:rsidRDefault="008027FA" w:rsidP="009F5EFF">
      <w:pPr>
        <w:pStyle w:val="TableofFigures"/>
        <w:keepNext/>
        <w:tabs>
          <w:tab w:val="left" w:pos="993"/>
        </w:tabs>
        <w:spacing w:after="120" w:line="240" w:lineRule="auto"/>
        <w:ind w:left="992" w:right="1089" w:hanging="992"/>
        <w:rPr>
          <w:b/>
          <w:color w:val="121F6B"/>
          <w:sz w:val="18"/>
          <w:szCs w:val="18"/>
        </w:rPr>
      </w:pPr>
      <w:r w:rsidRPr="00D16E12">
        <w:rPr>
          <w:b/>
          <w:color w:val="121F6B"/>
          <w:sz w:val="18"/>
          <w:szCs w:val="18"/>
        </w:rPr>
        <w:t xml:space="preserve">Table </w:t>
      </w:r>
      <w:r w:rsidR="0062296F">
        <w:rPr>
          <w:b/>
          <w:color w:val="121F6B"/>
          <w:sz w:val="18"/>
          <w:szCs w:val="18"/>
        </w:rPr>
        <w:t>3</w:t>
      </w:r>
      <w:r w:rsidRPr="00D16E12">
        <w:rPr>
          <w:b/>
          <w:color w:val="121F6B"/>
          <w:sz w:val="18"/>
          <w:szCs w:val="18"/>
        </w:rPr>
        <w:t>:</w:t>
      </w:r>
      <w:r w:rsidRPr="00D16E12">
        <w:rPr>
          <w:b/>
          <w:color w:val="121F6B"/>
          <w:sz w:val="18"/>
          <w:szCs w:val="18"/>
        </w:rPr>
        <w:tab/>
      </w:r>
      <w:r w:rsidR="00422462">
        <w:rPr>
          <w:b/>
          <w:color w:val="121F6B"/>
          <w:sz w:val="18"/>
          <w:szCs w:val="18"/>
        </w:rPr>
        <w:t xml:space="preserve">Average </w:t>
      </w:r>
      <w:r>
        <w:rPr>
          <w:b/>
          <w:color w:val="121F6B"/>
          <w:sz w:val="18"/>
          <w:szCs w:val="18"/>
        </w:rPr>
        <w:t xml:space="preserve">length of time spent in receipt of </w:t>
      </w:r>
      <w:r w:rsidR="00422462">
        <w:rPr>
          <w:b/>
          <w:color w:val="121F6B"/>
          <w:sz w:val="18"/>
          <w:szCs w:val="18"/>
        </w:rPr>
        <w:t>each type of</w:t>
      </w:r>
      <w:r>
        <w:rPr>
          <w:b/>
          <w:color w:val="121F6B"/>
          <w:sz w:val="18"/>
          <w:szCs w:val="18"/>
        </w:rPr>
        <w:t xml:space="preserve"> main benefit by </w:t>
      </w:r>
      <w:r w:rsidR="00CC79B6">
        <w:rPr>
          <w:b/>
          <w:color w:val="121F6B"/>
          <w:sz w:val="18"/>
          <w:szCs w:val="18"/>
        </w:rPr>
        <w:t>the</w:t>
      </w:r>
      <w:r>
        <w:rPr>
          <w:b/>
          <w:color w:val="121F6B"/>
          <w:sz w:val="18"/>
          <w:szCs w:val="18"/>
        </w:rPr>
        <w:t xml:space="preserve"> gang members</w:t>
      </w:r>
      <w:r w:rsidR="0037120A">
        <w:rPr>
          <w:b/>
          <w:color w:val="121F6B"/>
          <w:sz w:val="18"/>
          <w:szCs w:val="18"/>
        </w:rPr>
        <w:t xml:space="preserve"> who had received welfare support</w:t>
      </w:r>
      <w:r w:rsidR="00422462">
        <w:rPr>
          <w:b/>
          <w:color w:val="121F6B"/>
          <w:sz w:val="18"/>
          <w:szCs w:val="18"/>
        </w:rPr>
        <w:t>,</w:t>
      </w:r>
      <w:r w:rsidR="00422462" w:rsidRPr="00422462">
        <w:rPr>
          <w:b/>
          <w:color w:val="121F6B"/>
          <w:sz w:val="18"/>
          <w:szCs w:val="18"/>
        </w:rPr>
        <w:t xml:space="preserve"> </w:t>
      </w:r>
      <w:r w:rsidR="00422462">
        <w:rPr>
          <w:b/>
          <w:color w:val="121F6B"/>
          <w:sz w:val="18"/>
          <w:szCs w:val="18"/>
        </w:rPr>
        <w:t>1 January 1993 to 31 December 2014</w:t>
      </w:r>
    </w:p>
    <w:tbl>
      <w:tblPr>
        <w:tblStyle w:val="TableGrid"/>
        <w:tblW w:w="8330" w:type="dxa"/>
        <w:tblLayout w:type="fixed"/>
        <w:tblCellMar>
          <w:top w:w="28" w:type="dxa"/>
          <w:bottom w:w="28" w:type="dxa"/>
        </w:tblCellMar>
        <w:tblLook w:val="04A0" w:firstRow="1" w:lastRow="0" w:firstColumn="1" w:lastColumn="0" w:noHBand="0" w:noVBand="1"/>
      </w:tblPr>
      <w:tblGrid>
        <w:gridCol w:w="3369"/>
        <w:gridCol w:w="2480"/>
        <w:gridCol w:w="2481"/>
      </w:tblGrid>
      <w:tr w:rsidR="008027FA" w:rsidRPr="0073602A" w:rsidTr="006A7EAA">
        <w:tc>
          <w:tcPr>
            <w:tcW w:w="3369" w:type="dxa"/>
            <w:tcBorders>
              <w:top w:val="nil"/>
              <w:left w:val="nil"/>
              <w:bottom w:val="nil"/>
              <w:right w:val="nil"/>
            </w:tcBorders>
            <w:shd w:val="clear" w:color="auto" w:fill="121F6B"/>
          </w:tcPr>
          <w:p w:rsidR="008027FA" w:rsidRPr="00D76347" w:rsidRDefault="00A92FF4" w:rsidP="0039366E">
            <w:pPr>
              <w:spacing w:before="60" w:after="60" w:line="240" w:lineRule="auto"/>
              <w:rPr>
                <w:b/>
                <w:sz w:val="18"/>
                <w:szCs w:val="18"/>
                <w:lang w:val="en-NZ" w:eastAsia="en-AU"/>
              </w:rPr>
            </w:pPr>
            <w:r>
              <w:rPr>
                <w:b/>
                <w:sz w:val="18"/>
                <w:szCs w:val="18"/>
                <w:lang w:val="en-NZ" w:eastAsia="en-AU"/>
              </w:rPr>
              <w:t>Main benefit category</w:t>
            </w:r>
            <w:r w:rsidR="00861009" w:rsidRPr="009F5EFF">
              <w:rPr>
                <w:sz w:val="18"/>
                <w:szCs w:val="18"/>
                <w:vertAlign w:val="superscript"/>
                <w:lang w:val="en-NZ" w:eastAsia="en-AU"/>
              </w:rPr>
              <w:t>1</w:t>
            </w:r>
          </w:p>
        </w:tc>
        <w:tc>
          <w:tcPr>
            <w:tcW w:w="2480" w:type="dxa"/>
            <w:tcBorders>
              <w:top w:val="nil"/>
              <w:left w:val="nil"/>
              <w:bottom w:val="nil"/>
              <w:right w:val="nil"/>
            </w:tcBorders>
            <w:shd w:val="clear" w:color="auto" w:fill="121F6B"/>
          </w:tcPr>
          <w:p w:rsidR="008027FA" w:rsidRPr="00D76347" w:rsidRDefault="00A92FF4">
            <w:pPr>
              <w:spacing w:before="60" w:after="60" w:line="240" w:lineRule="auto"/>
              <w:jc w:val="center"/>
              <w:rPr>
                <w:sz w:val="18"/>
                <w:szCs w:val="18"/>
                <w:lang w:val="en-NZ" w:eastAsia="en-AU"/>
              </w:rPr>
            </w:pPr>
            <w:r>
              <w:rPr>
                <w:b/>
                <w:sz w:val="18"/>
                <w:szCs w:val="18"/>
                <w:lang w:val="en-NZ" w:eastAsia="en-AU"/>
              </w:rPr>
              <w:t>Average total duration</w:t>
            </w:r>
            <w:r w:rsidR="007972FB">
              <w:rPr>
                <w:b/>
                <w:sz w:val="18"/>
                <w:szCs w:val="18"/>
                <w:lang w:val="en-NZ" w:eastAsia="en-AU"/>
              </w:rPr>
              <w:t xml:space="preserve"> (years)</w:t>
            </w:r>
            <w:r w:rsidR="00422462" w:rsidRPr="00C44A76">
              <w:rPr>
                <w:sz w:val="18"/>
                <w:szCs w:val="18"/>
                <w:vertAlign w:val="superscript"/>
                <w:lang w:val="en-NZ" w:eastAsia="en-AU"/>
              </w:rPr>
              <w:t>7</w:t>
            </w:r>
          </w:p>
        </w:tc>
        <w:tc>
          <w:tcPr>
            <w:tcW w:w="2481" w:type="dxa"/>
            <w:tcBorders>
              <w:top w:val="nil"/>
              <w:left w:val="nil"/>
              <w:bottom w:val="nil"/>
              <w:right w:val="nil"/>
            </w:tcBorders>
            <w:shd w:val="clear" w:color="auto" w:fill="121F6B"/>
          </w:tcPr>
          <w:p w:rsidR="008027FA" w:rsidRPr="00D76347" w:rsidRDefault="008027FA" w:rsidP="0039366E">
            <w:pPr>
              <w:spacing w:before="60" w:after="60" w:line="240" w:lineRule="auto"/>
              <w:jc w:val="center"/>
              <w:rPr>
                <w:sz w:val="18"/>
                <w:szCs w:val="18"/>
                <w:lang w:val="en-NZ" w:eastAsia="en-AU"/>
              </w:rPr>
            </w:pPr>
            <w:r>
              <w:rPr>
                <w:b/>
                <w:sz w:val="18"/>
                <w:szCs w:val="18"/>
                <w:lang w:val="en-NZ" w:eastAsia="en-AU"/>
              </w:rPr>
              <w:t>Percentage</w:t>
            </w:r>
          </w:p>
        </w:tc>
      </w:tr>
      <w:tr w:rsidR="008027FA" w:rsidRPr="0073602A" w:rsidTr="0039366E">
        <w:tc>
          <w:tcPr>
            <w:tcW w:w="3369" w:type="dxa"/>
            <w:tcBorders>
              <w:top w:val="nil"/>
              <w:left w:val="nil"/>
              <w:bottom w:val="nil"/>
              <w:right w:val="nil"/>
            </w:tcBorders>
            <w:shd w:val="clear" w:color="auto" w:fill="CDD3F7"/>
            <w:vAlign w:val="center"/>
          </w:tcPr>
          <w:p w:rsidR="008027FA" w:rsidRPr="00D76347" w:rsidRDefault="008027FA" w:rsidP="00861009">
            <w:pPr>
              <w:spacing w:after="0" w:line="240" w:lineRule="auto"/>
              <w:rPr>
                <w:sz w:val="18"/>
                <w:szCs w:val="18"/>
                <w:lang w:val="en-NZ" w:eastAsia="en-AU"/>
              </w:rPr>
            </w:pPr>
            <w:r>
              <w:rPr>
                <w:sz w:val="18"/>
                <w:szCs w:val="18"/>
                <w:lang w:val="en-NZ" w:eastAsia="en-AU"/>
              </w:rPr>
              <w:t>Job seeker</w:t>
            </w:r>
            <w:r w:rsidR="00861009">
              <w:rPr>
                <w:sz w:val="18"/>
                <w:szCs w:val="18"/>
                <w:vertAlign w:val="superscript"/>
                <w:lang w:val="en-NZ" w:eastAsia="en-AU"/>
              </w:rPr>
              <w:t>2</w:t>
            </w:r>
          </w:p>
        </w:tc>
        <w:tc>
          <w:tcPr>
            <w:tcW w:w="2480" w:type="dxa"/>
            <w:tcBorders>
              <w:top w:val="nil"/>
              <w:left w:val="nil"/>
              <w:bottom w:val="nil"/>
              <w:right w:val="nil"/>
            </w:tcBorders>
            <w:shd w:val="clear" w:color="auto" w:fill="CDD3F7"/>
            <w:vAlign w:val="bottom"/>
          </w:tcPr>
          <w:p w:rsidR="008027FA" w:rsidRPr="00D76347" w:rsidRDefault="00467C9F" w:rsidP="001F0074">
            <w:pPr>
              <w:spacing w:before="20" w:after="20" w:line="240" w:lineRule="auto"/>
              <w:jc w:val="center"/>
              <w:rPr>
                <w:sz w:val="18"/>
                <w:szCs w:val="18"/>
              </w:rPr>
            </w:pPr>
            <w:r>
              <w:rPr>
                <w:sz w:val="18"/>
                <w:szCs w:val="18"/>
              </w:rPr>
              <w:t>4.</w:t>
            </w:r>
            <w:r w:rsidR="001F0074">
              <w:rPr>
                <w:sz w:val="18"/>
                <w:szCs w:val="18"/>
              </w:rPr>
              <w:t>8</w:t>
            </w:r>
          </w:p>
        </w:tc>
        <w:tc>
          <w:tcPr>
            <w:tcW w:w="2481" w:type="dxa"/>
            <w:tcBorders>
              <w:top w:val="nil"/>
              <w:left w:val="nil"/>
              <w:bottom w:val="nil"/>
              <w:right w:val="nil"/>
            </w:tcBorders>
            <w:shd w:val="clear" w:color="auto" w:fill="CDD3F7"/>
            <w:vAlign w:val="bottom"/>
          </w:tcPr>
          <w:p w:rsidR="008027FA" w:rsidRPr="00D76347" w:rsidRDefault="00467C9F" w:rsidP="001F0074">
            <w:pPr>
              <w:tabs>
                <w:tab w:val="decimal" w:pos="1168"/>
              </w:tabs>
              <w:spacing w:before="20" w:after="20" w:line="240" w:lineRule="auto"/>
              <w:rPr>
                <w:sz w:val="18"/>
                <w:szCs w:val="18"/>
              </w:rPr>
            </w:pPr>
            <w:r>
              <w:rPr>
                <w:sz w:val="18"/>
                <w:szCs w:val="18"/>
              </w:rPr>
              <w:t>5</w:t>
            </w:r>
            <w:r w:rsidR="001F0074">
              <w:rPr>
                <w:sz w:val="18"/>
                <w:szCs w:val="18"/>
              </w:rPr>
              <w:t>3.7</w:t>
            </w:r>
            <w:r w:rsidR="008027FA">
              <w:rPr>
                <w:sz w:val="18"/>
                <w:szCs w:val="18"/>
              </w:rPr>
              <w:t>%</w:t>
            </w:r>
          </w:p>
        </w:tc>
      </w:tr>
      <w:tr w:rsidR="008027FA" w:rsidRPr="0073602A" w:rsidTr="0039366E">
        <w:tc>
          <w:tcPr>
            <w:tcW w:w="3369" w:type="dxa"/>
            <w:tcBorders>
              <w:top w:val="nil"/>
              <w:left w:val="nil"/>
              <w:bottom w:val="nil"/>
              <w:right w:val="nil"/>
            </w:tcBorders>
            <w:vAlign w:val="center"/>
          </w:tcPr>
          <w:p w:rsidR="008027FA" w:rsidRPr="00D76347" w:rsidRDefault="008027FA" w:rsidP="00861009">
            <w:pPr>
              <w:spacing w:after="0" w:line="240" w:lineRule="auto"/>
              <w:rPr>
                <w:sz w:val="18"/>
                <w:szCs w:val="18"/>
                <w:lang w:val="en-NZ" w:eastAsia="en-AU"/>
              </w:rPr>
            </w:pPr>
            <w:r>
              <w:rPr>
                <w:sz w:val="18"/>
                <w:szCs w:val="18"/>
                <w:lang w:val="en-NZ" w:eastAsia="en-AU"/>
              </w:rPr>
              <w:t>Health or disability</w:t>
            </w:r>
            <w:r w:rsidR="00861009">
              <w:rPr>
                <w:sz w:val="18"/>
                <w:szCs w:val="18"/>
                <w:vertAlign w:val="superscript"/>
                <w:lang w:val="en-NZ" w:eastAsia="en-AU"/>
              </w:rPr>
              <w:t>3</w:t>
            </w:r>
          </w:p>
        </w:tc>
        <w:tc>
          <w:tcPr>
            <w:tcW w:w="2480" w:type="dxa"/>
            <w:tcBorders>
              <w:top w:val="nil"/>
              <w:left w:val="nil"/>
              <w:bottom w:val="nil"/>
              <w:right w:val="nil"/>
            </w:tcBorders>
            <w:vAlign w:val="bottom"/>
          </w:tcPr>
          <w:p w:rsidR="008027FA" w:rsidRPr="00D76347" w:rsidRDefault="00467C9F" w:rsidP="00467C9F">
            <w:pPr>
              <w:spacing w:before="20" w:after="20" w:line="240" w:lineRule="auto"/>
              <w:jc w:val="center"/>
              <w:rPr>
                <w:sz w:val="18"/>
                <w:szCs w:val="18"/>
              </w:rPr>
            </w:pPr>
            <w:r>
              <w:rPr>
                <w:sz w:val="18"/>
                <w:szCs w:val="18"/>
              </w:rPr>
              <w:t>2.1</w:t>
            </w:r>
          </w:p>
        </w:tc>
        <w:tc>
          <w:tcPr>
            <w:tcW w:w="2481" w:type="dxa"/>
            <w:tcBorders>
              <w:top w:val="nil"/>
              <w:left w:val="nil"/>
              <w:bottom w:val="nil"/>
              <w:right w:val="nil"/>
            </w:tcBorders>
            <w:vAlign w:val="bottom"/>
          </w:tcPr>
          <w:p w:rsidR="008027FA" w:rsidRPr="00D76347" w:rsidRDefault="00467C9F" w:rsidP="001F0074">
            <w:pPr>
              <w:tabs>
                <w:tab w:val="decimal" w:pos="1168"/>
              </w:tabs>
              <w:spacing w:before="20" w:after="20" w:line="240" w:lineRule="auto"/>
              <w:rPr>
                <w:sz w:val="18"/>
                <w:szCs w:val="18"/>
              </w:rPr>
            </w:pPr>
            <w:r>
              <w:rPr>
                <w:sz w:val="18"/>
                <w:szCs w:val="18"/>
              </w:rPr>
              <w:t>2</w:t>
            </w:r>
            <w:r w:rsidR="001F0074">
              <w:rPr>
                <w:sz w:val="18"/>
                <w:szCs w:val="18"/>
              </w:rPr>
              <w:t>3.6</w:t>
            </w:r>
            <w:r w:rsidR="008027FA">
              <w:rPr>
                <w:sz w:val="18"/>
                <w:szCs w:val="18"/>
              </w:rPr>
              <w:t>%</w:t>
            </w:r>
          </w:p>
        </w:tc>
      </w:tr>
      <w:tr w:rsidR="008027FA" w:rsidRPr="0073602A" w:rsidTr="0039366E">
        <w:tc>
          <w:tcPr>
            <w:tcW w:w="3369" w:type="dxa"/>
            <w:tcBorders>
              <w:top w:val="nil"/>
              <w:left w:val="nil"/>
              <w:bottom w:val="nil"/>
              <w:right w:val="nil"/>
            </w:tcBorders>
            <w:shd w:val="clear" w:color="auto" w:fill="CDD3F7"/>
            <w:vAlign w:val="center"/>
          </w:tcPr>
          <w:p w:rsidR="008027FA" w:rsidRPr="00D76347" w:rsidRDefault="008027FA" w:rsidP="00861009">
            <w:pPr>
              <w:spacing w:after="0" w:line="240" w:lineRule="auto"/>
              <w:rPr>
                <w:sz w:val="18"/>
                <w:szCs w:val="18"/>
                <w:lang w:val="en-NZ" w:eastAsia="en-AU"/>
              </w:rPr>
            </w:pPr>
            <w:r>
              <w:rPr>
                <w:sz w:val="18"/>
                <w:szCs w:val="18"/>
                <w:lang w:val="en-NZ" w:eastAsia="en-AU"/>
              </w:rPr>
              <w:t>Sole parent</w:t>
            </w:r>
            <w:r w:rsidR="00861009">
              <w:rPr>
                <w:sz w:val="18"/>
                <w:szCs w:val="18"/>
                <w:vertAlign w:val="superscript"/>
                <w:lang w:val="en-NZ" w:eastAsia="en-AU"/>
              </w:rPr>
              <w:t>4</w:t>
            </w:r>
          </w:p>
        </w:tc>
        <w:tc>
          <w:tcPr>
            <w:tcW w:w="2480" w:type="dxa"/>
            <w:tcBorders>
              <w:top w:val="nil"/>
              <w:left w:val="nil"/>
              <w:bottom w:val="nil"/>
              <w:right w:val="nil"/>
            </w:tcBorders>
            <w:shd w:val="clear" w:color="auto" w:fill="CDD3F7"/>
            <w:vAlign w:val="bottom"/>
          </w:tcPr>
          <w:p w:rsidR="008027FA" w:rsidRPr="00D76347" w:rsidRDefault="00467C9F" w:rsidP="00467C9F">
            <w:pPr>
              <w:spacing w:before="20" w:after="20" w:line="240" w:lineRule="auto"/>
              <w:jc w:val="center"/>
              <w:rPr>
                <w:sz w:val="18"/>
                <w:szCs w:val="18"/>
              </w:rPr>
            </w:pPr>
            <w:r>
              <w:rPr>
                <w:sz w:val="18"/>
                <w:szCs w:val="18"/>
              </w:rPr>
              <w:t>1.5</w:t>
            </w:r>
          </w:p>
        </w:tc>
        <w:tc>
          <w:tcPr>
            <w:tcW w:w="2481" w:type="dxa"/>
            <w:tcBorders>
              <w:top w:val="nil"/>
              <w:left w:val="nil"/>
              <w:bottom w:val="nil"/>
              <w:right w:val="nil"/>
            </w:tcBorders>
            <w:shd w:val="clear" w:color="auto" w:fill="CDD3F7"/>
            <w:vAlign w:val="bottom"/>
          </w:tcPr>
          <w:p w:rsidR="008027FA" w:rsidRPr="00D76347" w:rsidRDefault="00467C9F" w:rsidP="001F0074">
            <w:pPr>
              <w:tabs>
                <w:tab w:val="decimal" w:pos="1168"/>
              </w:tabs>
              <w:spacing w:before="20" w:after="20" w:line="240" w:lineRule="auto"/>
              <w:rPr>
                <w:sz w:val="18"/>
                <w:szCs w:val="18"/>
              </w:rPr>
            </w:pPr>
            <w:r>
              <w:rPr>
                <w:sz w:val="18"/>
                <w:szCs w:val="18"/>
              </w:rPr>
              <w:t>1</w:t>
            </w:r>
            <w:r w:rsidR="001F0074">
              <w:rPr>
                <w:sz w:val="18"/>
                <w:szCs w:val="18"/>
              </w:rPr>
              <w:t>6.6</w:t>
            </w:r>
            <w:r w:rsidR="008027FA">
              <w:rPr>
                <w:sz w:val="18"/>
                <w:szCs w:val="18"/>
              </w:rPr>
              <w:t>%</w:t>
            </w:r>
          </w:p>
        </w:tc>
      </w:tr>
      <w:tr w:rsidR="008027FA" w:rsidRPr="0073602A" w:rsidTr="0039366E">
        <w:tc>
          <w:tcPr>
            <w:tcW w:w="3369" w:type="dxa"/>
            <w:tcBorders>
              <w:top w:val="nil"/>
              <w:left w:val="nil"/>
              <w:bottom w:val="nil"/>
              <w:right w:val="nil"/>
            </w:tcBorders>
            <w:vAlign w:val="center"/>
          </w:tcPr>
          <w:p w:rsidR="008027FA" w:rsidRPr="00D76347" w:rsidRDefault="008027FA" w:rsidP="00861009">
            <w:pPr>
              <w:spacing w:after="0" w:line="240" w:lineRule="auto"/>
              <w:rPr>
                <w:sz w:val="18"/>
                <w:szCs w:val="18"/>
                <w:lang w:val="en-NZ" w:eastAsia="en-AU"/>
              </w:rPr>
            </w:pPr>
            <w:r>
              <w:rPr>
                <w:sz w:val="18"/>
                <w:szCs w:val="18"/>
                <w:lang w:val="en-NZ" w:eastAsia="en-AU"/>
              </w:rPr>
              <w:t>Other main benefit</w:t>
            </w:r>
            <w:r w:rsidR="00861009">
              <w:rPr>
                <w:sz w:val="18"/>
                <w:szCs w:val="18"/>
                <w:vertAlign w:val="superscript"/>
                <w:lang w:val="en-NZ" w:eastAsia="en-AU"/>
              </w:rPr>
              <w:t>5</w:t>
            </w:r>
          </w:p>
        </w:tc>
        <w:tc>
          <w:tcPr>
            <w:tcW w:w="2480" w:type="dxa"/>
            <w:tcBorders>
              <w:top w:val="nil"/>
              <w:left w:val="nil"/>
              <w:bottom w:val="nil"/>
              <w:right w:val="nil"/>
            </w:tcBorders>
            <w:vAlign w:val="bottom"/>
          </w:tcPr>
          <w:p w:rsidR="008027FA" w:rsidRPr="00D76347" w:rsidRDefault="00467C9F" w:rsidP="00467C9F">
            <w:pPr>
              <w:spacing w:before="20" w:after="20" w:line="240" w:lineRule="auto"/>
              <w:jc w:val="center"/>
              <w:rPr>
                <w:sz w:val="18"/>
                <w:szCs w:val="18"/>
              </w:rPr>
            </w:pPr>
            <w:r>
              <w:rPr>
                <w:sz w:val="18"/>
                <w:szCs w:val="18"/>
              </w:rPr>
              <w:t>0.4</w:t>
            </w:r>
          </w:p>
        </w:tc>
        <w:tc>
          <w:tcPr>
            <w:tcW w:w="2481" w:type="dxa"/>
            <w:tcBorders>
              <w:top w:val="nil"/>
              <w:left w:val="nil"/>
              <w:bottom w:val="nil"/>
              <w:right w:val="nil"/>
            </w:tcBorders>
            <w:vAlign w:val="bottom"/>
          </w:tcPr>
          <w:p w:rsidR="008027FA" w:rsidRPr="00D76347" w:rsidRDefault="001F0074" w:rsidP="0039366E">
            <w:pPr>
              <w:tabs>
                <w:tab w:val="decimal" w:pos="1168"/>
              </w:tabs>
              <w:spacing w:before="20" w:after="20" w:line="240" w:lineRule="auto"/>
              <w:rPr>
                <w:sz w:val="18"/>
                <w:szCs w:val="18"/>
              </w:rPr>
            </w:pPr>
            <w:r>
              <w:rPr>
                <w:sz w:val="18"/>
                <w:szCs w:val="18"/>
              </w:rPr>
              <w:t>3.9</w:t>
            </w:r>
            <w:r w:rsidR="008027FA">
              <w:rPr>
                <w:sz w:val="18"/>
                <w:szCs w:val="18"/>
              </w:rPr>
              <w:t>%</w:t>
            </w:r>
          </w:p>
        </w:tc>
      </w:tr>
      <w:tr w:rsidR="008027FA" w:rsidRPr="0073602A" w:rsidTr="0039366E">
        <w:tc>
          <w:tcPr>
            <w:tcW w:w="3369" w:type="dxa"/>
            <w:tcBorders>
              <w:top w:val="nil"/>
              <w:left w:val="nil"/>
              <w:bottom w:val="nil"/>
              <w:right w:val="nil"/>
            </w:tcBorders>
            <w:shd w:val="clear" w:color="auto" w:fill="CDD3F7"/>
            <w:vAlign w:val="center"/>
          </w:tcPr>
          <w:p w:rsidR="008027FA" w:rsidRPr="00D76347" w:rsidRDefault="008027FA" w:rsidP="00861009">
            <w:pPr>
              <w:spacing w:after="0" w:line="240" w:lineRule="auto"/>
              <w:rPr>
                <w:sz w:val="18"/>
                <w:szCs w:val="18"/>
                <w:lang w:val="en-NZ" w:eastAsia="en-AU"/>
              </w:rPr>
            </w:pPr>
            <w:r>
              <w:rPr>
                <w:sz w:val="18"/>
                <w:szCs w:val="18"/>
                <w:lang w:val="en-NZ" w:eastAsia="en-AU"/>
              </w:rPr>
              <w:t>Partner</w:t>
            </w:r>
            <w:r w:rsidR="00861009">
              <w:rPr>
                <w:sz w:val="18"/>
                <w:szCs w:val="18"/>
                <w:vertAlign w:val="superscript"/>
                <w:lang w:val="en-NZ" w:eastAsia="en-AU"/>
              </w:rPr>
              <w:t>6</w:t>
            </w:r>
          </w:p>
        </w:tc>
        <w:tc>
          <w:tcPr>
            <w:tcW w:w="2480" w:type="dxa"/>
            <w:tcBorders>
              <w:top w:val="nil"/>
              <w:left w:val="nil"/>
              <w:bottom w:val="nil"/>
              <w:right w:val="nil"/>
            </w:tcBorders>
            <w:shd w:val="clear" w:color="auto" w:fill="CDD3F7"/>
            <w:vAlign w:val="bottom"/>
          </w:tcPr>
          <w:p w:rsidR="008027FA" w:rsidRPr="00D76347" w:rsidRDefault="00467C9F" w:rsidP="00467C9F">
            <w:pPr>
              <w:spacing w:before="20" w:after="20" w:line="240" w:lineRule="auto"/>
              <w:jc w:val="center"/>
              <w:rPr>
                <w:sz w:val="18"/>
                <w:szCs w:val="18"/>
              </w:rPr>
            </w:pPr>
            <w:r>
              <w:rPr>
                <w:sz w:val="18"/>
                <w:szCs w:val="18"/>
              </w:rPr>
              <w:t>0.2</w:t>
            </w:r>
          </w:p>
        </w:tc>
        <w:tc>
          <w:tcPr>
            <w:tcW w:w="2481" w:type="dxa"/>
            <w:tcBorders>
              <w:top w:val="nil"/>
              <w:left w:val="nil"/>
              <w:bottom w:val="nil"/>
              <w:right w:val="nil"/>
            </w:tcBorders>
            <w:shd w:val="clear" w:color="auto" w:fill="CDD3F7"/>
            <w:vAlign w:val="bottom"/>
          </w:tcPr>
          <w:p w:rsidR="008027FA" w:rsidRPr="00D76347" w:rsidRDefault="00467C9F" w:rsidP="0039366E">
            <w:pPr>
              <w:tabs>
                <w:tab w:val="decimal" w:pos="1168"/>
              </w:tabs>
              <w:spacing w:before="20" w:after="20" w:line="240" w:lineRule="auto"/>
              <w:rPr>
                <w:sz w:val="18"/>
                <w:szCs w:val="18"/>
              </w:rPr>
            </w:pPr>
            <w:r>
              <w:rPr>
                <w:sz w:val="18"/>
                <w:szCs w:val="18"/>
              </w:rPr>
              <w:t>2</w:t>
            </w:r>
            <w:r w:rsidR="001F0074">
              <w:rPr>
                <w:sz w:val="18"/>
                <w:szCs w:val="18"/>
              </w:rPr>
              <w:t>.1</w:t>
            </w:r>
            <w:r w:rsidR="008027FA">
              <w:rPr>
                <w:sz w:val="18"/>
                <w:szCs w:val="18"/>
              </w:rPr>
              <w:t>%</w:t>
            </w:r>
          </w:p>
        </w:tc>
      </w:tr>
      <w:tr w:rsidR="008027FA" w:rsidRPr="0073602A" w:rsidTr="0039366E">
        <w:tc>
          <w:tcPr>
            <w:tcW w:w="3369" w:type="dxa"/>
            <w:tcBorders>
              <w:top w:val="single" w:sz="4" w:space="0" w:color="auto"/>
              <w:left w:val="nil"/>
              <w:bottom w:val="single" w:sz="4" w:space="0" w:color="auto"/>
              <w:right w:val="nil"/>
            </w:tcBorders>
            <w:vAlign w:val="center"/>
          </w:tcPr>
          <w:p w:rsidR="008027FA" w:rsidRPr="00D76347" w:rsidRDefault="008027FA" w:rsidP="0039366E">
            <w:pPr>
              <w:spacing w:after="0" w:line="240" w:lineRule="auto"/>
              <w:rPr>
                <w:sz w:val="18"/>
                <w:szCs w:val="18"/>
                <w:lang w:val="en-NZ" w:eastAsia="en-AU"/>
              </w:rPr>
            </w:pPr>
            <w:r>
              <w:rPr>
                <w:sz w:val="18"/>
                <w:szCs w:val="18"/>
                <w:lang w:val="en-NZ" w:eastAsia="en-AU"/>
              </w:rPr>
              <w:t>Total</w:t>
            </w:r>
          </w:p>
        </w:tc>
        <w:tc>
          <w:tcPr>
            <w:tcW w:w="2480" w:type="dxa"/>
            <w:tcBorders>
              <w:top w:val="single" w:sz="4" w:space="0" w:color="auto"/>
              <w:left w:val="nil"/>
              <w:bottom w:val="single" w:sz="4" w:space="0" w:color="auto"/>
              <w:right w:val="nil"/>
            </w:tcBorders>
            <w:vAlign w:val="bottom"/>
          </w:tcPr>
          <w:p w:rsidR="008027FA" w:rsidRPr="00D76347" w:rsidRDefault="001F0074" w:rsidP="00467C9F">
            <w:pPr>
              <w:spacing w:before="20" w:after="20" w:line="240" w:lineRule="auto"/>
              <w:jc w:val="center"/>
              <w:rPr>
                <w:sz w:val="18"/>
                <w:szCs w:val="18"/>
              </w:rPr>
            </w:pPr>
            <w:r>
              <w:rPr>
                <w:sz w:val="18"/>
                <w:szCs w:val="18"/>
              </w:rPr>
              <w:t>8.9</w:t>
            </w:r>
          </w:p>
        </w:tc>
        <w:tc>
          <w:tcPr>
            <w:tcW w:w="2481" w:type="dxa"/>
            <w:tcBorders>
              <w:top w:val="single" w:sz="4" w:space="0" w:color="auto"/>
              <w:left w:val="nil"/>
              <w:bottom w:val="single" w:sz="4" w:space="0" w:color="auto"/>
              <w:right w:val="nil"/>
            </w:tcBorders>
            <w:vAlign w:val="bottom"/>
          </w:tcPr>
          <w:p w:rsidR="008027FA" w:rsidRPr="00D76347" w:rsidRDefault="008027FA" w:rsidP="0039366E">
            <w:pPr>
              <w:tabs>
                <w:tab w:val="decimal" w:pos="1168"/>
              </w:tabs>
              <w:spacing w:before="20" w:after="20" w:line="240" w:lineRule="auto"/>
              <w:rPr>
                <w:sz w:val="18"/>
                <w:szCs w:val="18"/>
              </w:rPr>
            </w:pPr>
            <w:r>
              <w:rPr>
                <w:sz w:val="18"/>
                <w:szCs w:val="18"/>
              </w:rPr>
              <w:t>100</w:t>
            </w:r>
            <w:r w:rsidR="001F0074">
              <w:rPr>
                <w:sz w:val="18"/>
                <w:szCs w:val="18"/>
              </w:rPr>
              <w:t>.0</w:t>
            </w:r>
            <w:r>
              <w:rPr>
                <w:sz w:val="18"/>
                <w:szCs w:val="18"/>
              </w:rPr>
              <w:t>%</w:t>
            </w:r>
          </w:p>
        </w:tc>
      </w:tr>
    </w:tbl>
    <w:p w:rsidR="00EE27F1" w:rsidRDefault="008027FA" w:rsidP="008027FA">
      <w:pPr>
        <w:tabs>
          <w:tab w:val="left" w:pos="851"/>
        </w:tabs>
        <w:spacing w:after="20" w:line="240" w:lineRule="auto"/>
        <w:rPr>
          <w:sz w:val="16"/>
          <w:szCs w:val="16"/>
          <w:lang w:val="en-NZ"/>
        </w:rPr>
      </w:pPr>
      <w:r>
        <w:rPr>
          <w:sz w:val="16"/>
          <w:szCs w:val="16"/>
          <w:lang w:val="en-NZ"/>
        </w:rPr>
        <w:t>Note</w:t>
      </w:r>
      <w:r w:rsidR="00EE27F1">
        <w:rPr>
          <w:sz w:val="16"/>
          <w:szCs w:val="16"/>
          <w:lang w:val="en-NZ"/>
        </w:rPr>
        <w:t>s</w:t>
      </w:r>
      <w:r>
        <w:rPr>
          <w:sz w:val="16"/>
          <w:szCs w:val="16"/>
          <w:lang w:val="en-NZ"/>
        </w:rPr>
        <w:t>:</w:t>
      </w:r>
    </w:p>
    <w:p w:rsidR="00861009" w:rsidRDefault="001E04A0" w:rsidP="00487A14">
      <w:pPr>
        <w:pStyle w:val="ListParagraph"/>
        <w:numPr>
          <w:ilvl w:val="0"/>
          <w:numId w:val="7"/>
        </w:numPr>
        <w:tabs>
          <w:tab w:val="left" w:pos="851"/>
        </w:tabs>
        <w:spacing w:after="20" w:line="240" w:lineRule="auto"/>
        <w:ind w:right="804"/>
        <w:rPr>
          <w:sz w:val="16"/>
          <w:szCs w:val="16"/>
          <w:lang w:val="en-NZ"/>
        </w:rPr>
      </w:pPr>
      <w:r>
        <w:rPr>
          <w:sz w:val="16"/>
          <w:szCs w:val="16"/>
          <w:lang w:val="en-NZ"/>
        </w:rPr>
        <w:t>Individual b</w:t>
      </w:r>
      <w:r w:rsidR="00861009">
        <w:rPr>
          <w:sz w:val="16"/>
          <w:szCs w:val="16"/>
          <w:lang w:val="en-NZ"/>
        </w:rPr>
        <w:t>enefit types</w:t>
      </w:r>
      <w:r w:rsidR="00D105D9">
        <w:rPr>
          <w:sz w:val="16"/>
          <w:szCs w:val="16"/>
          <w:lang w:val="en-NZ"/>
        </w:rPr>
        <w:t xml:space="preserve"> and names</w:t>
      </w:r>
      <w:r w:rsidR="00861009">
        <w:rPr>
          <w:sz w:val="16"/>
          <w:szCs w:val="16"/>
          <w:lang w:val="en-NZ"/>
        </w:rPr>
        <w:t xml:space="preserve"> have changed over time, so benefits have been grouped into broad categories for summary purposes.</w:t>
      </w:r>
    </w:p>
    <w:p w:rsidR="008027FA" w:rsidRDefault="00736226" w:rsidP="00487A14">
      <w:pPr>
        <w:pStyle w:val="ListParagraph"/>
        <w:numPr>
          <w:ilvl w:val="0"/>
          <w:numId w:val="7"/>
        </w:numPr>
        <w:tabs>
          <w:tab w:val="left" w:pos="851"/>
        </w:tabs>
        <w:spacing w:after="20" w:line="240" w:lineRule="auto"/>
        <w:ind w:right="804"/>
        <w:rPr>
          <w:sz w:val="16"/>
          <w:szCs w:val="16"/>
          <w:lang w:val="en-NZ"/>
        </w:rPr>
      </w:pPr>
      <w:r>
        <w:rPr>
          <w:sz w:val="16"/>
          <w:szCs w:val="16"/>
          <w:lang w:val="en-NZ"/>
        </w:rPr>
        <w:t>Mostly</w:t>
      </w:r>
      <w:r w:rsidR="00EE27F1">
        <w:rPr>
          <w:sz w:val="16"/>
          <w:szCs w:val="16"/>
          <w:lang w:val="en-NZ"/>
        </w:rPr>
        <w:t xml:space="preserve"> </w:t>
      </w:r>
      <w:r w:rsidR="006A7EAA">
        <w:rPr>
          <w:sz w:val="16"/>
          <w:szCs w:val="16"/>
          <w:lang w:val="en-NZ"/>
        </w:rPr>
        <w:t>Jobseeker Support</w:t>
      </w:r>
      <w:r>
        <w:rPr>
          <w:sz w:val="16"/>
          <w:szCs w:val="16"/>
          <w:lang w:val="en-NZ"/>
        </w:rPr>
        <w:t>-Work Ready</w:t>
      </w:r>
      <w:r w:rsidR="006A7EAA">
        <w:rPr>
          <w:sz w:val="16"/>
          <w:szCs w:val="16"/>
          <w:lang w:val="en-NZ"/>
        </w:rPr>
        <w:t xml:space="preserve">, </w:t>
      </w:r>
      <w:r w:rsidR="000E08C3">
        <w:rPr>
          <w:sz w:val="16"/>
          <w:szCs w:val="16"/>
          <w:lang w:val="en-NZ"/>
        </w:rPr>
        <w:t>U</w:t>
      </w:r>
      <w:r w:rsidR="00EE27F1">
        <w:rPr>
          <w:sz w:val="16"/>
          <w:szCs w:val="16"/>
          <w:lang w:val="en-NZ"/>
        </w:rPr>
        <w:t>nemployment</w:t>
      </w:r>
      <w:r w:rsidR="000E08C3">
        <w:rPr>
          <w:sz w:val="16"/>
          <w:szCs w:val="16"/>
          <w:lang w:val="en-NZ"/>
        </w:rPr>
        <w:t xml:space="preserve"> Benefit,</w:t>
      </w:r>
      <w:r w:rsidR="00940446">
        <w:rPr>
          <w:sz w:val="16"/>
          <w:szCs w:val="16"/>
          <w:lang w:val="en-NZ"/>
        </w:rPr>
        <w:t xml:space="preserve"> </w:t>
      </w:r>
      <w:r w:rsidR="006A7EAA">
        <w:rPr>
          <w:sz w:val="16"/>
          <w:szCs w:val="16"/>
          <w:lang w:val="en-NZ"/>
        </w:rPr>
        <w:t>and c</w:t>
      </w:r>
      <w:r w:rsidR="00940446">
        <w:rPr>
          <w:sz w:val="16"/>
          <w:szCs w:val="16"/>
          <w:lang w:val="en-NZ"/>
        </w:rPr>
        <w:t xml:space="preserve">ommunity </w:t>
      </w:r>
      <w:r w:rsidR="006A7EAA">
        <w:rPr>
          <w:sz w:val="16"/>
          <w:szCs w:val="16"/>
          <w:lang w:val="en-NZ"/>
        </w:rPr>
        <w:t>w</w:t>
      </w:r>
      <w:r w:rsidR="00940446">
        <w:rPr>
          <w:sz w:val="16"/>
          <w:szCs w:val="16"/>
          <w:lang w:val="en-NZ"/>
        </w:rPr>
        <w:t>age-related benefits</w:t>
      </w:r>
      <w:r w:rsidR="00C25E43">
        <w:rPr>
          <w:sz w:val="16"/>
          <w:szCs w:val="16"/>
          <w:lang w:val="en-NZ"/>
        </w:rPr>
        <w:t>.</w:t>
      </w:r>
    </w:p>
    <w:p w:rsidR="00EE27F1" w:rsidRDefault="00736226" w:rsidP="00487A14">
      <w:pPr>
        <w:pStyle w:val="ListParagraph"/>
        <w:numPr>
          <w:ilvl w:val="0"/>
          <w:numId w:val="7"/>
        </w:numPr>
        <w:tabs>
          <w:tab w:val="left" w:pos="851"/>
        </w:tabs>
        <w:spacing w:after="20" w:line="240" w:lineRule="auto"/>
        <w:ind w:right="804"/>
        <w:rPr>
          <w:sz w:val="16"/>
          <w:szCs w:val="16"/>
          <w:lang w:val="en-NZ"/>
        </w:rPr>
      </w:pPr>
      <w:r>
        <w:rPr>
          <w:sz w:val="16"/>
          <w:szCs w:val="16"/>
          <w:lang w:val="en-NZ"/>
        </w:rPr>
        <w:t>Mostly</w:t>
      </w:r>
      <w:r w:rsidR="00EE27F1">
        <w:rPr>
          <w:sz w:val="16"/>
          <w:szCs w:val="16"/>
          <w:lang w:val="en-NZ"/>
        </w:rPr>
        <w:t xml:space="preserve"> </w:t>
      </w:r>
      <w:r w:rsidRPr="00736226">
        <w:rPr>
          <w:sz w:val="16"/>
          <w:szCs w:val="16"/>
          <w:lang w:val="en-NZ"/>
        </w:rPr>
        <w:t>Jobseeker Support</w:t>
      </w:r>
      <w:r>
        <w:rPr>
          <w:sz w:val="16"/>
          <w:szCs w:val="16"/>
          <w:lang w:val="en-NZ"/>
        </w:rPr>
        <w:t>-</w:t>
      </w:r>
      <w:r w:rsidRPr="00736226">
        <w:rPr>
          <w:sz w:val="16"/>
          <w:szCs w:val="16"/>
          <w:lang w:val="en-NZ"/>
        </w:rPr>
        <w:t xml:space="preserve">Health Condition or Disability, </w:t>
      </w:r>
      <w:r>
        <w:rPr>
          <w:sz w:val="16"/>
          <w:szCs w:val="16"/>
          <w:lang w:val="en-NZ"/>
        </w:rPr>
        <w:t>Sickness Benefit, Invalid’s Benefit</w:t>
      </w:r>
      <w:r w:rsidRPr="00736226">
        <w:rPr>
          <w:sz w:val="16"/>
          <w:szCs w:val="16"/>
          <w:lang w:val="en-NZ"/>
        </w:rPr>
        <w:t xml:space="preserve"> </w:t>
      </w:r>
      <w:r>
        <w:rPr>
          <w:sz w:val="16"/>
          <w:szCs w:val="16"/>
          <w:lang w:val="en-NZ"/>
        </w:rPr>
        <w:t xml:space="preserve">and </w:t>
      </w:r>
      <w:r w:rsidRPr="00736226">
        <w:rPr>
          <w:sz w:val="16"/>
          <w:szCs w:val="16"/>
          <w:lang w:val="en-NZ"/>
        </w:rPr>
        <w:t>Supported Living Payment</w:t>
      </w:r>
      <w:r>
        <w:rPr>
          <w:sz w:val="16"/>
          <w:szCs w:val="16"/>
          <w:lang w:val="en-NZ"/>
        </w:rPr>
        <w:t>-</w:t>
      </w:r>
      <w:r w:rsidRPr="00736226">
        <w:rPr>
          <w:sz w:val="16"/>
          <w:szCs w:val="16"/>
          <w:lang w:val="en-NZ"/>
        </w:rPr>
        <w:t>Health Condition or Disability</w:t>
      </w:r>
      <w:r w:rsidR="00EE27F1">
        <w:rPr>
          <w:sz w:val="16"/>
          <w:szCs w:val="16"/>
          <w:lang w:val="en-NZ"/>
        </w:rPr>
        <w:t>.</w:t>
      </w:r>
    </w:p>
    <w:p w:rsidR="00EE27F1" w:rsidRDefault="00736226" w:rsidP="00487A14">
      <w:pPr>
        <w:pStyle w:val="ListParagraph"/>
        <w:numPr>
          <w:ilvl w:val="0"/>
          <w:numId w:val="7"/>
        </w:numPr>
        <w:tabs>
          <w:tab w:val="left" w:pos="851"/>
        </w:tabs>
        <w:spacing w:after="20" w:line="240" w:lineRule="auto"/>
        <w:ind w:right="804"/>
        <w:rPr>
          <w:sz w:val="16"/>
          <w:szCs w:val="16"/>
          <w:lang w:val="en-NZ"/>
        </w:rPr>
      </w:pPr>
      <w:r>
        <w:rPr>
          <w:sz w:val="16"/>
          <w:szCs w:val="16"/>
          <w:lang w:val="en-NZ"/>
        </w:rPr>
        <w:t xml:space="preserve">Domestic Purposes Benefit-Sole Parent, </w:t>
      </w:r>
      <w:r w:rsidR="006A7EAA">
        <w:rPr>
          <w:sz w:val="16"/>
          <w:szCs w:val="16"/>
          <w:lang w:val="en-NZ"/>
        </w:rPr>
        <w:t xml:space="preserve">Sole Parent Support, and </w:t>
      </w:r>
      <w:r w:rsidR="00940446">
        <w:rPr>
          <w:sz w:val="16"/>
          <w:szCs w:val="16"/>
          <w:lang w:val="en-NZ"/>
        </w:rPr>
        <w:t>Emer</w:t>
      </w:r>
      <w:r w:rsidR="006A7EAA">
        <w:rPr>
          <w:sz w:val="16"/>
          <w:szCs w:val="16"/>
          <w:lang w:val="en-NZ"/>
        </w:rPr>
        <w:t>gency Maintenance Allowance</w:t>
      </w:r>
      <w:r w:rsidR="00EE27F1">
        <w:rPr>
          <w:sz w:val="16"/>
          <w:szCs w:val="16"/>
          <w:lang w:val="en-NZ"/>
        </w:rPr>
        <w:t>.</w:t>
      </w:r>
    </w:p>
    <w:p w:rsidR="00EE27F1" w:rsidRDefault="00736226" w:rsidP="00487A14">
      <w:pPr>
        <w:pStyle w:val="ListParagraph"/>
        <w:numPr>
          <w:ilvl w:val="0"/>
          <w:numId w:val="7"/>
        </w:numPr>
        <w:tabs>
          <w:tab w:val="left" w:pos="851"/>
        </w:tabs>
        <w:spacing w:after="20" w:line="240" w:lineRule="auto"/>
        <w:ind w:right="804"/>
        <w:rPr>
          <w:sz w:val="16"/>
          <w:szCs w:val="16"/>
          <w:lang w:val="en-NZ"/>
        </w:rPr>
      </w:pPr>
      <w:r>
        <w:rPr>
          <w:sz w:val="16"/>
          <w:szCs w:val="16"/>
          <w:lang w:val="en-NZ"/>
        </w:rPr>
        <w:t>Mostly</w:t>
      </w:r>
      <w:r w:rsidR="00EE27F1">
        <w:rPr>
          <w:sz w:val="16"/>
          <w:szCs w:val="16"/>
          <w:lang w:val="en-NZ"/>
        </w:rPr>
        <w:t xml:space="preserve"> Emergency Benefit, </w:t>
      </w:r>
      <w:r>
        <w:rPr>
          <w:sz w:val="16"/>
          <w:szCs w:val="16"/>
          <w:lang w:val="en-NZ"/>
        </w:rPr>
        <w:t>s</w:t>
      </w:r>
      <w:r w:rsidR="00EE27F1">
        <w:rPr>
          <w:sz w:val="16"/>
          <w:szCs w:val="16"/>
          <w:lang w:val="en-NZ"/>
        </w:rPr>
        <w:t xml:space="preserve">tudent </w:t>
      </w:r>
      <w:r>
        <w:rPr>
          <w:sz w:val="16"/>
          <w:szCs w:val="16"/>
          <w:lang w:val="en-NZ"/>
        </w:rPr>
        <w:t>h</w:t>
      </w:r>
      <w:r w:rsidR="00EE27F1">
        <w:rPr>
          <w:sz w:val="16"/>
          <w:szCs w:val="16"/>
          <w:lang w:val="en-NZ"/>
        </w:rPr>
        <w:t>ardship</w:t>
      </w:r>
      <w:r w:rsidR="00940446">
        <w:rPr>
          <w:sz w:val="16"/>
          <w:szCs w:val="16"/>
          <w:lang w:val="en-NZ"/>
        </w:rPr>
        <w:t>-related</w:t>
      </w:r>
      <w:r w:rsidR="00EE27F1">
        <w:rPr>
          <w:sz w:val="16"/>
          <w:szCs w:val="16"/>
          <w:lang w:val="en-NZ"/>
        </w:rPr>
        <w:t xml:space="preserve"> benefits</w:t>
      </w:r>
      <w:r w:rsidR="00940446">
        <w:rPr>
          <w:sz w:val="16"/>
          <w:szCs w:val="16"/>
          <w:lang w:val="en-NZ"/>
        </w:rPr>
        <w:t xml:space="preserve">, </w:t>
      </w:r>
      <w:r>
        <w:rPr>
          <w:sz w:val="16"/>
          <w:szCs w:val="16"/>
          <w:lang w:val="en-NZ"/>
        </w:rPr>
        <w:t>Domestic Purposes Benefit-</w:t>
      </w:r>
      <w:r w:rsidR="00940446">
        <w:rPr>
          <w:sz w:val="16"/>
          <w:szCs w:val="16"/>
          <w:lang w:val="en-NZ"/>
        </w:rPr>
        <w:t>Caring for Sick or Infirm</w:t>
      </w:r>
      <w:r>
        <w:rPr>
          <w:sz w:val="16"/>
          <w:szCs w:val="16"/>
          <w:lang w:val="en-NZ"/>
        </w:rPr>
        <w:t xml:space="preserve">, and </w:t>
      </w:r>
      <w:r w:rsidRPr="00736226">
        <w:rPr>
          <w:sz w:val="16"/>
          <w:szCs w:val="16"/>
          <w:lang w:val="en-NZ"/>
        </w:rPr>
        <w:t>Supported Living Payment-Caring</w:t>
      </w:r>
      <w:r w:rsidR="00EE27F1">
        <w:rPr>
          <w:sz w:val="16"/>
          <w:szCs w:val="16"/>
          <w:lang w:val="en-NZ"/>
        </w:rPr>
        <w:t>.</w:t>
      </w:r>
    </w:p>
    <w:p w:rsidR="00422462" w:rsidRDefault="00EE27F1" w:rsidP="00487A14">
      <w:pPr>
        <w:pStyle w:val="ListParagraph"/>
        <w:numPr>
          <w:ilvl w:val="0"/>
          <w:numId w:val="7"/>
        </w:numPr>
        <w:tabs>
          <w:tab w:val="left" w:pos="851"/>
        </w:tabs>
        <w:spacing w:after="20" w:line="240" w:lineRule="auto"/>
        <w:ind w:right="804"/>
        <w:rPr>
          <w:sz w:val="16"/>
          <w:szCs w:val="16"/>
          <w:lang w:val="en-NZ"/>
        </w:rPr>
      </w:pPr>
      <w:r w:rsidRPr="00422462">
        <w:rPr>
          <w:sz w:val="16"/>
          <w:szCs w:val="16"/>
          <w:lang w:val="en-NZ"/>
        </w:rPr>
        <w:t>Included in benefit as a partner of some other person.</w:t>
      </w:r>
    </w:p>
    <w:p w:rsidR="00422462" w:rsidRPr="00422462" w:rsidRDefault="00422462" w:rsidP="00487A14">
      <w:pPr>
        <w:pStyle w:val="ListParagraph"/>
        <w:numPr>
          <w:ilvl w:val="0"/>
          <w:numId w:val="7"/>
        </w:numPr>
        <w:tabs>
          <w:tab w:val="left" w:pos="851"/>
        </w:tabs>
        <w:spacing w:after="20" w:line="240" w:lineRule="auto"/>
        <w:ind w:right="804"/>
        <w:rPr>
          <w:sz w:val="16"/>
          <w:szCs w:val="16"/>
          <w:lang w:val="en-NZ"/>
        </w:rPr>
      </w:pPr>
      <w:r>
        <w:rPr>
          <w:sz w:val="16"/>
          <w:szCs w:val="16"/>
          <w:lang w:val="en-NZ"/>
        </w:rPr>
        <w:t>For each gang member, the total length of time (not necessarily continuously) spent receiving each type of benefit was calculated, then figures were averaged across all gang members who had received welfare support.</w:t>
      </w:r>
    </w:p>
    <w:p w:rsidR="008027FA" w:rsidRPr="00D00890" w:rsidRDefault="008027FA" w:rsidP="00861009">
      <w:pPr>
        <w:tabs>
          <w:tab w:val="left" w:pos="851"/>
        </w:tabs>
        <w:spacing w:after="20" w:line="240" w:lineRule="auto"/>
        <w:ind w:right="804"/>
        <w:rPr>
          <w:sz w:val="16"/>
          <w:szCs w:val="16"/>
          <w:lang w:val="en-NZ"/>
        </w:rPr>
      </w:pPr>
      <w:r w:rsidRPr="00D00890">
        <w:rPr>
          <w:sz w:val="16"/>
          <w:szCs w:val="16"/>
          <w:lang w:val="en-NZ"/>
        </w:rPr>
        <w:t>Source:</w:t>
      </w:r>
      <w:r w:rsidRPr="00D00890">
        <w:rPr>
          <w:sz w:val="16"/>
          <w:szCs w:val="16"/>
          <w:lang w:val="en-NZ"/>
        </w:rPr>
        <w:tab/>
      </w:r>
      <w:r>
        <w:rPr>
          <w:sz w:val="16"/>
          <w:szCs w:val="16"/>
          <w:lang w:val="en-NZ"/>
        </w:rPr>
        <w:t>Benefit Dynamics Dataset, Ministry of Social Development</w:t>
      </w:r>
      <w:r w:rsidRPr="00D00890">
        <w:rPr>
          <w:sz w:val="16"/>
          <w:szCs w:val="16"/>
          <w:lang w:val="en-NZ"/>
        </w:rPr>
        <w:t>.</w:t>
      </w:r>
    </w:p>
    <w:p w:rsidR="000C4A5D" w:rsidRDefault="000C4A5D" w:rsidP="00350EC5">
      <w:pPr>
        <w:spacing w:before="170" w:after="0"/>
        <w:rPr>
          <w:lang w:val="en-NZ"/>
        </w:rPr>
      </w:pPr>
      <w:r>
        <w:rPr>
          <w:lang w:val="en-NZ"/>
        </w:rPr>
        <w:t>Not surprisingly, total benefit duration is strongly related to age. For example, the gang members in their twenties ha</w:t>
      </w:r>
      <w:r w:rsidR="00CC79B6">
        <w:rPr>
          <w:lang w:val="en-NZ"/>
        </w:rPr>
        <w:t>d</w:t>
      </w:r>
      <w:r>
        <w:rPr>
          <w:lang w:val="en-NZ"/>
        </w:rPr>
        <w:t xml:space="preserve"> spent an average of 2.9 years receiving main benefits, compared to an average of 11.6 years for those in their forties.</w:t>
      </w:r>
    </w:p>
    <w:p w:rsidR="000C4A5D" w:rsidRDefault="000C4A5D" w:rsidP="00356A8B">
      <w:pPr>
        <w:spacing w:after="0"/>
        <w:rPr>
          <w:lang w:val="en-NZ"/>
        </w:rPr>
      </w:pPr>
    </w:p>
    <w:p w:rsidR="00350EC5" w:rsidRPr="008728C9" w:rsidRDefault="00643BC2" w:rsidP="00350EC5">
      <w:pPr>
        <w:rPr>
          <w:b/>
          <w:color w:val="121F6B"/>
          <w:lang w:val="en-NZ"/>
        </w:rPr>
      </w:pPr>
      <w:r>
        <w:rPr>
          <w:b/>
          <w:color w:val="121F6B"/>
          <w:lang w:val="en-NZ"/>
        </w:rPr>
        <w:t>Most gang members have also received o</w:t>
      </w:r>
      <w:r w:rsidR="00350EC5">
        <w:rPr>
          <w:b/>
          <w:color w:val="121F6B"/>
          <w:lang w:val="en-NZ"/>
        </w:rPr>
        <w:t xml:space="preserve">ther forms of </w:t>
      </w:r>
      <w:r w:rsidR="00350EC5" w:rsidRPr="008728C9">
        <w:rPr>
          <w:b/>
          <w:color w:val="121F6B"/>
          <w:lang w:val="en-NZ"/>
        </w:rPr>
        <w:t>welfare assistance</w:t>
      </w:r>
    </w:p>
    <w:p w:rsidR="0057402B" w:rsidRDefault="00350EC5" w:rsidP="0057402B">
      <w:pPr>
        <w:rPr>
          <w:lang w:val="en-NZ"/>
        </w:rPr>
      </w:pPr>
      <w:r>
        <w:rPr>
          <w:lang w:val="en-NZ"/>
        </w:rPr>
        <w:t xml:space="preserve">In addition to main benefits, Work and Income can </w:t>
      </w:r>
      <w:r w:rsidR="00456817">
        <w:rPr>
          <w:lang w:val="en-NZ"/>
        </w:rPr>
        <w:t xml:space="preserve">also </w:t>
      </w:r>
      <w:r>
        <w:rPr>
          <w:lang w:val="en-NZ"/>
        </w:rPr>
        <w:t xml:space="preserve">provide </w:t>
      </w:r>
      <w:r w:rsidR="00132A19">
        <w:rPr>
          <w:lang w:val="en-NZ"/>
        </w:rPr>
        <w:t>clients</w:t>
      </w:r>
      <w:r w:rsidR="003B3C69">
        <w:rPr>
          <w:lang w:val="en-NZ"/>
        </w:rPr>
        <w:t xml:space="preserve"> who qualify </w:t>
      </w:r>
      <w:r w:rsidR="00132A19">
        <w:rPr>
          <w:lang w:val="en-NZ"/>
        </w:rPr>
        <w:t xml:space="preserve">with </w:t>
      </w:r>
      <w:r>
        <w:rPr>
          <w:lang w:val="en-NZ"/>
        </w:rPr>
        <w:t xml:space="preserve">supplementary benefits </w:t>
      </w:r>
      <w:r w:rsidR="0057402B">
        <w:rPr>
          <w:lang w:val="en-NZ"/>
        </w:rPr>
        <w:t>(eg to meet accommodation, childcare, training</w:t>
      </w:r>
      <w:r w:rsidR="00B668D0">
        <w:rPr>
          <w:lang w:val="en-NZ"/>
        </w:rPr>
        <w:t xml:space="preserve"> or medical-related</w:t>
      </w:r>
      <w:r w:rsidR="0057402B">
        <w:rPr>
          <w:lang w:val="en-NZ"/>
        </w:rPr>
        <w:t xml:space="preserve"> costs</w:t>
      </w:r>
      <w:r w:rsidR="00B668D0">
        <w:rPr>
          <w:lang w:val="en-NZ"/>
        </w:rPr>
        <w:t xml:space="preserve">) </w:t>
      </w:r>
      <w:r>
        <w:rPr>
          <w:lang w:val="en-NZ"/>
        </w:rPr>
        <w:t>and ad-hoc payments</w:t>
      </w:r>
      <w:r w:rsidR="00B668D0">
        <w:rPr>
          <w:lang w:val="en-NZ"/>
        </w:rPr>
        <w:t xml:space="preserve"> (eg hardship assistance</w:t>
      </w:r>
      <w:r w:rsidR="003B3C69">
        <w:rPr>
          <w:lang w:val="en-NZ"/>
        </w:rPr>
        <w:t xml:space="preserve"> </w:t>
      </w:r>
      <w:r w:rsidR="00643BC2">
        <w:rPr>
          <w:lang w:val="en-NZ"/>
        </w:rPr>
        <w:t xml:space="preserve">to </w:t>
      </w:r>
      <w:r w:rsidR="00643BC2" w:rsidRPr="00643BC2">
        <w:rPr>
          <w:lang w:val="en-NZ"/>
        </w:rPr>
        <w:t>meet specific essential expenses</w:t>
      </w:r>
      <w:r w:rsidR="00B668D0">
        <w:rPr>
          <w:lang w:val="en-NZ"/>
        </w:rPr>
        <w:t>)</w:t>
      </w:r>
      <w:r>
        <w:rPr>
          <w:lang w:val="en-NZ"/>
        </w:rPr>
        <w:t>.</w:t>
      </w:r>
      <w:r w:rsidR="003B3C69">
        <w:rPr>
          <w:lang w:val="en-NZ"/>
        </w:rPr>
        <w:t xml:space="preserve"> Some types of ad-hoc payments are recoverable from the client.</w:t>
      </w:r>
    </w:p>
    <w:p w:rsidR="00350EC5" w:rsidRDefault="00456817" w:rsidP="00350EC5">
      <w:pPr>
        <w:rPr>
          <w:lang w:val="en-NZ"/>
        </w:rPr>
      </w:pPr>
      <w:r>
        <w:rPr>
          <w:lang w:val="en-NZ"/>
        </w:rPr>
        <w:t>Between 1 January 1993 and 31 December 2014, 3,601 gang members had received supplementary benefits, and 3,536 had received at least one ad-hoc payment. Almost all of these gang members had also received main benefits, with only 43 gang members being paid supplementary benefits and/or ad-hoc payments only.</w:t>
      </w:r>
    </w:p>
    <w:p w:rsidR="00B351EC" w:rsidRPr="008728C9" w:rsidRDefault="00F02909" w:rsidP="008728C9">
      <w:pPr>
        <w:rPr>
          <w:b/>
          <w:color w:val="121F6B"/>
          <w:lang w:val="en-NZ"/>
        </w:rPr>
      </w:pPr>
      <w:r>
        <w:rPr>
          <w:b/>
          <w:color w:val="121F6B"/>
          <w:lang w:val="en-NZ"/>
        </w:rPr>
        <w:t>The</w:t>
      </w:r>
      <w:r w:rsidR="00B351EC" w:rsidRPr="008728C9">
        <w:rPr>
          <w:b/>
          <w:color w:val="121F6B"/>
          <w:lang w:val="en-NZ"/>
        </w:rPr>
        <w:t xml:space="preserve"> gang members </w:t>
      </w:r>
      <w:r w:rsidR="00D20D93">
        <w:rPr>
          <w:b/>
          <w:color w:val="121F6B"/>
          <w:lang w:val="en-NZ"/>
        </w:rPr>
        <w:t>have been</w:t>
      </w:r>
      <w:r w:rsidR="00B351EC" w:rsidRPr="008728C9">
        <w:rPr>
          <w:b/>
          <w:color w:val="121F6B"/>
          <w:lang w:val="en-NZ"/>
        </w:rPr>
        <w:t xml:space="preserve"> paid </w:t>
      </w:r>
      <w:r w:rsidR="00A15540">
        <w:rPr>
          <w:b/>
          <w:color w:val="121F6B"/>
          <w:lang w:val="en-NZ"/>
        </w:rPr>
        <w:t>a</w:t>
      </w:r>
      <w:r w:rsidR="00762414">
        <w:rPr>
          <w:b/>
          <w:color w:val="121F6B"/>
          <w:lang w:val="en-NZ"/>
        </w:rPr>
        <w:t>n estimated</w:t>
      </w:r>
      <w:r w:rsidR="00A15540">
        <w:rPr>
          <w:b/>
          <w:color w:val="121F6B"/>
          <w:lang w:val="en-NZ"/>
        </w:rPr>
        <w:t xml:space="preserve"> total of </w:t>
      </w:r>
      <w:r w:rsidR="00B351EC" w:rsidRPr="008728C9">
        <w:rPr>
          <w:b/>
          <w:color w:val="121F6B"/>
          <w:lang w:val="en-NZ"/>
        </w:rPr>
        <w:t>$</w:t>
      </w:r>
      <w:r w:rsidR="0034284A">
        <w:rPr>
          <w:b/>
          <w:color w:val="121F6B"/>
          <w:lang w:val="en-NZ"/>
        </w:rPr>
        <w:t>5</w:t>
      </w:r>
      <w:r w:rsidR="00145168">
        <w:rPr>
          <w:b/>
          <w:color w:val="121F6B"/>
          <w:lang w:val="en-NZ"/>
        </w:rPr>
        <w:t>25</w:t>
      </w:r>
      <w:r w:rsidR="002A2686">
        <w:rPr>
          <w:b/>
          <w:color w:val="121F6B"/>
          <w:lang w:val="en-NZ"/>
        </w:rPr>
        <w:t xml:space="preserve"> </w:t>
      </w:r>
      <w:r w:rsidR="00B351EC" w:rsidRPr="008728C9">
        <w:rPr>
          <w:b/>
          <w:color w:val="121F6B"/>
          <w:lang w:val="en-NZ"/>
        </w:rPr>
        <w:t>m</w:t>
      </w:r>
      <w:r w:rsidR="002A2686">
        <w:rPr>
          <w:b/>
          <w:color w:val="121F6B"/>
          <w:lang w:val="en-NZ"/>
        </w:rPr>
        <w:t>illion</w:t>
      </w:r>
      <w:r w:rsidR="00B351EC" w:rsidRPr="008728C9">
        <w:rPr>
          <w:b/>
          <w:color w:val="121F6B"/>
          <w:lang w:val="en-NZ"/>
        </w:rPr>
        <w:t xml:space="preserve"> in </w:t>
      </w:r>
      <w:r w:rsidR="00653118" w:rsidRPr="008728C9">
        <w:rPr>
          <w:b/>
          <w:color w:val="121F6B"/>
          <w:lang w:val="en-NZ"/>
        </w:rPr>
        <w:t>welfare assistance</w:t>
      </w:r>
    </w:p>
    <w:p w:rsidR="00B351EC" w:rsidRDefault="00B351EC" w:rsidP="00B351EC">
      <w:pPr>
        <w:rPr>
          <w:lang w:val="en-NZ"/>
        </w:rPr>
      </w:pPr>
      <w:r>
        <w:rPr>
          <w:lang w:val="en-NZ"/>
        </w:rPr>
        <w:t xml:space="preserve">The </w:t>
      </w:r>
      <w:r w:rsidR="003A61DD">
        <w:rPr>
          <w:lang w:val="en-NZ"/>
        </w:rPr>
        <w:t>overall</w:t>
      </w:r>
      <w:r>
        <w:rPr>
          <w:lang w:val="en-NZ"/>
        </w:rPr>
        <w:t xml:space="preserve"> cost of the main benefits paid to the gang members </w:t>
      </w:r>
      <w:r w:rsidR="00C1013A">
        <w:rPr>
          <w:lang w:val="en-NZ"/>
        </w:rPr>
        <w:t xml:space="preserve">between 1 January 1993 and 31 December 2014 </w:t>
      </w:r>
      <w:r>
        <w:rPr>
          <w:lang w:val="en-NZ"/>
        </w:rPr>
        <w:t xml:space="preserve">was </w:t>
      </w:r>
      <w:r w:rsidR="00762414">
        <w:rPr>
          <w:lang w:val="en-NZ"/>
        </w:rPr>
        <w:t>estimated to be</w:t>
      </w:r>
      <w:r>
        <w:rPr>
          <w:lang w:val="en-NZ"/>
        </w:rPr>
        <w:t xml:space="preserve"> $3</w:t>
      </w:r>
      <w:r w:rsidR="00145168">
        <w:rPr>
          <w:lang w:val="en-NZ"/>
        </w:rPr>
        <w:t>82</w:t>
      </w:r>
      <w:r>
        <w:rPr>
          <w:lang w:val="en-NZ"/>
        </w:rPr>
        <w:t>m</w:t>
      </w:r>
      <w:r w:rsidR="009F2B4D">
        <w:rPr>
          <w:lang w:val="en-NZ"/>
        </w:rPr>
        <w:t>. This is an</w:t>
      </w:r>
      <w:r>
        <w:rPr>
          <w:lang w:val="en-NZ"/>
        </w:rPr>
        <w:t xml:space="preserve"> averag</w:t>
      </w:r>
      <w:r w:rsidR="009F2B4D">
        <w:rPr>
          <w:lang w:val="en-NZ"/>
        </w:rPr>
        <w:t>e of</w:t>
      </w:r>
      <w:r>
        <w:rPr>
          <w:lang w:val="en-NZ"/>
        </w:rPr>
        <w:t xml:space="preserve"> </w:t>
      </w:r>
      <w:r w:rsidR="00CB27F7">
        <w:rPr>
          <w:lang w:val="en-NZ"/>
        </w:rPr>
        <w:t xml:space="preserve">around </w:t>
      </w:r>
      <w:r>
        <w:rPr>
          <w:lang w:val="en-NZ"/>
        </w:rPr>
        <w:t>$</w:t>
      </w:r>
      <w:r w:rsidR="00145168">
        <w:rPr>
          <w:lang w:val="en-NZ"/>
        </w:rPr>
        <w:t>96</w:t>
      </w:r>
      <w:r>
        <w:rPr>
          <w:lang w:val="en-NZ"/>
        </w:rPr>
        <w:t xml:space="preserve">,000 </w:t>
      </w:r>
      <w:r w:rsidR="00633F6B">
        <w:rPr>
          <w:lang w:val="en-NZ"/>
        </w:rPr>
        <w:t>for each of the</w:t>
      </w:r>
      <w:r w:rsidR="009F2B4D">
        <w:rPr>
          <w:lang w:val="en-NZ"/>
        </w:rPr>
        <w:t xml:space="preserve"> </w:t>
      </w:r>
      <w:r w:rsidR="00156F46">
        <w:rPr>
          <w:lang w:val="en-NZ"/>
        </w:rPr>
        <w:t xml:space="preserve">total </w:t>
      </w:r>
      <w:r w:rsidR="009F2B4D">
        <w:rPr>
          <w:lang w:val="en-NZ"/>
        </w:rPr>
        <w:t xml:space="preserve">3,960 </w:t>
      </w:r>
      <w:r w:rsidR="000E0AD8" w:rsidRPr="00184D94">
        <w:rPr>
          <w:lang w:val="en-NZ"/>
        </w:rPr>
        <w:t xml:space="preserve">known </w:t>
      </w:r>
      <w:r w:rsidR="009F2B4D">
        <w:rPr>
          <w:lang w:val="en-NZ"/>
        </w:rPr>
        <w:t>gang members</w:t>
      </w:r>
      <w:r>
        <w:rPr>
          <w:lang w:val="en-NZ"/>
        </w:rPr>
        <w:t xml:space="preserve">. These costs </w:t>
      </w:r>
      <w:r w:rsidR="00A63A97">
        <w:rPr>
          <w:lang w:val="en-NZ"/>
        </w:rPr>
        <w:t>were calculated</w:t>
      </w:r>
      <w:r w:rsidR="002A714A">
        <w:rPr>
          <w:lang w:val="en-NZ"/>
        </w:rPr>
        <w:t xml:space="preserve"> in 2014 dollars</w:t>
      </w:r>
      <w:r>
        <w:rPr>
          <w:lang w:val="en-NZ"/>
        </w:rPr>
        <w:t>.</w:t>
      </w:r>
    </w:p>
    <w:p w:rsidR="00B351EC" w:rsidRDefault="00B351EC" w:rsidP="00806209">
      <w:pPr>
        <w:rPr>
          <w:lang w:val="en-NZ"/>
        </w:rPr>
      </w:pPr>
      <w:r>
        <w:rPr>
          <w:lang w:val="en-NZ"/>
        </w:rPr>
        <w:lastRenderedPageBreak/>
        <w:t>In addition to the main benefit costs above, a</w:t>
      </w:r>
      <w:r w:rsidR="00762414">
        <w:rPr>
          <w:lang w:val="en-NZ"/>
        </w:rPr>
        <w:t>n estimated</w:t>
      </w:r>
      <w:r>
        <w:rPr>
          <w:lang w:val="en-NZ"/>
        </w:rPr>
        <w:t xml:space="preserve"> total </w:t>
      </w:r>
      <w:r w:rsidR="00640EE6">
        <w:rPr>
          <w:lang w:val="en-NZ"/>
        </w:rPr>
        <w:t xml:space="preserve">of </w:t>
      </w:r>
      <w:r>
        <w:rPr>
          <w:lang w:val="en-NZ"/>
        </w:rPr>
        <w:t>$14</w:t>
      </w:r>
      <w:r w:rsidR="00145168">
        <w:rPr>
          <w:lang w:val="en-NZ"/>
        </w:rPr>
        <w:t>3</w:t>
      </w:r>
      <w:r>
        <w:rPr>
          <w:lang w:val="en-NZ"/>
        </w:rPr>
        <w:t xml:space="preserve">m was paid to the gang members in supplementary </w:t>
      </w:r>
      <w:r w:rsidR="00806209">
        <w:rPr>
          <w:lang w:val="en-NZ"/>
        </w:rPr>
        <w:t>benefits</w:t>
      </w:r>
      <w:r>
        <w:rPr>
          <w:lang w:val="en-NZ"/>
        </w:rPr>
        <w:t xml:space="preserve"> and ad-hoc payments. This is an average of </w:t>
      </w:r>
      <w:r w:rsidR="001A483B">
        <w:rPr>
          <w:lang w:val="en-NZ"/>
        </w:rPr>
        <w:t xml:space="preserve">around </w:t>
      </w:r>
      <w:r w:rsidR="009F2B4D">
        <w:rPr>
          <w:lang w:val="en-NZ"/>
        </w:rPr>
        <w:t>$3</w:t>
      </w:r>
      <w:r w:rsidR="00145168">
        <w:rPr>
          <w:lang w:val="en-NZ"/>
        </w:rPr>
        <w:t>6</w:t>
      </w:r>
      <w:r w:rsidR="009F2B4D">
        <w:rPr>
          <w:lang w:val="en-NZ"/>
        </w:rPr>
        <w:t xml:space="preserve">,000 </w:t>
      </w:r>
      <w:r w:rsidR="00633F6B">
        <w:rPr>
          <w:lang w:val="en-NZ"/>
        </w:rPr>
        <w:t>for each of the</w:t>
      </w:r>
      <w:r w:rsidR="009F2B4D">
        <w:rPr>
          <w:lang w:val="en-NZ"/>
        </w:rPr>
        <w:t xml:space="preserve"> </w:t>
      </w:r>
      <w:r w:rsidR="00156F46">
        <w:rPr>
          <w:lang w:val="en-NZ"/>
        </w:rPr>
        <w:t xml:space="preserve">total </w:t>
      </w:r>
      <w:r w:rsidR="009F2B4D">
        <w:rPr>
          <w:lang w:val="en-NZ"/>
        </w:rPr>
        <w:t xml:space="preserve">3,960 </w:t>
      </w:r>
      <w:r w:rsidR="000E0AD8" w:rsidRPr="00184D94">
        <w:rPr>
          <w:lang w:val="en-NZ"/>
        </w:rPr>
        <w:t xml:space="preserve">known </w:t>
      </w:r>
      <w:r w:rsidR="009F2B4D">
        <w:rPr>
          <w:lang w:val="en-NZ"/>
        </w:rPr>
        <w:t>gang members</w:t>
      </w:r>
      <w:r>
        <w:rPr>
          <w:lang w:val="en-NZ"/>
        </w:rPr>
        <w:t>.</w:t>
      </w:r>
    </w:p>
    <w:p w:rsidR="003A61DD" w:rsidRDefault="003A61DD" w:rsidP="00806209">
      <w:pPr>
        <w:rPr>
          <w:lang w:val="en-NZ"/>
        </w:rPr>
      </w:pPr>
      <w:r>
        <w:rPr>
          <w:lang w:val="en-NZ"/>
        </w:rPr>
        <w:t xml:space="preserve">In total, </w:t>
      </w:r>
      <w:r w:rsidR="000E3341">
        <w:rPr>
          <w:lang w:val="en-NZ"/>
        </w:rPr>
        <w:t xml:space="preserve">an estimated </w:t>
      </w:r>
      <w:r>
        <w:rPr>
          <w:lang w:val="en-NZ"/>
        </w:rPr>
        <w:t>$5</w:t>
      </w:r>
      <w:r w:rsidR="00145168">
        <w:rPr>
          <w:lang w:val="en-NZ"/>
        </w:rPr>
        <w:t>25</w:t>
      </w:r>
      <w:r>
        <w:rPr>
          <w:lang w:val="en-NZ"/>
        </w:rPr>
        <w:t>m</w:t>
      </w:r>
      <w:r w:rsidR="000E3341">
        <w:rPr>
          <w:lang w:val="en-NZ"/>
        </w:rPr>
        <w:t xml:space="preserve"> in</w:t>
      </w:r>
      <w:r>
        <w:rPr>
          <w:lang w:val="en-NZ"/>
        </w:rPr>
        <w:t xml:space="preserve"> welfare assistance </w:t>
      </w:r>
      <w:r w:rsidR="000E3341">
        <w:rPr>
          <w:lang w:val="en-NZ"/>
        </w:rPr>
        <w:t xml:space="preserve">was </w:t>
      </w:r>
      <w:r>
        <w:rPr>
          <w:lang w:val="en-NZ"/>
        </w:rPr>
        <w:t xml:space="preserve">paid to </w:t>
      </w:r>
      <w:r w:rsidR="000E3341">
        <w:rPr>
          <w:lang w:val="en-NZ"/>
        </w:rPr>
        <w:t>the gang members</w:t>
      </w:r>
      <w:r w:rsidR="00643BC2">
        <w:rPr>
          <w:lang w:val="en-NZ"/>
        </w:rPr>
        <w:t>,</w:t>
      </w:r>
      <w:r w:rsidR="000E3341">
        <w:rPr>
          <w:lang w:val="en-NZ"/>
        </w:rPr>
        <w:t xml:space="preserve"> an average of around $13</w:t>
      </w:r>
      <w:r w:rsidR="00145168">
        <w:rPr>
          <w:lang w:val="en-NZ"/>
        </w:rPr>
        <w:t>2</w:t>
      </w:r>
      <w:r w:rsidR="000E3341">
        <w:rPr>
          <w:lang w:val="en-NZ"/>
        </w:rPr>
        <w:t>,000 per known gang member.</w:t>
      </w:r>
    </w:p>
    <w:p w:rsidR="00035C56" w:rsidRPr="008728C9" w:rsidRDefault="00356A8B" w:rsidP="008728C9">
      <w:pPr>
        <w:rPr>
          <w:b/>
          <w:color w:val="121F6B"/>
          <w:lang w:val="en-NZ"/>
        </w:rPr>
      </w:pPr>
      <w:r>
        <w:rPr>
          <w:b/>
          <w:color w:val="121F6B"/>
          <w:lang w:val="en-NZ"/>
        </w:rPr>
        <w:t>Over</w:t>
      </w:r>
      <w:r w:rsidR="00C651BC" w:rsidRPr="008728C9">
        <w:rPr>
          <w:b/>
          <w:color w:val="121F6B"/>
          <w:lang w:val="en-NZ"/>
        </w:rPr>
        <w:t xml:space="preserve"> 7,000 </w:t>
      </w:r>
      <w:r>
        <w:rPr>
          <w:b/>
          <w:color w:val="121F6B"/>
          <w:lang w:val="en-NZ"/>
        </w:rPr>
        <w:t xml:space="preserve">dependent </w:t>
      </w:r>
      <w:r w:rsidR="00C651BC" w:rsidRPr="008728C9">
        <w:rPr>
          <w:b/>
          <w:color w:val="121F6B"/>
          <w:lang w:val="en-NZ"/>
        </w:rPr>
        <w:t>c</w:t>
      </w:r>
      <w:r w:rsidR="00035C56" w:rsidRPr="008728C9">
        <w:rPr>
          <w:b/>
          <w:color w:val="121F6B"/>
          <w:lang w:val="en-NZ"/>
        </w:rPr>
        <w:t xml:space="preserve">hildren </w:t>
      </w:r>
      <w:r>
        <w:rPr>
          <w:b/>
          <w:color w:val="121F6B"/>
          <w:lang w:val="en-NZ"/>
        </w:rPr>
        <w:t xml:space="preserve">were </w:t>
      </w:r>
      <w:r w:rsidR="00035C56" w:rsidRPr="008728C9">
        <w:rPr>
          <w:b/>
          <w:color w:val="121F6B"/>
          <w:lang w:val="en-NZ"/>
        </w:rPr>
        <w:t>included in benefit</w:t>
      </w:r>
      <w:r w:rsidR="00C651BC" w:rsidRPr="008728C9">
        <w:rPr>
          <w:b/>
          <w:color w:val="121F6B"/>
          <w:lang w:val="en-NZ"/>
        </w:rPr>
        <w:t xml:space="preserve"> spells with gang members</w:t>
      </w:r>
    </w:p>
    <w:p w:rsidR="00035C56" w:rsidRPr="00687BFE" w:rsidRDefault="002B6E37" w:rsidP="00680F02">
      <w:pPr>
        <w:rPr>
          <w:lang w:val="en-NZ"/>
        </w:rPr>
      </w:pPr>
      <w:r w:rsidRPr="00687BFE">
        <w:rPr>
          <w:lang w:val="en-NZ"/>
        </w:rPr>
        <w:t>Over half (5</w:t>
      </w:r>
      <w:r w:rsidR="00356A8B">
        <w:rPr>
          <w:lang w:val="en-NZ"/>
        </w:rPr>
        <w:t>9</w:t>
      </w:r>
      <w:r w:rsidR="00393E0E">
        <w:rPr>
          <w:lang w:val="en-NZ"/>
        </w:rPr>
        <w:t xml:space="preserve"> </w:t>
      </w:r>
      <w:r w:rsidR="005D7755">
        <w:rPr>
          <w:lang w:val="en-NZ"/>
        </w:rPr>
        <w:t>percent</w:t>
      </w:r>
      <w:r w:rsidRPr="00687BFE">
        <w:rPr>
          <w:lang w:val="en-NZ"/>
        </w:rPr>
        <w:t xml:space="preserve"> or 2,3</w:t>
      </w:r>
      <w:r w:rsidR="00BC3011">
        <w:rPr>
          <w:lang w:val="en-NZ"/>
        </w:rPr>
        <w:t>37</w:t>
      </w:r>
      <w:r w:rsidRPr="00687BFE">
        <w:rPr>
          <w:lang w:val="en-NZ"/>
        </w:rPr>
        <w:t xml:space="preserve">) of </w:t>
      </w:r>
      <w:r w:rsidR="00B37035">
        <w:rPr>
          <w:lang w:val="en-NZ"/>
        </w:rPr>
        <w:t>all</w:t>
      </w:r>
      <w:r w:rsidRPr="00687BFE">
        <w:rPr>
          <w:lang w:val="en-NZ"/>
        </w:rPr>
        <w:t xml:space="preserve"> </w:t>
      </w:r>
      <w:r w:rsidR="00680F02" w:rsidRPr="00687BFE">
        <w:rPr>
          <w:lang w:val="en-NZ"/>
        </w:rPr>
        <w:t xml:space="preserve">gang members </w:t>
      </w:r>
      <w:r w:rsidRPr="00687BFE">
        <w:rPr>
          <w:lang w:val="en-NZ"/>
        </w:rPr>
        <w:t xml:space="preserve">had benefit spells that included </w:t>
      </w:r>
      <w:r w:rsidR="0021687B">
        <w:rPr>
          <w:lang w:val="en-NZ"/>
        </w:rPr>
        <w:t xml:space="preserve">dependent </w:t>
      </w:r>
      <w:r w:rsidRPr="00687BFE">
        <w:rPr>
          <w:lang w:val="en-NZ"/>
        </w:rPr>
        <w:t>children</w:t>
      </w:r>
      <w:r w:rsidR="0021687B">
        <w:rPr>
          <w:rStyle w:val="FootnoteReference"/>
        </w:rPr>
        <w:footnoteReference w:id="10"/>
      </w:r>
      <w:r w:rsidR="00643BC2">
        <w:rPr>
          <w:lang w:val="en-NZ"/>
        </w:rPr>
        <w:t>,</w:t>
      </w:r>
      <w:r w:rsidRPr="00687BFE">
        <w:rPr>
          <w:lang w:val="en-NZ"/>
        </w:rPr>
        <w:t xml:space="preserve"> either with or without a partner. A total of </w:t>
      </w:r>
      <w:r w:rsidR="00356A8B">
        <w:rPr>
          <w:lang w:val="en-NZ"/>
        </w:rPr>
        <w:t>7</w:t>
      </w:r>
      <w:r w:rsidRPr="00687BFE">
        <w:rPr>
          <w:lang w:val="en-NZ"/>
        </w:rPr>
        <w:t>,</w:t>
      </w:r>
      <w:r w:rsidR="00BC3011">
        <w:rPr>
          <w:lang w:val="en-NZ"/>
        </w:rPr>
        <w:t>075</w:t>
      </w:r>
      <w:r w:rsidR="001A0B11" w:rsidRPr="00687BFE">
        <w:rPr>
          <w:lang w:val="en-NZ"/>
        </w:rPr>
        <w:t xml:space="preserve"> </w:t>
      </w:r>
      <w:r w:rsidR="00680F02" w:rsidRPr="00687BFE">
        <w:rPr>
          <w:lang w:val="en-NZ"/>
        </w:rPr>
        <w:t xml:space="preserve">children </w:t>
      </w:r>
      <w:r w:rsidRPr="00687BFE">
        <w:rPr>
          <w:lang w:val="en-NZ"/>
        </w:rPr>
        <w:t>were included in these benefit spells.</w:t>
      </w:r>
      <w:r w:rsidR="002E5AD0">
        <w:rPr>
          <w:rStyle w:val="FootnoteReference"/>
        </w:rPr>
        <w:footnoteReference w:id="11"/>
      </w:r>
    </w:p>
    <w:p w:rsidR="00680F02" w:rsidRDefault="00680F02" w:rsidP="00680F02">
      <w:pPr>
        <w:rPr>
          <w:lang w:val="en-NZ"/>
        </w:rPr>
      </w:pPr>
      <w:r w:rsidRPr="00687BFE">
        <w:rPr>
          <w:lang w:val="en-NZ"/>
        </w:rPr>
        <w:t xml:space="preserve">The </w:t>
      </w:r>
      <w:r w:rsidR="00356A8B">
        <w:rPr>
          <w:lang w:val="en-NZ"/>
        </w:rPr>
        <w:t>7,</w:t>
      </w:r>
      <w:r w:rsidR="00BC3011">
        <w:rPr>
          <w:lang w:val="en-NZ"/>
        </w:rPr>
        <w:t>075</w:t>
      </w:r>
      <w:r w:rsidR="002B6E37" w:rsidRPr="00687BFE">
        <w:rPr>
          <w:lang w:val="en-NZ"/>
        </w:rPr>
        <w:t xml:space="preserve"> </w:t>
      </w:r>
      <w:r w:rsidRPr="00687BFE">
        <w:rPr>
          <w:lang w:val="en-NZ"/>
        </w:rPr>
        <w:t>children spent an average of 2.</w:t>
      </w:r>
      <w:r w:rsidR="002B6E37" w:rsidRPr="00687BFE">
        <w:rPr>
          <w:lang w:val="en-NZ"/>
        </w:rPr>
        <w:t>8</w:t>
      </w:r>
      <w:r w:rsidRPr="00687BFE">
        <w:rPr>
          <w:lang w:val="en-NZ"/>
        </w:rPr>
        <w:t xml:space="preserve"> years included in benefit as a dependent child. </w:t>
      </w:r>
      <w:r w:rsidR="00356A8B">
        <w:rPr>
          <w:lang w:val="en-NZ"/>
        </w:rPr>
        <w:t>Most commonly</w:t>
      </w:r>
      <w:r w:rsidR="002B6E37" w:rsidRPr="00687BFE">
        <w:rPr>
          <w:lang w:val="en-NZ"/>
        </w:rPr>
        <w:t>, the children were included in either sole parent-related benefits or job seeker-related benefits.</w:t>
      </w:r>
    </w:p>
    <w:bookmarkEnd w:id="24"/>
    <w:p w:rsidR="002137DF" w:rsidRDefault="006F732F" w:rsidP="00CC228B">
      <w:pPr>
        <w:rPr>
          <w:lang w:val="en-NZ" w:eastAsia="en-AU"/>
        </w:rPr>
      </w:pPr>
      <w:r>
        <w:rPr>
          <w:lang w:val="en-NZ" w:eastAsia="en-AU"/>
        </w:rPr>
        <w:t>A total of 1,3</w:t>
      </w:r>
      <w:r w:rsidR="001A0B11">
        <w:rPr>
          <w:lang w:val="en-NZ" w:eastAsia="en-AU"/>
        </w:rPr>
        <w:t>9</w:t>
      </w:r>
      <w:r w:rsidR="00BC3011">
        <w:rPr>
          <w:lang w:val="en-NZ" w:eastAsia="en-AU"/>
        </w:rPr>
        <w:t>3</w:t>
      </w:r>
      <w:r w:rsidR="00356A8B">
        <w:rPr>
          <w:lang w:val="en-NZ" w:eastAsia="en-AU"/>
        </w:rPr>
        <w:t xml:space="preserve"> children spent more </w:t>
      </w:r>
      <w:r>
        <w:rPr>
          <w:lang w:val="en-NZ" w:eastAsia="en-AU"/>
        </w:rPr>
        <w:t xml:space="preserve">than </w:t>
      </w:r>
      <w:r w:rsidR="00356A8B">
        <w:rPr>
          <w:lang w:val="en-NZ" w:eastAsia="en-AU"/>
        </w:rPr>
        <w:t xml:space="preserve">five years included in benefit with a gang member, including </w:t>
      </w:r>
      <w:r w:rsidR="00BC3011">
        <w:rPr>
          <w:lang w:val="en-NZ" w:eastAsia="en-AU"/>
        </w:rPr>
        <w:t>319</w:t>
      </w:r>
      <w:r w:rsidR="00356A8B">
        <w:rPr>
          <w:lang w:val="en-NZ" w:eastAsia="en-AU"/>
        </w:rPr>
        <w:t xml:space="preserve"> who spent </w:t>
      </w:r>
      <w:r>
        <w:rPr>
          <w:lang w:val="en-NZ" w:eastAsia="en-AU"/>
        </w:rPr>
        <w:t>more than</w:t>
      </w:r>
      <w:r w:rsidR="00356A8B">
        <w:rPr>
          <w:lang w:val="en-NZ" w:eastAsia="en-AU"/>
        </w:rPr>
        <w:t xml:space="preserve"> 10 years included in benefit.</w:t>
      </w:r>
    </w:p>
    <w:p w:rsidR="00C7773C" w:rsidRDefault="007624FF" w:rsidP="00CC228B">
      <w:pPr>
        <w:rPr>
          <w:lang w:val="en-NZ" w:eastAsia="en-AU"/>
        </w:rPr>
      </w:pPr>
      <w:r w:rsidRPr="00A0126E">
        <w:rPr>
          <w:lang w:val="en-NZ" w:eastAsia="en-AU"/>
        </w:rPr>
        <w:t xml:space="preserve">The age each child was first included in benefit </w:t>
      </w:r>
      <w:r w:rsidR="00A0126E" w:rsidRPr="00A0126E">
        <w:rPr>
          <w:lang w:val="en-NZ" w:eastAsia="en-AU"/>
        </w:rPr>
        <w:t xml:space="preserve">with a gang member </w:t>
      </w:r>
      <w:r w:rsidRPr="00A0126E">
        <w:rPr>
          <w:lang w:val="en-NZ" w:eastAsia="en-AU"/>
        </w:rPr>
        <w:t>was examined. D</w:t>
      </w:r>
      <w:r w:rsidR="0023313F" w:rsidRPr="00A0126E">
        <w:rPr>
          <w:lang w:val="en-NZ" w:eastAsia="en-AU"/>
        </w:rPr>
        <w:t>ue</w:t>
      </w:r>
      <w:r w:rsidR="0023313F">
        <w:rPr>
          <w:lang w:val="en-NZ" w:eastAsia="en-AU"/>
        </w:rPr>
        <w:t xml:space="preserve"> to data limitations</w:t>
      </w:r>
      <w:r>
        <w:rPr>
          <w:lang w:val="en-NZ" w:eastAsia="en-AU"/>
        </w:rPr>
        <w:t>,</w:t>
      </w:r>
      <w:r w:rsidR="0023313F">
        <w:rPr>
          <w:lang w:val="en-NZ" w:eastAsia="en-AU"/>
        </w:rPr>
        <w:t xml:space="preserve"> </w:t>
      </w:r>
      <w:r w:rsidR="00A0126E">
        <w:rPr>
          <w:lang w:val="en-NZ" w:eastAsia="en-AU"/>
        </w:rPr>
        <w:t xml:space="preserve">this information </w:t>
      </w:r>
      <w:r>
        <w:rPr>
          <w:lang w:val="en-NZ" w:eastAsia="en-AU"/>
        </w:rPr>
        <w:t xml:space="preserve">is </w:t>
      </w:r>
      <w:r w:rsidR="0023313F">
        <w:rPr>
          <w:lang w:val="en-NZ" w:eastAsia="en-AU"/>
        </w:rPr>
        <w:t xml:space="preserve">available </w:t>
      </w:r>
      <w:r w:rsidR="00853160">
        <w:rPr>
          <w:lang w:val="en-NZ" w:eastAsia="en-AU"/>
        </w:rPr>
        <w:t xml:space="preserve">only </w:t>
      </w:r>
      <w:r w:rsidR="0023313F">
        <w:rPr>
          <w:lang w:val="en-NZ" w:eastAsia="en-AU"/>
        </w:rPr>
        <w:t>for the 4,91</w:t>
      </w:r>
      <w:r w:rsidR="00ED1545">
        <w:rPr>
          <w:lang w:val="en-NZ" w:eastAsia="en-AU"/>
        </w:rPr>
        <w:t>3</w:t>
      </w:r>
      <w:r w:rsidR="0023313F">
        <w:rPr>
          <w:lang w:val="en-NZ" w:eastAsia="en-AU"/>
        </w:rPr>
        <w:t xml:space="preserve"> children </w:t>
      </w:r>
      <w:r w:rsidR="003864E3">
        <w:rPr>
          <w:lang w:val="en-NZ" w:eastAsia="en-AU"/>
        </w:rPr>
        <w:t xml:space="preserve">of gang members </w:t>
      </w:r>
      <w:r w:rsidR="0023313F">
        <w:rPr>
          <w:lang w:val="en-NZ" w:eastAsia="en-AU"/>
        </w:rPr>
        <w:t>who were born from the beginning of 1993.</w:t>
      </w:r>
    </w:p>
    <w:p w:rsidR="000C4A5D" w:rsidRDefault="0023313F" w:rsidP="00CC228B">
      <w:pPr>
        <w:rPr>
          <w:lang w:val="en-NZ" w:eastAsia="en-AU"/>
        </w:rPr>
      </w:pPr>
      <w:r>
        <w:rPr>
          <w:lang w:val="en-NZ" w:eastAsia="en-AU"/>
        </w:rPr>
        <w:t xml:space="preserve">Of these </w:t>
      </w:r>
      <w:r w:rsidR="00174E04">
        <w:rPr>
          <w:lang w:val="en-NZ" w:eastAsia="en-AU"/>
        </w:rPr>
        <w:t>4,91</w:t>
      </w:r>
      <w:r w:rsidR="00706AC5">
        <w:rPr>
          <w:lang w:val="en-NZ" w:eastAsia="en-AU"/>
        </w:rPr>
        <w:t>3</w:t>
      </w:r>
      <w:r w:rsidR="00174E04">
        <w:rPr>
          <w:lang w:val="en-NZ" w:eastAsia="en-AU"/>
        </w:rPr>
        <w:t xml:space="preserve"> </w:t>
      </w:r>
      <w:r>
        <w:rPr>
          <w:lang w:val="en-NZ" w:eastAsia="en-AU"/>
        </w:rPr>
        <w:t xml:space="preserve">children, </w:t>
      </w:r>
      <w:r w:rsidR="002D77F2">
        <w:rPr>
          <w:lang w:val="en-NZ" w:eastAsia="en-AU"/>
        </w:rPr>
        <w:t xml:space="preserve">39 percent (1,924) were included in benefit before their first birthday, including </w:t>
      </w:r>
      <w:r w:rsidR="00060CD7">
        <w:rPr>
          <w:lang w:val="en-NZ" w:eastAsia="en-AU"/>
        </w:rPr>
        <w:t>16</w:t>
      </w:r>
      <w:r>
        <w:rPr>
          <w:lang w:val="en-NZ" w:eastAsia="en-AU"/>
        </w:rPr>
        <w:t xml:space="preserve"> percent (</w:t>
      </w:r>
      <w:r w:rsidR="00060CD7">
        <w:rPr>
          <w:lang w:val="en-NZ" w:eastAsia="en-AU"/>
        </w:rPr>
        <w:t>8</w:t>
      </w:r>
      <w:r w:rsidR="0014169E">
        <w:rPr>
          <w:lang w:val="en-NZ" w:eastAsia="en-AU"/>
        </w:rPr>
        <w:t>10</w:t>
      </w:r>
      <w:r>
        <w:rPr>
          <w:lang w:val="en-NZ" w:eastAsia="en-AU"/>
        </w:rPr>
        <w:t xml:space="preserve">) </w:t>
      </w:r>
      <w:r w:rsidR="002D77F2">
        <w:rPr>
          <w:lang w:val="en-NZ" w:eastAsia="en-AU"/>
        </w:rPr>
        <w:t xml:space="preserve">who </w:t>
      </w:r>
      <w:r>
        <w:rPr>
          <w:lang w:val="en-NZ" w:eastAsia="en-AU"/>
        </w:rPr>
        <w:t xml:space="preserve">were first included in benefit </w:t>
      </w:r>
      <w:r w:rsidR="00A92F68">
        <w:rPr>
          <w:lang w:val="en-NZ" w:eastAsia="en-AU"/>
        </w:rPr>
        <w:t>at</w:t>
      </w:r>
      <w:r>
        <w:rPr>
          <w:lang w:val="en-NZ" w:eastAsia="en-AU"/>
        </w:rPr>
        <w:t xml:space="preserve"> or within three weeks of their birth. </w:t>
      </w:r>
      <w:r w:rsidR="0014169E">
        <w:rPr>
          <w:lang w:val="en-NZ" w:eastAsia="en-AU"/>
        </w:rPr>
        <w:t>A</w:t>
      </w:r>
      <w:r w:rsidR="00833F3C">
        <w:rPr>
          <w:lang w:val="en-NZ" w:eastAsia="en-AU"/>
        </w:rPr>
        <w:t>n</w:t>
      </w:r>
      <w:r w:rsidR="0014169E">
        <w:rPr>
          <w:lang w:val="en-NZ" w:eastAsia="en-AU"/>
        </w:rPr>
        <w:t xml:space="preserve"> </w:t>
      </w:r>
      <w:r w:rsidR="00833F3C">
        <w:rPr>
          <w:lang w:val="en-NZ" w:eastAsia="en-AU"/>
        </w:rPr>
        <w:t>additional</w:t>
      </w:r>
      <w:r w:rsidR="0014169E">
        <w:rPr>
          <w:lang w:val="en-NZ" w:eastAsia="en-AU"/>
        </w:rPr>
        <w:t xml:space="preserve"> 13</w:t>
      </w:r>
      <w:r w:rsidR="00A40CDC">
        <w:rPr>
          <w:lang w:val="en-NZ" w:eastAsia="en-AU"/>
        </w:rPr>
        <w:t xml:space="preserve"> percent</w:t>
      </w:r>
      <w:r w:rsidR="0014169E">
        <w:rPr>
          <w:lang w:val="en-NZ" w:eastAsia="en-AU"/>
        </w:rPr>
        <w:t xml:space="preserve"> </w:t>
      </w:r>
      <w:r w:rsidR="00706AC5">
        <w:rPr>
          <w:lang w:val="en-NZ" w:eastAsia="en-AU"/>
        </w:rPr>
        <w:t xml:space="preserve">(615) </w:t>
      </w:r>
      <w:r w:rsidR="0014169E">
        <w:rPr>
          <w:lang w:val="en-NZ" w:eastAsia="en-AU"/>
        </w:rPr>
        <w:t>of the gang members</w:t>
      </w:r>
      <w:r w:rsidR="00833F3C">
        <w:rPr>
          <w:lang w:val="en-NZ" w:eastAsia="en-AU"/>
        </w:rPr>
        <w:t>’</w:t>
      </w:r>
      <w:r w:rsidR="0014169E">
        <w:rPr>
          <w:lang w:val="en-NZ" w:eastAsia="en-AU"/>
        </w:rPr>
        <w:t xml:space="preserve"> children were first included in benefit as one-year-olds. Twenty-</w:t>
      </w:r>
      <w:r w:rsidR="00833F3C">
        <w:rPr>
          <w:lang w:val="en-NZ" w:eastAsia="en-AU"/>
        </w:rPr>
        <w:t>six</w:t>
      </w:r>
      <w:r w:rsidR="0014169E">
        <w:rPr>
          <w:lang w:val="en-NZ" w:eastAsia="en-AU"/>
        </w:rPr>
        <w:t xml:space="preserve"> percent of children were first included in benefit after their fifth birthday, including </w:t>
      </w:r>
      <w:r w:rsidR="00833F3C">
        <w:rPr>
          <w:lang w:val="en-NZ" w:eastAsia="en-AU"/>
        </w:rPr>
        <w:t>10</w:t>
      </w:r>
      <w:r w:rsidR="0014169E">
        <w:rPr>
          <w:lang w:val="en-NZ" w:eastAsia="en-AU"/>
        </w:rPr>
        <w:t xml:space="preserve"> percent were first included in benefit after their tenth birthday.</w:t>
      </w:r>
    </w:p>
    <w:p w:rsidR="006C04E5" w:rsidRPr="008728C9" w:rsidRDefault="006C04E5" w:rsidP="00C44A76">
      <w:pPr>
        <w:pStyle w:val="Heading3"/>
      </w:pPr>
      <w:r>
        <w:t>Benefit overpayment and fraud</w:t>
      </w:r>
    </w:p>
    <w:p w:rsidR="006C04E5" w:rsidRDefault="006C04E5" w:rsidP="006C04E5">
      <w:pPr>
        <w:rPr>
          <w:lang w:val="en-NZ"/>
        </w:rPr>
      </w:pPr>
      <w:r>
        <w:rPr>
          <w:lang w:val="en-NZ"/>
        </w:rPr>
        <w:t>Information from the Integrity Services Unit in MSD was used to examine whether in the last five years gang members had been investigated for possible welfare fraud, whether it was found that they had been overpaid benefits, or whether they had been prosecuted for welfare fraud. Figures are impacted to some degree by data-match errors (see Appendix A for further details).</w:t>
      </w:r>
    </w:p>
    <w:p w:rsidR="006C04E5" w:rsidRPr="007B523C" w:rsidRDefault="006C04E5" w:rsidP="006C04E5">
      <w:pPr>
        <w:rPr>
          <w:lang w:val="en-NZ"/>
        </w:rPr>
      </w:pPr>
      <w:r>
        <w:rPr>
          <w:lang w:val="en-NZ"/>
        </w:rPr>
        <w:t xml:space="preserve">Benefit overpayments can arise through </w:t>
      </w:r>
      <w:r>
        <w:t>a genuine mistake by the client, but often they are due to not informing MSD of a change in their circumstances in a timely manner, if at all. In some cases, there may have been a deliberate intention to mislead MSD.</w:t>
      </w:r>
    </w:p>
    <w:p w:rsidR="007E6068" w:rsidRPr="006F1776" w:rsidRDefault="00B05342" w:rsidP="007E6068">
      <w:pPr>
        <w:rPr>
          <w:b/>
          <w:color w:val="121F6B"/>
          <w:lang w:val="en-NZ"/>
        </w:rPr>
      </w:pPr>
      <w:r>
        <w:rPr>
          <w:b/>
          <w:color w:val="121F6B"/>
          <w:lang w:val="en-NZ"/>
        </w:rPr>
        <w:t>Fourteen percent</w:t>
      </w:r>
      <w:r w:rsidR="007E6068">
        <w:rPr>
          <w:b/>
          <w:color w:val="121F6B"/>
          <w:lang w:val="en-NZ"/>
        </w:rPr>
        <w:t xml:space="preserve"> of the gang members who have received a main benefit </w:t>
      </w:r>
      <w:r>
        <w:rPr>
          <w:b/>
          <w:color w:val="121F6B"/>
          <w:lang w:val="en-NZ"/>
        </w:rPr>
        <w:t xml:space="preserve">in the last five years </w:t>
      </w:r>
      <w:r w:rsidR="007E6068">
        <w:rPr>
          <w:b/>
          <w:color w:val="121F6B"/>
          <w:lang w:val="en-NZ"/>
        </w:rPr>
        <w:t>have been investigated for possible welfare fraud</w:t>
      </w:r>
    </w:p>
    <w:p w:rsidR="007E6068" w:rsidRDefault="0078097F" w:rsidP="007E6068">
      <w:pPr>
        <w:rPr>
          <w:lang w:val="en-NZ"/>
        </w:rPr>
      </w:pPr>
      <w:r>
        <w:rPr>
          <w:lang w:val="en-NZ"/>
        </w:rPr>
        <w:t>Fourteen percent</w:t>
      </w:r>
      <w:r w:rsidR="007E6068">
        <w:rPr>
          <w:lang w:val="en-NZ"/>
        </w:rPr>
        <w:t xml:space="preserve"> (</w:t>
      </w:r>
      <w:r w:rsidR="00326C8F">
        <w:rPr>
          <w:lang w:val="en-NZ"/>
        </w:rPr>
        <w:t>432</w:t>
      </w:r>
      <w:r w:rsidR="007E6068">
        <w:rPr>
          <w:lang w:val="en-NZ"/>
        </w:rPr>
        <w:t xml:space="preserve">) of the </w:t>
      </w:r>
      <w:r>
        <w:rPr>
          <w:lang w:val="en-NZ"/>
        </w:rPr>
        <w:t xml:space="preserve">3,055 </w:t>
      </w:r>
      <w:r w:rsidR="007E6068">
        <w:rPr>
          <w:lang w:val="en-NZ"/>
        </w:rPr>
        <w:t xml:space="preserve">gang members who received a main benefit </w:t>
      </w:r>
      <w:r>
        <w:rPr>
          <w:lang w:val="en-NZ"/>
        </w:rPr>
        <w:t>in the last five years were</w:t>
      </w:r>
      <w:r w:rsidR="007E6068">
        <w:rPr>
          <w:lang w:val="en-NZ"/>
        </w:rPr>
        <w:t xml:space="preserve"> investigated at least once for possible welfare fraud. The most common enquiry lines</w:t>
      </w:r>
      <w:r>
        <w:rPr>
          <w:lang w:val="en-NZ"/>
        </w:rPr>
        <w:t xml:space="preserve"> </w:t>
      </w:r>
      <w:r w:rsidR="00B05342">
        <w:rPr>
          <w:lang w:val="en-NZ"/>
        </w:rPr>
        <w:t>for</w:t>
      </w:r>
      <w:r>
        <w:rPr>
          <w:lang w:val="en-NZ"/>
        </w:rPr>
        <w:t xml:space="preserve"> investigations</w:t>
      </w:r>
      <w:r w:rsidR="007E6068">
        <w:rPr>
          <w:lang w:val="en-NZ"/>
        </w:rPr>
        <w:t xml:space="preserve"> </w:t>
      </w:r>
      <w:r>
        <w:rPr>
          <w:lang w:val="en-NZ"/>
        </w:rPr>
        <w:t>were</w:t>
      </w:r>
      <w:r w:rsidR="007E6068">
        <w:rPr>
          <w:lang w:val="en-NZ"/>
        </w:rPr>
        <w:t xml:space="preserve"> around </w:t>
      </w:r>
      <w:r>
        <w:rPr>
          <w:lang w:val="en-NZ"/>
        </w:rPr>
        <w:t>partnership status</w:t>
      </w:r>
      <w:r w:rsidR="00557BB5">
        <w:rPr>
          <w:lang w:val="en-NZ"/>
        </w:rPr>
        <w:t xml:space="preserve"> or</w:t>
      </w:r>
      <w:r>
        <w:rPr>
          <w:lang w:val="en-NZ"/>
        </w:rPr>
        <w:t xml:space="preserve"> </w:t>
      </w:r>
      <w:r w:rsidR="007E6068">
        <w:rPr>
          <w:lang w:val="en-NZ"/>
        </w:rPr>
        <w:t>income</w:t>
      </w:r>
      <w:r w:rsidR="00557BB5">
        <w:rPr>
          <w:lang w:val="en-NZ"/>
        </w:rPr>
        <w:t>,</w:t>
      </w:r>
      <w:r w:rsidR="007E6068">
        <w:rPr>
          <w:lang w:val="en-NZ"/>
        </w:rPr>
        <w:t xml:space="preserve"> or </w:t>
      </w:r>
      <w:r>
        <w:rPr>
          <w:lang w:val="en-NZ"/>
        </w:rPr>
        <w:t>were accommodation-related</w:t>
      </w:r>
      <w:r w:rsidR="007E6068">
        <w:rPr>
          <w:lang w:val="en-NZ"/>
        </w:rPr>
        <w:t>.</w:t>
      </w:r>
    </w:p>
    <w:p w:rsidR="007E6068" w:rsidRPr="006F1776" w:rsidRDefault="00440481" w:rsidP="007E6068">
      <w:pPr>
        <w:rPr>
          <w:b/>
          <w:color w:val="121F6B"/>
          <w:lang w:val="en-NZ"/>
        </w:rPr>
      </w:pPr>
      <w:r>
        <w:rPr>
          <w:b/>
          <w:color w:val="121F6B"/>
          <w:lang w:val="en-NZ"/>
        </w:rPr>
        <w:lastRenderedPageBreak/>
        <w:t>Two percent</w:t>
      </w:r>
      <w:r w:rsidR="007E6068">
        <w:rPr>
          <w:b/>
          <w:color w:val="121F6B"/>
          <w:lang w:val="en-NZ"/>
        </w:rPr>
        <w:t xml:space="preserve"> of the gang members who received a main benefit </w:t>
      </w:r>
      <w:r>
        <w:rPr>
          <w:b/>
          <w:color w:val="121F6B"/>
          <w:lang w:val="en-NZ"/>
        </w:rPr>
        <w:t xml:space="preserve">in the last five years </w:t>
      </w:r>
      <w:r w:rsidR="007E6068">
        <w:rPr>
          <w:b/>
          <w:color w:val="121F6B"/>
          <w:lang w:val="en-NZ"/>
        </w:rPr>
        <w:t>incurred an overpayment</w:t>
      </w:r>
    </w:p>
    <w:p w:rsidR="007E6068" w:rsidRDefault="00594905" w:rsidP="007E6068">
      <w:pPr>
        <w:rPr>
          <w:lang w:val="en-NZ"/>
        </w:rPr>
      </w:pPr>
      <w:r>
        <w:rPr>
          <w:lang w:val="en-NZ"/>
        </w:rPr>
        <w:t>Fourteen percent</w:t>
      </w:r>
      <w:r w:rsidR="007E6068">
        <w:rPr>
          <w:lang w:val="en-NZ"/>
        </w:rPr>
        <w:t xml:space="preserve"> (</w:t>
      </w:r>
      <w:r>
        <w:rPr>
          <w:lang w:val="en-NZ"/>
        </w:rPr>
        <w:t>62</w:t>
      </w:r>
      <w:r w:rsidR="007E6068">
        <w:rPr>
          <w:lang w:val="en-NZ"/>
        </w:rPr>
        <w:t xml:space="preserve">) of the </w:t>
      </w:r>
      <w:r>
        <w:rPr>
          <w:lang w:val="en-NZ"/>
        </w:rPr>
        <w:t xml:space="preserve">432 </w:t>
      </w:r>
      <w:r w:rsidR="007E6068">
        <w:rPr>
          <w:lang w:val="en-NZ"/>
        </w:rPr>
        <w:t xml:space="preserve">gang members investigated were found to have received at least one overpayment. This means that overall, </w:t>
      </w:r>
      <w:r>
        <w:rPr>
          <w:lang w:val="en-NZ"/>
        </w:rPr>
        <w:t>two</w:t>
      </w:r>
      <w:r w:rsidR="007E6068">
        <w:rPr>
          <w:lang w:val="en-NZ"/>
        </w:rPr>
        <w:t xml:space="preserve"> percent of the gang members who received a main benefit were found to have incurred an overpayment. An overpayment generally means the person has a debt to MSD that they must repay.</w:t>
      </w:r>
    </w:p>
    <w:p w:rsidR="007E6068" w:rsidRDefault="00440481" w:rsidP="007E6068">
      <w:pPr>
        <w:spacing w:before="170" w:after="170"/>
        <w:rPr>
          <w:lang w:val="en-NZ"/>
        </w:rPr>
      </w:pPr>
      <w:r>
        <w:rPr>
          <w:lang w:val="en-NZ"/>
        </w:rPr>
        <w:t xml:space="preserve">Overpayments were most commonly </w:t>
      </w:r>
      <w:r w:rsidR="007E6068">
        <w:rPr>
          <w:lang w:val="en-NZ"/>
        </w:rPr>
        <w:t>due to non-declaration or under-reporting of income</w:t>
      </w:r>
      <w:r w:rsidR="00960962">
        <w:rPr>
          <w:lang w:val="en-NZ"/>
        </w:rPr>
        <w:t>, or</w:t>
      </w:r>
      <w:r w:rsidR="007E6068">
        <w:rPr>
          <w:lang w:val="en-NZ"/>
        </w:rPr>
        <w:t xml:space="preserve"> not reporting they were in a relationship with another person.</w:t>
      </w:r>
    </w:p>
    <w:p w:rsidR="007E6068" w:rsidRDefault="007E6068">
      <w:pPr>
        <w:rPr>
          <w:lang w:val="en-NZ" w:eastAsia="en-AU"/>
        </w:rPr>
      </w:pPr>
      <w:r>
        <w:rPr>
          <w:lang w:val="en-NZ"/>
        </w:rPr>
        <w:t xml:space="preserve">The total amount of benefits overpaid to the gang members </w:t>
      </w:r>
      <w:r w:rsidR="00960962">
        <w:rPr>
          <w:lang w:val="en-NZ"/>
        </w:rPr>
        <w:t xml:space="preserve">in the last five years </w:t>
      </w:r>
      <w:r>
        <w:rPr>
          <w:lang w:val="en-NZ"/>
        </w:rPr>
        <w:t xml:space="preserve">was estimated to be </w:t>
      </w:r>
      <w:r w:rsidR="00960962">
        <w:rPr>
          <w:lang w:val="en-NZ"/>
        </w:rPr>
        <w:t xml:space="preserve">around </w:t>
      </w:r>
      <w:r w:rsidR="00557BB5">
        <w:rPr>
          <w:lang w:val="en-NZ"/>
        </w:rPr>
        <w:t>$</w:t>
      </w:r>
      <w:r w:rsidR="00960962">
        <w:rPr>
          <w:lang w:val="en-NZ"/>
        </w:rPr>
        <w:t>870,000</w:t>
      </w:r>
      <w:r>
        <w:rPr>
          <w:lang w:val="en-NZ"/>
        </w:rPr>
        <w:t>.</w:t>
      </w:r>
    </w:p>
    <w:p w:rsidR="007E6068" w:rsidRPr="006F1776" w:rsidRDefault="002D302E" w:rsidP="007E6068">
      <w:pPr>
        <w:rPr>
          <w:b/>
          <w:color w:val="121F6B"/>
          <w:lang w:val="en-NZ"/>
        </w:rPr>
      </w:pPr>
      <w:r>
        <w:rPr>
          <w:b/>
          <w:color w:val="121F6B"/>
          <w:lang w:val="en-NZ"/>
        </w:rPr>
        <w:t>One percent</w:t>
      </w:r>
      <w:r w:rsidR="007E6068">
        <w:rPr>
          <w:b/>
          <w:color w:val="121F6B"/>
          <w:lang w:val="en-NZ"/>
        </w:rPr>
        <w:t xml:space="preserve"> of gang members were prosecuted for welfare fraud</w:t>
      </w:r>
      <w:r>
        <w:rPr>
          <w:b/>
          <w:color w:val="121F6B"/>
          <w:lang w:val="en-NZ"/>
        </w:rPr>
        <w:t xml:space="preserve"> in the last five years</w:t>
      </w:r>
    </w:p>
    <w:p w:rsidR="007E6068" w:rsidRPr="003F6008" w:rsidRDefault="007E6068" w:rsidP="007E6068">
      <w:pPr>
        <w:rPr>
          <w:lang w:val="en-NZ"/>
        </w:rPr>
      </w:pPr>
      <w:r w:rsidRPr="003F6008">
        <w:rPr>
          <w:lang w:val="en-NZ"/>
        </w:rPr>
        <w:t xml:space="preserve">Welfare fraud involves a person deliberately not informing </w:t>
      </w:r>
      <w:r>
        <w:rPr>
          <w:lang w:val="en-NZ"/>
        </w:rPr>
        <w:t>MSD</w:t>
      </w:r>
      <w:r w:rsidRPr="003F6008">
        <w:rPr>
          <w:lang w:val="en-NZ"/>
        </w:rPr>
        <w:t xml:space="preserve"> of their true circumstances such that they are paid benefit</w:t>
      </w:r>
      <w:r>
        <w:rPr>
          <w:lang w:val="en-NZ"/>
        </w:rPr>
        <w:t xml:space="preserve"> </w:t>
      </w:r>
      <w:r w:rsidRPr="003F6008">
        <w:rPr>
          <w:lang w:val="en-NZ"/>
        </w:rPr>
        <w:t xml:space="preserve">amounts they were not entitled to. When an investigation has confirmed that an overpayment has been made, a number of factors are considered as to whether the case meets the </w:t>
      </w:r>
      <w:r>
        <w:rPr>
          <w:lang w:val="en-NZ"/>
        </w:rPr>
        <w:t>Crown Law and MSD guidelines</w:t>
      </w:r>
      <w:r w:rsidRPr="003F6008">
        <w:rPr>
          <w:lang w:val="en-NZ"/>
        </w:rPr>
        <w:t xml:space="preserve"> for prosecution</w:t>
      </w:r>
      <w:r>
        <w:rPr>
          <w:lang w:val="en-NZ"/>
        </w:rPr>
        <w:t>. If the person is not prosecuted, MSD can pursue other options such as seeking repayment of the overpayment, issuing a written warning, or imposing a monetary penalty.</w:t>
      </w:r>
    </w:p>
    <w:p w:rsidR="007E6068" w:rsidRDefault="007E6068" w:rsidP="007E6068">
      <w:pPr>
        <w:rPr>
          <w:lang w:val="en-NZ" w:eastAsia="en-AU"/>
        </w:rPr>
      </w:pPr>
      <w:r>
        <w:rPr>
          <w:lang w:val="en-NZ" w:eastAsia="en-AU"/>
        </w:rPr>
        <w:t>Thirty-</w:t>
      </w:r>
      <w:r w:rsidR="00960962">
        <w:rPr>
          <w:lang w:val="en-NZ" w:eastAsia="en-AU"/>
        </w:rPr>
        <w:t>two</w:t>
      </w:r>
      <w:r>
        <w:rPr>
          <w:lang w:val="en-NZ" w:eastAsia="en-AU"/>
        </w:rPr>
        <w:t xml:space="preserve"> (one percent) of the 3,</w:t>
      </w:r>
      <w:r w:rsidR="00960962">
        <w:rPr>
          <w:lang w:val="en-NZ" w:eastAsia="en-AU"/>
        </w:rPr>
        <w:t>055</w:t>
      </w:r>
      <w:r>
        <w:rPr>
          <w:lang w:val="en-NZ" w:eastAsia="en-AU"/>
        </w:rPr>
        <w:t xml:space="preserve"> gang members who received a main benefit </w:t>
      </w:r>
      <w:r w:rsidR="00960962">
        <w:rPr>
          <w:lang w:val="en-NZ" w:eastAsia="en-AU"/>
        </w:rPr>
        <w:t xml:space="preserve">in the last five years </w:t>
      </w:r>
      <w:r w:rsidR="00557BB5">
        <w:rPr>
          <w:lang w:val="en-NZ" w:eastAsia="en-AU"/>
        </w:rPr>
        <w:t>were</w:t>
      </w:r>
      <w:r>
        <w:rPr>
          <w:lang w:val="en-NZ" w:eastAsia="en-AU"/>
        </w:rPr>
        <w:t xml:space="preserve"> prosecuted for welfare fraud. </w:t>
      </w:r>
      <w:r w:rsidR="00BA4BBC">
        <w:rPr>
          <w:lang w:val="en-NZ" w:eastAsia="en-AU"/>
        </w:rPr>
        <w:t>H</w:t>
      </w:r>
      <w:r>
        <w:rPr>
          <w:lang w:val="en-NZ" w:eastAsia="en-AU"/>
        </w:rPr>
        <w:t xml:space="preserve">alf </w:t>
      </w:r>
      <w:r w:rsidR="00BA4BBC">
        <w:rPr>
          <w:lang w:val="en-NZ" w:eastAsia="en-AU"/>
        </w:rPr>
        <w:t xml:space="preserve">of </w:t>
      </w:r>
      <w:r>
        <w:rPr>
          <w:lang w:val="en-NZ" w:eastAsia="en-AU"/>
        </w:rPr>
        <w:t>these cases involved non-declaration or under-reporting of income. Most of the other cases involved failing to declare that the gang member was in a de-facto relationship or that a child had left their care.</w:t>
      </w:r>
    </w:p>
    <w:p w:rsidR="00D458BB" w:rsidRDefault="00D458BB" w:rsidP="00CC228B">
      <w:pPr>
        <w:rPr>
          <w:lang w:val="en-NZ" w:eastAsia="en-AU"/>
        </w:rPr>
      </w:pPr>
    </w:p>
    <w:p w:rsidR="00CC228B" w:rsidRDefault="00CC228B" w:rsidP="00CC228B">
      <w:pPr>
        <w:rPr>
          <w:lang w:val="en-NZ" w:eastAsia="en-AU"/>
        </w:rPr>
        <w:sectPr w:rsidR="00CC228B" w:rsidSect="00B05301">
          <w:pgSz w:w="11906" w:h="16838"/>
          <w:pgMar w:top="1440" w:right="1440" w:bottom="1134" w:left="1440" w:header="708" w:footer="455" w:gutter="0"/>
          <w:cols w:space="708"/>
          <w:docGrid w:linePitch="360"/>
        </w:sectPr>
      </w:pPr>
    </w:p>
    <w:p w:rsidR="00F926FD" w:rsidRDefault="00312697" w:rsidP="007620DE">
      <w:pPr>
        <w:pStyle w:val="Heading1"/>
        <w:spacing w:before="120"/>
        <w:ind w:right="-45"/>
        <w:rPr>
          <w:lang w:eastAsia="en-AU"/>
        </w:rPr>
      </w:pPr>
      <w:bookmarkStart w:id="25" w:name="_Toc438039150"/>
      <w:r>
        <w:rPr>
          <w:lang w:eastAsia="en-AU"/>
        </w:rPr>
        <w:lastRenderedPageBreak/>
        <w:t xml:space="preserve">Part </w:t>
      </w:r>
      <w:r w:rsidR="007E6068">
        <w:rPr>
          <w:lang w:eastAsia="en-AU"/>
        </w:rPr>
        <w:t xml:space="preserve">4 </w:t>
      </w:r>
      <w:r>
        <w:rPr>
          <w:lang w:eastAsia="en-AU"/>
        </w:rPr>
        <w:t xml:space="preserve">– </w:t>
      </w:r>
      <w:r w:rsidR="00811E46">
        <w:rPr>
          <w:lang w:eastAsia="en-AU"/>
        </w:rPr>
        <w:t>Over a quarter</w:t>
      </w:r>
      <w:r w:rsidR="00886DBB">
        <w:rPr>
          <w:lang w:eastAsia="en-AU"/>
        </w:rPr>
        <w:t xml:space="preserve"> of gang members have </w:t>
      </w:r>
      <w:r w:rsidR="00EC71D4">
        <w:rPr>
          <w:lang w:eastAsia="en-AU"/>
        </w:rPr>
        <w:t xml:space="preserve">allegedly </w:t>
      </w:r>
      <w:r w:rsidR="00C46119">
        <w:rPr>
          <w:lang w:eastAsia="en-AU"/>
        </w:rPr>
        <w:t>abuse</w:t>
      </w:r>
      <w:r w:rsidR="00886DBB">
        <w:rPr>
          <w:lang w:eastAsia="en-AU"/>
        </w:rPr>
        <w:t>d</w:t>
      </w:r>
      <w:r w:rsidR="002B6BAD">
        <w:rPr>
          <w:lang w:eastAsia="en-AU"/>
        </w:rPr>
        <w:t xml:space="preserve"> </w:t>
      </w:r>
      <w:r w:rsidR="00886DBB">
        <w:rPr>
          <w:lang w:eastAsia="en-AU"/>
        </w:rPr>
        <w:t>or</w:t>
      </w:r>
      <w:r w:rsidR="002B6BAD">
        <w:rPr>
          <w:lang w:eastAsia="en-AU"/>
        </w:rPr>
        <w:t xml:space="preserve"> neglect</w:t>
      </w:r>
      <w:r w:rsidR="00886DBB">
        <w:rPr>
          <w:lang w:eastAsia="en-AU"/>
        </w:rPr>
        <w:t>ed children</w:t>
      </w:r>
      <w:bookmarkEnd w:id="25"/>
    </w:p>
    <w:p w:rsidR="00C46119" w:rsidRPr="00EE5F6C" w:rsidRDefault="004A1912" w:rsidP="00C46119">
      <w:pPr>
        <w:rPr>
          <w:lang w:val="en-NZ"/>
        </w:rPr>
      </w:pPr>
      <w:bookmarkStart w:id="26" w:name="_Toc402532706"/>
      <w:r>
        <w:rPr>
          <w:lang w:val="en-NZ"/>
        </w:rPr>
        <w:t xml:space="preserve">This chapter </w:t>
      </w:r>
      <w:r w:rsidR="000A666B">
        <w:rPr>
          <w:lang w:val="en-NZ"/>
        </w:rPr>
        <w:t>focuses on</w:t>
      </w:r>
      <w:r>
        <w:rPr>
          <w:lang w:val="en-NZ"/>
        </w:rPr>
        <w:t xml:space="preserve"> three </w:t>
      </w:r>
      <w:r w:rsidR="00C46119">
        <w:rPr>
          <w:lang w:val="en-NZ"/>
        </w:rPr>
        <w:t>areas in relation to Child, Youth and Family data:</w:t>
      </w:r>
    </w:p>
    <w:p w:rsidR="00C46119" w:rsidRDefault="00C46119" w:rsidP="00C46119">
      <w:pPr>
        <w:pStyle w:val="Bullet1"/>
      </w:pPr>
      <w:r w:rsidRPr="006C0E10">
        <w:t xml:space="preserve">whether </w:t>
      </w:r>
      <w:r>
        <w:t xml:space="preserve">the </w:t>
      </w:r>
      <w:r w:rsidR="00C51BFE">
        <w:t xml:space="preserve">3,960 </w:t>
      </w:r>
      <w:r>
        <w:t xml:space="preserve">gang members are </w:t>
      </w:r>
      <w:r w:rsidR="00EC71D4">
        <w:t>recorded by</w:t>
      </w:r>
      <w:r>
        <w:t xml:space="preserve"> Child, Youth and Family as the </w:t>
      </w:r>
      <w:r w:rsidR="00EC71D4">
        <w:t xml:space="preserve">alleged </w:t>
      </w:r>
      <w:r>
        <w:t>perpetrators of abuse or neglect of children (</w:t>
      </w:r>
      <w:r w:rsidR="007620DE">
        <w:t>either</w:t>
      </w:r>
      <w:r>
        <w:t xml:space="preserve"> their own </w:t>
      </w:r>
      <w:r w:rsidR="007620DE">
        <w:t>or</w:t>
      </w:r>
      <w:r>
        <w:t xml:space="preserve"> others)</w:t>
      </w:r>
    </w:p>
    <w:p w:rsidR="00C46119" w:rsidRDefault="00C46119" w:rsidP="00C46119">
      <w:pPr>
        <w:pStyle w:val="Bullet1"/>
      </w:pPr>
      <w:r>
        <w:t>the extent to which the children of gang members have been exposed to abuse or neglect by any person</w:t>
      </w:r>
    </w:p>
    <w:p w:rsidR="00C46119" w:rsidRDefault="00C46119" w:rsidP="00C46119">
      <w:pPr>
        <w:pStyle w:val="Bullet1"/>
      </w:pPr>
      <w:r w:rsidRPr="006C0E10">
        <w:t xml:space="preserve">whether the children of gang members </w:t>
      </w:r>
      <w:r>
        <w:t>have had contact with</w:t>
      </w:r>
      <w:r w:rsidRPr="006C0E10">
        <w:t xml:space="preserve"> </w:t>
      </w:r>
      <w:r>
        <w:t xml:space="preserve">the Youth Justice service arm of Child, Youth and Family </w:t>
      </w:r>
      <w:r w:rsidRPr="006C0E10">
        <w:t>for offending</w:t>
      </w:r>
      <w:r>
        <w:t xml:space="preserve"> of their own</w:t>
      </w:r>
      <w:r w:rsidRPr="006C0E10">
        <w:t>.</w:t>
      </w:r>
    </w:p>
    <w:p w:rsidR="00800849" w:rsidRPr="00097F14" w:rsidRDefault="00800849" w:rsidP="00097F14">
      <w:pPr>
        <w:rPr>
          <w:lang w:val="en-NZ"/>
        </w:rPr>
      </w:pPr>
      <w:r w:rsidRPr="00097F14">
        <w:rPr>
          <w:lang w:val="en-NZ"/>
        </w:rPr>
        <w:t xml:space="preserve">Information was not produced on the abuse or neglect of gang members themselves when they were younger </w:t>
      </w:r>
      <w:r w:rsidR="006B1296">
        <w:rPr>
          <w:lang w:val="en-NZ"/>
        </w:rPr>
        <w:t>because</w:t>
      </w:r>
      <w:r w:rsidRPr="00097F14">
        <w:rPr>
          <w:lang w:val="en-NZ"/>
        </w:rPr>
        <w:t xml:space="preserve"> historical data of this nature </w:t>
      </w:r>
      <w:r w:rsidR="00F47E19">
        <w:rPr>
          <w:lang w:val="en-NZ"/>
        </w:rPr>
        <w:t>are</w:t>
      </w:r>
      <w:r w:rsidR="007620DE">
        <w:rPr>
          <w:lang w:val="en-NZ"/>
        </w:rPr>
        <w:t xml:space="preserve"> unlikely to be reliably captured </w:t>
      </w:r>
      <w:r w:rsidRPr="00097F14">
        <w:rPr>
          <w:lang w:val="en-NZ"/>
        </w:rPr>
        <w:t>in CYRAS</w:t>
      </w:r>
      <w:r w:rsidR="007620DE" w:rsidRPr="00097F14">
        <w:rPr>
          <w:vertAlign w:val="superscript"/>
          <w:lang w:val="en-NZ"/>
        </w:rPr>
        <w:footnoteReference w:id="12"/>
      </w:r>
      <w:r w:rsidR="007620DE">
        <w:rPr>
          <w:lang w:val="en-NZ"/>
        </w:rPr>
        <w:t xml:space="preserve"> </w:t>
      </w:r>
      <w:r w:rsidR="006B1296">
        <w:rPr>
          <w:lang w:val="en-NZ"/>
        </w:rPr>
        <w:t>due to</w:t>
      </w:r>
      <w:r w:rsidR="001C3A6A">
        <w:rPr>
          <w:lang w:val="en-NZ"/>
        </w:rPr>
        <w:t xml:space="preserve"> their older age</w:t>
      </w:r>
      <w:r w:rsidR="00D81C76">
        <w:rPr>
          <w:lang w:val="en-NZ"/>
        </w:rPr>
        <w:t xml:space="preserve"> profile</w:t>
      </w:r>
      <w:r w:rsidRPr="00097F14">
        <w:rPr>
          <w:lang w:val="en-NZ"/>
        </w:rPr>
        <w:t>.</w:t>
      </w:r>
    </w:p>
    <w:p w:rsidR="009E5870" w:rsidRDefault="00513A94" w:rsidP="009E5870">
      <w:pPr>
        <w:pStyle w:val="Heading3"/>
      </w:pPr>
      <w:r>
        <w:t xml:space="preserve">Figures </w:t>
      </w:r>
      <w:r w:rsidR="00FF46CC">
        <w:t xml:space="preserve">produced from Child, Youth and Family data </w:t>
      </w:r>
      <w:r w:rsidR="008775FE">
        <w:t xml:space="preserve">are </w:t>
      </w:r>
      <w:r w:rsidR="00FF46CC">
        <w:t>likely to be under-estimates</w:t>
      </w:r>
    </w:p>
    <w:p w:rsidR="00C46119" w:rsidRDefault="00097F14" w:rsidP="00C46119">
      <w:pPr>
        <w:rPr>
          <w:lang w:val="en-NZ"/>
        </w:rPr>
      </w:pPr>
      <w:r>
        <w:rPr>
          <w:lang w:val="en-NZ"/>
        </w:rPr>
        <w:t xml:space="preserve">Results from the analysis of Child, Youth and Family data are impacted by </w:t>
      </w:r>
      <w:r w:rsidR="00AB696A">
        <w:rPr>
          <w:lang w:val="en-NZ"/>
        </w:rPr>
        <w:t>data</w:t>
      </w:r>
      <w:r w:rsidR="004A1912">
        <w:rPr>
          <w:lang w:val="en-NZ"/>
        </w:rPr>
        <w:t>-</w:t>
      </w:r>
      <w:r w:rsidR="00AB696A">
        <w:rPr>
          <w:lang w:val="en-NZ"/>
        </w:rPr>
        <w:t xml:space="preserve">match errors, </w:t>
      </w:r>
      <w:r>
        <w:rPr>
          <w:lang w:val="en-NZ"/>
        </w:rPr>
        <w:t xml:space="preserve">but </w:t>
      </w:r>
      <w:r w:rsidR="00AB696A">
        <w:rPr>
          <w:lang w:val="en-NZ"/>
        </w:rPr>
        <w:t>t</w:t>
      </w:r>
      <w:r w:rsidR="00C46119">
        <w:rPr>
          <w:lang w:val="en-NZ"/>
        </w:rPr>
        <w:t>here are</w:t>
      </w:r>
      <w:r w:rsidR="00AB696A">
        <w:rPr>
          <w:lang w:val="en-NZ"/>
        </w:rPr>
        <w:t xml:space="preserve"> </w:t>
      </w:r>
      <w:r>
        <w:rPr>
          <w:lang w:val="en-NZ"/>
        </w:rPr>
        <w:t xml:space="preserve">also </w:t>
      </w:r>
      <w:r w:rsidR="00AB696A">
        <w:rPr>
          <w:lang w:val="en-NZ"/>
        </w:rPr>
        <w:t>other</w:t>
      </w:r>
      <w:r w:rsidR="00C46119">
        <w:rPr>
          <w:lang w:val="en-NZ"/>
        </w:rPr>
        <w:t xml:space="preserve"> issues </w:t>
      </w:r>
      <w:r w:rsidR="00B04EC4">
        <w:rPr>
          <w:lang w:val="en-NZ"/>
        </w:rPr>
        <w:t>that affect accuracy</w:t>
      </w:r>
      <w:r w:rsidR="004A1912">
        <w:rPr>
          <w:lang w:val="en-NZ"/>
        </w:rPr>
        <w:t xml:space="preserve">. These are </w:t>
      </w:r>
      <w:r w:rsidR="00A2536A">
        <w:rPr>
          <w:lang w:val="en-NZ"/>
        </w:rPr>
        <w:t xml:space="preserve">listed below and </w:t>
      </w:r>
      <w:r w:rsidR="004A1912">
        <w:rPr>
          <w:lang w:val="en-NZ"/>
        </w:rPr>
        <w:t xml:space="preserve">discussed in more </w:t>
      </w:r>
      <w:r w:rsidR="00306E2E">
        <w:rPr>
          <w:lang w:val="en-NZ"/>
        </w:rPr>
        <w:t>detail</w:t>
      </w:r>
      <w:r w:rsidR="004A1912">
        <w:rPr>
          <w:lang w:val="en-NZ"/>
        </w:rPr>
        <w:t xml:space="preserve"> in Appendix A.</w:t>
      </w:r>
    </w:p>
    <w:p w:rsidR="00C46119" w:rsidRDefault="00FF46CC" w:rsidP="00C46119">
      <w:pPr>
        <w:pStyle w:val="Bullet1"/>
      </w:pPr>
      <w:r>
        <w:t>S</w:t>
      </w:r>
      <w:r w:rsidR="00306E2E">
        <w:t xml:space="preserve">ome </w:t>
      </w:r>
      <w:r w:rsidR="004A1912">
        <w:t xml:space="preserve">older data </w:t>
      </w:r>
      <w:r>
        <w:t>w</w:t>
      </w:r>
      <w:r w:rsidR="00B04EC4">
        <w:t>ere</w:t>
      </w:r>
      <w:r>
        <w:t xml:space="preserve"> not migrated </w:t>
      </w:r>
      <w:r w:rsidR="004A1912">
        <w:t xml:space="preserve">to the </w:t>
      </w:r>
      <w:r>
        <w:t>new</w:t>
      </w:r>
      <w:r w:rsidR="00C46119">
        <w:t xml:space="preserve"> CYRAS computer system</w:t>
      </w:r>
      <w:r w:rsidR="00B04EC4">
        <w:t>,</w:t>
      </w:r>
      <w:r w:rsidR="00C46119">
        <w:t xml:space="preserve"> </w:t>
      </w:r>
      <w:r>
        <w:t xml:space="preserve">which came online in November </w:t>
      </w:r>
      <w:r w:rsidR="00C46119">
        <w:t>2000.</w:t>
      </w:r>
      <w:r w:rsidR="00662494">
        <w:t xml:space="preserve"> Hence, h</w:t>
      </w:r>
      <w:r w:rsidR="00C46119">
        <w:t xml:space="preserve">istorical child abuse events by </w:t>
      </w:r>
      <w:r w:rsidR="004A1912">
        <w:t xml:space="preserve">older </w:t>
      </w:r>
      <w:r w:rsidR="00C46119">
        <w:t xml:space="preserve">gang members </w:t>
      </w:r>
      <w:r w:rsidR="004A1912">
        <w:t>may</w:t>
      </w:r>
      <w:r w:rsidR="00416C49">
        <w:t xml:space="preserve"> </w:t>
      </w:r>
      <w:r w:rsidR="00C46119">
        <w:t>not be recorded.</w:t>
      </w:r>
    </w:p>
    <w:p w:rsidR="00C46119" w:rsidRDefault="00306E2E" w:rsidP="00C46119">
      <w:pPr>
        <w:pStyle w:val="Bullet1"/>
      </w:pPr>
      <w:r>
        <w:t>T</w:t>
      </w:r>
      <w:r w:rsidR="00C46119">
        <w:t xml:space="preserve">he </w:t>
      </w:r>
      <w:r w:rsidR="005063AD">
        <w:t xml:space="preserve">alleged </w:t>
      </w:r>
      <w:r w:rsidR="00C46119">
        <w:t>perpetrator</w:t>
      </w:r>
      <w:r>
        <w:t>s</w:t>
      </w:r>
      <w:r w:rsidR="00C46119">
        <w:t xml:space="preserve"> of </w:t>
      </w:r>
      <w:r>
        <w:t xml:space="preserve">child </w:t>
      </w:r>
      <w:r w:rsidR="00C46119">
        <w:t xml:space="preserve">abuse may be unknown </w:t>
      </w:r>
      <w:r w:rsidR="005B1DA2">
        <w:t>and/</w:t>
      </w:r>
      <w:r w:rsidR="00C46119">
        <w:t>or not recorded in CYRAS.</w:t>
      </w:r>
    </w:p>
    <w:p w:rsidR="005D1C89" w:rsidRDefault="005D1C89" w:rsidP="005D1C89">
      <w:pPr>
        <w:pStyle w:val="Bullet1"/>
      </w:pPr>
      <w:r>
        <w:t>When analysing information on gang members’ children, we can identify only those children who have both come to the attention of Child, Youth and Family and then been linked to the gang member in a parent</w:t>
      </w:r>
      <w:r>
        <w:rPr>
          <w:rFonts w:ascii="Courier New" w:hAnsi="Courier New" w:cs="Courier New"/>
        </w:rPr>
        <w:t>-</w:t>
      </w:r>
      <w:r>
        <w:t>child relationship role in CYRAS. This may not be all of the gang members’ children if some children have never been referred to Child, Youth and Family or not been linked in CYRAS to the gang member.</w:t>
      </w:r>
    </w:p>
    <w:p w:rsidR="00C46119" w:rsidRDefault="005D1C89" w:rsidP="00C46119">
      <w:pPr>
        <w:rPr>
          <w:lang w:val="en-NZ"/>
        </w:rPr>
      </w:pPr>
      <w:r>
        <w:rPr>
          <w:lang w:val="en-NZ"/>
        </w:rPr>
        <w:t>Overall, t</w:t>
      </w:r>
      <w:r w:rsidR="00B04EC4">
        <w:rPr>
          <w:lang w:val="en-NZ"/>
        </w:rPr>
        <w:t xml:space="preserve">hese issues probably </w:t>
      </w:r>
      <w:r w:rsidR="00FF46CC">
        <w:rPr>
          <w:lang w:val="en-NZ"/>
        </w:rPr>
        <w:t xml:space="preserve">mean that the results presented below are under-estimates and </w:t>
      </w:r>
      <w:r w:rsidR="00C46119">
        <w:rPr>
          <w:lang w:val="en-NZ"/>
        </w:rPr>
        <w:t xml:space="preserve">should </w:t>
      </w:r>
      <w:r w:rsidR="00097F14">
        <w:rPr>
          <w:lang w:val="en-NZ"/>
        </w:rPr>
        <w:t xml:space="preserve">therefore </w:t>
      </w:r>
      <w:r w:rsidR="00C46119">
        <w:rPr>
          <w:lang w:val="en-NZ"/>
        </w:rPr>
        <w:t xml:space="preserve">be </w:t>
      </w:r>
      <w:r w:rsidR="00FF46CC">
        <w:rPr>
          <w:lang w:val="en-NZ"/>
        </w:rPr>
        <w:t>interpreted with caution</w:t>
      </w:r>
      <w:r w:rsidR="00800849">
        <w:rPr>
          <w:lang w:val="en-NZ"/>
        </w:rPr>
        <w:t>.</w:t>
      </w:r>
    </w:p>
    <w:p w:rsidR="005F204D" w:rsidRDefault="005F204D" w:rsidP="005F204D">
      <w:pPr>
        <w:rPr>
          <w:lang w:val="en-NZ"/>
        </w:rPr>
      </w:pPr>
      <w:r>
        <w:rPr>
          <w:lang w:val="en-NZ"/>
        </w:rPr>
        <w:t>Of the 3,960 total known gang members:</w:t>
      </w:r>
    </w:p>
    <w:p w:rsidR="00890FF4" w:rsidRDefault="00890FF4" w:rsidP="00890FF4">
      <w:pPr>
        <w:pStyle w:val="Bullet1"/>
      </w:pPr>
      <w:r w:rsidRPr="00E71963">
        <w:t>2,872</w:t>
      </w:r>
      <w:r>
        <w:t xml:space="preserve"> (73 percent) were matched to identities recorded in CYRAS</w:t>
      </w:r>
    </w:p>
    <w:p w:rsidR="005F204D" w:rsidRDefault="005F204D" w:rsidP="005F204D">
      <w:pPr>
        <w:pStyle w:val="Bullet1"/>
      </w:pPr>
      <w:r>
        <w:t xml:space="preserve">1,088 (27 </w:t>
      </w:r>
      <w:r w:rsidR="005D7755">
        <w:t>percent</w:t>
      </w:r>
      <w:r>
        <w:t xml:space="preserve">) could not be matched to an identity in CYRAS under the name provided by </w:t>
      </w:r>
      <w:r w:rsidR="004167F0">
        <w:t xml:space="preserve">NZ </w:t>
      </w:r>
      <w:r>
        <w:t>Police</w:t>
      </w:r>
      <w:r w:rsidR="00890FF4">
        <w:t>.</w:t>
      </w:r>
    </w:p>
    <w:p w:rsidR="005F204D" w:rsidRDefault="005F204D" w:rsidP="005F204D">
      <w:pPr>
        <w:pStyle w:val="Bullet1"/>
        <w:numPr>
          <w:ilvl w:val="0"/>
          <w:numId w:val="0"/>
        </w:numPr>
      </w:pPr>
      <w:r>
        <w:t>It should be n</w:t>
      </w:r>
      <w:r w:rsidRPr="00C119C2">
        <w:t>ote</w:t>
      </w:r>
      <w:r>
        <w:t>d</w:t>
      </w:r>
      <w:r w:rsidRPr="00C119C2">
        <w:t xml:space="preserve"> that people </w:t>
      </w:r>
      <w:r w:rsidR="00A179F6">
        <w:t>can</w:t>
      </w:r>
      <w:r w:rsidRPr="00C119C2">
        <w:t xml:space="preserve"> appear in CYRAS </w:t>
      </w:r>
      <w:r w:rsidR="00A179F6">
        <w:t>for a variety of reasons following contact with the Care and Protection and/or Youth Justice service arms of</w:t>
      </w:r>
      <w:r w:rsidR="00A179F6" w:rsidRPr="00C119C2">
        <w:t xml:space="preserve"> </w:t>
      </w:r>
      <w:r w:rsidR="00A179F6">
        <w:t xml:space="preserve">Child, Youth and Family. </w:t>
      </w:r>
      <w:r w:rsidR="00890FF4">
        <w:t>Some people appear only i</w:t>
      </w:r>
      <w:r w:rsidRPr="00C119C2">
        <w:t>n a relationship role (eg the parent, caregiver or sibling</w:t>
      </w:r>
      <w:r w:rsidR="00890FF4">
        <w:t>)</w:t>
      </w:r>
      <w:r w:rsidRPr="00C119C2">
        <w:t xml:space="preserve"> </w:t>
      </w:r>
      <w:r w:rsidR="00890FF4">
        <w:t>to</w:t>
      </w:r>
      <w:r w:rsidRPr="00C119C2">
        <w:t xml:space="preserve"> </w:t>
      </w:r>
      <w:r w:rsidR="00890FF4">
        <w:t>some other client of</w:t>
      </w:r>
      <w:r w:rsidRPr="00C119C2">
        <w:t xml:space="preserve"> </w:t>
      </w:r>
      <w:r w:rsidR="00890FF4">
        <w:t>Child, Youth and Family</w:t>
      </w:r>
      <w:r w:rsidRPr="00C119C2">
        <w:t>.</w:t>
      </w:r>
    </w:p>
    <w:bookmarkEnd w:id="26"/>
    <w:p w:rsidR="00045074" w:rsidRPr="00B9395B" w:rsidRDefault="00045074" w:rsidP="00045074">
      <w:pPr>
        <w:pStyle w:val="Heading2"/>
        <w:rPr>
          <w:sz w:val="26"/>
          <w:szCs w:val="26"/>
        </w:rPr>
      </w:pPr>
      <w:r w:rsidRPr="00B9395B">
        <w:rPr>
          <w:sz w:val="26"/>
          <w:szCs w:val="26"/>
        </w:rPr>
        <w:lastRenderedPageBreak/>
        <w:t>Gang members as the perpetrators of abuse or neglect</w:t>
      </w:r>
      <w:r>
        <w:rPr>
          <w:sz w:val="26"/>
          <w:szCs w:val="26"/>
        </w:rPr>
        <w:t xml:space="preserve"> of children</w:t>
      </w:r>
    </w:p>
    <w:p w:rsidR="005F204D" w:rsidRDefault="00C46119" w:rsidP="005F204D">
      <w:pPr>
        <w:rPr>
          <w:lang w:val="en-NZ"/>
        </w:rPr>
      </w:pPr>
      <w:r>
        <w:rPr>
          <w:lang w:val="en-NZ"/>
        </w:rPr>
        <w:t>Analysis was undertaken o</w:t>
      </w:r>
      <w:r w:rsidR="00835C3F">
        <w:rPr>
          <w:lang w:val="en-NZ"/>
        </w:rPr>
        <w:t>n</w:t>
      </w:r>
      <w:r>
        <w:rPr>
          <w:lang w:val="en-NZ"/>
        </w:rPr>
        <w:t xml:space="preserve"> whether </w:t>
      </w:r>
      <w:r w:rsidRPr="00EC2147">
        <w:rPr>
          <w:lang w:val="en-NZ"/>
        </w:rPr>
        <w:t>the</w:t>
      </w:r>
      <w:r>
        <w:rPr>
          <w:lang w:val="en-NZ"/>
        </w:rPr>
        <w:t xml:space="preserve"> </w:t>
      </w:r>
      <w:r w:rsidR="00A94A8C">
        <w:rPr>
          <w:lang w:val="en-NZ"/>
        </w:rPr>
        <w:t xml:space="preserve">known adult </w:t>
      </w:r>
      <w:r>
        <w:rPr>
          <w:lang w:val="en-NZ"/>
        </w:rPr>
        <w:t xml:space="preserve">gang members had ever been recorded </w:t>
      </w:r>
      <w:r w:rsidR="00673E49">
        <w:rPr>
          <w:lang w:val="en-NZ"/>
        </w:rPr>
        <w:t xml:space="preserve">by Child, Youth and Family </w:t>
      </w:r>
      <w:r>
        <w:rPr>
          <w:lang w:val="en-NZ"/>
        </w:rPr>
        <w:t xml:space="preserve">as the </w:t>
      </w:r>
      <w:r w:rsidR="005063AD">
        <w:rPr>
          <w:lang w:val="en-NZ"/>
        </w:rPr>
        <w:t xml:space="preserve">alleged </w:t>
      </w:r>
      <w:r>
        <w:rPr>
          <w:lang w:val="en-NZ"/>
        </w:rPr>
        <w:t xml:space="preserve">perpetrators of abuse or neglect </w:t>
      </w:r>
      <w:r w:rsidR="00673E49">
        <w:rPr>
          <w:lang w:val="en-NZ"/>
        </w:rPr>
        <w:t>against</w:t>
      </w:r>
      <w:r>
        <w:rPr>
          <w:lang w:val="en-NZ"/>
        </w:rPr>
        <w:t xml:space="preserve"> any child</w:t>
      </w:r>
      <w:r w:rsidRPr="00EC2147">
        <w:rPr>
          <w:lang w:val="en-NZ"/>
        </w:rPr>
        <w:t>re</w:t>
      </w:r>
      <w:r>
        <w:rPr>
          <w:lang w:val="en-NZ"/>
        </w:rPr>
        <w:t>n</w:t>
      </w:r>
      <w:r w:rsidR="00A94A8C">
        <w:t xml:space="preserve"> (either their own or others)</w:t>
      </w:r>
      <w:r w:rsidR="004B1456">
        <w:rPr>
          <w:lang w:val="en-NZ"/>
        </w:rPr>
        <w:t>.</w:t>
      </w:r>
    </w:p>
    <w:p w:rsidR="00045074" w:rsidRPr="00045074" w:rsidRDefault="00045074" w:rsidP="00045074">
      <w:pPr>
        <w:rPr>
          <w:b/>
          <w:color w:val="121F6B"/>
          <w:lang w:val="en-NZ"/>
        </w:rPr>
      </w:pPr>
      <w:r w:rsidRPr="00045074">
        <w:rPr>
          <w:b/>
          <w:color w:val="121F6B"/>
          <w:lang w:val="en-NZ"/>
        </w:rPr>
        <w:t xml:space="preserve">Over </w:t>
      </w:r>
      <w:r w:rsidR="00E15965">
        <w:rPr>
          <w:b/>
          <w:color w:val="121F6B"/>
          <w:lang w:val="en-NZ"/>
        </w:rPr>
        <w:t>a quarter</w:t>
      </w:r>
      <w:r w:rsidRPr="00045074">
        <w:rPr>
          <w:b/>
          <w:color w:val="121F6B"/>
          <w:lang w:val="en-NZ"/>
        </w:rPr>
        <w:t xml:space="preserve"> of </w:t>
      </w:r>
      <w:r w:rsidR="00C51BFE">
        <w:rPr>
          <w:b/>
          <w:color w:val="121F6B"/>
          <w:lang w:val="en-NZ"/>
        </w:rPr>
        <w:t>the</w:t>
      </w:r>
      <w:r w:rsidR="00BD0849">
        <w:rPr>
          <w:b/>
          <w:color w:val="121F6B"/>
          <w:lang w:val="en-NZ"/>
        </w:rPr>
        <w:t xml:space="preserve"> </w:t>
      </w:r>
      <w:r w:rsidRPr="00045074">
        <w:rPr>
          <w:b/>
          <w:color w:val="121F6B"/>
          <w:lang w:val="en-NZ"/>
        </w:rPr>
        <w:t xml:space="preserve">gang members </w:t>
      </w:r>
      <w:r w:rsidR="00BD0849">
        <w:rPr>
          <w:b/>
          <w:color w:val="121F6B"/>
          <w:lang w:val="en-NZ"/>
        </w:rPr>
        <w:t>a</w:t>
      </w:r>
      <w:r w:rsidRPr="00045074">
        <w:rPr>
          <w:b/>
          <w:color w:val="121F6B"/>
          <w:lang w:val="en-NZ"/>
        </w:rPr>
        <w:t xml:space="preserve">re recorded by Child, Youth and Family as the </w:t>
      </w:r>
      <w:r w:rsidR="005063AD">
        <w:rPr>
          <w:b/>
          <w:color w:val="121F6B"/>
          <w:lang w:val="en-NZ"/>
        </w:rPr>
        <w:t xml:space="preserve">alleged </w:t>
      </w:r>
      <w:r w:rsidRPr="00045074">
        <w:rPr>
          <w:b/>
          <w:color w:val="121F6B"/>
          <w:lang w:val="en-NZ"/>
        </w:rPr>
        <w:t>perpetrators of abuse or neglect of children</w:t>
      </w:r>
    </w:p>
    <w:p w:rsidR="004B1456" w:rsidRDefault="00A94A8C" w:rsidP="00A94A8C">
      <w:pPr>
        <w:spacing w:after="170"/>
        <w:rPr>
          <w:lang w:val="en-NZ"/>
        </w:rPr>
      </w:pPr>
      <w:r>
        <w:rPr>
          <w:lang w:val="en-NZ"/>
        </w:rPr>
        <w:t xml:space="preserve">Table </w:t>
      </w:r>
      <w:r w:rsidR="007E6068">
        <w:rPr>
          <w:lang w:val="en-NZ"/>
        </w:rPr>
        <w:t xml:space="preserve">4 </w:t>
      </w:r>
      <w:r>
        <w:rPr>
          <w:lang w:val="en-NZ"/>
        </w:rPr>
        <w:t>shows that o</w:t>
      </w:r>
      <w:r w:rsidR="001D2E4A">
        <w:rPr>
          <w:lang w:val="en-NZ"/>
        </w:rPr>
        <w:t xml:space="preserve">f the total 3,960 gang members, </w:t>
      </w:r>
      <w:r w:rsidR="00E15965">
        <w:rPr>
          <w:lang w:val="en-NZ"/>
        </w:rPr>
        <w:t>27</w:t>
      </w:r>
      <w:r w:rsidR="001D2E4A">
        <w:rPr>
          <w:lang w:val="en-NZ"/>
        </w:rPr>
        <w:t xml:space="preserve"> </w:t>
      </w:r>
      <w:r w:rsidR="005D7755">
        <w:rPr>
          <w:lang w:val="en-NZ"/>
        </w:rPr>
        <w:t>percent</w:t>
      </w:r>
      <w:r w:rsidR="001D2E4A">
        <w:rPr>
          <w:lang w:val="en-NZ"/>
        </w:rPr>
        <w:t xml:space="preserve"> (</w:t>
      </w:r>
      <w:r w:rsidR="00E15965">
        <w:rPr>
          <w:lang w:val="en-NZ"/>
        </w:rPr>
        <w:t>1,05</w:t>
      </w:r>
      <w:r w:rsidR="002447EA">
        <w:rPr>
          <w:lang w:val="en-NZ"/>
        </w:rPr>
        <w:t>6</w:t>
      </w:r>
      <w:r w:rsidR="001D2E4A">
        <w:rPr>
          <w:lang w:val="en-NZ"/>
        </w:rPr>
        <w:t xml:space="preserve">) were recorded as being the </w:t>
      </w:r>
      <w:r w:rsidR="005063AD">
        <w:rPr>
          <w:lang w:val="en-NZ"/>
        </w:rPr>
        <w:t xml:space="preserve">alleged </w:t>
      </w:r>
      <w:r w:rsidR="001D2E4A">
        <w:rPr>
          <w:lang w:val="en-NZ"/>
        </w:rPr>
        <w:t xml:space="preserve">perpetrators of </w:t>
      </w:r>
      <w:r>
        <w:rPr>
          <w:lang w:val="en-NZ"/>
        </w:rPr>
        <w:t xml:space="preserve">substantiated findings of </w:t>
      </w:r>
      <w:r w:rsidR="001D2E4A">
        <w:rPr>
          <w:lang w:val="en-NZ"/>
        </w:rPr>
        <w:t>abuse or neglect of child</w:t>
      </w:r>
      <w:r w:rsidR="00F10F36">
        <w:rPr>
          <w:lang w:val="en-NZ"/>
        </w:rPr>
        <w:t>ren</w:t>
      </w:r>
      <w:r w:rsidR="001D2E4A">
        <w:rPr>
          <w:lang w:val="en-NZ"/>
        </w:rPr>
        <w:t>.</w:t>
      </w:r>
      <w:r w:rsidR="00ED4C09">
        <w:rPr>
          <w:lang w:val="en-NZ"/>
        </w:rPr>
        <w:t xml:space="preserve"> Most commonly this was emotional abuse</w:t>
      </w:r>
      <w:r w:rsidR="00F10F36">
        <w:rPr>
          <w:lang w:val="en-NZ"/>
        </w:rPr>
        <w:t>,</w:t>
      </w:r>
      <w:r w:rsidR="00ED4C09">
        <w:rPr>
          <w:lang w:val="en-NZ"/>
        </w:rPr>
        <w:t xml:space="preserve"> </w:t>
      </w:r>
      <w:r w:rsidR="00785DDF">
        <w:rPr>
          <w:lang w:val="en-NZ"/>
        </w:rPr>
        <w:t>recorded for</w:t>
      </w:r>
      <w:r w:rsidR="00ED4C09">
        <w:rPr>
          <w:lang w:val="en-NZ"/>
        </w:rPr>
        <w:t xml:space="preserve"> </w:t>
      </w:r>
      <w:r w:rsidR="00E15965">
        <w:rPr>
          <w:lang w:val="en-NZ"/>
        </w:rPr>
        <w:t>21 percent</w:t>
      </w:r>
      <w:r w:rsidR="00ED4C09">
        <w:rPr>
          <w:lang w:val="en-NZ"/>
        </w:rPr>
        <w:t xml:space="preserve"> of </w:t>
      </w:r>
      <w:r w:rsidR="000A666B">
        <w:rPr>
          <w:lang w:val="en-NZ"/>
        </w:rPr>
        <w:t>the</w:t>
      </w:r>
      <w:r w:rsidR="00ED4C09">
        <w:rPr>
          <w:lang w:val="en-NZ"/>
        </w:rPr>
        <w:t xml:space="preserve"> gang members.</w:t>
      </w:r>
      <w:r w:rsidRPr="00A94A8C">
        <w:rPr>
          <w:lang w:val="en-NZ"/>
        </w:rPr>
        <w:t xml:space="preserve"> </w:t>
      </w:r>
      <w:r w:rsidR="00E15965">
        <w:rPr>
          <w:lang w:val="en-NZ"/>
        </w:rPr>
        <w:t>Seven</w:t>
      </w:r>
      <w:r>
        <w:rPr>
          <w:lang w:val="en-NZ"/>
        </w:rPr>
        <w:t xml:space="preserve"> percent of gang members were recorded as having </w:t>
      </w:r>
      <w:r w:rsidR="005063AD">
        <w:rPr>
          <w:lang w:val="en-NZ"/>
        </w:rPr>
        <w:t xml:space="preserve">allegedly </w:t>
      </w:r>
      <w:r>
        <w:rPr>
          <w:lang w:val="en-NZ"/>
        </w:rPr>
        <w:t xml:space="preserve">neglected children. </w:t>
      </w:r>
      <w:r w:rsidR="00E15965">
        <w:rPr>
          <w:lang w:val="en-NZ"/>
        </w:rPr>
        <w:t>Six</w:t>
      </w:r>
      <w:r>
        <w:rPr>
          <w:lang w:val="en-NZ"/>
        </w:rPr>
        <w:t xml:space="preserve"> percent of gang members were recorded as being the </w:t>
      </w:r>
      <w:r w:rsidR="005063AD">
        <w:rPr>
          <w:lang w:val="en-NZ"/>
        </w:rPr>
        <w:t xml:space="preserve">alleged </w:t>
      </w:r>
      <w:r>
        <w:rPr>
          <w:lang w:val="en-NZ"/>
        </w:rPr>
        <w:t>perpetrators of physical abuse of children, and two percent of sexual abuse.</w:t>
      </w:r>
    </w:p>
    <w:p w:rsidR="00ED574D" w:rsidRPr="00D16E12" w:rsidRDefault="00ED574D" w:rsidP="00A94A8C">
      <w:pPr>
        <w:pStyle w:val="TableofFigures"/>
        <w:keepNext/>
        <w:tabs>
          <w:tab w:val="left" w:pos="993"/>
        </w:tabs>
        <w:spacing w:after="120" w:line="240" w:lineRule="auto"/>
        <w:ind w:left="992" w:right="96" w:hanging="992"/>
        <w:rPr>
          <w:b/>
          <w:color w:val="121F6B"/>
          <w:sz w:val="18"/>
          <w:szCs w:val="18"/>
        </w:rPr>
      </w:pPr>
      <w:r w:rsidRPr="00D16E12">
        <w:rPr>
          <w:b/>
          <w:color w:val="121F6B"/>
          <w:sz w:val="18"/>
          <w:szCs w:val="18"/>
        </w:rPr>
        <w:t xml:space="preserve">Table </w:t>
      </w:r>
      <w:r w:rsidR="007E6068">
        <w:rPr>
          <w:b/>
          <w:color w:val="121F6B"/>
          <w:sz w:val="18"/>
          <w:szCs w:val="18"/>
        </w:rPr>
        <w:t>4</w:t>
      </w:r>
      <w:r w:rsidRPr="00D16E12">
        <w:rPr>
          <w:b/>
          <w:color w:val="121F6B"/>
          <w:sz w:val="18"/>
          <w:szCs w:val="18"/>
        </w:rPr>
        <w:t>:</w:t>
      </w:r>
      <w:r w:rsidRPr="00D16E12">
        <w:rPr>
          <w:b/>
          <w:color w:val="121F6B"/>
          <w:sz w:val="18"/>
          <w:szCs w:val="18"/>
        </w:rPr>
        <w:tab/>
      </w:r>
      <w:r w:rsidR="00007005">
        <w:rPr>
          <w:b/>
          <w:color w:val="121F6B"/>
          <w:sz w:val="18"/>
          <w:szCs w:val="18"/>
        </w:rPr>
        <w:t xml:space="preserve">Types of abuse or neglect </w:t>
      </w:r>
      <w:r w:rsidR="005063AD">
        <w:rPr>
          <w:b/>
          <w:color w:val="121F6B"/>
          <w:sz w:val="18"/>
          <w:szCs w:val="18"/>
        </w:rPr>
        <w:t xml:space="preserve">allegedly </w:t>
      </w:r>
      <w:r w:rsidR="00007005">
        <w:rPr>
          <w:b/>
          <w:color w:val="121F6B"/>
          <w:sz w:val="18"/>
          <w:szCs w:val="18"/>
        </w:rPr>
        <w:t xml:space="preserve">perpetrated by </w:t>
      </w:r>
      <w:r>
        <w:rPr>
          <w:b/>
          <w:color w:val="121F6B"/>
          <w:sz w:val="18"/>
          <w:szCs w:val="18"/>
        </w:rPr>
        <w:t>g</w:t>
      </w:r>
      <w:r w:rsidR="00007005">
        <w:rPr>
          <w:b/>
          <w:color w:val="121F6B"/>
          <w:sz w:val="18"/>
          <w:szCs w:val="18"/>
        </w:rPr>
        <w:t>ang</w:t>
      </w:r>
      <w:r>
        <w:rPr>
          <w:b/>
          <w:color w:val="121F6B"/>
          <w:sz w:val="18"/>
          <w:szCs w:val="18"/>
        </w:rPr>
        <w:t xml:space="preserve"> members</w:t>
      </w:r>
      <w:r w:rsidR="00007005">
        <w:rPr>
          <w:b/>
          <w:color w:val="121F6B"/>
          <w:sz w:val="18"/>
          <w:szCs w:val="18"/>
        </w:rPr>
        <w:t xml:space="preserve">, </w:t>
      </w:r>
      <w:r>
        <w:rPr>
          <w:b/>
          <w:color w:val="121F6B"/>
          <w:sz w:val="18"/>
          <w:szCs w:val="18"/>
        </w:rPr>
        <w:t xml:space="preserve">Child, Youth and Family </w:t>
      </w:r>
      <w:r w:rsidR="00007005">
        <w:rPr>
          <w:b/>
          <w:color w:val="121F6B"/>
          <w:sz w:val="18"/>
          <w:szCs w:val="18"/>
        </w:rPr>
        <w:t>substantiated findings</w:t>
      </w:r>
    </w:p>
    <w:tbl>
      <w:tblPr>
        <w:tblStyle w:val="TableGrid"/>
        <w:tblW w:w="9039" w:type="dxa"/>
        <w:tblLayout w:type="fixed"/>
        <w:tblCellMar>
          <w:top w:w="28" w:type="dxa"/>
          <w:bottom w:w="28" w:type="dxa"/>
        </w:tblCellMar>
        <w:tblLook w:val="04A0" w:firstRow="1" w:lastRow="0" w:firstColumn="1" w:lastColumn="0" w:noHBand="0" w:noVBand="1"/>
      </w:tblPr>
      <w:tblGrid>
        <w:gridCol w:w="2943"/>
        <w:gridCol w:w="3048"/>
        <w:gridCol w:w="3048"/>
      </w:tblGrid>
      <w:tr w:rsidR="00ED574D" w:rsidRPr="0073602A" w:rsidTr="00F94A0E">
        <w:tc>
          <w:tcPr>
            <w:tcW w:w="2943" w:type="dxa"/>
            <w:tcBorders>
              <w:top w:val="nil"/>
              <w:left w:val="nil"/>
              <w:bottom w:val="nil"/>
              <w:right w:val="nil"/>
            </w:tcBorders>
            <w:shd w:val="clear" w:color="auto" w:fill="121F6B"/>
          </w:tcPr>
          <w:p w:rsidR="00ED574D" w:rsidRPr="00D76347" w:rsidRDefault="00ED574D" w:rsidP="00D92056">
            <w:pPr>
              <w:spacing w:before="60" w:after="60" w:line="240" w:lineRule="auto"/>
              <w:rPr>
                <w:b/>
                <w:sz w:val="18"/>
                <w:szCs w:val="18"/>
                <w:lang w:val="en-NZ" w:eastAsia="en-AU"/>
              </w:rPr>
            </w:pPr>
            <w:r>
              <w:rPr>
                <w:b/>
                <w:sz w:val="18"/>
                <w:szCs w:val="18"/>
                <w:lang w:val="en-NZ" w:eastAsia="en-AU"/>
              </w:rPr>
              <w:t xml:space="preserve">Type of </w:t>
            </w:r>
            <w:r w:rsidR="00D92056">
              <w:rPr>
                <w:b/>
                <w:sz w:val="18"/>
                <w:szCs w:val="18"/>
                <w:lang w:val="en-NZ" w:eastAsia="en-AU"/>
              </w:rPr>
              <w:t>abuse or neglect</w:t>
            </w:r>
          </w:p>
        </w:tc>
        <w:tc>
          <w:tcPr>
            <w:tcW w:w="3048" w:type="dxa"/>
            <w:tcBorders>
              <w:top w:val="nil"/>
              <w:left w:val="nil"/>
              <w:bottom w:val="nil"/>
              <w:right w:val="nil"/>
            </w:tcBorders>
            <w:shd w:val="clear" w:color="auto" w:fill="121F6B"/>
          </w:tcPr>
          <w:p w:rsidR="00ED574D" w:rsidRPr="00D76347" w:rsidRDefault="00ED574D" w:rsidP="005063AD">
            <w:pPr>
              <w:spacing w:before="60" w:after="60" w:line="240" w:lineRule="auto"/>
              <w:jc w:val="center"/>
              <w:rPr>
                <w:sz w:val="18"/>
                <w:szCs w:val="18"/>
                <w:lang w:val="en-NZ" w:eastAsia="en-AU"/>
              </w:rPr>
            </w:pPr>
            <w:r>
              <w:rPr>
                <w:b/>
                <w:sz w:val="18"/>
                <w:szCs w:val="18"/>
                <w:lang w:val="en-NZ" w:eastAsia="en-AU"/>
              </w:rPr>
              <w:t>Number</w:t>
            </w:r>
            <w:r w:rsidR="00EF1A66">
              <w:rPr>
                <w:b/>
                <w:sz w:val="18"/>
                <w:szCs w:val="18"/>
                <w:lang w:val="en-NZ" w:eastAsia="en-AU"/>
              </w:rPr>
              <w:t xml:space="preserve"> of gang members</w:t>
            </w:r>
            <w:r w:rsidR="00F94A0E">
              <w:rPr>
                <w:b/>
                <w:sz w:val="18"/>
                <w:szCs w:val="18"/>
                <w:lang w:val="en-NZ" w:eastAsia="en-AU"/>
              </w:rPr>
              <w:t xml:space="preserve"> </w:t>
            </w:r>
            <w:r w:rsidR="005063AD">
              <w:rPr>
                <w:b/>
                <w:sz w:val="18"/>
                <w:szCs w:val="18"/>
                <w:lang w:val="en-NZ" w:eastAsia="en-AU"/>
              </w:rPr>
              <w:t xml:space="preserve">alleged </w:t>
            </w:r>
            <w:r w:rsidR="00F94A0E">
              <w:rPr>
                <w:b/>
                <w:sz w:val="18"/>
                <w:szCs w:val="18"/>
                <w:lang w:val="en-NZ" w:eastAsia="en-AU"/>
              </w:rPr>
              <w:t>to be perpetrators</w:t>
            </w:r>
            <w:r w:rsidR="00D01C1E" w:rsidRPr="00D01C1E">
              <w:rPr>
                <w:sz w:val="18"/>
                <w:szCs w:val="18"/>
                <w:vertAlign w:val="superscript"/>
                <w:lang w:val="en-NZ" w:eastAsia="en-AU"/>
              </w:rPr>
              <w:t>1</w:t>
            </w:r>
          </w:p>
        </w:tc>
        <w:tc>
          <w:tcPr>
            <w:tcW w:w="3048" w:type="dxa"/>
            <w:tcBorders>
              <w:top w:val="nil"/>
              <w:left w:val="nil"/>
              <w:bottom w:val="nil"/>
              <w:right w:val="nil"/>
            </w:tcBorders>
            <w:shd w:val="clear" w:color="auto" w:fill="121F6B"/>
          </w:tcPr>
          <w:p w:rsidR="00ED574D" w:rsidRPr="00D76347" w:rsidRDefault="00ED574D" w:rsidP="00E876E1">
            <w:pPr>
              <w:spacing w:before="60" w:after="60" w:line="240" w:lineRule="auto"/>
              <w:jc w:val="center"/>
              <w:rPr>
                <w:sz w:val="18"/>
                <w:szCs w:val="18"/>
                <w:lang w:val="en-NZ" w:eastAsia="en-AU"/>
              </w:rPr>
            </w:pPr>
            <w:r>
              <w:rPr>
                <w:b/>
                <w:sz w:val="18"/>
                <w:szCs w:val="18"/>
                <w:lang w:val="en-NZ" w:eastAsia="en-AU"/>
              </w:rPr>
              <w:t>Percentage</w:t>
            </w:r>
            <w:r w:rsidR="00D01C1E">
              <w:rPr>
                <w:b/>
                <w:sz w:val="18"/>
                <w:szCs w:val="18"/>
                <w:lang w:val="en-NZ" w:eastAsia="en-AU"/>
              </w:rPr>
              <w:t xml:space="preserve"> of </w:t>
            </w:r>
            <w:r w:rsidR="00C96DF2">
              <w:rPr>
                <w:b/>
                <w:sz w:val="18"/>
                <w:szCs w:val="18"/>
                <w:lang w:val="en-NZ" w:eastAsia="en-AU"/>
              </w:rPr>
              <w:t xml:space="preserve">all </w:t>
            </w:r>
            <w:r w:rsidR="00D01C1E">
              <w:rPr>
                <w:b/>
                <w:sz w:val="18"/>
                <w:szCs w:val="18"/>
                <w:lang w:val="en-NZ" w:eastAsia="en-AU"/>
              </w:rPr>
              <w:t>gang members</w:t>
            </w:r>
            <w:r w:rsidR="00D01C1E" w:rsidRPr="00D01C1E">
              <w:rPr>
                <w:sz w:val="18"/>
                <w:szCs w:val="18"/>
                <w:vertAlign w:val="superscript"/>
                <w:lang w:val="en-NZ" w:eastAsia="en-AU"/>
              </w:rPr>
              <w:t>1</w:t>
            </w:r>
            <w:r w:rsidR="00F94A0E">
              <w:rPr>
                <w:sz w:val="18"/>
                <w:szCs w:val="18"/>
                <w:vertAlign w:val="superscript"/>
                <w:lang w:val="en-NZ" w:eastAsia="en-AU"/>
              </w:rPr>
              <w:br/>
            </w:r>
            <w:r w:rsidR="00F94A0E" w:rsidRPr="00F94A0E">
              <w:rPr>
                <w:sz w:val="16"/>
                <w:szCs w:val="16"/>
                <w:lang w:val="en-NZ" w:eastAsia="en-AU"/>
              </w:rPr>
              <w:t>(n=</w:t>
            </w:r>
            <w:r w:rsidR="00F94A0E">
              <w:rPr>
                <w:sz w:val="16"/>
                <w:szCs w:val="16"/>
                <w:lang w:val="en-NZ" w:eastAsia="en-AU"/>
              </w:rPr>
              <w:t>3,</w:t>
            </w:r>
            <w:r w:rsidR="00E876E1">
              <w:rPr>
                <w:sz w:val="16"/>
                <w:szCs w:val="16"/>
                <w:lang w:val="en-NZ" w:eastAsia="en-AU"/>
              </w:rPr>
              <w:t>960</w:t>
            </w:r>
            <w:r w:rsidR="00F94A0E" w:rsidRPr="00F94A0E">
              <w:rPr>
                <w:sz w:val="16"/>
                <w:szCs w:val="16"/>
                <w:lang w:val="en-NZ" w:eastAsia="en-AU"/>
              </w:rPr>
              <w:t>)</w:t>
            </w:r>
          </w:p>
        </w:tc>
      </w:tr>
      <w:tr w:rsidR="00ED574D" w:rsidRPr="0073602A" w:rsidTr="00F94A0E">
        <w:tc>
          <w:tcPr>
            <w:tcW w:w="2943" w:type="dxa"/>
            <w:tcBorders>
              <w:top w:val="nil"/>
              <w:left w:val="nil"/>
              <w:bottom w:val="nil"/>
              <w:right w:val="nil"/>
            </w:tcBorders>
            <w:vAlign w:val="center"/>
          </w:tcPr>
          <w:p w:rsidR="00ED574D" w:rsidRPr="00D76347" w:rsidRDefault="00ED574D" w:rsidP="00091A50">
            <w:pPr>
              <w:spacing w:after="0" w:line="240" w:lineRule="auto"/>
              <w:rPr>
                <w:sz w:val="18"/>
                <w:szCs w:val="18"/>
                <w:lang w:val="en-NZ" w:eastAsia="en-AU"/>
              </w:rPr>
            </w:pPr>
            <w:r>
              <w:rPr>
                <w:sz w:val="18"/>
                <w:szCs w:val="18"/>
                <w:lang w:val="en-NZ" w:eastAsia="en-AU"/>
              </w:rPr>
              <w:t>Emotional abuse</w:t>
            </w:r>
            <w:r>
              <w:rPr>
                <w:sz w:val="18"/>
                <w:szCs w:val="18"/>
                <w:vertAlign w:val="superscript"/>
                <w:lang w:val="en-NZ" w:eastAsia="en-AU"/>
              </w:rPr>
              <w:t>2</w:t>
            </w:r>
          </w:p>
        </w:tc>
        <w:tc>
          <w:tcPr>
            <w:tcW w:w="3048" w:type="dxa"/>
            <w:tcBorders>
              <w:top w:val="nil"/>
              <w:left w:val="nil"/>
              <w:bottom w:val="nil"/>
              <w:right w:val="nil"/>
            </w:tcBorders>
            <w:vAlign w:val="bottom"/>
          </w:tcPr>
          <w:p w:rsidR="00ED574D" w:rsidRPr="00D76347" w:rsidRDefault="002447EA" w:rsidP="00E876E1">
            <w:pPr>
              <w:tabs>
                <w:tab w:val="decimal" w:pos="1735"/>
              </w:tabs>
              <w:spacing w:before="20" w:after="20" w:line="240" w:lineRule="auto"/>
              <w:rPr>
                <w:sz w:val="18"/>
                <w:szCs w:val="18"/>
              </w:rPr>
            </w:pPr>
            <w:r>
              <w:rPr>
                <w:sz w:val="18"/>
                <w:szCs w:val="18"/>
              </w:rPr>
              <w:t>849</w:t>
            </w:r>
          </w:p>
        </w:tc>
        <w:tc>
          <w:tcPr>
            <w:tcW w:w="3048" w:type="dxa"/>
            <w:tcBorders>
              <w:top w:val="nil"/>
              <w:left w:val="nil"/>
              <w:bottom w:val="nil"/>
              <w:right w:val="nil"/>
            </w:tcBorders>
            <w:vAlign w:val="bottom"/>
          </w:tcPr>
          <w:p w:rsidR="00ED574D" w:rsidRPr="00D76347" w:rsidRDefault="00E15965" w:rsidP="00091A50">
            <w:pPr>
              <w:tabs>
                <w:tab w:val="decimal" w:pos="1380"/>
              </w:tabs>
              <w:spacing w:before="20" w:after="20" w:line="240" w:lineRule="auto"/>
              <w:rPr>
                <w:sz w:val="18"/>
                <w:szCs w:val="18"/>
              </w:rPr>
            </w:pPr>
            <w:r>
              <w:rPr>
                <w:sz w:val="18"/>
                <w:szCs w:val="18"/>
              </w:rPr>
              <w:t>21.4</w:t>
            </w:r>
            <w:r w:rsidR="00ED574D">
              <w:rPr>
                <w:sz w:val="18"/>
                <w:szCs w:val="18"/>
              </w:rPr>
              <w:t>%</w:t>
            </w:r>
          </w:p>
        </w:tc>
      </w:tr>
      <w:tr w:rsidR="00D92056" w:rsidRPr="0073602A" w:rsidTr="006F27C7">
        <w:tc>
          <w:tcPr>
            <w:tcW w:w="2943" w:type="dxa"/>
            <w:tcBorders>
              <w:top w:val="nil"/>
              <w:left w:val="nil"/>
              <w:bottom w:val="nil"/>
              <w:right w:val="nil"/>
            </w:tcBorders>
            <w:shd w:val="clear" w:color="auto" w:fill="CDD3F7"/>
            <w:vAlign w:val="center"/>
          </w:tcPr>
          <w:p w:rsidR="00D92056" w:rsidRPr="00D76347" w:rsidRDefault="00D92056" w:rsidP="00D92056">
            <w:pPr>
              <w:spacing w:after="0" w:line="240" w:lineRule="auto"/>
              <w:rPr>
                <w:sz w:val="18"/>
                <w:szCs w:val="18"/>
                <w:lang w:val="en-NZ" w:eastAsia="en-AU"/>
              </w:rPr>
            </w:pPr>
            <w:r>
              <w:rPr>
                <w:sz w:val="18"/>
                <w:szCs w:val="18"/>
                <w:lang w:val="en-NZ" w:eastAsia="en-AU"/>
              </w:rPr>
              <w:t>Neglect</w:t>
            </w:r>
            <w:r>
              <w:rPr>
                <w:sz w:val="18"/>
                <w:szCs w:val="18"/>
                <w:vertAlign w:val="superscript"/>
                <w:lang w:val="en-NZ" w:eastAsia="en-AU"/>
              </w:rPr>
              <w:t>3</w:t>
            </w:r>
          </w:p>
        </w:tc>
        <w:tc>
          <w:tcPr>
            <w:tcW w:w="3048" w:type="dxa"/>
            <w:tcBorders>
              <w:top w:val="nil"/>
              <w:left w:val="nil"/>
              <w:bottom w:val="nil"/>
              <w:right w:val="nil"/>
            </w:tcBorders>
            <w:shd w:val="clear" w:color="auto" w:fill="CDD3F7"/>
            <w:vAlign w:val="bottom"/>
          </w:tcPr>
          <w:p w:rsidR="00D92056" w:rsidRPr="00D76347" w:rsidRDefault="008C65CE" w:rsidP="006F27C7">
            <w:pPr>
              <w:tabs>
                <w:tab w:val="decimal" w:pos="1735"/>
              </w:tabs>
              <w:spacing w:before="20" w:after="20" w:line="240" w:lineRule="auto"/>
              <w:rPr>
                <w:sz w:val="18"/>
                <w:szCs w:val="18"/>
              </w:rPr>
            </w:pPr>
            <w:r>
              <w:rPr>
                <w:sz w:val="18"/>
                <w:szCs w:val="18"/>
              </w:rPr>
              <w:t>260</w:t>
            </w:r>
          </w:p>
        </w:tc>
        <w:tc>
          <w:tcPr>
            <w:tcW w:w="3048" w:type="dxa"/>
            <w:tcBorders>
              <w:top w:val="nil"/>
              <w:left w:val="nil"/>
              <w:bottom w:val="nil"/>
              <w:right w:val="nil"/>
            </w:tcBorders>
            <w:shd w:val="clear" w:color="auto" w:fill="CDD3F7"/>
            <w:vAlign w:val="bottom"/>
          </w:tcPr>
          <w:p w:rsidR="00D92056" w:rsidRPr="00D76347" w:rsidRDefault="00E15965" w:rsidP="006F27C7">
            <w:pPr>
              <w:tabs>
                <w:tab w:val="decimal" w:pos="1380"/>
              </w:tabs>
              <w:spacing w:before="20" w:after="20" w:line="240" w:lineRule="auto"/>
              <w:rPr>
                <w:sz w:val="18"/>
                <w:szCs w:val="18"/>
              </w:rPr>
            </w:pPr>
            <w:r>
              <w:rPr>
                <w:sz w:val="18"/>
                <w:szCs w:val="18"/>
              </w:rPr>
              <w:t>6.6</w:t>
            </w:r>
            <w:r w:rsidR="00D92056" w:rsidRPr="00D76347">
              <w:rPr>
                <w:sz w:val="18"/>
                <w:szCs w:val="18"/>
              </w:rPr>
              <w:t>%</w:t>
            </w:r>
          </w:p>
        </w:tc>
      </w:tr>
      <w:tr w:rsidR="00ED574D" w:rsidRPr="0073602A" w:rsidTr="00D92056">
        <w:tc>
          <w:tcPr>
            <w:tcW w:w="2943" w:type="dxa"/>
            <w:tcBorders>
              <w:top w:val="nil"/>
              <w:left w:val="nil"/>
              <w:bottom w:val="nil"/>
              <w:right w:val="nil"/>
            </w:tcBorders>
            <w:vAlign w:val="center"/>
          </w:tcPr>
          <w:p w:rsidR="00ED574D" w:rsidRPr="00D76347" w:rsidRDefault="00D92056" w:rsidP="00D92056">
            <w:pPr>
              <w:spacing w:after="0" w:line="240" w:lineRule="auto"/>
              <w:rPr>
                <w:sz w:val="18"/>
                <w:szCs w:val="18"/>
                <w:lang w:val="en-NZ" w:eastAsia="en-AU"/>
              </w:rPr>
            </w:pPr>
            <w:r>
              <w:rPr>
                <w:sz w:val="18"/>
                <w:szCs w:val="18"/>
                <w:lang w:val="en-NZ" w:eastAsia="en-AU"/>
              </w:rPr>
              <w:t>Physical abuse</w:t>
            </w:r>
            <w:r>
              <w:rPr>
                <w:sz w:val="18"/>
                <w:szCs w:val="18"/>
                <w:vertAlign w:val="superscript"/>
                <w:lang w:val="en-NZ" w:eastAsia="en-AU"/>
              </w:rPr>
              <w:t>4</w:t>
            </w:r>
          </w:p>
        </w:tc>
        <w:tc>
          <w:tcPr>
            <w:tcW w:w="3048" w:type="dxa"/>
            <w:tcBorders>
              <w:top w:val="nil"/>
              <w:left w:val="nil"/>
              <w:bottom w:val="nil"/>
              <w:right w:val="nil"/>
            </w:tcBorders>
            <w:vAlign w:val="bottom"/>
          </w:tcPr>
          <w:p w:rsidR="00ED574D" w:rsidRPr="00D76347" w:rsidRDefault="008C65CE" w:rsidP="00091A50">
            <w:pPr>
              <w:tabs>
                <w:tab w:val="decimal" w:pos="1735"/>
              </w:tabs>
              <w:spacing w:before="20" w:after="20" w:line="240" w:lineRule="auto"/>
              <w:rPr>
                <w:sz w:val="18"/>
                <w:szCs w:val="18"/>
              </w:rPr>
            </w:pPr>
            <w:r>
              <w:rPr>
                <w:sz w:val="18"/>
                <w:szCs w:val="18"/>
              </w:rPr>
              <w:t>251</w:t>
            </w:r>
          </w:p>
        </w:tc>
        <w:tc>
          <w:tcPr>
            <w:tcW w:w="3048" w:type="dxa"/>
            <w:tcBorders>
              <w:top w:val="nil"/>
              <w:left w:val="nil"/>
              <w:bottom w:val="nil"/>
              <w:right w:val="nil"/>
            </w:tcBorders>
            <w:vAlign w:val="bottom"/>
          </w:tcPr>
          <w:p w:rsidR="00ED574D" w:rsidRPr="00D76347" w:rsidRDefault="00E15965" w:rsidP="00091A50">
            <w:pPr>
              <w:tabs>
                <w:tab w:val="decimal" w:pos="1380"/>
              </w:tabs>
              <w:spacing w:before="20" w:after="20" w:line="240" w:lineRule="auto"/>
              <w:rPr>
                <w:sz w:val="18"/>
                <w:szCs w:val="18"/>
              </w:rPr>
            </w:pPr>
            <w:r>
              <w:rPr>
                <w:sz w:val="18"/>
                <w:szCs w:val="18"/>
              </w:rPr>
              <w:t>6.3</w:t>
            </w:r>
            <w:r w:rsidR="00D92056" w:rsidRPr="00D76347">
              <w:rPr>
                <w:sz w:val="18"/>
                <w:szCs w:val="18"/>
              </w:rPr>
              <w:t>%</w:t>
            </w:r>
          </w:p>
        </w:tc>
      </w:tr>
      <w:tr w:rsidR="00D92056" w:rsidRPr="0073602A" w:rsidTr="006F27C7">
        <w:tc>
          <w:tcPr>
            <w:tcW w:w="2943" w:type="dxa"/>
            <w:tcBorders>
              <w:top w:val="nil"/>
              <w:left w:val="nil"/>
              <w:bottom w:val="nil"/>
              <w:right w:val="nil"/>
            </w:tcBorders>
            <w:shd w:val="clear" w:color="auto" w:fill="CDD3F7"/>
            <w:vAlign w:val="center"/>
          </w:tcPr>
          <w:p w:rsidR="00D92056" w:rsidRPr="00D76347" w:rsidRDefault="00D92056" w:rsidP="00D92056">
            <w:pPr>
              <w:spacing w:after="0" w:line="240" w:lineRule="auto"/>
              <w:rPr>
                <w:sz w:val="18"/>
                <w:szCs w:val="18"/>
                <w:lang w:val="en-NZ" w:eastAsia="en-AU"/>
              </w:rPr>
            </w:pPr>
            <w:r>
              <w:rPr>
                <w:sz w:val="18"/>
                <w:szCs w:val="18"/>
                <w:lang w:val="en-NZ" w:eastAsia="en-AU"/>
              </w:rPr>
              <w:t>Sexual abuse</w:t>
            </w:r>
            <w:r>
              <w:rPr>
                <w:sz w:val="18"/>
                <w:szCs w:val="18"/>
                <w:vertAlign w:val="superscript"/>
                <w:lang w:val="en-NZ" w:eastAsia="en-AU"/>
              </w:rPr>
              <w:t>5</w:t>
            </w:r>
          </w:p>
        </w:tc>
        <w:tc>
          <w:tcPr>
            <w:tcW w:w="3048" w:type="dxa"/>
            <w:tcBorders>
              <w:top w:val="nil"/>
              <w:left w:val="nil"/>
              <w:bottom w:val="nil"/>
              <w:right w:val="nil"/>
            </w:tcBorders>
            <w:shd w:val="clear" w:color="auto" w:fill="CDD3F7"/>
            <w:vAlign w:val="bottom"/>
          </w:tcPr>
          <w:p w:rsidR="00D92056" w:rsidRPr="00D76347" w:rsidRDefault="00D92056" w:rsidP="006F27C7">
            <w:pPr>
              <w:tabs>
                <w:tab w:val="decimal" w:pos="1735"/>
              </w:tabs>
              <w:spacing w:before="20" w:after="20" w:line="240" w:lineRule="auto"/>
              <w:rPr>
                <w:sz w:val="18"/>
                <w:szCs w:val="18"/>
              </w:rPr>
            </w:pPr>
            <w:r>
              <w:rPr>
                <w:sz w:val="18"/>
                <w:szCs w:val="18"/>
              </w:rPr>
              <w:t>63</w:t>
            </w:r>
          </w:p>
        </w:tc>
        <w:tc>
          <w:tcPr>
            <w:tcW w:w="3048" w:type="dxa"/>
            <w:tcBorders>
              <w:top w:val="nil"/>
              <w:left w:val="nil"/>
              <w:bottom w:val="nil"/>
              <w:right w:val="nil"/>
            </w:tcBorders>
            <w:shd w:val="clear" w:color="auto" w:fill="CDD3F7"/>
            <w:vAlign w:val="bottom"/>
          </w:tcPr>
          <w:p w:rsidR="00D92056" w:rsidRPr="00D76347" w:rsidRDefault="00D92056" w:rsidP="006F27C7">
            <w:pPr>
              <w:tabs>
                <w:tab w:val="decimal" w:pos="1380"/>
              </w:tabs>
              <w:spacing w:before="20" w:after="20" w:line="240" w:lineRule="auto"/>
              <w:rPr>
                <w:sz w:val="18"/>
                <w:szCs w:val="18"/>
              </w:rPr>
            </w:pPr>
            <w:r>
              <w:rPr>
                <w:sz w:val="18"/>
                <w:szCs w:val="18"/>
              </w:rPr>
              <w:t>1.6</w:t>
            </w:r>
            <w:r w:rsidRPr="00D76347">
              <w:rPr>
                <w:sz w:val="18"/>
                <w:szCs w:val="18"/>
              </w:rPr>
              <w:t>%</w:t>
            </w:r>
          </w:p>
        </w:tc>
      </w:tr>
      <w:tr w:rsidR="00ED574D" w:rsidRPr="0073602A" w:rsidTr="00F94A0E">
        <w:tc>
          <w:tcPr>
            <w:tcW w:w="2943" w:type="dxa"/>
            <w:tcBorders>
              <w:top w:val="single" w:sz="4" w:space="0" w:color="auto"/>
              <w:left w:val="nil"/>
              <w:bottom w:val="single" w:sz="4" w:space="0" w:color="auto"/>
              <w:right w:val="nil"/>
            </w:tcBorders>
            <w:vAlign w:val="center"/>
          </w:tcPr>
          <w:p w:rsidR="00ED574D" w:rsidRPr="00D76347" w:rsidRDefault="00C96DF2" w:rsidP="00091A50">
            <w:pPr>
              <w:spacing w:after="0" w:line="240" w:lineRule="auto"/>
              <w:rPr>
                <w:sz w:val="18"/>
                <w:szCs w:val="18"/>
                <w:lang w:val="en-NZ" w:eastAsia="en-AU"/>
              </w:rPr>
            </w:pPr>
            <w:r>
              <w:rPr>
                <w:sz w:val="18"/>
                <w:szCs w:val="18"/>
                <w:lang w:val="en-NZ" w:eastAsia="en-AU"/>
              </w:rPr>
              <w:t>Any type of abuse or neglect</w:t>
            </w:r>
          </w:p>
        </w:tc>
        <w:tc>
          <w:tcPr>
            <w:tcW w:w="3048" w:type="dxa"/>
            <w:tcBorders>
              <w:top w:val="single" w:sz="4" w:space="0" w:color="auto"/>
              <w:left w:val="nil"/>
              <w:bottom w:val="single" w:sz="4" w:space="0" w:color="auto"/>
              <w:right w:val="nil"/>
            </w:tcBorders>
            <w:vAlign w:val="bottom"/>
          </w:tcPr>
          <w:p w:rsidR="00ED574D" w:rsidRPr="00D76347" w:rsidRDefault="008C65CE" w:rsidP="002447EA">
            <w:pPr>
              <w:tabs>
                <w:tab w:val="decimal" w:pos="1735"/>
              </w:tabs>
              <w:spacing w:before="20" w:after="20" w:line="240" w:lineRule="auto"/>
              <w:rPr>
                <w:sz w:val="18"/>
                <w:szCs w:val="18"/>
              </w:rPr>
            </w:pPr>
            <w:r>
              <w:rPr>
                <w:sz w:val="18"/>
                <w:szCs w:val="18"/>
              </w:rPr>
              <w:t>1,05</w:t>
            </w:r>
            <w:r w:rsidR="002447EA">
              <w:rPr>
                <w:sz w:val="18"/>
                <w:szCs w:val="18"/>
              </w:rPr>
              <w:t>6</w:t>
            </w:r>
          </w:p>
        </w:tc>
        <w:tc>
          <w:tcPr>
            <w:tcW w:w="3048" w:type="dxa"/>
            <w:tcBorders>
              <w:top w:val="single" w:sz="4" w:space="0" w:color="auto"/>
              <w:left w:val="nil"/>
              <w:bottom w:val="single" w:sz="4" w:space="0" w:color="auto"/>
              <w:right w:val="nil"/>
            </w:tcBorders>
            <w:vAlign w:val="bottom"/>
          </w:tcPr>
          <w:p w:rsidR="00ED574D" w:rsidRPr="00D76347" w:rsidRDefault="00E15965" w:rsidP="002447EA">
            <w:pPr>
              <w:tabs>
                <w:tab w:val="decimal" w:pos="1380"/>
              </w:tabs>
              <w:spacing w:before="20" w:after="20" w:line="240" w:lineRule="auto"/>
              <w:rPr>
                <w:sz w:val="18"/>
                <w:szCs w:val="18"/>
              </w:rPr>
            </w:pPr>
            <w:r>
              <w:rPr>
                <w:sz w:val="18"/>
                <w:szCs w:val="18"/>
              </w:rPr>
              <w:t>26.</w:t>
            </w:r>
            <w:r w:rsidR="002447EA">
              <w:rPr>
                <w:sz w:val="18"/>
                <w:szCs w:val="18"/>
              </w:rPr>
              <w:t>7</w:t>
            </w:r>
            <w:r w:rsidR="00ED574D">
              <w:rPr>
                <w:sz w:val="18"/>
                <w:szCs w:val="18"/>
              </w:rPr>
              <w:t>%</w:t>
            </w:r>
          </w:p>
        </w:tc>
      </w:tr>
    </w:tbl>
    <w:p w:rsidR="00ED574D" w:rsidRPr="002D6622" w:rsidRDefault="00ED574D" w:rsidP="00ED574D">
      <w:pPr>
        <w:tabs>
          <w:tab w:val="left" w:pos="851"/>
        </w:tabs>
        <w:spacing w:after="20" w:line="240" w:lineRule="auto"/>
        <w:ind w:right="95"/>
        <w:rPr>
          <w:sz w:val="16"/>
          <w:szCs w:val="16"/>
          <w:lang w:val="en-NZ"/>
        </w:rPr>
      </w:pPr>
      <w:r w:rsidRPr="002D6622">
        <w:rPr>
          <w:sz w:val="16"/>
          <w:szCs w:val="16"/>
          <w:lang w:val="en-NZ"/>
        </w:rPr>
        <w:t>Notes:</w:t>
      </w:r>
    </w:p>
    <w:p w:rsidR="00ED574D" w:rsidRPr="00144D95" w:rsidRDefault="00ED574D" w:rsidP="00487A14">
      <w:pPr>
        <w:pStyle w:val="ListParagraph"/>
        <w:numPr>
          <w:ilvl w:val="0"/>
          <w:numId w:val="8"/>
        </w:numPr>
        <w:tabs>
          <w:tab w:val="left" w:pos="851"/>
        </w:tabs>
        <w:spacing w:after="20" w:line="240" w:lineRule="auto"/>
        <w:ind w:right="95"/>
        <w:rPr>
          <w:sz w:val="16"/>
          <w:szCs w:val="16"/>
          <w:lang w:val="en-NZ"/>
        </w:rPr>
      </w:pPr>
      <w:r>
        <w:rPr>
          <w:sz w:val="16"/>
          <w:szCs w:val="16"/>
          <w:lang w:val="en-NZ"/>
        </w:rPr>
        <w:t xml:space="preserve">Gang members can be the </w:t>
      </w:r>
      <w:r w:rsidR="005063AD">
        <w:rPr>
          <w:sz w:val="16"/>
          <w:szCs w:val="16"/>
          <w:lang w:val="en-NZ"/>
        </w:rPr>
        <w:t xml:space="preserve">alleged </w:t>
      </w:r>
      <w:r w:rsidR="00D01C1E">
        <w:rPr>
          <w:sz w:val="16"/>
          <w:szCs w:val="16"/>
          <w:lang w:val="en-NZ"/>
        </w:rPr>
        <w:t>perpetrator</w:t>
      </w:r>
      <w:r w:rsidR="00EF1A66">
        <w:rPr>
          <w:sz w:val="16"/>
          <w:szCs w:val="16"/>
          <w:lang w:val="en-NZ"/>
        </w:rPr>
        <w:t>s</w:t>
      </w:r>
      <w:r>
        <w:rPr>
          <w:sz w:val="16"/>
          <w:szCs w:val="16"/>
          <w:lang w:val="en-NZ"/>
        </w:rPr>
        <w:t xml:space="preserve"> of multiple types of </w:t>
      </w:r>
      <w:r w:rsidR="00007005">
        <w:rPr>
          <w:sz w:val="16"/>
          <w:szCs w:val="16"/>
          <w:lang w:val="en-NZ"/>
        </w:rPr>
        <w:t>abuse or neglect</w:t>
      </w:r>
      <w:r>
        <w:rPr>
          <w:sz w:val="16"/>
          <w:szCs w:val="16"/>
          <w:lang w:val="en-NZ"/>
        </w:rPr>
        <w:t>, hence the individual figures do not add to the overall figure.</w:t>
      </w:r>
    </w:p>
    <w:p w:rsidR="00ED574D" w:rsidRDefault="00ED574D" w:rsidP="00487A14">
      <w:pPr>
        <w:pStyle w:val="ListParagraph"/>
        <w:numPr>
          <w:ilvl w:val="0"/>
          <w:numId w:val="8"/>
        </w:numPr>
        <w:tabs>
          <w:tab w:val="left" w:pos="851"/>
        </w:tabs>
        <w:spacing w:after="20" w:line="240" w:lineRule="auto"/>
        <w:ind w:right="95"/>
        <w:rPr>
          <w:sz w:val="16"/>
          <w:szCs w:val="16"/>
          <w:lang w:val="en-NZ"/>
        </w:rPr>
      </w:pPr>
      <w:r w:rsidRPr="002D6622">
        <w:rPr>
          <w:sz w:val="16"/>
          <w:szCs w:val="16"/>
          <w:lang w:val="en"/>
        </w:rPr>
        <w:t xml:space="preserve">The child's mental health, social and/or emotional functioning and development has been damaged by their treatment eg from repeat exposure to negative experiences such as </w:t>
      </w:r>
      <w:r w:rsidR="00E168DC">
        <w:rPr>
          <w:sz w:val="16"/>
          <w:szCs w:val="16"/>
          <w:lang w:val="en"/>
        </w:rPr>
        <w:t xml:space="preserve">distress caused by </w:t>
      </w:r>
      <w:r w:rsidRPr="002D6622">
        <w:rPr>
          <w:sz w:val="16"/>
          <w:szCs w:val="16"/>
          <w:lang w:val="en"/>
        </w:rPr>
        <w:t>witnessing family violence</w:t>
      </w:r>
      <w:r w:rsidRPr="002D6622">
        <w:rPr>
          <w:sz w:val="16"/>
          <w:szCs w:val="16"/>
          <w:lang w:val="en-NZ"/>
        </w:rPr>
        <w:t>.</w:t>
      </w:r>
    </w:p>
    <w:p w:rsidR="00D92056" w:rsidRPr="002D6622" w:rsidRDefault="00D92056" w:rsidP="00487A14">
      <w:pPr>
        <w:pStyle w:val="ListParagraph"/>
        <w:numPr>
          <w:ilvl w:val="0"/>
          <w:numId w:val="8"/>
        </w:numPr>
        <w:tabs>
          <w:tab w:val="left" w:pos="851"/>
        </w:tabs>
        <w:spacing w:after="20" w:line="240" w:lineRule="auto"/>
        <w:ind w:right="95"/>
        <w:rPr>
          <w:sz w:val="16"/>
          <w:szCs w:val="16"/>
          <w:lang w:val="en-NZ"/>
        </w:rPr>
      </w:pPr>
      <w:r>
        <w:rPr>
          <w:sz w:val="16"/>
          <w:szCs w:val="16"/>
          <w:lang w:val="en"/>
        </w:rPr>
        <w:t>Failing to provide for a child’s basic needs eg adequate food, clothing, hygiene or supervision.</w:t>
      </w:r>
    </w:p>
    <w:p w:rsidR="00ED574D" w:rsidRPr="002D6622" w:rsidRDefault="00ED574D" w:rsidP="00487A14">
      <w:pPr>
        <w:pStyle w:val="ListParagraph"/>
        <w:numPr>
          <w:ilvl w:val="0"/>
          <w:numId w:val="8"/>
        </w:numPr>
        <w:tabs>
          <w:tab w:val="left" w:pos="851"/>
        </w:tabs>
        <w:spacing w:after="20" w:line="240" w:lineRule="auto"/>
        <w:ind w:right="95"/>
        <w:rPr>
          <w:sz w:val="16"/>
          <w:szCs w:val="16"/>
          <w:lang w:val="en"/>
        </w:rPr>
      </w:pPr>
      <w:r>
        <w:rPr>
          <w:sz w:val="16"/>
          <w:szCs w:val="16"/>
          <w:lang w:val="en"/>
        </w:rPr>
        <w:t>T</w:t>
      </w:r>
      <w:r w:rsidRPr="002D6622">
        <w:rPr>
          <w:sz w:val="16"/>
          <w:szCs w:val="16"/>
          <w:lang w:val="en"/>
        </w:rPr>
        <w:t>he child has sustained an injury or was at serious risk of sustaining an injury.</w:t>
      </w:r>
    </w:p>
    <w:p w:rsidR="00ED574D" w:rsidRDefault="00ED574D" w:rsidP="00487A14">
      <w:pPr>
        <w:pStyle w:val="ListParagraph"/>
        <w:numPr>
          <w:ilvl w:val="0"/>
          <w:numId w:val="8"/>
        </w:numPr>
        <w:tabs>
          <w:tab w:val="left" w:pos="851"/>
        </w:tabs>
        <w:spacing w:after="20" w:line="240" w:lineRule="auto"/>
        <w:ind w:right="95"/>
        <w:rPr>
          <w:sz w:val="16"/>
          <w:szCs w:val="16"/>
          <w:lang w:val="en"/>
        </w:rPr>
      </w:pPr>
      <w:r w:rsidRPr="002D6622">
        <w:rPr>
          <w:sz w:val="16"/>
          <w:szCs w:val="16"/>
          <w:lang w:val="en"/>
        </w:rPr>
        <w:t>Any action where an adult or a more powerful person uses a child for a sexual purpose.</w:t>
      </w:r>
    </w:p>
    <w:p w:rsidR="00D2421A" w:rsidRDefault="00091A50" w:rsidP="00A94A8C">
      <w:pPr>
        <w:spacing w:before="170"/>
        <w:rPr>
          <w:lang w:val="en-NZ"/>
        </w:rPr>
      </w:pPr>
      <w:r>
        <w:rPr>
          <w:lang w:val="en-NZ"/>
        </w:rPr>
        <w:t xml:space="preserve">The </w:t>
      </w:r>
      <w:r w:rsidR="00A81A35">
        <w:rPr>
          <w:lang w:val="en-NZ"/>
        </w:rPr>
        <w:t>1,05</w:t>
      </w:r>
      <w:r w:rsidR="002447EA">
        <w:rPr>
          <w:lang w:val="en-NZ"/>
        </w:rPr>
        <w:t>6</w:t>
      </w:r>
      <w:r>
        <w:rPr>
          <w:lang w:val="en-NZ"/>
        </w:rPr>
        <w:t xml:space="preserve"> gang members were recorded as the </w:t>
      </w:r>
      <w:r w:rsidR="005063AD">
        <w:rPr>
          <w:lang w:val="en-NZ"/>
        </w:rPr>
        <w:t xml:space="preserve">alleged </w:t>
      </w:r>
      <w:r>
        <w:rPr>
          <w:lang w:val="en-NZ"/>
        </w:rPr>
        <w:t xml:space="preserve">perpetrator in </w:t>
      </w:r>
      <w:r w:rsidR="00C40FE7">
        <w:rPr>
          <w:lang w:val="en-NZ"/>
        </w:rPr>
        <w:t xml:space="preserve">a total of </w:t>
      </w:r>
      <w:r>
        <w:rPr>
          <w:lang w:val="en-NZ"/>
        </w:rPr>
        <w:t>4,</w:t>
      </w:r>
      <w:r w:rsidR="00A81A35">
        <w:rPr>
          <w:lang w:val="en-NZ"/>
        </w:rPr>
        <w:t>9</w:t>
      </w:r>
      <w:r w:rsidR="002447EA">
        <w:rPr>
          <w:lang w:val="en-NZ"/>
        </w:rPr>
        <w:t>44</w:t>
      </w:r>
      <w:r>
        <w:rPr>
          <w:lang w:val="en-NZ"/>
        </w:rPr>
        <w:t xml:space="preserve"> substantiated findings</w:t>
      </w:r>
      <w:r w:rsidR="00A81A35">
        <w:rPr>
          <w:lang w:val="en-NZ"/>
        </w:rPr>
        <w:t xml:space="preserve"> involving 2,9</w:t>
      </w:r>
      <w:r w:rsidR="002447EA">
        <w:rPr>
          <w:lang w:val="en-NZ"/>
        </w:rPr>
        <w:t>53</w:t>
      </w:r>
      <w:r w:rsidR="00A81A35">
        <w:rPr>
          <w:lang w:val="en-NZ"/>
        </w:rPr>
        <w:t xml:space="preserve"> distinct children</w:t>
      </w:r>
      <w:r>
        <w:rPr>
          <w:lang w:val="en-NZ"/>
        </w:rPr>
        <w:t xml:space="preserve">. </w:t>
      </w:r>
      <w:r w:rsidR="00637352">
        <w:rPr>
          <w:lang w:val="en-NZ"/>
        </w:rPr>
        <w:t>These figures indicate that perpetrators commonly repeat abuse.</w:t>
      </w:r>
    </w:p>
    <w:p w:rsidR="00327433" w:rsidRPr="00A65670" w:rsidRDefault="00327433" w:rsidP="00327433">
      <w:pPr>
        <w:rPr>
          <w:b/>
          <w:color w:val="121F6B"/>
          <w:lang w:val="en-NZ"/>
        </w:rPr>
      </w:pPr>
      <w:r>
        <w:rPr>
          <w:b/>
          <w:color w:val="121F6B"/>
          <w:lang w:val="en-NZ"/>
        </w:rPr>
        <w:t xml:space="preserve">Most findings of </w:t>
      </w:r>
      <w:r w:rsidR="000C6BA1">
        <w:rPr>
          <w:b/>
          <w:color w:val="121F6B"/>
          <w:lang w:val="en-NZ"/>
        </w:rPr>
        <w:t>abuse or neglect</w:t>
      </w:r>
      <w:r>
        <w:rPr>
          <w:b/>
          <w:color w:val="121F6B"/>
          <w:lang w:val="en-NZ"/>
        </w:rPr>
        <w:t xml:space="preserve"> </w:t>
      </w:r>
      <w:r w:rsidR="00DF3B59">
        <w:rPr>
          <w:b/>
          <w:color w:val="121F6B"/>
          <w:lang w:val="en-NZ"/>
        </w:rPr>
        <w:t xml:space="preserve">allegedly </w:t>
      </w:r>
      <w:r>
        <w:rPr>
          <w:b/>
          <w:color w:val="121F6B"/>
          <w:lang w:val="en-NZ"/>
        </w:rPr>
        <w:t>b</w:t>
      </w:r>
      <w:r w:rsidRPr="00A65670">
        <w:rPr>
          <w:b/>
          <w:color w:val="121F6B"/>
          <w:lang w:val="en-NZ"/>
        </w:rPr>
        <w:t xml:space="preserve">y gang members </w:t>
      </w:r>
      <w:r w:rsidR="000A666B">
        <w:rPr>
          <w:b/>
          <w:color w:val="121F6B"/>
          <w:lang w:val="en-NZ"/>
        </w:rPr>
        <w:t>involved</w:t>
      </w:r>
      <w:r w:rsidRPr="00A65670">
        <w:rPr>
          <w:b/>
          <w:color w:val="121F6B"/>
          <w:lang w:val="en-NZ"/>
        </w:rPr>
        <w:t xml:space="preserve"> their own </w:t>
      </w:r>
      <w:r>
        <w:rPr>
          <w:b/>
          <w:color w:val="121F6B"/>
          <w:lang w:val="en-NZ"/>
        </w:rPr>
        <w:t xml:space="preserve">or their partners’ </w:t>
      </w:r>
      <w:r w:rsidRPr="00A65670">
        <w:rPr>
          <w:b/>
          <w:color w:val="121F6B"/>
          <w:lang w:val="en-NZ"/>
        </w:rPr>
        <w:t>child</w:t>
      </w:r>
      <w:r>
        <w:rPr>
          <w:b/>
          <w:color w:val="121F6B"/>
          <w:lang w:val="en-NZ"/>
        </w:rPr>
        <w:t>ren</w:t>
      </w:r>
    </w:p>
    <w:p w:rsidR="00091A50" w:rsidRDefault="00091A50" w:rsidP="00785DDF">
      <w:pPr>
        <w:rPr>
          <w:lang w:val="en-NZ"/>
        </w:rPr>
      </w:pPr>
      <w:r>
        <w:rPr>
          <w:lang w:val="en-NZ"/>
        </w:rPr>
        <w:t xml:space="preserve">The </w:t>
      </w:r>
      <w:r w:rsidR="0058518F">
        <w:rPr>
          <w:lang w:val="en-NZ"/>
        </w:rPr>
        <w:t>gang member</w:t>
      </w:r>
      <w:r w:rsidR="005D57E3">
        <w:rPr>
          <w:lang w:val="en-NZ"/>
        </w:rPr>
        <w:t>’</w:t>
      </w:r>
      <w:r w:rsidR="0058518F">
        <w:rPr>
          <w:lang w:val="en-NZ"/>
        </w:rPr>
        <w:t xml:space="preserve">s </w:t>
      </w:r>
      <w:r>
        <w:rPr>
          <w:lang w:val="en-NZ"/>
        </w:rPr>
        <w:t xml:space="preserve">relationship to the </w:t>
      </w:r>
      <w:r w:rsidR="00E14AAE">
        <w:rPr>
          <w:lang w:val="en-NZ"/>
        </w:rPr>
        <w:t>victim</w:t>
      </w:r>
      <w:r>
        <w:rPr>
          <w:lang w:val="en-NZ"/>
        </w:rPr>
        <w:t xml:space="preserve"> in the </w:t>
      </w:r>
      <w:r w:rsidR="00D2421A">
        <w:rPr>
          <w:lang w:val="en-NZ"/>
        </w:rPr>
        <w:t>4,</w:t>
      </w:r>
      <w:r w:rsidR="00A81A35">
        <w:rPr>
          <w:lang w:val="en-NZ"/>
        </w:rPr>
        <w:t>9</w:t>
      </w:r>
      <w:r w:rsidR="002447EA">
        <w:rPr>
          <w:lang w:val="en-NZ"/>
        </w:rPr>
        <w:t>44</w:t>
      </w:r>
      <w:r w:rsidR="00D2421A">
        <w:rPr>
          <w:lang w:val="en-NZ"/>
        </w:rPr>
        <w:t xml:space="preserve"> substantiated </w:t>
      </w:r>
      <w:r>
        <w:rPr>
          <w:lang w:val="en-NZ"/>
        </w:rPr>
        <w:t>findings was recorded as the parent in 7</w:t>
      </w:r>
      <w:r w:rsidR="00E14AAE">
        <w:rPr>
          <w:lang w:val="en-NZ"/>
        </w:rPr>
        <w:t>7</w:t>
      </w:r>
      <w:r>
        <w:rPr>
          <w:lang w:val="en-NZ"/>
        </w:rPr>
        <w:t xml:space="preserve"> </w:t>
      </w:r>
      <w:r w:rsidR="005D7755">
        <w:rPr>
          <w:lang w:val="en-NZ"/>
        </w:rPr>
        <w:t>percent</w:t>
      </w:r>
      <w:r>
        <w:rPr>
          <w:lang w:val="en-NZ"/>
        </w:rPr>
        <w:t xml:space="preserve"> of </w:t>
      </w:r>
      <w:r w:rsidR="00E14AAE">
        <w:rPr>
          <w:lang w:val="en-NZ"/>
        </w:rPr>
        <w:t>findings</w:t>
      </w:r>
      <w:r w:rsidR="005F204D">
        <w:rPr>
          <w:rStyle w:val="FootnoteReference"/>
        </w:rPr>
        <w:footnoteReference w:id="13"/>
      </w:r>
      <w:r>
        <w:rPr>
          <w:lang w:val="en-NZ"/>
        </w:rPr>
        <w:t xml:space="preserve">, </w:t>
      </w:r>
      <w:r w:rsidR="00E14AAE">
        <w:rPr>
          <w:lang w:val="en-NZ"/>
        </w:rPr>
        <w:t>and as the step-parent or mother’s partner in 1</w:t>
      </w:r>
      <w:r w:rsidR="0030553B">
        <w:rPr>
          <w:lang w:val="en-NZ"/>
        </w:rPr>
        <w:t>5</w:t>
      </w:r>
      <w:r w:rsidR="00E14AAE">
        <w:rPr>
          <w:lang w:val="en-NZ"/>
        </w:rPr>
        <w:t xml:space="preserve"> </w:t>
      </w:r>
      <w:r w:rsidR="005D7755">
        <w:rPr>
          <w:lang w:val="en-NZ"/>
        </w:rPr>
        <w:t>percent</w:t>
      </w:r>
      <w:r w:rsidR="00E14AAE">
        <w:rPr>
          <w:lang w:val="en-NZ"/>
        </w:rPr>
        <w:t xml:space="preserve"> of findings. In three </w:t>
      </w:r>
      <w:r w:rsidR="005D7755">
        <w:rPr>
          <w:lang w:val="en-NZ"/>
        </w:rPr>
        <w:t>percent</w:t>
      </w:r>
      <w:r w:rsidR="00E14AAE">
        <w:rPr>
          <w:lang w:val="en-NZ"/>
        </w:rPr>
        <w:t xml:space="preserve"> of findings, the gang member was recorded as some other relative to the victim (eg uncle, sibling or grandparent). In </w:t>
      </w:r>
      <w:r w:rsidR="001D7660">
        <w:rPr>
          <w:lang w:val="en-NZ"/>
        </w:rPr>
        <w:t>two</w:t>
      </w:r>
      <w:r w:rsidR="00E14AAE">
        <w:rPr>
          <w:lang w:val="en-NZ"/>
        </w:rPr>
        <w:t xml:space="preserve"> </w:t>
      </w:r>
      <w:r w:rsidR="005D7755">
        <w:rPr>
          <w:lang w:val="en-NZ"/>
        </w:rPr>
        <w:t>percent</w:t>
      </w:r>
      <w:r w:rsidR="00E14AAE">
        <w:rPr>
          <w:lang w:val="en-NZ"/>
        </w:rPr>
        <w:t xml:space="preserve"> of findings, the gang member had </w:t>
      </w:r>
      <w:r w:rsidR="00FF2783">
        <w:rPr>
          <w:lang w:val="en-NZ"/>
        </w:rPr>
        <w:t>a</w:t>
      </w:r>
      <w:r w:rsidR="00E14AAE">
        <w:rPr>
          <w:lang w:val="en-NZ"/>
        </w:rPr>
        <w:t xml:space="preserve"> </w:t>
      </w:r>
      <w:r w:rsidR="001D7660">
        <w:rPr>
          <w:lang w:val="en-NZ"/>
        </w:rPr>
        <w:t xml:space="preserve">non-familial </w:t>
      </w:r>
      <w:r w:rsidR="00E14AAE">
        <w:rPr>
          <w:lang w:val="en-NZ"/>
        </w:rPr>
        <w:t xml:space="preserve">type of relationship to the victim, and in </w:t>
      </w:r>
      <w:r w:rsidR="005F0FCD">
        <w:rPr>
          <w:lang w:val="en-NZ"/>
        </w:rPr>
        <w:t>three</w:t>
      </w:r>
      <w:r w:rsidR="00E14AAE">
        <w:rPr>
          <w:lang w:val="en-NZ"/>
        </w:rPr>
        <w:t xml:space="preserve"> </w:t>
      </w:r>
      <w:r w:rsidR="005D7755">
        <w:rPr>
          <w:lang w:val="en-NZ"/>
        </w:rPr>
        <w:t>percent</w:t>
      </w:r>
      <w:r w:rsidR="00E14AAE">
        <w:rPr>
          <w:lang w:val="en-NZ"/>
        </w:rPr>
        <w:t xml:space="preserve"> of findings the </w:t>
      </w:r>
      <w:r w:rsidR="00DB0D7B">
        <w:rPr>
          <w:lang w:val="en-NZ"/>
        </w:rPr>
        <w:t>nature</w:t>
      </w:r>
      <w:r w:rsidR="00E14AAE">
        <w:rPr>
          <w:lang w:val="en-NZ"/>
        </w:rPr>
        <w:t xml:space="preserve"> of </w:t>
      </w:r>
      <w:r w:rsidR="00DB0D7B">
        <w:rPr>
          <w:lang w:val="en-NZ"/>
        </w:rPr>
        <w:t xml:space="preserve">the </w:t>
      </w:r>
      <w:r w:rsidR="00E14AAE">
        <w:rPr>
          <w:lang w:val="en-NZ"/>
        </w:rPr>
        <w:t>relationship was not recorded.</w:t>
      </w:r>
    </w:p>
    <w:p w:rsidR="00A65670" w:rsidRPr="00A65670" w:rsidRDefault="00A65670" w:rsidP="00FF2783">
      <w:pPr>
        <w:keepNext/>
        <w:rPr>
          <w:b/>
          <w:color w:val="121F6B"/>
          <w:lang w:val="en-NZ"/>
        </w:rPr>
      </w:pPr>
      <w:r w:rsidRPr="00A65670">
        <w:rPr>
          <w:b/>
          <w:color w:val="121F6B"/>
          <w:lang w:val="en-NZ"/>
        </w:rPr>
        <w:lastRenderedPageBreak/>
        <w:t xml:space="preserve">Physical abuse </w:t>
      </w:r>
      <w:r w:rsidR="00D0118B">
        <w:rPr>
          <w:b/>
          <w:color w:val="121F6B"/>
          <w:lang w:val="en-NZ"/>
        </w:rPr>
        <w:t xml:space="preserve">allegedly </w:t>
      </w:r>
      <w:r w:rsidRPr="00A65670">
        <w:rPr>
          <w:b/>
          <w:color w:val="121F6B"/>
          <w:lang w:val="en-NZ"/>
        </w:rPr>
        <w:t xml:space="preserve">by gang members was most often </w:t>
      </w:r>
      <w:r w:rsidR="00FF2783">
        <w:rPr>
          <w:b/>
          <w:color w:val="121F6B"/>
          <w:lang w:val="en-NZ"/>
        </w:rPr>
        <w:t>against</w:t>
      </w:r>
      <w:r w:rsidRPr="00A65670">
        <w:rPr>
          <w:b/>
          <w:color w:val="121F6B"/>
          <w:lang w:val="en-NZ"/>
        </w:rPr>
        <w:t xml:space="preserve"> their own child</w:t>
      </w:r>
      <w:r>
        <w:rPr>
          <w:b/>
          <w:color w:val="121F6B"/>
          <w:lang w:val="en-NZ"/>
        </w:rPr>
        <w:t>ren</w:t>
      </w:r>
    </w:p>
    <w:p w:rsidR="00312E55" w:rsidRDefault="008427FE" w:rsidP="00FF2783">
      <w:pPr>
        <w:keepNext/>
        <w:rPr>
          <w:lang w:val="en-NZ"/>
        </w:rPr>
      </w:pPr>
      <w:r>
        <w:rPr>
          <w:lang w:val="en-NZ"/>
        </w:rPr>
        <w:t xml:space="preserve">There were </w:t>
      </w:r>
      <w:r w:rsidR="00F74FFD">
        <w:rPr>
          <w:lang w:val="en-NZ"/>
        </w:rPr>
        <w:t xml:space="preserve">251 </w:t>
      </w:r>
      <w:r>
        <w:rPr>
          <w:lang w:val="en-NZ"/>
        </w:rPr>
        <w:t xml:space="preserve">individual gang members recorded as the </w:t>
      </w:r>
      <w:r w:rsidR="00D0118B">
        <w:rPr>
          <w:lang w:val="en-NZ"/>
        </w:rPr>
        <w:t xml:space="preserve">alleged </w:t>
      </w:r>
      <w:r>
        <w:rPr>
          <w:lang w:val="en-NZ"/>
        </w:rPr>
        <w:t xml:space="preserve">perpetrator in </w:t>
      </w:r>
      <w:r w:rsidR="00B1624E">
        <w:rPr>
          <w:lang w:val="en-NZ"/>
        </w:rPr>
        <w:t>428</w:t>
      </w:r>
      <w:r>
        <w:rPr>
          <w:lang w:val="en-NZ"/>
        </w:rPr>
        <w:t xml:space="preserve"> substantiated findings of physical abuse. In </w:t>
      </w:r>
      <w:r w:rsidR="0063575E">
        <w:rPr>
          <w:lang w:val="en-NZ"/>
        </w:rPr>
        <w:t>67</w:t>
      </w:r>
      <w:r>
        <w:rPr>
          <w:lang w:val="en-NZ"/>
        </w:rPr>
        <w:t xml:space="preserve"> </w:t>
      </w:r>
      <w:r w:rsidR="005D7755">
        <w:rPr>
          <w:lang w:val="en-NZ"/>
        </w:rPr>
        <w:t>percent</w:t>
      </w:r>
      <w:r>
        <w:rPr>
          <w:lang w:val="en-NZ"/>
        </w:rPr>
        <w:t xml:space="preserve"> of the</w:t>
      </w:r>
      <w:r w:rsidR="00AF2D10">
        <w:rPr>
          <w:lang w:val="en-NZ"/>
        </w:rPr>
        <w:t>se</w:t>
      </w:r>
      <w:r>
        <w:rPr>
          <w:lang w:val="en-NZ"/>
        </w:rPr>
        <w:t xml:space="preserve"> findings, the victim was the gang member</w:t>
      </w:r>
      <w:r w:rsidR="00CB011B">
        <w:rPr>
          <w:lang w:val="en-NZ"/>
        </w:rPr>
        <w:t>’</w:t>
      </w:r>
      <w:r>
        <w:rPr>
          <w:lang w:val="en-NZ"/>
        </w:rPr>
        <w:t xml:space="preserve">s child, while in </w:t>
      </w:r>
      <w:r w:rsidR="0063575E">
        <w:rPr>
          <w:lang w:val="en-NZ"/>
        </w:rPr>
        <w:t>19</w:t>
      </w:r>
      <w:r w:rsidR="005A2BC0">
        <w:rPr>
          <w:lang w:val="en-NZ"/>
        </w:rPr>
        <w:t xml:space="preserve"> </w:t>
      </w:r>
      <w:r w:rsidR="005D7755">
        <w:rPr>
          <w:lang w:val="en-NZ"/>
        </w:rPr>
        <w:t>percent</w:t>
      </w:r>
      <w:r>
        <w:rPr>
          <w:lang w:val="en-NZ"/>
        </w:rPr>
        <w:t xml:space="preserve"> of other cases </w:t>
      </w:r>
      <w:r w:rsidR="00FF2783">
        <w:rPr>
          <w:lang w:val="en-NZ"/>
        </w:rPr>
        <w:t>the victim</w:t>
      </w:r>
      <w:r>
        <w:rPr>
          <w:lang w:val="en-NZ"/>
        </w:rPr>
        <w:t xml:space="preserve"> was their step-child or partner’s child.</w:t>
      </w:r>
      <w:r w:rsidRPr="008427FE">
        <w:rPr>
          <w:lang w:val="en-NZ"/>
        </w:rPr>
        <w:t xml:space="preserve"> </w:t>
      </w:r>
      <w:r>
        <w:rPr>
          <w:lang w:val="en-NZ"/>
        </w:rPr>
        <w:t xml:space="preserve">In </w:t>
      </w:r>
      <w:r w:rsidR="0063575E">
        <w:rPr>
          <w:lang w:val="en-NZ"/>
        </w:rPr>
        <w:t>nine</w:t>
      </w:r>
      <w:r>
        <w:rPr>
          <w:lang w:val="en-NZ"/>
        </w:rPr>
        <w:t xml:space="preserve"> </w:t>
      </w:r>
      <w:r w:rsidR="005D7755">
        <w:rPr>
          <w:lang w:val="en-NZ"/>
        </w:rPr>
        <w:t>percent</w:t>
      </w:r>
      <w:r>
        <w:rPr>
          <w:lang w:val="en-NZ"/>
        </w:rPr>
        <w:t xml:space="preserve"> of physical abuse findings, the gang member was recorded as some other relative to the victim</w:t>
      </w:r>
      <w:r w:rsidR="001D7660">
        <w:rPr>
          <w:lang w:val="en-NZ"/>
        </w:rPr>
        <w:t xml:space="preserve">, while in </w:t>
      </w:r>
      <w:r w:rsidR="0063575E">
        <w:rPr>
          <w:lang w:val="en-NZ"/>
        </w:rPr>
        <w:t>five</w:t>
      </w:r>
      <w:r w:rsidR="001D7660">
        <w:rPr>
          <w:lang w:val="en-NZ"/>
        </w:rPr>
        <w:t xml:space="preserve"> </w:t>
      </w:r>
      <w:r w:rsidR="005D7755">
        <w:rPr>
          <w:lang w:val="en-NZ"/>
        </w:rPr>
        <w:t>percent</w:t>
      </w:r>
      <w:r>
        <w:rPr>
          <w:lang w:val="en-NZ"/>
        </w:rPr>
        <w:t xml:space="preserve"> </w:t>
      </w:r>
      <w:r w:rsidR="00C14BF5">
        <w:rPr>
          <w:lang w:val="en-NZ"/>
        </w:rPr>
        <w:t xml:space="preserve">of findings </w:t>
      </w:r>
      <w:r w:rsidR="001D7660">
        <w:rPr>
          <w:lang w:val="en-NZ"/>
        </w:rPr>
        <w:t xml:space="preserve">they </w:t>
      </w:r>
      <w:r>
        <w:rPr>
          <w:lang w:val="en-NZ"/>
        </w:rPr>
        <w:t xml:space="preserve">had </w:t>
      </w:r>
      <w:r w:rsidR="00FF2783">
        <w:rPr>
          <w:lang w:val="en-NZ"/>
        </w:rPr>
        <w:t>a</w:t>
      </w:r>
      <w:r>
        <w:rPr>
          <w:lang w:val="en-NZ"/>
        </w:rPr>
        <w:t xml:space="preserve"> </w:t>
      </w:r>
      <w:r w:rsidR="001D7660">
        <w:rPr>
          <w:lang w:val="en-NZ"/>
        </w:rPr>
        <w:t xml:space="preserve">non-familial </w:t>
      </w:r>
      <w:r>
        <w:rPr>
          <w:lang w:val="en-NZ"/>
        </w:rPr>
        <w:t>relationship to the victim.</w:t>
      </w:r>
    </w:p>
    <w:p w:rsidR="00A65670" w:rsidRPr="00A65670" w:rsidRDefault="00A65670" w:rsidP="00A65670">
      <w:pPr>
        <w:rPr>
          <w:b/>
          <w:color w:val="121F6B"/>
          <w:lang w:val="en-NZ"/>
        </w:rPr>
      </w:pPr>
      <w:r w:rsidRPr="00A65670">
        <w:rPr>
          <w:b/>
          <w:color w:val="121F6B"/>
          <w:lang w:val="en-NZ"/>
        </w:rPr>
        <w:t xml:space="preserve">Sexual abuse </w:t>
      </w:r>
      <w:r w:rsidR="00D0118B">
        <w:rPr>
          <w:b/>
          <w:color w:val="121F6B"/>
          <w:lang w:val="en-NZ"/>
        </w:rPr>
        <w:t xml:space="preserve">allegedly </w:t>
      </w:r>
      <w:r w:rsidRPr="00A65670">
        <w:rPr>
          <w:b/>
          <w:color w:val="121F6B"/>
          <w:lang w:val="en-NZ"/>
        </w:rPr>
        <w:t xml:space="preserve">by gang members was rarely </w:t>
      </w:r>
      <w:r w:rsidR="00FF2783">
        <w:rPr>
          <w:b/>
          <w:color w:val="121F6B"/>
          <w:lang w:val="en-NZ"/>
        </w:rPr>
        <w:t>against</w:t>
      </w:r>
      <w:r w:rsidR="00FF2783" w:rsidRPr="00A65670">
        <w:rPr>
          <w:b/>
          <w:color w:val="121F6B"/>
          <w:lang w:val="en-NZ"/>
        </w:rPr>
        <w:t xml:space="preserve"> </w:t>
      </w:r>
      <w:r w:rsidRPr="00A65670">
        <w:rPr>
          <w:b/>
          <w:color w:val="121F6B"/>
          <w:lang w:val="en-NZ"/>
        </w:rPr>
        <w:t xml:space="preserve">their </w:t>
      </w:r>
      <w:r w:rsidR="007E6068">
        <w:rPr>
          <w:b/>
          <w:color w:val="121F6B"/>
          <w:lang w:val="en-NZ"/>
        </w:rPr>
        <w:t xml:space="preserve">own </w:t>
      </w:r>
      <w:r w:rsidRPr="00A65670">
        <w:rPr>
          <w:b/>
          <w:color w:val="121F6B"/>
          <w:lang w:val="en-NZ"/>
        </w:rPr>
        <w:t>child</w:t>
      </w:r>
      <w:r>
        <w:rPr>
          <w:b/>
          <w:color w:val="121F6B"/>
          <w:lang w:val="en-NZ"/>
        </w:rPr>
        <w:t>ren</w:t>
      </w:r>
    </w:p>
    <w:p w:rsidR="005A2BC0" w:rsidRPr="00A546F6" w:rsidRDefault="005A2BC0" w:rsidP="005A2BC0">
      <w:pPr>
        <w:rPr>
          <w:lang w:val="en-NZ"/>
        </w:rPr>
      </w:pPr>
      <w:r>
        <w:rPr>
          <w:lang w:val="en-NZ"/>
        </w:rPr>
        <w:t xml:space="preserve">There were </w:t>
      </w:r>
      <w:r w:rsidRPr="00F74FFD">
        <w:rPr>
          <w:lang w:val="en-NZ"/>
        </w:rPr>
        <w:t>63</w:t>
      </w:r>
      <w:r>
        <w:rPr>
          <w:lang w:val="en-NZ"/>
        </w:rPr>
        <w:t xml:space="preserve"> individual gang members recorded as the </w:t>
      </w:r>
      <w:r w:rsidR="00CB7A58">
        <w:rPr>
          <w:lang w:val="en-NZ"/>
        </w:rPr>
        <w:t xml:space="preserve">alleged </w:t>
      </w:r>
      <w:r>
        <w:rPr>
          <w:lang w:val="en-NZ"/>
        </w:rPr>
        <w:t xml:space="preserve">perpetrator in </w:t>
      </w:r>
      <w:r w:rsidR="00B1624E">
        <w:rPr>
          <w:lang w:val="en-NZ"/>
        </w:rPr>
        <w:t>76</w:t>
      </w:r>
      <w:r>
        <w:rPr>
          <w:lang w:val="en-NZ"/>
        </w:rPr>
        <w:t xml:space="preserve"> substantiated findings of sexual abuse. </w:t>
      </w:r>
      <w:r w:rsidR="001D7660">
        <w:rPr>
          <w:lang w:val="en-NZ"/>
        </w:rPr>
        <w:t>Unlike the physical abuse findings, the victim in sexual abuse findings was the gang member</w:t>
      </w:r>
      <w:r w:rsidR="00CB011B">
        <w:rPr>
          <w:lang w:val="en-NZ"/>
        </w:rPr>
        <w:t>’</w:t>
      </w:r>
      <w:r w:rsidR="001D7660">
        <w:rPr>
          <w:lang w:val="en-NZ"/>
        </w:rPr>
        <w:t>s child in only a small minority (1</w:t>
      </w:r>
      <w:r w:rsidR="0063575E">
        <w:rPr>
          <w:lang w:val="en-NZ"/>
        </w:rPr>
        <w:t>4</w:t>
      </w:r>
      <w:r w:rsidR="001D7660">
        <w:rPr>
          <w:lang w:val="en-NZ"/>
        </w:rPr>
        <w:t xml:space="preserve"> </w:t>
      </w:r>
      <w:r w:rsidR="005D7755">
        <w:rPr>
          <w:lang w:val="en-NZ"/>
        </w:rPr>
        <w:t>percent</w:t>
      </w:r>
      <w:r w:rsidR="001D7660">
        <w:rPr>
          <w:lang w:val="en-NZ"/>
        </w:rPr>
        <w:t>) of cases. I</w:t>
      </w:r>
      <w:r>
        <w:rPr>
          <w:lang w:val="en-NZ"/>
        </w:rPr>
        <w:t xml:space="preserve">n </w:t>
      </w:r>
      <w:r w:rsidR="001D7660">
        <w:rPr>
          <w:lang w:val="en-NZ"/>
        </w:rPr>
        <w:t>2</w:t>
      </w:r>
      <w:r w:rsidR="00F74FFD">
        <w:rPr>
          <w:lang w:val="en-NZ"/>
        </w:rPr>
        <w:t>4</w:t>
      </w:r>
      <w:r>
        <w:rPr>
          <w:lang w:val="en-NZ"/>
        </w:rPr>
        <w:t xml:space="preserve"> </w:t>
      </w:r>
      <w:r w:rsidR="005D7755">
        <w:rPr>
          <w:lang w:val="en-NZ"/>
        </w:rPr>
        <w:t>percent</w:t>
      </w:r>
      <w:r>
        <w:rPr>
          <w:lang w:val="en-NZ"/>
        </w:rPr>
        <w:t xml:space="preserve"> of cases </w:t>
      </w:r>
      <w:r w:rsidR="001D7660">
        <w:rPr>
          <w:lang w:val="en-NZ"/>
        </w:rPr>
        <w:t>the victim</w:t>
      </w:r>
      <w:r>
        <w:rPr>
          <w:lang w:val="en-NZ"/>
        </w:rPr>
        <w:t xml:space="preserve"> was their step-child or partner’s child</w:t>
      </w:r>
      <w:r w:rsidR="001D7660">
        <w:rPr>
          <w:lang w:val="en-NZ"/>
        </w:rPr>
        <w:t>, while i</w:t>
      </w:r>
      <w:r>
        <w:rPr>
          <w:lang w:val="en-NZ"/>
        </w:rPr>
        <w:t xml:space="preserve">n </w:t>
      </w:r>
      <w:r w:rsidR="001D7660">
        <w:rPr>
          <w:lang w:val="en-NZ"/>
        </w:rPr>
        <w:t>2</w:t>
      </w:r>
      <w:r w:rsidR="00F74FFD">
        <w:rPr>
          <w:lang w:val="en-NZ"/>
        </w:rPr>
        <w:t>5</w:t>
      </w:r>
      <w:r>
        <w:rPr>
          <w:lang w:val="en-NZ"/>
        </w:rPr>
        <w:t xml:space="preserve"> </w:t>
      </w:r>
      <w:r w:rsidR="005D7755">
        <w:rPr>
          <w:lang w:val="en-NZ"/>
        </w:rPr>
        <w:t>percent</w:t>
      </w:r>
      <w:r>
        <w:rPr>
          <w:lang w:val="en-NZ"/>
        </w:rPr>
        <w:t xml:space="preserve"> of sexual abuse findings the gang member was recorded as some other relative to the victim. In </w:t>
      </w:r>
      <w:r w:rsidR="001D7660">
        <w:rPr>
          <w:lang w:val="en-NZ"/>
        </w:rPr>
        <w:t>37</w:t>
      </w:r>
      <w:r>
        <w:rPr>
          <w:lang w:val="en-NZ"/>
        </w:rPr>
        <w:t xml:space="preserve"> </w:t>
      </w:r>
      <w:r w:rsidR="005D7755">
        <w:rPr>
          <w:lang w:val="en-NZ"/>
        </w:rPr>
        <w:t>percent</w:t>
      </w:r>
      <w:r>
        <w:rPr>
          <w:lang w:val="en-NZ"/>
        </w:rPr>
        <w:t xml:space="preserve"> of sexual abuse findings, the gang member had </w:t>
      </w:r>
      <w:r w:rsidR="00AF020D">
        <w:rPr>
          <w:lang w:val="en-NZ"/>
        </w:rPr>
        <w:t>a</w:t>
      </w:r>
      <w:r>
        <w:rPr>
          <w:lang w:val="en-NZ"/>
        </w:rPr>
        <w:t xml:space="preserve"> </w:t>
      </w:r>
      <w:r w:rsidR="001D7660">
        <w:rPr>
          <w:lang w:val="en-NZ"/>
        </w:rPr>
        <w:t xml:space="preserve">non-familial </w:t>
      </w:r>
      <w:r>
        <w:rPr>
          <w:lang w:val="en-NZ"/>
        </w:rPr>
        <w:t>relationship to the victim.</w:t>
      </w:r>
    </w:p>
    <w:p w:rsidR="00045074" w:rsidRPr="00B9395B" w:rsidRDefault="00045074" w:rsidP="00045074">
      <w:pPr>
        <w:pStyle w:val="Heading2"/>
        <w:rPr>
          <w:sz w:val="26"/>
          <w:szCs w:val="26"/>
        </w:rPr>
      </w:pPr>
      <w:r w:rsidRPr="00B9395B">
        <w:rPr>
          <w:sz w:val="26"/>
          <w:szCs w:val="26"/>
        </w:rPr>
        <w:t>Gang members’ children known to Child, Youth and Family</w:t>
      </w:r>
    </w:p>
    <w:p w:rsidR="008775FE" w:rsidRDefault="008775FE" w:rsidP="008775FE">
      <w:pPr>
        <w:rPr>
          <w:lang w:val="en-NZ"/>
        </w:rPr>
      </w:pPr>
      <w:r>
        <w:rPr>
          <w:lang w:val="en-NZ"/>
        </w:rPr>
        <w:t xml:space="preserve">There is interest in whether growing up in gang families exposes children to greater risk of negative life outcomes. </w:t>
      </w:r>
      <w:r w:rsidR="00D55CEF">
        <w:rPr>
          <w:lang w:val="en-NZ"/>
        </w:rPr>
        <w:t>T</w:t>
      </w:r>
      <w:r>
        <w:rPr>
          <w:lang w:val="en-NZ"/>
        </w:rPr>
        <w:t>he children of gang members known to Child, Youth and Family</w:t>
      </w:r>
      <w:r w:rsidR="00D55CEF">
        <w:rPr>
          <w:lang w:val="en-NZ"/>
        </w:rPr>
        <w:t xml:space="preserve"> were examined to determine the nature of their contact with the </w:t>
      </w:r>
      <w:r>
        <w:rPr>
          <w:lang w:val="en-NZ"/>
        </w:rPr>
        <w:t>Care and Protection and Youth Justice service arms.</w:t>
      </w:r>
      <w:r w:rsidR="00D807F7">
        <w:rPr>
          <w:lang w:val="en-NZ"/>
        </w:rPr>
        <w:t xml:space="preserve"> </w:t>
      </w:r>
      <w:r w:rsidR="00D55CEF">
        <w:rPr>
          <w:lang w:val="en-NZ"/>
        </w:rPr>
        <w:t xml:space="preserve">When examining the </w:t>
      </w:r>
      <w:r w:rsidR="00D807F7">
        <w:rPr>
          <w:lang w:val="en-NZ"/>
        </w:rPr>
        <w:t xml:space="preserve">abuse and neglect of </w:t>
      </w:r>
      <w:r w:rsidR="00AF2D10">
        <w:rPr>
          <w:lang w:val="en-NZ"/>
        </w:rPr>
        <w:t>gang members</w:t>
      </w:r>
      <w:r w:rsidR="00664A83">
        <w:rPr>
          <w:lang w:val="en-NZ"/>
        </w:rPr>
        <w:t>’</w:t>
      </w:r>
      <w:r w:rsidR="00D807F7">
        <w:rPr>
          <w:lang w:val="en-NZ"/>
        </w:rPr>
        <w:t xml:space="preserve"> children, all substantiated findings were </w:t>
      </w:r>
      <w:r w:rsidR="00D55CEF">
        <w:rPr>
          <w:lang w:val="en-NZ"/>
        </w:rPr>
        <w:t>included</w:t>
      </w:r>
      <w:r w:rsidR="00286AC5">
        <w:rPr>
          <w:lang w:val="en-NZ"/>
        </w:rPr>
        <w:t>,</w:t>
      </w:r>
      <w:r w:rsidR="00D807F7">
        <w:rPr>
          <w:lang w:val="en-NZ"/>
        </w:rPr>
        <w:t xml:space="preserve"> regardless of who the perpetrator was.</w:t>
      </w:r>
    </w:p>
    <w:p w:rsidR="00962092" w:rsidRDefault="004B1456" w:rsidP="00C46119">
      <w:pPr>
        <w:rPr>
          <w:lang w:val="en-NZ"/>
        </w:rPr>
      </w:pPr>
      <w:r>
        <w:rPr>
          <w:lang w:val="en-NZ"/>
        </w:rPr>
        <w:t>A</w:t>
      </w:r>
      <w:r w:rsidR="00B14CF5">
        <w:rPr>
          <w:lang w:val="en-NZ"/>
        </w:rPr>
        <w:t xml:space="preserve"> total of </w:t>
      </w:r>
      <w:r w:rsidR="005800D6">
        <w:rPr>
          <w:lang w:val="en-NZ"/>
        </w:rPr>
        <w:t>5,890</w:t>
      </w:r>
      <w:r w:rsidR="00B14CF5">
        <w:rPr>
          <w:lang w:val="en-NZ"/>
        </w:rPr>
        <w:t xml:space="preserve"> children </w:t>
      </w:r>
      <w:r w:rsidR="00F61DF4">
        <w:rPr>
          <w:lang w:val="en-NZ"/>
        </w:rPr>
        <w:t xml:space="preserve">could be </w:t>
      </w:r>
      <w:r w:rsidR="00B14CF5">
        <w:rPr>
          <w:lang w:val="en-NZ"/>
        </w:rPr>
        <w:t xml:space="preserve">linked to </w:t>
      </w:r>
      <w:r w:rsidR="007F1FA3">
        <w:rPr>
          <w:lang w:val="en-NZ"/>
        </w:rPr>
        <w:t>1,</w:t>
      </w:r>
      <w:r w:rsidR="004B129A">
        <w:rPr>
          <w:lang w:val="en-NZ"/>
        </w:rPr>
        <w:t>925</w:t>
      </w:r>
      <w:r w:rsidR="007F1FA3" w:rsidRPr="004B1456">
        <w:rPr>
          <w:lang w:val="en-NZ"/>
        </w:rPr>
        <w:t xml:space="preserve"> </w:t>
      </w:r>
      <w:r w:rsidR="00B14CF5">
        <w:rPr>
          <w:lang w:val="en-NZ"/>
        </w:rPr>
        <w:t xml:space="preserve">of the gang members </w:t>
      </w:r>
      <w:r w:rsidR="00F61DF4">
        <w:rPr>
          <w:lang w:val="en-NZ"/>
        </w:rPr>
        <w:t xml:space="preserve">via </w:t>
      </w:r>
      <w:r w:rsidR="00963303">
        <w:rPr>
          <w:lang w:val="en-NZ"/>
        </w:rPr>
        <w:t>a parent</w:t>
      </w:r>
      <w:r w:rsidR="00BF420A">
        <w:rPr>
          <w:lang w:val="en-NZ"/>
        </w:rPr>
        <w:t xml:space="preserve">-child </w:t>
      </w:r>
      <w:r w:rsidR="00963303">
        <w:rPr>
          <w:lang w:val="en-NZ"/>
        </w:rPr>
        <w:t xml:space="preserve">type </w:t>
      </w:r>
      <w:r w:rsidR="00045074">
        <w:rPr>
          <w:lang w:val="en-NZ"/>
        </w:rPr>
        <w:t xml:space="preserve">relationship </w:t>
      </w:r>
      <w:r w:rsidR="00F61DF4">
        <w:rPr>
          <w:lang w:val="en-NZ"/>
        </w:rPr>
        <w:t>role</w:t>
      </w:r>
      <w:r w:rsidR="00045074">
        <w:rPr>
          <w:lang w:val="en-NZ"/>
        </w:rPr>
        <w:t xml:space="preserve"> recorded in CYRAS</w:t>
      </w:r>
      <w:r w:rsidR="007F1FA3">
        <w:rPr>
          <w:lang w:val="en-NZ"/>
        </w:rPr>
        <w:t>.</w:t>
      </w:r>
      <w:r>
        <w:rPr>
          <w:lang w:val="en-NZ"/>
        </w:rPr>
        <w:t xml:space="preserve"> </w:t>
      </w:r>
      <w:r w:rsidR="0010042E">
        <w:rPr>
          <w:lang w:val="en-NZ"/>
        </w:rPr>
        <w:t>As noted earlier, i</w:t>
      </w:r>
      <w:r w:rsidR="009E04D7" w:rsidRPr="00C4768E">
        <w:rPr>
          <w:lang w:val="en-NZ"/>
        </w:rPr>
        <w:t xml:space="preserve">t is not possible to tell whether </w:t>
      </w:r>
      <w:r w:rsidR="009E04D7">
        <w:rPr>
          <w:lang w:val="en-NZ"/>
        </w:rPr>
        <w:t xml:space="preserve">these are </w:t>
      </w:r>
      <w:r w:rsidR="009E04D7" w:rsidRPr="00C4768E">
        <w:rPr>
          <w:lang w:val="en-NZ"/>
        </w:rPr>
        <w:t xml:space="preserve">all </w:t>
      </w:r>
      <w:r w:rsidR="009E04D7">
        <w:rPr>
          <w:lang w:val="en-NZ"/>
        </w:rPr>
        <w:t>of</w:t>
      </w:r>
      <w:r w:rsidR="009E04D7" w:rsidRPr="00C4768E">
        <w:rPr>
          <w:lang w:val="en-NZ"/>
        </w:rPr>
        <w:t xml:space="preserve"> the gang members</w:t>
      </w:r>
      <w:r w:rsidR="00664A83">
        <w:rPr>
          <w:lang w:val="en-NZ"/>
        </w:rPr>
        <w:t>’</w:t>
      </w:r>
      <w:r w:rsidR="009E04D7" w:rsidRPr="00C4768E">
        <w:rPr>
          <w:lang w:val="en-NZ"/>
        </w:rPr>
        <w:t xml:space="preserve"> </w:t>
      </w:r>
      <w:r w:rsidR="009E04D7">
        <w:rPr>
          <w:lang w:val="en-NZ"/>
        </w:rPr>
        <w:t>children.</w:t>
      </w:r>
    </w:p>
    <w:p w:rsidR="001A0B11" w:rsidRPr="00A65670" w:rsidRDefault="00513C4A" w:rsidP="001A0B11">
      <w:pPr>
        <w:rPr>
          <w:b/>
          <w:color w:val="121F6B"/>
          <w:lang w:val="en-NZ"/>
        </w:rPr>
      </w:pPr>
      <w:r>
        <w:rPr>
          <w:b/>
          <w:color w:val="121F6B"/>
          <w:lang w:val="en-NZ"/>
        </w:rPr>
        <w:t>Sixty</w:t>
      </w:r>
      <w:r w:rsidR="00045074">
        <w:rPr>
          <w:b/>
          <w:color w:val="121F6B"/>
          <w:lang w:val="en-NZ"/>
        </w:rPr>
        <w:t xml:space="preserve"> percent </w:t>
      </w:r>
      <w:r w:rsidR="00873F36">
        <w:rPr>
          <w:b/>
          <w:color w:val="121F6B"/>
          <w:lang w:val="en-NZ"/>
        </w:rPr>
        <w:t xml:space="preserve">of the </w:t>
      </w:r>
      <w:r w:rsidR="00A876DA">
        <w:rPr>
          <w:b/>
          <w:color w:val="121F6B"/>
          <w:lang w:val="en-NZ"/>
        </w:rPr>
        <w:t xml:space="preserve">5,890 </w:t>
      </w:r>
      <w:r w:rsidR="00873F36">
        <w:rPr>
          <w:b/>
          <w:color w:val="121F6B"/>
          <w:lang w:val="en-NZ"/>
        </w:rPr>
        <w:t xml:space="preserve">children of </w:t>
      </w:r>
      <w:r w:rsidR="001A0B11">
        <w:rPr>
          <w:b/>
          <w:color w:val="121F6B"/>
          <w:lang w:val="en-NZ"/>
        </w:rPr>
        <w:t>gang members</w:t>
      </w:r>
      <w:r w:rsidR="00873F36">
        <w:rPr>
          <w:b/>
          <w:color w:val="121F6B"/>
          <w:lang w:val="en-NZ"/>
        </w:rPr>
        <w:t xml:space="preserve"> have been abused or neglected</w:t>
      </w:r>
    </w:p>
    <w:p w:rsidR="00DD3D00" w:rsidRDefault="00DD3D00" w:rsidP="00C46119">
      <w:pPr>
        <w:rPr>
          <w:lang w:val="en-NZ"/>
        </w:rPr>
      </w:pPr>
      <w:r>
        <w:rPr>
          <w:lang w:val="en-NZ"/>
        </w:rPr>
        <w:t>A total of 3,</w:t>
      </w:r>
      <w:r w:rsidR="004B129A">
        <w:rPr>
          <w:lang w:val="en-NZ"/>
        </w:rPr>
        <w:t>516</w:t>
      </w:r>
      <w:r>
        <w:rPr>
          <w:lang w:val="en-NZ"/>
        </w:rPr>
        <w:t xml:space="preserve"> children of gang members were recorded as being the victims of abuse or neglect </w:t>
      </w:r>
      <w:r w:rsidR="00B0626F">
        <w:rPr>
          <w:lang w:val="en-NZ"/>
        </w:rPr>
        <w:t xml:space="preserve">that </w:t>
      </w:r>
      <w:r w:rsidR="00B44732">
        <w:rPr>
          <w:lang w:val="en-NZ"/>
        </w:rPr>
        <w:t>was</w:t>
      </w:r>
      <w:r>
        <w:rPr>
          <w:lang w:val="en-NZ"/>
        </w:rPr>
        <w:t xml:space="preserve"> substantiated </w:t>
      </w:r>
      <w:r w:rsidR="00B0626F">
        <w:rPr>
          <w:lang w:val="en-NZ"/>
        </w:rPr>
        <w:t>on investigation by Child, Youth and Family</w:t>
      </w:r>
      <w:r>
        <w:rPr>
          <w:lang w:val="en-NZ"/>
        </w:rPr>
        <w:t xml:space="preserve">. </w:t>
      </w:r>
      <w:r w:rsidR="00B0626F">
        <w:rPr>
          <w:lang w:val="en-NZ"/>
        </w:rPr>
        <w:t>This is 6</w:t>
      </w:r>
      <w:r w:rsidR="004B129A">
        <w:rPr>
          <w:lang w:val="en-NZ"/>
        </w:rPr>
        <w:t>0</w:t>
      </w:r>
      <w:r w:rsidR="00B65E0F" w:rsidRPr="00B65E0F">
        <w:rPr>
          <w:lang w:val="en-NZ"/>
        </w:rPr>
        <w:t xml:space="preserve"> </w:t>
      </w:r>
      <w:r w:rsidR="005D7755">
        <w:rPr>
          <w:lang w:val="en-NZ"/>
        </w:rPr>
        <w:t>percent</w:t>
      </w:r>
      <w:r w:rsidR="00B0626F">
        <w:rPr>
          <w:lang w:val="en-NZ"/>
        </w:rPr>
        <w:t xml:space="preserve"> of the total </w:t>
      </w:r>
      <w:r w:rsidR="005800D6">
        <w:rPr>
          <w:lang w:val="en-NZ"/>
        </w:rPr>
        <w:t>5,890</w:t>
      </w:r>
      <w:r w:rsidR="00B0626F">
        <w:rPr>
          <w:lang w:val="en-NZ"/>
        </w:rPr>
        <w:t xml:space="preserve"> children of gang members known to Child, Youth and Family (Table </w:t>
      </w:r>
      <w:r w:rsidR="0062296F">
        <w:rPr>
          <w:lang w:val="en-NZ"/>
        </w:rPr>
        <w:t>6</w:t>
      </w:r>
      <w:r w:rsidR="00B0626F">
        <w:rPr>
          <w:lang w:val="en-NZ"/>
        </w:rPr>
        <w:t>).</w:t>
      </w:r>
      <w:r w:rsidR="00205773">
        <w:rPr>
          <w:lang w:val="en-NZ"/>
        </w:rPr>
        <w:t xml:space="preserve"> </w:t>
      </w:r>
      <w:r w:rsidR="00873F36">
        <w:rPr>
          <w:lang w:val="en-NZ"/>
        </w:rPr>
        <w:t>Multiple substantiated findings of abuse or neglect of these children were common</w:t>
      </w:r>
      <w:r w:rsidR="00F05C59">
        <w:rPr>
          <w:lang w:val="en-NZ"/>
        </w:rPr>
        <w:t>,</w:t>
      </w:r>
      <w:r w:rsidR="00873F36">
        <w:rPr>
          <w:lang w:val="en-NZ"/>
        </w:rPr>
        <w:t xml:space="preserve"> with a total of </w:t>
      </w:r>
      <w:r w:rsidR="00B14868">
        <w:rPr>
          <w:lang w:val="en-NZ"/>
        </w:rPr>
        <w:t>8,183</w:t>
      </w:r>
      <w:r w:rsidR="00873F36">
        <w:rPr>
          <w:lang w:val="en-NZ"/>
        </w:rPr>
        <w:t xml:space="preserve"> such findings for the 3,</w:t>
      </w:r>
      <w:r w:rsidR="00B14868">
        <w:rPr>
          <w:lang w:val="en-NZ"/>
        </w:rPr>
        <w:t>516</w:t>
      </w:r>
      <w:r w:rsidR="00873F36">
        <w:rPr>
          <w:lang w:val="en-NZ"/>
        </w:rPr>
        <w:t xml:space="preserve"> children.</w:t>
      </w:r>
    </w:p>
    <w:p w:rsidR="001A0B11" w:rsidRPr="00A65670" w:rsidRDefault="001A0B11" w:rsidP="001A0B11">
      <w:pPr>
        <w:rPr>
          <w:b/>
          <w:color w:val="121F6B"/>
          <w:lang w:val="en-NZ"/>
        </w:rPr>
      </w:pPr>
      <w:r>
        <w:rPr>
          <w:b/>
          <w:color w:val="121F6B"/>
          <w:lang w:val="en-NZ"/>
        </w:rPr>
        <w:t xml:space="preserve">Emotional abuse and neglect were the most frequent types of </w:t>
      </w:r>
      <w:r w:rsidR="00D1241A">
        <w:rPr>
          <w:b/>
          <w:color w:val="121F6B"/>
          <w:lang w:val="en-NZ"/>
        </w:rPr>
        <w:t>findings</w:t>
      </w:r>
    </w:p>
    <w:p w:rsidR="005F204D" w:rsidRDefault="00747C52" w:rsidP="00045074">
      <w:pPr>
        <w:rPr>
          <w:lang w:val="en-NZ"/>
        </w:rPr>
      </w:pPr>
      <w:r>
        <w:rPr>
          <w:lang w:val="en-NZ"/>
        </w:rPr>
        <w:t>Of the total 8,183 findings, over half (54 percent) involved e</w:t>
      </w:r>
      <w:r w:rsidR="00FE4FB0">
        <w:rPr>
          <w:lang w:val="en-NZ"/>
        </w:rPr>
        <w:t xml:space="preserve">motional abuse </w:t>
      </w:r>
      <w:r>
        <w:rPr>
          <w:lang w:val="en-NZ"/>
        </w:rPr>
        <w:t>and</w:t>
      </w:r>
      <w:r w:rsidR="00FE4FB0">
        <w:rPr>
          <w:lang w:val="en-NZ"/>
        </w:rPr>
        <w:t xml:space="preserve"> </w:t>
      </w:r>
      <w:r>
        <w:rPr>
          <w:lang w:val="en-NZ"/>
        </w:rPr>
        <w:t>30</w:t>
      </w:r>
      <w:r w:rsidR="005F204D">
        <w:rPr>
          <w:lang w:val="en-NZ"/>
        </w:rPr>
        <w:t xml:space="preserve"> </w:t>
      </w:r>
      <w:r w:rsidR="005D7755">
        <w:rPr>
          <w:lang w:val="en-NZ"/>
        </w:rPr>
        <w:t>percent</w:t>
      </w:r>
      <w:r w:rsidR="005F204D">
        <w:rPr>
          <w:lang w:val="en-NZ"/>
        </w:rPr>
        <w:t xml:space="preserve"> </w:t>
      </w:r>
      <w:r>
        <w:rPr>
          <w:lang w:val="en-NZ"/>
        </w:rPr>
        <w:t>involved neglect</w:t>
      </w:r>
      <w:r w:rsidR="005F204D">
        <w:rPr>
          <w:lang w:val="en-NZ"/>
        </w:rPr>
        <w:t xml:space="preserve">. Substantiated findings of physical abuse were recorded </w:t>
      </w:r>
      <w:r>
        <w:rPr>
          <w:lang w:val="en-NZ"/>
        </w:rPr>
        <w:t>in</w:t>
      </w:r>
      <w:r w:rsidR="005F204D">
        <w:rPr>
          <w:lang w:val="en-NZ"/>
        </w:rPr>
        <w:t xml:space="preserve"> </w:t>
      </w:r>
      <w:r>
        <w:rPr>
          <w:lang w:val="en-NZ"/>
        </w:rPr>
        <w:t>12</w:t>
      </w:r>
      <w:r w:rsidR="005F204D" w:rsidRPr="00B65E0F">
        <w:rPr>
          <w:lang w:val="en-NZ"/>
        </w:rPr>
        <w:t xml:space="preserve"> </w:t>
      </w:r>
      <w:r w:rsidR="005D7755">
        <w:rPr>
          <w:lang w:val="en-NZ"/>
        </w:rPr>
        <w:t>percent</w:t>
      </w:r>
      <w:r w:rsidR="005F204D">
        <w:rPr>
          <w:lang w:val="en-NZ"/>
        </w:rPr>
        <w:t xml:space="preserve"> of </w:t>
      </w:r>
      <w:r>
        <w:rPr>
          <w:lang w:val="en-NZ"/>
        </w:rPr>
        <w:t>cases</w:t>
      </w:r>
      <w:r w:rsidR="005F204D">
        <w:rPr>
          <w:lang w:val="en-NZ"/>
        </w:rPr>
        <w:t xml:space="preserve">, while sexual abuse findings were recorded </w:t>
      </w:r>
      <w:r>
        <w:rPr>
          <w:lang w:val="en-NZ"/>
        </w:rPr>
        <w:t>in</w:t>
      </w:r>
      <w:r w:rsidR="005F204D">
        <w:rPr>
          <w:lang w:val="en-NZ"/>
        </w:rPr>
        <w:t xml:space="preserve"> </w:t>
      </w:r>
      <w:r>
        <w:rPr>
          <w:lang w:val="en-NZ"/>
        </w:rPr>
        <w:t>four</w:t>
      </w:r>
      <w:r w:rsidR="005F204D" w:rsidRPr="00B65E0F">
        <w:rPr>
          <w:lang w:val="en-NZ"/>
        </w:rPr>
        <w:t xml:space="preserve"> </w:t>
      </w:r>
      <w:r w:rsidR="005D7755">
        <w:rPr>
          <w:lang w:val="en-NZ"/>
        </w:rPr>
        <w:t>percent</w:t>
      </w:r>
      <w:r w:rsidR="005F204D">
        <w:rPr>
          <w:lang w:val="en-NZ"/>
        </w:rPr>
        <w:t xml:space="preserve"> of </w:t>
      </w:r>
      <w:r>
        <w:rPr>
          <w:lang w:val="en-NZ"/>
        </w:rPr>
        <w:t>cases</w:t>
      </w:r>
      <w:r w:rsidR="005F204D">
        <w:rPr>
          <w:lang w:val="en-NZ"/>
        </w:rPr>
        <w:t>.</w:t>
      </w:r>
    </w:p>
    <w:p w:rsidR="00747C52" w:rsidRDefault="00747C52" w:rsidP="00045074">
      <w:pPr>
        <w:rPr>
          <w:lang w:val="en-NZ"/>
        </w:rPr>
      </w:pPr>
      <w:r>
        <w:rPr>
          <w:lang w:val="en-NZ"/>
        </w:rPr>
        <w:t>Of the total 5,890 children of gang members</w:t>
      </w:r>
      <w:r w:rsidR="00B44732">
        <w:rPr>
          <w:lang w:val="en-NZ"/>
        </w:rPr>
        <w:t xml:space="preserve"> known to Child, Youth and Family</w:t>
      </w:r>
      <w:r>
        <w:rPr>
          <w:lang w:val="en-NZ"/>
        </w:rPr>
        <w:t>, 44 percent have been emotionally abused, 28 percent have been neglected, 13 percent have been physically abused and four percent have been sexually abused</w:t>
      </w:r>
      <w:r w:rsidR="00167435">
        <w:rPr>
          <w:lang w:val="en-NZ"/>
        </w:rPr>
        <w:t xml:space="preserve"> in terms of substantiated findings (Table </w:t>
      </w:r>
      <w:r w:rsidR="007E6068">
        <w:rPr>
          <w:lang w:val="en-NZ"/>
        </w:rPr>
        <w:t>5</w:t>
      </w:r>
      <w:r w:rsidR="00167435">
        <w:rPr>
          <w:lang w:val="en-NZ"/>
        </w:rPr>
        <w:t>)</w:t>
      </w:r>
      <w:r>
        <w:rPr>
          <w:lang w:val="en-NZ"/>
        </w:rPr>
        <w:t>.</w:t>
      </w:r>
    </w:p>
    <w:p w:rsidR="00DD3D00" w:rsidRPr="00D16E12" w:rsidRDefault="00DD3D00" w:rsidP="005D4902">
      <w:pPr>
        <w:pStyle w:val="TableofFigures"/>
        <w:keepNext/>
        <w:tabs>
          <w:tab w:val="left" w:pos="993"/>
        </w:tabs>
        <w:spacing w:before="240" w:after="120" w:line="240" w:lineRule="auto"/>
        <w:ind w:left="993" w:right="95" w:hanging="993"/>
        <w:rPr>
          <w:b/>
          <w:color w:val="121F6B"/>
          <w:sz w:val="18"/>
          <w:szCs w:val="18"/>
        </w:rPr>
      </w:pPr>
      <w:r w:rsidRPr="00D16E12">
        <w:rPr>
          <w:b/>
          <w:color w:val="121F6B"/>
          <w:sz w:val="18"/>
          <w:szCs w:val="18"/>
        </w:rPr>
        <w:lastRenderedPageBreak/>
        <w:t xml:space="preserve">Table </w:t>
      </w:r>
      <w:r w:rsidR="007E6068">
        <w:rPr>
          <w:b/>
          <w:color w:val="121F6B"/>
          <w:sz w:val="18"/>
          <w:szCs w:val="18"/>
        </w:rPr>
        <w:t>5</w:t>
      </w:r>
      <w:r w:rsidRPr="00D16E12">
        <w:rPr>
          <w:b/>
          <w:color w:val="121F6B"/>
          <w:sz w:val="18"/>
          <w:szCs w:val="18"/>
        </w:rPr>
        <w:t>:</w:t>
      </w:r>
      <w:r w:rsidRPr="00D16E12">
        <w:rPr>
          <w:b/>
          <w:color w:val="121F6B"/>
          <w:sz w:val="18"/>
          <w:szCs w:val="18"/>
        </w:rPr>
        <w:tab/>
      </w:r>
      <w:r w:rsidR="00CB011B">
        <w:rPr>
          <w:b/>
          <w:color w:val="121F6B"/>
          <w:sz w:val="18"/>
          <w:szCs w:val="18"/>
        </w:rPr>
        <w:t xml:space="preserve">Types of abuse or neglect </w:t>
      </w:r>
      <w:r w:rsidR="009C2268">
        <w:rPr>
          <w:b/>
          <w:color w:val="121F6B"/>
          <w:sz w:val="18"/>
          <w:szCs w:val="18"/>
        </w:rPr>
        <w:t>of</w:t>
      </w:r>
      <w:r w:rsidR="00CB011B">
        <w:rPr>
          <w:b/>
          <w:color w:val="121F6B"/>
          <w:sz w:val="18"/>
          <w:szCs w:val="18"/>
        </w:rPr>
        <w:t xml:space="preserve"> </w:t>
      </w:r>
      <w:r w:rsidR="00897287">
        <w:rPr>
          <w:b/>
          <w:color w:val="121F6B"/>
          <w:sz w:val="18"/>
          <w:szCs w:val="18"/>
        </w:rPr>
        <w:t>the children of gang members</w:t>
      </w:r>
      <w:r w:rsidR="009C2268">
        <w:rPr>
          <w:b/>
          <w:color w:val="121F6B"/>
          <w:sz w:val="18"/>
          <w:szCs w:val="18"/>
        </w:rPr>
        <w:t xml:space="preserve"> by any person</w:t>
      </w:r>
      <w:r w:rsidR="0001581A">
        <w:rPr>
          <w:b/>
          <w:color w:val="121F6B"/>
          <w:sz w:val="18"/>
          <w:szCs w:val="18"/>
        </w:rPr>
        <w:t>:</w:t>
      </w:r>
      <w:r w:rsidR="00CB011B">
        <w:rPr>
          <w:b/>
          <w:color w:val="121F6B"/>
          <w:sz w:val="18"/>
          <w:szCs w:val="18"/>
        </w:rPr>
        <w:t xml:space="preserve"> Ch</w:t>
      </w:r>
      <w:r w:rsidR="00897287">
        <w:rPr>
          <w:b/>
          <w:color w:val="121F6B"/>
          <w:sz w:val="18"/>
          <w:szCs w:val="18"/>
        </w:rPr>
        <w:t xml:space="preserve">ild, Youth and Family </w:t>
      </w:r>
      <w:r w:rsidR="00CB011B">
        <w:rPr>
          <w:b/>
          <w:color w:val="121F6B"/>
          <w:sz w:val="18"/>
          <w:szCs w:val="18"/>
        </w:rPr>
        <w:t>substantiated findings</w:t>
      </w:r>
    </w:p>
    <w:tbl>
      <w:tblPr>
        <w:tblStyle w:val="TableGrid"/>
        <w:tblW w:w="9039" w:type="dxa"/>
        <w:tblLayout w:type="fixed"/>
        <w:tblCellMar>
          <w:top w:w="28" w:type="dxa"/>
          <w:bottom w:w="28" w:type="dxa"/>
        </w:tblCellMar>
        <w:tblLook w:val="04A0" w:firstRow="1" w:lastRow="0" w:firstColumn="1" w:lastColumn="0" w:noHBand="0" w:noVBand="1"/>
      </w:tblPr>
      <w:tblGrid>
        <w:gridCol w:w="3013"/>
        <w:gridCol w:w="72"/>
        <w:gridCol w:w="2941"/>
        <w:gridCol w:w="36"/>
        <w:gridCol w:w="2977"/>
      </w:tblGrid>
      <w:tr w:rsidR="00DD3D00" w:rsidRPr="0073602A" w:rsidTr="003D13C3">
        <w:tc>
          <w:tcPr>
            <w:tcW w:w="3085" w:type="dxa"/>
            <w:gridSpan w:val="2"/>
            <w:tcBorders>
              <w:top w:val="nil"/>
              <w:left w:val="nil"/>
              <w:bottom w:val="nil"/>
              <w:right w:val="nil"/>
            </w:tcBorders>
            <w:shd w:val="clear" w:color="auto" w:fill="121F6B"/>
          </w:tcPr>
          <w:p w:rsidR="00DD3D00" w:rsidRPr="00D76347" w:rsidRDefault="00DD3D00" w:rsidP="005D4902">
            <w:pPr>
              <w:keepNext/>
              <w:spacing w:after="0" w:line="240" w:lineRule="auto"/>
              <w:rPr>
                <w:b/>
                <w:sz w:val="18"/>
                <w:szCs w:val="18"/>
                <w:lang w:val="en-NZ" w:eastAsia="en-AU"/>
              </w:rPr>
            </w:pPr>
            <w:r>
              <w:rPr>
                <w:b/>
                <w:sz w:val="18"/>
                <w:szCs w:val="18"/>
                <w:lang w:val="en-NZ" w:eastAsia="en-AU"/>
              </w:rPr>
              <w:t xml:space="preserve">Type of </w:t>
            </w:r>
            <w:r w:rsidR="00D1241A">
              <w:rPr>
                <w:b/>
                <w:sz w:val="18"/>
                <w:szCs w:val="18"/>
                <w:lang w:val="en-NZ" w:eastAsia="en-AU"/>
              </w:rPr>
              <w:t>abuse or neglect</w:t>
            </w:r>
          </w:p>
        </w:tc>
        <w:tc>
          <w:tcPr>
            <w:tcW w:w="2977" w:type="dxa"/>
            <w:gridSpan w:val="2"/>
            <w:tcBorders>
              <w:top w:val="nil"/>
              <w:left w:val="nil"/>
              <w:bottom w:val="nil"/>
              <w:right w:val="nil"/>
            </w:tcBorders>
            <w:shd w:val="clear" w:color="auto" w:fill="121F6B"/>
          </w:tcPr>
          <w:p w:rsidR="00DD3D00" w:rsidRPr="00D76347" w:rsidRDefault="00DD3D00" w:rsidP="005D4902">
            <w:pPr>
              <w:keepNext/>
              <w:spacing w:after="0" w:line="240" w:lineRule="auto"/>
              <w:jc w:val="center"/>
              <w:rPr>
                <w:sz w:val="18"/>
                <w:szCs w:val="18"/>
                <w:lang w:val="en-NZ" w:eastAsia="en-AU"/>
              </w:rPr>
            </w:pPr>
            <w:r>
              <w:rPr>
                <w:b/>
                <w:sz w:val="18"/>
                <w:szCs w:val="18"/>
                <w:lang w:val="en-NZ" w:eastAsia="en-AU"/>
              </w:rPr>
              <w:t>Number</w:t>
            </w:r>
            <w:r w:rsidR="00B0626F">
              <w:rPr>
                <w:b/>
                <w:sz w:val="18"/>
                <w:szCs w:val="18"/>
                <w:lang w:val="en-NZ" w:eastAsia="en-AU"/>
              </w:rPr>
              <w:t xml:space="preserve"> </w:t>
            </w:r>
            <w:r w:rsidR="003B0BBE">
              <w:rPr>
                <w:b/>
                <w:sz w:val="18"/>
                <w:szCs w:val="18"/>
                <w:lang w:val="en-NZ" w:eastAsia="en-AU"/>
              </w:rPr>
              <w:t xml:space="preserve">of children </w:t>
            </w:r>
            <w:r w:rsidR="00B0626F">
              <w:rPr>
                <w:b/>
                <w:sz w:val="18"/>
                <w:szCs w:val="18"/>
                <w:lang w:val="en-NZ" w:eastAsia="en-AU"/>
              </w:rPr>
              <w:t>with substantiated findings</w:t>
            </w:r>
            <w:r w:rsidR="00144D95" w:rsidRPr="00144D95">
              <w:rPr>
                <w:sz w:val="18"/>
                <w:szCs w:val="18"/>
                <w:vertAlign w:val="superscript"/>
                <w:lang w:val="en-NZ" w:eastAsia="en-AU"/>
              </w:rPr>
              <w:t>1</w:t>
            </w:r>
          </w:p>
        </w:tc>
        <w:tc>
          <w:tcPr>
            <w:tcW w:w="2977" w:type="dxa"/>
            <w:tcBorders>
              <w:top w:val="nil"/>
              <w:left w:val="nil"/>
              <w:bottom w:val="nil"/>
              <w:right w:val="nil"/>
            </w:tcBorders>
            <w:shd w:val="clear" w:color="auto" w:fill="121F6B"/>
          </w:tcPr>
          <w:p w:rsidR="00DD3D00" w:rsidRPr="00D76347" w:rsidRDefault="00DD3D00" w:rsidP="003D13C3">
            <w:pPr>
              <w:keepNext/>
              <w:spacing w:after="0" w:line="240" w:lineRule="auto"/>
              <w:jc w:val="center"/>
              <w:rPr>
                <w:sz w:val="18"/>
                <w:szCs w:val="18"/>
                <w:lang w:val="en-NZ" w:eastAsia="en-AU"/>
              </w:rPr>
            </w:pPr>
            <w:r>
              <w:rPr>
                <w:b/>
                <w:sz w:val="18"/>
                <w:szCs w:val="18"/>
                <w:lang w:val="en-NZ" w:eastAsia="en-AU"/>
              </w:rPr>
              <w:t>Percentage</w:t>
            </w:r>
            <w:r w:rsidR="00B0626F">
              <w:rPr>
                <w:b/>
                <w:sz w:val="18"/>
                <w:szCs w:val="18"/>
                <w:lang w:val="en-NZ" w:eastAsia="en-AU"/>
              </w:rPr>
              <w:t xml:space="preserve"> of all children of gang members</w:t>
            </w:r>
            <w:r w:rsidR="003D13C3">
              <w:rPr>
                <w:b/>
                <w:sz w:val="18"/>
                <w:szCs w:val="18"/>
                <w:lang w:val="en-NZ" w:eastAsia="en-AU"/>
              </w:rPr>
              <w:t xml:space="preserve"> known to Child, Youth and Family</w:t>
            </w:r>
            <w:r w:rsidR="00144D95" w:rsidRPr="00144D95">
              <w:rPr>
                <w:sz w:val="18"/>
                <w:szCs w:val="18"/>
                <w:vertAlign w:val="superscript"/>
                <w:lang w:val="en-NZ" w:eastAsia="en-AU"/>
              </w:rPr>
              <w:t>1</w:t>
            </w:r>
            <w:r w:rsidR="00B307DB">
              <w:rPr>
                <w:sz w:val="18"/>
                <w:szCs w:val="18"/>
                <w:vertAlign w:val="superscript"/>
                <w:lang w:val="en-NZ" w:eastAsia="en-AU"/>
              </w:rPr>
              <w:br/>
            </w:r>
            <w:r w:rsidR="008645DD" w:rsidRPr="00E172E7">
              <w:rPr>
                <w:sz w:val="16"/>
                <w:szCs w:val="16"/>
                <w:lang w:val="en-NZ" w:eastAsia="en-AU"/>
              </w:rPr>
              <w:t>(n=</w:t>
            </w:r>
            <w:r w:rsidR="005800D6">
              <w:rPr>
                <w:sz w:val="16"/>
                <w:szCs w:val="16"/>
                <w:lang w:val="en-NZ" w:eastAsia="en-AU"/>
              </w:rPr>
              <w:t>5,890</w:t>
            </w:r>
            <w:r w:rsidR="008645DD" w:rsidRPr="00E172E7">
              <w:rPr>
                <w:sz w:val="16"/>
                <w:szCs w:val="16"/>
                <w:lang w:val="en-NZ" w:eastAsia="en-AU"/>
              </w:rPr>
              <w:t>)</w:t>
            </w:r>
          </w:p>
        </w:tc>
      </w:tr>
      <w:tr w:rsidR="00DD3D00" w:rsidRPr="0073602A" w:rsidTr="003D13C3">
        <w:tc>
          <w:tcPr>
            <w:tcW w:w="3013" w:type="dxa"/>
            <w:tcBorders>
              <w:top w:val="nil"/>
              <w:left w:val="nil"/>
              <w:bottom w:val="nil"/>
              <w:right w:val="nil"/>
            </w:tcBorders>
            <w:vAlign w:val="center"/>
          </w:tcPr>
          <w:p w:rsidR="00DD3D00" w:rsidRPr="00D76347" w:rsidRDefault="00DD3D00" w:rsidP="005D4902">
            <w:pPr>
              <w:keepNext/>
              <w:spacing w:after="0" w:line="240" w:lineRule="auto"/>
              <w:rPr>
                <w:sz w:val="18"/>
                <w:szCs w:val="18"/>
                <w:lang w:val="en-NZ" w:eastAsia="en-AU"/>
              </w:rPr>
            </w:pPr>
            <w:r>
              <w:rPr>
                <w:sz w:val="18"/>
                <w:szCs w:val="18"/>
                <w:lang w:val="en-NZ" w:eastAsia="en-AU"/>
              </w:rPr>
              <w:t>Emotional abuse</w:t>
            </w:r>
          </w:p>
        </w:tc>
        <w:tc>
          <w:tcPr>
            <w:tcW w:w="3013" w:type="dxa"/>
            <w:gridSpan w:val="2"/>
            <w:tcBorders>
              <w:top w:val="nil"/>
              <w:left w:val="nil"/>
              <w:bottom w:val="nil"/>
              <w:right w:val="nil"/>
            </w:tcBorders>
            <w:vAlign w:val="bottom"/>
          </w:tcPr>
          <w:p w:rsidR="00DD3D00" w:rsidRPr="00D76347" w:rsidRDefault="0001581A" w:rsidP="003D13C3">
            <w:pPr>
              <w:keepNext/>
              <w:tabs>
                <w:tab w:val="decimal" w:pos="1532"/>
              </w:tabs>
              <w:spacing w:before="20" w:after="20" w:line="240" w:lineRule="auto"/>
              <w:rPr>
                <w:sz w:val="18"/>
                <w:szCs w:val="18"/>
              </w:rPr>
            </w:pPr>
            <w:r>
              <w:rPr>
                <w:sz w:val="18"/>
                <w:szCs w:val="18"/>
              </w:rPr>
              <w:t>2</w:t>
            </w:r>
            <w:r w:rsidR="00167435">
              <w:rPr>
                <w:sz w:val="18"/>
                <w:szCs w:val="18"/>
              </w:rPr>
              <w:t>,</w:t>
            </w:r>
            <w:r>
              <w:rPr>
                <w:sz w:val="18"/>
                <w:szCs w:val="18"/>
              </w:rPr>
              <w:t>576</w:t>
            </w:r>
          </w:p>
        </w:tc>
        <w:tc>
          <w:tcPr>
            <w:tcW w:w="3013" w:type="dxa"/>
            <w:gridSpan w:val="2"/>
            <w:tcBorders>
              <w:top w:val="nil"/>
              <w:left w:val="nil"/>
              <w:bottom w:val="nil"/>
              <w:right w:val="nil"/>
            </w:tcBorders>
            <w:vAlign w:val="bottom"/>
          </w:tcPr>
          <w:p w:rsidR="00DD3D00" w:rsidRPr="00D76347" w:rsidRDefault="00DD3D00" w:rsidP="005D4902">
            <w:pPr>
              <w:keepNext/>
              <w:tabs>
                <w:tab w:val="decimal" w:pos="1380"/>
              </w:tabs>
              <w:spacing w:before="20" w:after="20" w:line="240" w:lineRule="auto"/>
              <w:rPr>
                <w:sz w:val="18"/>
                <w:szCs w:val="18"/>
              </w:rPr>
            </w:pPr>
            <w:r>
              <w:rPr>
                <w:sz w:val="18"/>
                <w:szCs w:val="18"/>
              </w:rPr>
              <w:t>4</w:t>
            </w:r>
            <w:r w:rsidR="0001581A">
              <w:rPr>
                <w:sz w:val="18"/>
                <w:szCs w:val="18"/>
              </w:rPr>
              <w:t>3.7</w:t>
            </w:r>
            <w:r>
              <w:rPr>
                <w:sz w:val="18"/>
                <w:szCs w:val="18"/>
              </w:rPr>
              <w:t>%</w:t>
            </w:r>
          </w:p>
        </w:tc>
      </w:tr>
      <w:tr w:rsidR="00CB011B" w:rsidRPr="0073602A" w:rsidTr="003D13C3">
        <w:tc>
          <w:tcPr>
            <w:tcW w:w="3013" w:type="dxa"/>
            <w:tcBorders>
              <w:top w:val="nil"/>
              <w:left w:val="nil"/>
              <w:bottom w:val="nil"/>
              <w:right w:val="nil"/>
            </w:tcBorders>
            <w:shd w:val="clear" w:color="auto" w:fill="CDD3F7"/>
            <w:vAlign w:val="center"/>
          </w:tcPr>
          <w:p w:rsidR="00CB011B" w:rsidRPr="00D76347" w:rsidRDefault="00CB011B" w:rsidP="005D4902">
            <w:pPr>
              <w:keepNext/>
              <w:spacing w:after="0" w:line="240" w:lineRule="auto"/>
              <w:rPr>
                <w:sz w:val="18"/>
                <w:szCs w:val="18"/>
                <w:lang w:val="en-NZ" w:eastAsia="en-AU"/>
              </w:rPr>
            </w:pPr>
            <w:r>
              <w:rPr>
                <w:sz w:val="18"/>
                <w:szCs w:val="18"/>
                <w:lang w:val="en-NZ" w:eastAsia="en-AU"/>
              </w:rPr>
              <w:t>Neglect</w:t>
            </w:r>
          </w:p>
        </w:tc>
        <w:tc>
          <w:tcPr>
            <w:tcW w:w="3013" w:type="dxa"/>
            <w:gridSpan w:val="2"/>
            <w:tcBorders>
              <w:top w:val="nil"/>
              <w:left w:val="nil"/>
              <w:bottom w:val="nil"/>
              <w:right w:val="nil"/>
            </w:tcBorders>
            <w:shd w:val="clear" w:color="auto" w:fill="CDD3F7"/>
            <w:vAlign w:val="bottom"/>
          </w:tcPr>
          <w:p w:rsidR="00CB011B" w:rsidRPr="00D76347" w:rsidRDefault="0001581A" w:rsidP="003D13C3">
            <w:pPr>
              <w:keepNext/>
              <w:tabs>
                <w:tab w:val="decimal" w:pos="1532"/>
              </w:tabs>
              <w:spacing w:before="20" w:after="20" w:line="240" w:lineRule="auto"/>
              <w:rPr>
                <w:sz w:val="18"/>
                <w:szCs w:val="18"/>
              </w:rPr>
            </w:pPr>
            <w:r>
              <w:rPr>
                <w:sz w:val="18"/>
                <w:szCs w:val="18"/>
              </w:rPr>
              <w:t>1</w:t>
            </w:r>
            <w:r w:rsidR="00167435">
              <w:rPr>
                <w:sz w:val="18"/>
                <w:szCs w:val="18"/>
              </w:rPr>
              <w:t>,</w:t>
            </w:r>
            <w:r>
              <w:rPr>
                <w:sz w:val="18"/>
                <w:szCs w:val="18"/>
              </w:rPr>
              <w:t>630</w:t>
            </w:r>
          </w:p>
        </w:tc>
        <w:tc>
          <w:tcPr>
            <w:tcW w:w="3013" w:type="dxa"/>
            <w:gridSpan w:val="2"/>
            <w:tcBorders>
              <w:top w:val="nil"/>
              <w:left w:val="nil"/>
              <w:bottom w:val="nil"/>
              <w:right w:val="nil"/>
            </w:tcBorders>
            <w:shd w:val="clear" w:color="auto" w:fill="CDD3F7"/>
            <w:vAlign w:val="bottom"/>
          </w:tcPr>
          <w:p w:rsidR="00CB011B" w:rsidRPr="00D76347" w:rsidRDefault="00CB011B" w:rsidP="005D4902">
            <w:pPr>
              <w:keepNext/>
              <w:tabs>
                <w:tab w:val="decimal" w:pos="1380"/>
              </w:tabs>
              <w:spacing w:before="20" w:after="20" w:line="240" w:lineRule="auto"/>
              <w:rPr>
                <w:sz w:val="18"/>
                <w:szCs w:val="18"/>
              </w:rPr>
            </w:pPr>
            <w:r>
              <w:rPr>
                <w:sz w:val="18"/>
                <w:szCs w:val="18"/>
              </w:rPr>
              <w:t>2</w:t>
            </w:r>
            <w:r w:rsidR="00167435">
              <w:rPr>
                <w:sz w:val="18"/>
                <w:szCs w:val="18"/>
              </w:rPr>
              <w:t>7</w:t>
            </w:r>
            <w:r>
              <w:rPr>
                <w:sz w:val="18"/>
                <w:szCs w:val="18"/>
              </w:rPr>
              <w:t>.7</w:t>
            </w:r>
            <w:r w:rsidRPr="00D76347">
              <w:rPr>
                <w:sz w:val="18"/>
                <w:szCs w:val="18"/>
              </w:rPr>
              <w:t>%</w:t>
            </w:r>
          </w:p>
        </w:tc>
      </w:tr>
      <w:tr w:rsidR="00DD3D00" w:rsidRPr="0073602A" w:rsidTr="003D13C3">
        <w:tc>
          <w:tcPr>
            <w:tcW w:w="3013" w:type="dxa"/>
            <w:tcBorders>
              <w:top w:val="nil"/>
              <w:left w:val="nil"/>
              <w:bottom w:val="nil"/>
              <w:right w:val="nil"/>
            </w:tcBorders>
            <w:vAlign w:val="center"/>
          </w:tcPr>
          <w:p w:rsidR="00DD3D00" w:rsidRPr="00D76347" w:rsidRDefault="00CB011B" w:rsidP="005D4902">
            <w:pPr>
              <w:keepNext/>
              <w:spacing w:after="0" w:line="240" w:lineRule="auto"/>
              <w:rPr>
                <w:sz w:val="18"/>
                <w:szCs w:val="18"/>
                <w:lang w:val="en-NZ" w:eastAsia="en-AU"/>
              </w:rPr>
            </w:pPr>
            <w:r>
              <w:rPr>
                <w:sz w:val="18"/>
                <w:szCs w:val="18"/>
                <w:lang w:val="en-NZ" w:eastAsia="en-AU"/>
              </w:rPr>
              <w:t>Physical abuse</w:t>
            </w:r>
          </w:p>
        </w:tc>
        <w:tc>
          <w:tcPr>
            <w:tcW w:w="3013" w:type="dxa"/>
            <w:gridSpan w:val="2"/>
            <w:tcBorders>
              <w:top w:val="nil"/>
              <w:left w:val="nil"/>
              <w:bottom w:val="nil"/>
              <w:right w:val="nil"/>
            </w:tcBorders>
            <w:vAlign w:val="bottom"/>
          </w:tcPr>
          <w:p w:rsidR="00DD3D00" w:rsidRPr="00D76347" w:rsidRDefault="0001581A" w:rsidP="003D13C3">
            <w:pPr>
              <w:keepNext/>
              <w:tabs>
                <w:tab w:val="decimal" w:pos="1532"/>
              </w:tabs>
              <w:spacing w:before="20" w:after="20" w:line="240" w:lineRule="auto"/>
              <w:rPr>
                <w:sz w:val="18"/>
                <w:szCs w:val="18"/>
              </w:rPr>
            </w:pPr>
            <w:r>
              <w:rPr>
                <w:sz w:val="18"/>
                <w:szCs w:val="18"/>
              </w:rPr>
              <w:t>776</w:t>
            </w:r>
          </w:p>
        </w:tc>
        <w:tc>
          <w:tcPr>
            <w:tcW w:w="3013" w:type="dxa"/>
            <w:gridSpan w:val="2"/>
            <w:tcBorders>
              <w:top w:val="nil"/>
              <w:left w:val="nil"/>
              <w:bottom w:val="nil"/>
              <w:right w:val="nil"/>
            </w:tcBorders>
            <w:vAlign w:val="bottom"/>
          </w:tcPr>
          <w:p w:rsidR="00DD3D00" w:rsidRPr="00D76347" w:rsidRDefault="00CB011B" w:rsidP="005D4902">
            <w:pPr>
              <w:keepNext/>
              <w:tabs>
                <w:tab w:val="decimal" w:pos="1380"/>
              </w:tabs>
              <w:spacing w:before="20" w:after="20" w:line="240" w:lineRule="auto"/>
              <w:rPr>
                <w:sz w:val="18"/>
                <w:szCs w:val="18"/>
              </w:rPr>
            </w:pPr>
            <w:r>
              <w:rPr>
                <w:sz w:val="18"/>
                <w:szCs w:val="18"/>
              </w:rPr>
              <w:t>1</w:t>
            </w:r>
            <w:r w:rsidR="00167435">
              <w:rPr>
                <w:sz w:val="18"/>
                <w:szCs w:val="18"/>
              </w:rPr>
              <w:t>3</w:t>
            </w:r>
            <w:r>
              <w:rPr>
                <w:sz w:val="18"/>
                <w:szCs w:val="18"/>
              </w:rPr>
              <w:t>.</w:t>
            </w:r>
            <w:r w:rsidR="00167435">
              <w:rPr>
                <w:sz w:val="18"/>
                <w:szCs w:val="18"/>
              </w:rPr>
              <w:t>2</w:t>
            </w:r>
            <w:r w:rsidRPr="00D76347">
              <w:rPr>
                <w:sz w:val="18"/>
                <w:szCs w:val="18"/>
              </w:rPr>
              <w:t>%</w:t>
            </w:r>
          </w:p>
        </w:tc>
      </w:tr>
      <w:tr w:rsidR="00DD3D00" w:rsidRPr="0073602A" w:rsidTr="003D13C3">
        <w:tc>
          <w:tcPr>
            <w:tcW w:w="3013" w:type="dxa"/>
            <w:tcBorders>
              <w:top w:val="nil"/>
              <w:left w:val="nil"/>
              <w:bottom w:val="single" w:sz="4" w:space="0" w:color="auto"/>
              <w:right w:val="nil"/>
            </w:tcBorders>
            <w:shd w:val="clear" w:color="auto" w:fill="CDD3F7"/>
            <w:vAlign w:val="center"/>
          </w:tcPr>
          <w:p w:rsidR="00DD3D00" w:rsidRPr="00D76347" w:rsidRDefault="00CB011B" w:rsidP="005D4902">
            <w:pPr>
              <w:keepNext/>
              <w:spacing w:after="0" w:line="240" w:lineRule="auto"/>
              <w:rPr>
                <w:sz w:val="18"/>
                <w:szCs w:val="18"/>
                <w:lang w:val="en-NZ" w:eastAsia="en-AU"/>
              </w:rPr>
            </w:pPr>
            <w:r>
              <w:rPr>
                <w:sz w:val="18"/>
                <w:szCs w:val="18"/>
                <w:lang w:val="en-NZ" w:eastAsia="en-AU"/>
              </w:rPr>
              <w:t>Sexual abuse</w:t>
            </w:r>
          </w:p>
        </w:tc>
        <w:tc>
          <w:tcPr>
            <w:tcW w:w="3013" w:type="dxa"/>
            <w:gridSpan w:val="2"/>
            <w:tcBorders>
              <w:top w:val="nil"/>
              <w:left w:val="nil"/>
              <w:bottom w:val="single" w:sz="4" w:space="0" w:color="auto"/>
              <w:right w:val="nil"/>
            </w:tcBorders>
            <w:shd w:val="clear" w:color="auto" w:fill="CDD3F7"/>
            <w:vAlign w:val="bottom"/>
          </w:tcPr>
          <w:p w:rsidR="00DD3D00" w:rsidRPr="00D76347" w:rsidRDefault="0001581A" w:rsidP="003D13C3">
            <w:pPr>
              <w:keepNext/>
              <w:tabs>
                <w:tab w:val="decimal" w:pos="1532"/>
              </w:tabs>
              <w:spacing w:before="20" w:after="20" w:line="240" w:lineRule="auto"/>
              <w:rPr>
                <w:sz w:val="18"/>
                <w:szCs w:val="18"/>
              </w:rPr>
            </w:pPr>
            <w:r>
              <w:rPr>
                <w:sz w:val="18"/>
                <w:szCs w:val="18"/>
              </w:rPr>
              <w:t>250</w:t>
            </w:r>
          </w:p>
        </w:tc>
        <w:tc>
          <w:tcPr>
            <w:tcW w:w="3013" w:type="dxa"/>
            <w:gridSpan w:val="2"/>
            <w:tcBorders>
              <w:top w:val="nil"/>
              <w:left w:val="nil"/>
              <w:bottom w:val="single" w:sz="4" w:space="0" w:color="auto"/>
              <w:right w:val="nil"/>
            </w:tcBorders>
            <w:shd w:val="clear" w:color="auto" w:fill="CDD3F7"/>
            <w:vAlign w:val="bottom"/>
          </w:tcPr>
          <w:p w:rsidR="00DD3D00" w:rsidRPr="00D76347" w:rsidRDefault="00CB011B" w:rsidP="005D4902">
            <w:pPr>
              <w:keepNext/>
              <w:tabs>
                <w:tab w:val="decimal" w:pos="1380"/>
              </w:tabs>
              <w:spacing w:before="20" w:after="20" w:line="240" w:lineRule="auto"/>
              <w:rPr>
                <w:sz w:val="18"/>
                <w:szCs w:val="18"/>
              </w:rPr>
            </w:pPr>
            <w:r>
              <w:rPr>
                <w:sz w:val="18"/>
                <w:szCs w:val="18"/>
              </w:rPr>
              <w:t>4.</w:t>
            </w:r>
            <w:r w:rsidR="00167435">
              <w:rPr>
                <w:sz w:val="18"/>
                <w:szCs w:val="18"/>
              </w:rPr>
              <w:t>2</w:t>
            </w:r>
            <w:r w:rsidRPr="00D76347">
              <w:rPr>
                <w:sz w:val="18"/>
                <w:szCs w:val="18"/>
              </w:rPr>
              <w:t>%</w:t>
            </w:r>
          </w:p>
        </w:tc>
      </w:tr>
      <w:tr w:rsidR="00DD3D00" w:rsidRPr="0073602A" w:rsidTr="003D13C3">
        <w:tc>
          <w:tcPr>
            <w:tcW w:w="3013" w:type="dxa"/>
            <w:tcBorders>
              <w:top w:val="single" w:sz="4" w:space="0" w:color="auto"/>
              <w:left w:val="nil"/>
              <w:bottom w:val="single" w:sz="4" w:space="0" w:color="auto"/>
              <w:right w:val="nil"/>
            </w:tcBorders>
            <w:vAlign w:val="center"/>
          </w:tcPr>
          <w:p w:rsidR="00DD3D00" w:rsidRPr="00D76347" w:rsidRDefault="00DD3D00" w:rsidP="005D4902">
            <w:pPr>
              <w:keepNext/>
              <w:spacing w:after="0" w:line="240" w:lineRule="auto"/>
              <w:rPr>
                <w:sz w:val="18"/>
                <w:szCs w:val="18"/>
                <w:lang w:val="en-NZ" w:eastAsia="en-AU"/>
              </w:rPr>
            </w:pPr>
            <w:r>
              <w:rPr>
                <w:sz w:val="18"/>
                <w:szCs w:val="18"/>
                <w:lang w:val="en-NZ" w:eastAsia="en-AU"/>
              </w:rPr>
              <w:t>Any type of abuse or neglect</w:t>
            </w:r>
          </w:p>
        </w:tc>
        <w:tc>
          <w:tcPr>
            <w:tcW w:w="3013" w:type="dxa"/>
            <w:gridSpan w:val="2"/>
            <w:tcBorders>
              <w:top w:val="single" w:sz="4" w:space="0" w:color="auto"/>
              <w:left w:val="nil"/>
              <w:bottom w:val="single" w:sz="4" w:space="0" w:color="auto"/>
              <w:right w:val="nil"/>
            </w:tcBorders>
            <w:vAlign w:val="bottom"/>
          </w:tcPr>
          <w:p w:rsidR="00DD3D00" w:rsidRPr="00D76347" w:rsidRDefault="00DD3D00" w:rsidP="003D13C3">
            <w:pPr>
              <w:keepNext/>
              <w:tabs>
                <w:tab w:val="decimal" w:pos="1532"/>
              </w:tabs>
              <w:spacing w:before="20" w:after="20" w:line="240" w:lineRule="auto"/>
              <w:rPr>
                <w:sz w:val="18"/>
                <w:szCs w:val="18"/>
              </w:rPr>
            </w:pPr>
            <w:r>
              <w:rPr>
                <w:sz w:val="18"/>
                <w:szCs w:val="18"/>
              </w:rPr>
              <w:t>3,</w:t>
            </w:r>
            <w:r w:rsidR="0001581A">
              <w:rPr>
                <w:sz w:val="18"/>
                <w:szCs w:val="18"/>
              </w:rPr>
              <w:t>516</w:t>
            </w:r>
          </w:p>
        </w:tc>
        <w:tc>
          <w:tcPr>
            <w:tcW w:w="3013" w:type="dxa"/>
            <w:gridSpan w:val="2"/>
            <w:tcBorders>
              <w:top w:val="single" w:sz="4" w:space="0" w:color="auto"/>
              <w:left w:val="nil"/>
              <w:bottom w:val="single" w:sz="4" w:space="0" w:color="auto"/>
              <w:right w:val="nil"/>
            </w:tcBorders>
            <w:vAlign w:val="bottom"/>
          </w:tcPr>
          <w:p w:rsidR="00DD3D00" w:rsidRPr="00D76347" w:rsidRDefault="00F05C59" w:rsidP="005D4902">
            <w:pPr>
              <w:keepNext/>
              <w:tabs>
                <w:tab w:val="decimal" w:pos="1380"/>
              </w:tabs>
              <w:spacing w:before="20" w:after="20" w:line="240" w:lineRule="auto"/>
              <w:rPr>
                <w:sz w:val="18"/>
                <w:szCs w:val="18"/>
              </w:rPr>
            </w:pPr>
            <w:r>
              <w:rPr>
                <w:sz w:val="18"/>
                <w:szCs w:val="18"/>
              </w:rPr>
              <w:t>59.7</w:t>
            </w:r>
            <w:r w:rsidR="00DD3D00">
              <w:rPr>
                <w:sz w:val="18"/>
                <w:szCs w:val="18"/>
              </w:rPr>
              <w:t>%</w:t>
            </w:r>
          </w:p>
        </w:tc>
      </w:tr>
    </w:tbl>
    <w:p w:rsidR="00DD3D00" w:rsidRPr="002D6622" w:rsidRDefault="00DD3D00" w:rsidP="005D4902">
      <w:pPr>
        <w:keepNext/>
        <w:tabs>
          <w:tab w:val="left" w:pos="851"/>
        </w:tabs>
        <w:spacing w:after="20" w:line="240" w:lineRule="auto"/>
        <w:ind w:right="95"/>
        <w:rPr>
          <w:sz w:val="16"/>
          <w:szCs w:val="16"/>
          <w:lang w:val="en-NZ"/>
        </w:rPr>
      </w:pPr>
      <w:r w:rsidRPr="002D6622">
        <w:rPr>
          <w:sz w:val="16"/>
          <w:szCs w:val="16"/>
          <w:lang w:val="en-NZ"/>
        </w:rPr>
        <w:t>Note</w:t>
      </w:r>
      <w:r w:rsidR="00480EA6" w:rsidRPr="002D6622">
        <w:rPr>
          <w:sz w:val="16"/>
          <w:szCs w:val="16"/>
          <w:lang w:val="en-NZ"/>
        </w:rPr>
        <w:t>s</w:t>
      </w:r>
      <w:r w:rsidRPr="002D6622">
        <w:rPr>
          <w:sz w:val="16"/>
          <w:szCs w:val="16"/>
          <w:lang w:val="en-NZ"/>
        </w:rPr>
        <w:t>:</w:t>
      </w:r>
    </w:p>
    <w:p w:rsidR="00144D95" w:rsidRPr="00144D95" w:rsidRDefault="00144D95" w:rsidP="00487A14">
      <w:pPr>
        <w:pStyle w:val="ListParagraph"/>
        <w:keepNext/>
        <w:numPr>
          <w:ilvl w:val="0"/>
          <w:numId w:val="9"/>
        </w:numPr>
        <w:tabs>
          <w:tab w:val="left" w:pos="851"/>
        </w:tabs>
        <w:spacing w:after="20" w:line="240" w:lineRule="auto"/>
        <w:ind w:right="95"/>
        <w:rPr>
          <w:sz w:val="16"/>
          <w:szCs w:val="16"/>
          <w:lang w:val="en-NZ"/>
        </w:rPr>
      </w:pPr>
      <w:r>
        <w:rPr>
          <w:sz w:val="16"/>
          <w:szCs w:val="16"/>
          <w:lang w:val="en-NZ"/>
        </w:rPr>
        <w:t xml:space="preserve">Children can be the victim of multiple types of </w:t>
      </w:r>
      <w:r w:rsidR="00CB011B">
        <w:rPr>
          <w:sz w:val="16"/>
          <w:szCs w:val="16"/>
          <w:lang w:val="en-NZ"/>
        </w:rPr>
        <w:t>abuse or neglect</w:t>
      </w:r>
      <w:r>
        <w:rPr>
          <w:sz w:val="16"/>
          <w:szCs w:val="16"/>
          <w:lang w:val="en-NZ"/>
        </w:rPr>
        <w:t>, hence the individual figures do not add to the overall figure.</w:t>
      </w:r>
    </w:p>
    <w:p w:rsidR="00DD3D00" w:rsidRPr="002D6622" w:rsidRDefault="00DD3D00" w:rsidP="005D4902">
      <w:pPr>
        <w:keepNext/>
        <w:tabs>
          <w:tab w:val="left" w:pos="851"/>
        </w:tabs>
        <w:spacing w:after="20" w:line="240" w:lineRule="auto"/>
        <w:ind w:right="95"/>
        <w:rPr>
          <w:sz w:val="16"/>
          <w:szCs w:val="16"/>
          <w:lang w:val="en-NZ"/>
        </w:rPr>
      </w:pPr>
      <w:r w:rsidRPr="002D6622">
        <w:rPr>
          <w:sz w:val="16"/>
          <w:szCs w:val="16"/>
          <w:lang w:val="en-NZ"/>
        </w:rPr>
        <w:t>Source:</w:t>
      </w:r>
      <w:r w:rsidRPr="002D6622">
        <w:rPr>
          <w:sz w:val="16"/>
          <w:szCs w:val="16"/>
          <w:lang w:val="en-NZ"/>
        </w:rPr>
        <w:tab/>
        <w:t>CYRAS.</w:t>
      </w:r>
    </w:p>
    <w:p w:rsidR="005F204D" w:rsidRDefault="005F204D" w:rsidP="001A0B11">
      <w:pPr>
        <w:spacing w:after="0"/>
        <w:rPr>
          <w:highlight w:val="yellow"/>
          <w:lang w:val="en-NZ"/>
        </w:rPr>
      </w:pPr>
    </w:p>
    <w:p w:rsidR="00167435" w:rsidRPr="00A65670" w:rsidRDefault="00167435" w:rsidP="00167435">
      <w:pPr>
        <w:keepNext/>
        <w:rPr>
          <w:b/>
          <w:color w:val="121F6B"/>
          <w:lang w:val="en-NZ"/>
        </w:rPr>
      </w:pPr>
      <w:r>
        <w:rPr>
          <w:b/>
          <w:color w:val="121F6B"/>
          <w:lang w:val="en-NZ"/>
        </w:rPr>
        <w:t xml:space="preserve">The </w:t>
      </w:r>
      <w:r w:rsidR="000F31D5">
        <w:rPr>
          <w:b/>
          <w:color w:val="121F6B"/>
          <w:lang w:val="en-NZ"/>
        </w:rPr>
        <w:t xml:space="preserve">alleged </w:t>
      </w:r>
      <w:r>
        <w:rPr>
          <w:b/>
          <w:color w:val="121F6B"/>
          <w:lang w:val="en-NZ"/>
        </w:rPr>
        <w:t>perpetrator of abuse or neglect was more often recorded as the children’s mother than the gang member</w:t>
      </w:r>
    </w:p>
    <w:p w:rsidR="00ED3957" w:rsidRDefault="00ED3957" w:rsidP="00167435">
      <w:pPr>
        <w:keepNext/>
        <w:rPr>
          <w:lang w:val="en-NZ"/>
        </w:rPr>
      </w:pPr>
      <w:r>
        <w:rPr>
          <w:lang w:val="en-NZ"/>
        </w:rPr>
        <w:t xml:space="preserve">The relationship between the child and the </w:t>
      </w:r>
      <w:r w:rsidR="000F31D5">
        <w:rPr>
          <w:lang w:val="en-NZ"/>
        </w:rPr>
        <w:t xml:space="preserve">alleged </w:t>
      </w:r>
      <w:r>
        <w:rPr>
          <w:lang w:val="en-NZ"/>
        </w:rPr>
        <w:t xml:space="preserve">perpetrator was examined for </w:t>
      </w:r>
      <w:r w:rsidR="00175734">
        <w:rPr>
          <w:lang w:val="en-NZ"/>
        </w:rPr>
        <w:t>the 8,183 substantiated findings of abuse or neglect</w:t>
      </w:r>
      <w:r w:rsidR="008D61A5">
        <w:rPr>
          <w:lang w:val="en-NZ"/>
        </w:rPr>
        <w:t xml:space="preserve"> of gang members</w:t>
      </w:r>
      <w:r w:rsidR="003D13C3">
        <w:rPr>
          <w:lang w:val="en-NZ"/>
        </w:rPr>
        <w:t>’</w:t>
      </w:r>
      <w:r w:rsidR="008D61A5">
        <w:rPr>
          <w:lang w:val="en-NZ"/>
        </w:rPr>
        <w:t xml:space="preserve"> children</w:t>
      </w:r>
      <w:r>
        <w:rPr>
          <w:lang w:val="en-NZ"/>
        </w:rPr>
        <w:t xml:space="preserve">. </w:t>
      </w:r>
      <w:r w:rsidR="00167435">
        <w:rPr>
          <w:lang w:val="en-NZ"/>
        </w:rPr>
        <w:t>Care should be taken with th</w:t>
      </w:r>
      <w:r>
        <w:rPr>
          <w:lang w:val="en-NZ"/>
        </w:rPr>
        <w:t>is</w:t>
      </w:r>
      <w:r w:rsidR="00167435">
        <w:rPr>
          <w:lang w:val="en-NZ"/>
        </w:rPr>
        <w:t xml:space="preserve"> information as the </w:t>
      </w:r>
      <w:r>
        <w:rPr>
          <w:lang w:val="en-NZ"/>
        </w:rPr>
        <w:t xml:space="preserve">nature of the </w:t>
      </w:r>
      <w:r w:rsidR="00167435">
        <w:rPr>
          <w:lang w:val="en-NZ"/>
        </w:rPr>
        <w:t xml:space="preserve">relationship was not recorded for </w:t>
      </w:r>
      <w:r>
        <w:rPr>
          <w:lang w:val="en-NZ"/>
        </w:rPr>
        <w:t>20</w:t>
      </w:r>
      <w:r w:rsidR="00167435">
        <w:rPr>
          <w:lang w:val="en-NZ"/>
        </w:rPr>
        <w:t xml:space="preserve"> percent of findings. </w:t>
      </w:r>
      <w:r w:rsidR="008D61A5">
        <w:rPr>
          <w:lang w:val="en-NZ"/>
        </w:rPr>
        <w:t>Also, i</w:t>
      </w:r>
      <w:r>
        <w:rPr>
          <w:lang w:val="en-NZ"/>
        </w:rPr>
        <w:t xml:space="preserve">t should also be noted that a substantiated finding can involve more than one </w:t>
      </w:r>
      <w:r w:rsidR="000F31D5">
        <w:rPr>
          <w:lang w:val="en-NZ"/>
        </w:rPr>
        <w:t xml:space="preserve">alleged </w:t>
      </w:r>
      <w:r>
        <w:rPr>
          <w:lang w:val="en-NZ"/>
        </w:rPr>
        <w:t>perpetrator.</w:t>
      </w:r>
    </w:p>
    <w:p w:rsidR="00175734" w:rsidRDefault="00EC20D0" w:rsidP="009671BA">
      <w:pPr>
        <w:rPr>
          <w:lang w:val="en-NZ"/>
        </w:rPr>
      </w:pPr>
      <w:r>
        <w:rPr>
          <w:lang w:val="en-NZ"/>
        </w:rPr>
        <w:t xml:space="preserve">For 31 percent of </w:t>
      </w:r>
      <w:r w:rsidR="007E524F">
        <w:rPr>
          <w:lang w:val="en-NZ"/>
        </w:rPr>
        <w:t xml:space="preserve">the 8,183 substantiated </w:t>
      </w:r>
      <w:r>
        <w:rPr>
          <w:lang w:val="en-NZ"/>
        </w:rPr>
        <w:t xml:space="preserve">findings, the gang member father and the child’s mother were </w:t>
      </w:r>
      <w:r w:rsidR="009474D2">
        <w:rPr>
          <w:lang w:val="en-NZ"/>
        </w:rPr>
        <w:t xml:space="preserve">both </w:t>
      </w:r>
      <w:r w:rsidR="007E524F">
        <w:rPr>
          <w:lang w:val="en-NZ"/>
        </w:rPr>
        <w:t>recorded</w:t>
      </w:r>
      <w:r>
        <w:rPr>
          <w:lang w:val="en-NZ"/>
        </w:rPr>
        <w:t xml:space="preserve"> as </w:t>
      </w:r>
      <w:r w:rsidR="000F31D5">
        <w:rPr>
          <w:lang w:val="en-NZ"/>
        </w:rPr>
        <w:t xml:space="preserve">alleged </w:t>
      </w:r>
      <w:r>
        <w:rPr>
          <w:lang w:val="en-NZ"/>
        </w:rPr>
        <w:t>perpetrators. For</w:t>
      </w:r>
      <w:r w:rsidR="00167435">
        <w:rPr>
          <w:lang w:val="en-NZ"/>
        </w:rPr>
        <w:t xml:space="preserve"> </w:t>
      </w:r>
      <w:r>
        <w:rPr>
          <w:lang w:val="en-NZ"/>
        </w:rPr>
        <w:t>a further 25</w:t>
      </w:r>
      <w:r w:rsidR="00167435">
        <w:rPr>
          <w:lang w:val="en-NZ"/>
        </w:rPr>
        <w:t xml:space="preserve"> percent of </w:t>
      </w:r>
      <w:r w:rsidR="00175734">
        <w:rPr>
          <w:lang w:val="en-NZ"/>
        </w:rPr>
        <w:t>findings</w:t>
      </w:r>
      <w:r>
        <w:rPr>
          <w:lang w:val="en-NZ"/>
        </w:rPr>
        <w:t>,</w:t>
      </w:r>
      <w:r w:rsidR="00167435">
        <w:rPr>
          <w:lang w:val="en-NZ"/>
        </w:rPr>
        <w:t xml:space="preserve"> the </w:t>
      </w:r>
      <w:r w:rsidR="000F31D5">
        <w:rPr>
          <w:lang w:val="en-NZ"/>
        </w:rPr>
        <w:t xml:space="preserve">alleged </w:t>
      </w:r>
      <w:r w:rsidR="00167435">
        <w:rPr>
          <w:lang w:val="en-NZ"/>
        </w:rPr>
        <w:t>perpetrator was recorded as the mother</w:t>
      </w:r>
      <w:r>
        <w:rPr>
          <w:lang w:val="en-NZ"/>
        </w:rPr>
        <w:t xml:space="preserve"> only</w:t>
      </w:r>
      <w:r w:rsidR="00167435">
        <w:rPr>
          <w:lang w:val="en-NZ"/>
        </w:rPr>
        <w:t xml:space="preserve">, and in </w:t>
      </w:r>
      <w:r>
        <w:rPr>
          <w:lang w:val="en-NZ"/>
        </w:rPr>
        <w:t>16</w:t>
      </w:r>
      <w:r w:rsidR="00167435">
        <w:rPr>
          <w:lang w:val="en-NZ"/>
        </w:rPr>
        <w:t xml:space="preserve"> percent it was the gang member</w:t>
      </w:r>
      <w:r>
        <w:rPr>
          <w:lang w:val="en-NZ"/>
        </w:rPr>
        <w:t xml:space="preserve"> father only</w:t>
      </w:r>
      <w:r w:rsidR="00167435">
        <w:rPr>
          <w:lang w:val="en-NZ"/>
        </w:rPr>
        <w:t xml:space="preserve">. </w:t>
      </w:r>
      <w:r>
        <w:rPr>
          <w:lang w:val="en-NZ"/>
        </w:rPr>
        <w:t xml:space="preserve">This means that overall, the child’s birth mother was </w:t>
      </w:r>
      <w:r w:rsidR="009474D2">
        <w:rPr>
          <w:lang w:val="en-NZ"/>
        </w:rPr>
        <w:t>a</w:t>
      </w:r>
      <w:r w:rsidR="000F31D5">
        <w:rPr>
          <w:lang w:val="en-NZ"/>
        </w:rPr>
        <w:t>n</w:t>
      </w:r>
      <w:r>
        <w:rPr>
          <w:lang w:val="en-NZ"/>
        </w:rPr>
        <w:t xml:space="preserve"> </w:t>
      </w:r>
      <w:r w:rsidR="000F31D5">
        <w:rPr>
          <w:lang w:val="en-NZ"/>
        </w:rPr>
        <w:t xml:space="preserve">alleged </w:t>
      </w:r>
      <w:r>
        <w:rPr>
          <w:lang w:val="en-NZ"/>
        </w:rPr>
        <w:t>perpetrator in 56 percent of findings, and the gang member father was</w:t>
      </w:r>
      <w:r w:rsidRPr="00EC20D0">
        <w:rPr>
          <w:lang w:val="en-NZ"/>
        </w:rPr>
        <w:t xml:space="preserve"> </w:t>
      </w:r>
      <w:r w:rsidR="009474D2">
        <w:rPr>
          <w:lang w:val="en-NZ"/>
        </w:rPr>
        <w:t>a</w:t>
      </w:r>
      <w:r w:rsidR="000F31D5">
        <w:rPr>
          <w:lang w:val="en-NZ"/>
        </w:rPr>
        <w:t>n</w:t>
      </w:r>
      <w:r>
        <w:rPr>
          <w:lang w:val="en-NZ"/>
        </w:rPr>
        <w:t xml:space="preserve"> </w:t>
      </w:r>
      <w:r w:rsidR="000F31D5">
        <w:rPr>
          <w:lang w:val="en-NZ"/>
        </w:rPr>
        <w:t xml:space="preserve">alleged </w:t>
      </w:r>
      <w:r>
        <w:rPr>
          <w:lang w:val="en-NZ"/>
        </w:rPr>
        <w:t>perpetrator in 47 percent of findings.</w:t>
      </w:r>
    </w:p>
    <w:p w:rsidR="00167435" w:rsidRDefault="00167435" w:rsidP="009671BA">
      <w:pPr>
        <w:rPr>
          <w:lang w:val="en-NZ"/>
        </w:rPr>
      </w:pPr>
      <w:r>
        <w:rPr>
          <w:lang w:val="en-NZ"/>
        </w:rPr>
        <w:t xml:space="preserve">Children were abused </w:t>
      </w:r>
      <w:r w:rsidR="000F31D5">
        <w:rPr>
          <w:lang w:val="en-NZ"/>
        </w:rPr>
        <w:t xml:space="preserve">allegedly </w:t>
      </w:r>
      <w:r>
        <w:rPr>
          <w:lang w:val="en-NZ"/>
        </w:rPr>
        <w:t xml:space="preserve">by a step-parent </w:t>
      </w:r>
      <w:r w:rsidR="00A82891">
        <w:rPr>
          <w:lang w:val="en-NZ"/>
        </w:rPr>
        <w:t xml:space="preserve">or the mother’s partner </w:t>
      </w:r>
      <w:r>
        <w:rPr>
          <w:lang w:val="en-NZ"/>
        </w:rPr>
        <w:t xml:space="preserve">in </w:t>
      </w:r>
      <w:r w:rsidR="00A82891">
        <w:rPr>
          <w:lang w:val="en-NZ"/>
        </w:rPr>
        <w:t>two</w:t>
      </w:r>
      <w:r>
        <w:rPr>
          <w:lang w:val="en-NZ"/>
        </w:rPr>
        <w:t xml:space="preserve"> percent of cases and by some other relative in four percent of cases. In two percent of cases, the child had a non-familial relationship to the </w:t>
      </w:r>
      <w:r w:rsidR="000F31D5">
        <w:rPr>
          <w:lang w:val="en-NZ"/>
        </w:rPr>
        <w:t xml:space="preserve">alleged </w:t>
      </w:r>
      <w:r>
        <w:rPr>
          <w:lang w:val="en-NZ"/>
        </w:rPr>
        <w:t>perpetrator.</w:t>
      </w:r>
    </w:p>
    <w:p w:rsidR="001A0B11" w:rsidRPr="00A65670" w:rsidRDefault="003D13C3" w:rsidP="001A0B11">
      <w:pPr>
        <w:rPr>
          <w:b/>
          <w:color w:val="121F6B"/>
          <w:lang w:val="en-NZ"/>
        </w:rPr>
      </w:pPr>
      <w:r>
        <w:rPr>
          <w:b/>
          <w:color w:val="121F6B"/>
          <w:lang w:val="en-NZ"/>
        </w:rPr>
        <w:t>Almost</w:t>
      </w:r>
      <w:r w:rsidR="001A0B11">
        <w:rPr>
          <w:b/>
          <w:color w:val="121F6B"/>
          <w:lang w:val="en-NZ"/>
        </w:rPr>
        <w:t xml:space="preserve"> nine out </w:t>
      </w:r>
      <w:r>
        <w:rPr>
          <w:b/>
          <w:color w:val="121F6B"/>
          <w:lang w:val="en-NZ"/>
        </w:rPr>
        <w:t>of</w:t>
      </w:r>
      <w:r w:rsidR="001A0B11">
        <w:rPr>
          <w:b/>
          <w:color w:val="121F6B"/>
          <w:lang w:val="en-NZ"/>
        </w:rPr>
        <w:t xml:space="preserve"> 10 of the children of gang members known to Child, Youth and Family were </w:t>
      </w:r>
      <w:r w:rsidR="00AC11EC">
        <w:rPr>
          <w:b/>
          <w:color w:val="121F6B"/>
          <w:lang w:val="en-NZ"/>
        </w:rPr>
        <w:t>involved in at least one</w:t>
      </w:r>
      <w:r w:rsidR="001A0B11">
        <w:rPr>
          <w:b/>
          <w:color w:val="121F6B"/>
          <w:lang w:val="en-NZ"/>
        </w:rPr>
        <w:t xml:space="preserve"> investigation</w:t>
      </w:r>
    </w:p>
    <w:p w:rsidR="001A0B11" w:rsidRDefault="009671BA" w:rsidP="001A0B11">
      <w:pPr>
        <w:rPr>
          <w:szCs w:val="24"/>
          <w:lang w:val="en-NZ"/>
        </w:rPr>
      </w:pPr>
      <w:r>
        <w:rPr>
          <w:szCs w:val="24"/>
          <w:lang w:val="en-NZ"/>
        </w:rPr>
        <w:t>Of</w:t>
      </w:r>
      <w:r w:rsidR="00433B8D">
        <w:rPr>
          <w:szCs w:val="24"/>
          <w:lang w:val="en-NZ"/>
        </w:rPr>
        <w:t xml:space="preserve"> </w:t>
      </w:r>
      <w:r>
        <w:rPr>
          <w:szCs w:val="24"/>
          <w:lang w:val="en-NZ"/>
        </w:rPr>
        <w:t>the</w:t>
      </w:r>
      <w:r w:rsidR="00433B8D">
        <w:rPr>
          <w:szCs w:val="24"/>
          <w:lang w:val="en-NZ"/>
        </w:rPr>
        <w:t xml:space="preserve"> </w:t>
      </w:r>
      <w:r w:rsidR="008B57A5">
        <w:rPr>
          <w:szCs w:val="24"/>
          <w:lang w:val="en-NZ"/>
        </w:rPr>
        <w:t>2,374</w:t>
      </w:r>
      <w:r w:rsidR="001A0B11">
        <w:rPr>
          <w:szCs w:val="24"/>
          <w:lang w:val="en-NZ"/>
        </w:rPr>
        <w:t xml:space="preserve"> children </w:t>
      </w:r>
      <w:r w:rsidR="00433B8D">
        <w:rPr>
          <w:szCs w:val="24"/>
          <w:lang w:val="en-NZ"/>
        </w:rPr>
        <w:t xml:space="preserve">of gang members </w:t>
      </w:r>
      <w:r w:rsidR="003D13C3">
        <w:rPr>
          <w:szCs w:val="24"/>
          <w:lang w:val="en-NZ"/>
        </w:rPr>
        <w:t xml:space="preserve">known to Child, Youth and Family </w:t>
      </w:r>
      <w:r w:rsidR="001A0B11">
        <w:rPr>
          <w:szCs w:val="24"/>
          <w:lang w:val="en-NZ"/>
        </w:rPr>
        <w:t xml:space="preserve">who did not have any </w:t>
      </w:r>
      <w:r w:rsidR="00F52017">
        <w:rPr>
          <w:szCs w:val="24"/>
          <w:lang w:val="en-NZ"/>
        </w:rPr>
        <w:t xml:space="preserve">substantiated </w:t>
      </w:r>
      <w:r w:rsidR="001A0B11">
        <w:rPr>
          <w:szCs w:val="24"/>
          <w:lang w:val="en-NZ"/>
        </w:rPr>
        <w:t>findings</w:t>
      </w:r>
      <w:r>
        <w:rPr>
          <w:szCs w:val="24"/>
          <w:lang w:val="en-NZ"/>
        </w:rPr>
        <w:t xml:space="preserve">, </w:t>
      </w:r>
      <w:r w:rsidR="001A0B11">
        <w:rPr>
          <w:szCs w:val="24"/>
          <w:lang w:val="en-NZ"/>
        </w:rPr>
        <w:t>1,</w:t>
      </w:r>
      <w:r w:rsidR="008B57A5">
        <w:rPr>
          <w:szCs w:val="24"/>
          <w:lang w:val="en-NZ"/>
        </w:rPr>
        <w:t>55</w:t>
      </w:r>
      <w:r w:rsidR="002F6CBE">
        <w:rPr>
          <w:szCs w:val="24"/>
          <w:lang w:val="en-NZ"/>
        </w:rPr>
        <w:t>5</w:t>
      </w:r>
      <w:r w:rsidR="001A0B11">
        <w:rPr>
          <w:szCs w:val="24"/>
          <w:lang w:val="en-NZ"/>
        </w:rPr>
        <w:t xml:space="preserve"> </w:t>
      </w:r>
      <w:r>
        <w:rPr>
          <w:szCs w:val="24"/>
          <w:lang w:val="en-NZ"/>
        </w:rPr>
        <w:t>had been</w:t>
      </w:r>
      <w:r w:rsidR="001A0B11">
        <w:rPr>
          <w:szCs w:val="24"/>
          <w:lang w:val="en-NZ"/>
        </w:rPr>
        <w:t xml:space="preserve"> involved in </w:t>
      </w:r>
      <w:r w:rsidR="008B57A5">
        <w:rPr>
          <w:szCs w:val="24"/>
          <w:lang w:val="en-NZ"/>
        </w:rPr>
        <w:t xml:space="preserve">at least one </w:t>
      </w:r>
      <w:r w:rsidR="001A0B11">
        <w:rPr>
          <w:szCs w:val="24"/>
          <w:lang w:val="en-NZ"/>
        </w:rPr>
        <w:t xml:space="preserve">investigation following </w:t>
      </w:r>
      <w:r w:rsidR="008B57A5">
        <w:rPr>
          <w:szCs w:val="24"/>
          <w:lang w:val="en-NZ"/>
        </w:rPr>
        <w:t xml:space="preserve">a </w:t>
      </w:r>
      <w:r w:rsidR="001A0B11">
        <w:rPr>
          <w:szCs w:val="24"/>
          <w:lang w:val="en-NZ"/>
        </w:rPr>
        <w:t>report of concern to Child, Youth and Family</w:t>
      </w:r>
      <w:r w:rsidR="001A0B11" w:rsidRPr="005D6A64">
        <w:rPr>
          <w:szCs w:val="24"/>
          <w:lang w:val="en-NZ"/>
        </w:rPr>
        <w:t>.</w:t>
      </w:r>
      <w:r w:rsidR="001A0B11">
        <w:rPr>
          <w:szCs w:val="24"/>
          <w:lang w:val="en-NZ"/>
        </w:rPr>
        <w:t xml:space="preserve"> This means that of the total </w:t>
      </w:r>
      <w:r w:rsidR="005800D6">
        <w:rPr>
          <w:szCs w:val="24"/>
          <w:lang w:val="en-NZ"/>
        </w:rPr>
        <w:t>5,890</w:t>
      </w:r>
      <w:r w:rsidR="001A0B11">
        <w:rPr>
          <w:szCs w:val="24"/>
          <w:lang w:val="en-NZ"/>
        </w:rPr>
        <w:t xml:space="preserve"> children of gang members known to Child, Youth and Family, 8</w:t>
      </w:r>
      <w:r w:rsidR="008B57A5">
        <w:rPr>
          <w:szCs w:val="24"/>
          <w:lang w:val="en-NZ"/>
        </w:rPr>
        <w:t>6</w:t>
      </w:r>
      <w:r w:rsidR="001A0B11">
        <w:rPr>
          <w:szCs w:val="24"/>
          <w:lang w:val="en-NZ"/>
        </w:rPr>
        <w:t xml:space="preserve"> </w:t>
      </w:r>
      <w:r w:rsidR="005D7755">
        <w:rPr>
          <w:szCs w:val="24"/>
          <w:lang w:val="en-NZ"/>
        </w:rPr>
        <w:t>percent</w:t>
      </w:r>
      <w:r w:rsidR="001A0B11">
        <w:rPr>
          <w:szCs w:val="24"/>
          <w:lang w:val="en-NZ"/>
        </w:rPr>
        <w:t xml:space="preserve"> (</w:t>
      </w:r>
      <w:r w:rsidR="008B57A5">
        <w:rPr>
          <w:szCs w:val="24"/>
          <w:lang w:val="en-NZ"/>
        </w:rPr>
        <w:t>5,07</w:t>
      </w:r>
      <w:r w:rsidR="002F6CBE">
        <w:rPr>
          <w:szCs w:val="24"/>
          <w:lang w:val="en-NZ"/>
        </w:rPr>
        <w:t>1</w:t>
      </w:r>
      <w:r w:rsidR="001A0B11">
        <w:rPr>
          <w:szCs w:val="24"/>
          <w:lang w:val="en-NZ"/>
        </w:rPr>
        <w:t xml:space="preserve">) were involved in </w:t>
      </w:r>
      <w:r w:rsidR="008B33A6">
        <w:rPr>
          <w:szCs w:val="24"/>
          <w:lang w:val="en-NZ"/>
        </w:rPr>
        <w:t xml:space="preserve">at least one </w:t>
      </w:r>
      <w:r w:rsidR="001A0B11">
        <w:rPr>
          <w:szCs w:val="24"/>
          <w:lang w:val="en-NZ"/>
        </w:rPr>
        <w:t>investigation, whether substantiated or not.</w:t>
      </w:r>
    </w:p>
    <w:p w:rsidR="00122A24" w:rsidRPr="00A546F6" w:rsidRDefault="00AC11EC" w:rsidP="00122A24">
      <w:pPr>
        <w:pStyle w:val="Heading3"/>
      </w:pPr>
      <w:r>
        <w:t xml:space="preserve">Nearly a quarter </w:t>
      </w:r>
      <w:r w:rsidR="009A314D">
        <w:t xml:space="preserve">of the </w:t>
      </w:r>
      <w:r w:rsidR="00122A24">
        <w:t xml:space="preserve">children of gang members </w:t>
      </w:r>
      <w:r w:rsidR="005D5B78">
        <w:t xml:space="preserve">aged 10 years </w:t>
      </w:r>
      <w:r w:rsidR="003D13C3">
        <w:t xml:space="preserve">or older </w:t>
      </w:r>
      <w:r w:rsidR="00122A24">
        <w:t>have had youth justice involvement</w:t>
      </w:r>
      <w:r w:rsidR="00C86D6B">
        <w:t xml:space="preserve"> with Child, Youth and Family</w:t>
      </w:r>
    </w:p>
    <w:p w:rsidR="00795694" w:rsidRDefault="00D54994" w:rsidP="00795694">
      <w:pPr>
        <w:rPr>
          <w:lang w:val="en-NZ"/>
        </w:rPr>
      </w:pPr>
      <w:r>
        <w:rPr>
          <w:lang w:val="en-NZ"/>
        </w:rPr>
        <w:t xml:space="preserve">At the time of this analysis, </w:t>
      </w:r>
      <w:r w:rsidR="0081073C">
        <w:rPr>
          <w:lang w:val="en-NZ"/>
        </w:rPr>
        <w:t>3,</w:t>
      </w:r>
      <w:r w:rsidR="000A336A">
        <w:rPr>
          <w:lang w:val="en-NZ"/>
        </w:rPr>
        <w:t xml:space="preserve">372 </w:t>
      </w:r>
      <w:r>
        <w:rPr>
          <w:lang w:val="en-NZ"/>
        </w:rPr>
        <w:t xml:space="preserve">children of gang members </w:t>
      </w:r>
      <w:r w:rsidR="00795694">
        <w:rPr>
          <w:lang w:val="en-NZ"/>
        </w:rPr>
        <w:t xml:space="preserve">were aged </w:t>
      </w:r>
      <w:r w:rsidR="00C25639">
        <w:rPr>
          <w:lang w:val="en-NZ"/>
        </w:rPr>
        <w:t>10</w:t>
      </w:r>
      <w:r w:rsidR="00795694">
        <w:rPr>
          <w:lang w:val="en-NZ"/>
        </w:rPr>
        <w:t xml:space="preserve"> years</w:t>
      </w:r>
      <w:r w:rsidR="003D13C3">
        <w:rPr>
          <w:lang w:val="en-NZ"/>
        </w:rPr>
        <w:t xml:space="preserve"> or older</w:t>
      </w:r>
      <w:r w:rsidR="00795694">
        <w:rPr>
          <w:lang w:val="en-NZ"/>
        </w:rPr>
        <w:t xml:space="preserve">. Of these children, </w:t>
      </w:r>
      <w:r w:rsidR="0081073C">
        <w:rPr>
          <w:lang w:val="en-NZ"/>
        </w:rPr>
        <w:t>23</w:t>
      </w:r>
      <w:r w:rsidR="00795694">
        <w:rPr>
          <w:lang w:val="en-NZ"/>
        </w:rPr>
        <w:t xml:space="preserve"> </w:t>
      </w:r>
      <w:r w:rsidR="005D7755">
        <w:rPr>
          <w:lang w:val="en-NZ"/>
        </w:rPr>
        <w:t>percent</w:t>
      </w:r>
      <w:r w:rsidR="00795694">
        <w:rPr>
          <w:lang w:val="en-NZ"/>
        </w:rPr>
        <w:t xml:space="preserve"> (</w:t>
      </w:r>
      <w:r w:rsidR="0081073C">
        <w:rPr>
          <w:lang w:val="en-NZ"/>
        </w:rPr>
        <w:t>7</w:t>
      </w:r>
      <w:r w:rsidR="000A336A">
        <w:rPr>
          <w:lang w:val="en-NZ"/>
        </w:rPr>
        <w:t>6</w:t>
      </w:r>
      <w:r w:rsidR="005969A7">
        <w:rPr>
          <w:lang w:val="en-NZ"/>
        </w:rPr>
        <w:t>2</w:t>
      </w:r>
      <w:r w:rsidR="00795694">
        <w:rPr>
          <w:lang w:val="en-NZ"/>
        </w:rPr>
        <w:t xml:space="preserve">) were known to the Youth Justice service arm of </w:t>
      </w:r>
      <w:r w:rsidR="002F1CCD">
        <w:rPr>
          <w:lang w:val="en-NZ"/>
        </w:rPr>
        <w:t xml:space="preserve">Child, Youth and Family </w:t>
      </w:r>
      <w:r w:rsidR="00795694">
        <w:rPr>
          <w:lang w:val="en-NZ"/>
        </w:rPr>
        <w:t>following referral for a Youth Justice Family Group Conference (FGC). This was either for an intention-to-charge FGC, a court-</w:t>
      </w:r>
      <w:r w:rsidR="003F7F8C">
        <w:rPr>
          <w:lang w:val="en-NZ"/>
        </w:rPr>
        <w:t xml:space="preserve">ordered </w:t>
      </w:r>
      <w:r w:rsidR="00795694">
        <w:rPr>
          <w:lang w:val="en-NZ"/>
        </w:rPr>
        <w:t>FGC or a child offender FGC.</w:t>
      </w:r>
    </w:p>
    <w:p w:rsidR="0090573A" w:rsidRDefault="00D1387B" w:rsidP="009A314D">
      <w:pPr>
        <w:rPr>
          <w:lang w:val="en-NZ"/>
        </w:rPr>
      </w:pPr>
      <w:r>
        <w:rPr>
          <w:lang w:val="en-NZ"/>
        </w:rPr>
        <w:lastRenderedPageBreak/>
        <w:t xml:space="preserve">The </w:t>
      </w:r>
      <w:r w:rsidR="0090573A">
        <w:rPr>
          <w:lang w:val="en-NZ"/>
        </w:rPr>
        <w:t xml:space="preserve">vast </w:t>
      </w:r>
      <w:r>
        <w:rPr>
          <w:lang w:val="en-NZ"/>
        </w:rPr>
        <w:t>majority</w:t>
      </w:r>
      <w:r w:rsidR="007E20C7">
        <w:rPr>
          <w:lang w:val="en-NZ"/>
        </w:rPr>
        <w:t xml:space="preserve"> of the </w:t>
      </w:r>
      <w:r w:rsidR="000A336A">
        <w:rPr>
          <w:lang w:val="en-NZ"/>
        </w:rPr>
        <w:t>76</w:t>
      </w:r>
      <w:r w:rsidR="005969A7">
        <w:rPr>
          <w:lang w:val="en-NZ"/>
        </w:rPr>
        <w:t>2</w:t>
      </w:r>
      <w:r w:rsidR="000A336A">
        <w:rPr>
          <w:lang w:val="en-NZ"/>
        </w:rPr>
        <w:t xml:space="preserve"> </w:t>
      </w:r>
      <w:r w:rsidR="007E20C7">
        <w:rPr>
          <w:lang w:val="en-NZ"/>
        </w:rPr>
        <w:t>children who had a Youth Justice FGC were also know</w:t>
      </w:r>
      <w:r w:rsidR="00217489">
        <w:rPr>
          <w:lang w:val="en-NZ"/>
        </w:rPr>
        <w:t>n</w:t>
      </w:r>
      <w:r w:rsidR="007E20C7">
        <w:rPr>
          <w:lang w:val="en-NZ"/>
        </w:rPr>
        <w:t xml:space="preserve"> to the Care and Protection service arm of Child, Youth and Family</w:t>
      </w:r>
      <w:r w:rsidR="0090573A">
        <w:rPr>
          <w:lang w:val="en-NZ"/>
        </w:rPr>
        <w:t>:</w:t>
      </w:r>
    </w:p>
    <w:p w:rsidR="0090573A" w:rsidRDefault="0078142B" w:rsidP="0090573A">
      <w:pPr>
        <w:pStyle w:val="Bullet1"/>
      </w:pPr>
      <w:r w:rsidRPr="0078142B">
        <w:t>6</w:t>
      </w:r>
      <w:r w:rsidR="001D6DD5">
        <w:t>44</w:t>
      </w:r>
      <w:r w:rsidR="0090573A" w:rsidRPr="0078142B">
        <w:t xml:space="preserve"> or 85 per</w:t>
      </w:r>
      <w:r w:rsidR="00211FF9">
        <w:t>cent</w:t>
      </w:r>
      <w:r w:rsidR="0090573A">
        <w:t xml:space="preserve"> had been involved in at least one investigation by Child, Youth and </w:t>
      </w:r>
      <w:r w:rsidR="0021687B">
        <w:t>F</w:t>
      </w:r>
      <w:r w:rsidR="0090573A">
        <w:t>amily following a report of concern about their ill-treatment or n</w:t>
      </w:r>
      <w:r w:rsidR="00C81BA6">
        <w:t>e</w:t>
      </w:r>
      <w:r w:rsidR="0090573A">
        <w:t>glect, whether substantiated or not</w:t>
      </w:r>
      <w:r w:rsidR="00211FF9">
        <w:t>.</w:t>
      </w:r>
    </w:p>
    <w:p w:rsidR="0090573A" w:rsidRDefault="0090573A" w:rsidP="0090573A">
      <w:pPr>
        <w:pStyle w:val="Bullet1"/>
      </w:pPr>
      <w:r w:rsidRPr="0078142B">
        <w:t>4</w:t>
      </w:r>
      <w:r w:rsidR="001D6DD5">
        <w:t>77</w:t>
      </w:r>
      <w:r w:rsidRPr="0078142B">
        <w:t xml:space="preserve"> or 63 </w:t>
      </w:r>
      <w:r w:rsidR="005D7755">
        <w:t>percent</w:t>
      </w:r>
      <w:r>
        <w:t xml:space="preserve"> were recorded as the victim of at least one prior substantiated finding of abuse or neglect.</w:t>
      </w:r>
    </w:p>
    <w:p w:rsidR="00C81BA6" w:rsidRPr="00A546F6" w:rsidRDefault="00AE3283" w:rsidP="00C81BA6">
      <w:pPr>
        <w:pStyle w:val="Heading3"/>
      </w:pPr>
      <w:r>
        <w:t xml:space="preserve">The </w:t>
      </w:r>
      <w:r w:rsidR="002F69D6">
        <w:t xml:space="preserve">total </w:t>
      </w:r>
      <w:r>
        <w:t>c</w:t>
      </w:r>
      <w:r w:rsidR="00C81BA6" w:rsidRPr="00AE3283">
        <w:t>ost</w:t>
      </w:r>
      <w:r>
        <w:t xml:space="preserve"> to Child, Youth and Family from </w:t>
      </w:r>
      <w:r w:rsidR="000F5B58">
        <w:t>the</w:t>
      </w:r>
      <w:r>
        <w:t xml:space="preserve"> </w:t>
      </w:r>
      <w:r w:rsidR="003B2737">
        <w:t xml:space="preserve">adult </w:t>
      </w:r>
      <w:r>
        <w:t>gang members</w:t>
      </w:r>
      <w:r w:rsidRPr="00AE3283">
        <w:t xml:space="preserve"> </w:t>
      </w:r>
      <w:r w:rsidR="0078142B">
        <w:t xml:space="preserve">and their children </w:t>
      </w:r>
      <w:r>
        <w:t xml:space="preserve">is estimated to be </w:t>
      </w:r>
      <w:r w:rsidR="006C7541">
        <w:t xml:space="preserve">at least </w:t>
      </w:r>
      <w:r w:rsidRPr="002F69D6">
        <w:t>$</w:t>
      </w:r>
      <w:r w:rsidR="002F69D6" w:rsidRPr="002F69D6">
        <w:t>1</w:t>
      </w:r>
      <w:r w:rsidR="00D8688C">
        <w:t>89</w:t>
      </w:r>
      <w:r w:rsidR="003E4960">
        <w:t xml:space="preserve"> </w:t>
      </w:r>
      <w:r w:rsidRPr="002F69D6">
        <w:t>m</w:t>
      </w:r>
      <w:r w:rsidR="003E4960">
        <w:t>illion</w:t>
      </w:r>
    </w:p>
    <w:p w:rsidR="001D7660" w:rsidRDefault="00AE3283" w:rsidP="00C46119">
      <w:pPr>
        <w:rPr>
          <w:lang w:val="en-NZ"/>
        </w:rPr>
      </w:pPr>
      <w:r>
        <w:rPr>
          <w:lang w:val="en-NZ"/>
        </w:rPr>
        <w:t xml:space="preserve">It is estimated that the </w:t>
      </w:r>
      <w:r w:rsidR="002F69D6">
        <w:rPr>
          <w:lang w:val="en-NZ"/>
        </w:rPr>
        <w:t xml:space="preserve">direct and indirect </w:t>
      </w:r>
      <w:r w:rsidR="00D71798">
        <w:rPr>
          <w:lang w:val="en-NZ"/>
        </w:rPr>
        <w:t xml:space="preserve">costs </w:t>
      </w:r>
      <w:r w:rsidR="00250A3A">
        <w:rPr>
          <w:lang w:val="en-NZ"/>
        </w:rPr>
        <w:t xml:space="preserve">of </w:t>
      </w:r>
      <w:r w:rsidR="000F5B58">
        <w:rPr>
          <w:lang w:val="en-NZ"/>
        </w:rPr>
        <w:t>the</w:t>
      </w:r>
      <w:r w:rsidR="00250A3A">
        <w:rPr>
          <w:lang w:val="en-NZ"/>
        </w:rPr>
        <w:t xml:space="preserve"> gang members</w:t>
      </w:r>
      <w:r w:rsidR="00211FF9">
        <w:rPr>
          <w:lang w:val="en-NZ"/>
        </w:rPr>
        <w:t>’</w:t>
      </w:r>
      <w:r w:rsidR="00250A3A">
        <w:rPr>
          <w:lang w:val="en-NZ"/>
        </w:rPr>
        <w:t xml:space="preserve"> contact with</w:t>
      </w:r>
      <w:r w:rsidR="002F69D6">
        <w:rPr>
          <w:lang w:val="en-NZ"/>
        </w:rPr>
        <w:t xml:space="preserve"> the Child, Youth and Family service arms </w:t>
      </w:r>
      <w:r w:rsidR="00962CB8">
        <w:rPr>
          <w:lang w:val="en-NZ"/>
        </w:rPr>
        <w:t xml:space="preserve">is </w:t>
      </w:r>
      <w:r w:rsidR="00564274">
        <w:rPr>
          <w:lang w:val="en-NZ"/>
        </w:rPr>
        <w:t>a minimum</w:t>
      </w:r>
      <w:r w:rsidR="00962CB8">
        <w:rPr>
          <w:lang w:val="en-NZ"/>
        </w:rPr>
        <w:t xml:space="preserve"> of $</w:t>
      </w:r>
      <w:r w:rsidR="002F69D6">
        <w:rPr>
          <w:lang w:val="en-NZ"/>
        </w:rPr>
        <w:t>58</w:t>
      </w:r>
      <w:r w:rsidR="00962CB8">
        <w:rPr>
          <w:lang w:val="en-NZ"/>
        </w:rPr>
        <w:t>m. Th</w:t>
      </w:r>
      <w:r w:rsidR="00564274">
        <w:rPr>
          <w:lang w:val="en-NZ"/>
        </w:rPr>
        <w:t xml:space="preserve">e actual figure is likely </w:t>
      </w:r>
      <w:r w:rsidR="00962CB8">
        <w:rPr>
          <w:lang w:val="en-NZ"/>
        </w:rPr>
        <w:t xml:space="preserve">to be </w:t>
      </w:r>
      <w:r w:rsidR="00564274">
        <w:rPr>
          <w:lang w:val="en-NZ"/>
        </w:rPr>
        <w:t>considerably greater than this, but the analysis was limited</w:t>
      </w:r>
      <w:r w:rsidR="00962CB8">
        <w:rPr>
          <w:lang w:val="en-NZ"/>
        </w:rPr>
        <w:t xml:space="preserve"> </w:t>
      </w:r>
      <w:r w:rsidR="00564274">
        <w:rPr>
          <w:lang w:val="en-NZ"/>
        </w:rPr>
        <w:t>by</w:t>
      </w:r>
      <w:r w:rsidR="00962CB8">
        <w:rPr>
          <w:lang w:val="en-NZ"/>
        </w:rPr>
        <w:t xml:space="preserve"> </w:t>
      </w:r>
      <w:r w:rsidR="00B52AFE">
        <w:rPr>
          <w:lang w:val="en-NZ"/>
        </w:rPr>
        <w:t>historical information generally being unavailable before the early 1990s</w:t>
      </w:r>
      <w:r w:rsidR="00962CB8">
        <w:rPr>
          <w:lang w:val="en-NZ"/>
        </w:rPr>
        <w:t>.</w:t>
      </w:r>
      <w:r w:rsidR="00564274">
        <w:rPr>
          <w:lang w:val="en-NZ"/>
        </w:rPr>
        <w:t xml:space="preserve"> This is a</w:t>
      </w:r>
      <w:r w:rsidR="008B30BD">
        <w:rPr>
          <w:lang w:val="en-NZ"/>
        </w:rPr>
        <w:t xml:space="preserve"> particular issue for this report</w:t>
      </w:r>
      <w:r w:rsidR="00564274">
        <w:rPr>
          <w:lang w:val="en-NZ"/>
        </w:rPr>
        <w:t xml:space="preserve"> given the </w:t>
      </w:r>
      <w:r w:rsidR="008B30BD">
        <w:rPr>
          <w:lang w:val="en-NZ"/>
        </w:rPr>
        <w:t xml:space="preserve">older </w:t>
      </w:r>
      <w:r w:rsidR="00564274">
        <w:rPr>
          <w:lang w:val="en-NZ"/>
        </w:rPr>
        <w:t>age structure of gang members</w:t>
      </w:r>
      <w:r w:rsidR="00211FF9">
        <w:rPr>
          <w:lang w:val="en-NZ"/>
        </w:rPr>
        <w:t xml:space="preserve"> </w:t>
      </w:r>
      <w:r w:rsidR="00211FF9">
        <w:rPr>
          <w:rFonts w:ascii="Courier New" w:hAnsi="Courier New" w:cs="Courier New"/>
          <w:lang w:val="en-NZ"/>
        </w:rPr>
        <w:t>-</w:t>
      </w:r>
      <w:r w:rsidR="00564274">
        <w:rPr>
          <w:lang w:val="en-NZ"/>
        </w:rPr>
        <w:t xml:space="preserve"> the average age being around 40 years.</w:t>
      </w:r>
    </w:p>
    <w:p w:rsidR="00962CB8" w:rsidRDefault="00725ECC" w:rsidP="00962CB8">
      <w:pPr>
        <w:rPr>
          <w:lang w:val="en-NZ"/>
        </w:rPr>
      </w:pPr>
      <w:r>
        <w:rPr>
          <w:lang w:val="en-NZ"/>
        </w:rPr>
        <w:t xml:space="preserve">We </w:t>
      </w:r>
      <w:r w:rsidR="002F69D6">
        <w:rPr>
          <w:lang w:val="en-NZ"/>
        </w:rPr>
        <w:t xml:space="preserve">estimate that the direct and indirect costs to the Child, Youth and Family service arm </w:t>
      </w:r>
      <w:r w:rsidR="00D71798">
        <w:rPr>
          <w:lang w:val="en-NZ"/>
        </w:rPr>
        <w:t xml:space="preserve">of the </w:t>
      </w:r>
      <w:r w:rsidR="005800D6">
        <w:rPr>
          <w:lang w:val="en-NZ"/>
        </w:rPr>
        <w:t>5,890</w:t>
      </w:r>
      <w:r w:rsidR="00962CB8">
        <w:rPr>
          <w:lang w:val="en-NZ"/>
        </w:rPr>
        <w:t xml:space="preserve"> </w:t>
      </w:r>
      <w:r w:rsidR="00211FF9">
        <w:rPr>
          <w:lang w:val="en-NZ"/>
        </w:rPr>
        <w:t xml:space="preserve">child clients known to be children </w:t>
      </w:r>
      <w:r w:rsidR="00962CB8">
        <w:rPr>
          <w:lang w:val="en-NZ"/>
        </w:rPr>
        <w:t xml:space="preserve">of gang members is in the vicinity of </w:t>
      </w:r>
      <w:r w:rsidR="00962CB8" w:rsidRPr="002F69D6">
        <w:rPr>
          <w:lang w:val="en-NZ"/>
        </w:rPr>
        <w:t>$</w:t>
      </w:r>
      <w:r w:rsidR="002F69D6">
        <w:rPr>
          <w:lang w:val="en-NZ"/>
        </w:rPr>
        <w:t>1</w:t>
      </w:r>
      <w:r w:rsidR="00D8688C">
        <w:rPr>
          <w:lang w:val="en-NZ"/>
        </w:rPr>
        <w:t>31</w:t>
      </w:r>
      <w:r w:rsidR="00962CB8">
        <w:rPr>
          <w:lang w:val="en-NZ"/>
        </w:rPr>
        <w:t>m</w:t>
      </w:r>
      <w:r w:rsidR="00250A3A">
        <w:rPr>
          <w:lang w:val="en-NZ"/>
        </w:rPr>
        <w:t>.</w:t>
      </w:r>
    </w:p>
    <w:p w:rsidR="00BB45F0" w:rsidRDefault="00250A3A" w:rsidP="00962CB8">
      <w:pPr>
        <w:rPr>
          <w:lang w:val="en-NZ"/>
        </w:rPr>
      </w:pPr>
      <w:r>
        <w:rPr>
          <w:lang w:val="en-NZ"/>
        </w:rPr>
        <w:t xml:space="preserve">Together, the </w:t>
      </w:r>
      <w:r w:rsidR="00D8688C">
        <w:rPr>
          <w:lang w:val="en-NZ"/>
        </w:rPr>
        <w:t xml:space="preserve">estimated </w:t>
      </w:r>
      <w:r w:rsidR="004758A6">
        <w:rPr>
          <w:lang w:val="en-NZ"/>
        </w:rPr>
        <w:t xml:space="preserve">known </w:t>
      </w:r>
      <w:r>
        <w:rPr>
          <w:lang w:val="en-NZ"/>
        </w:rPr>
        <w:t>costs total $1</w:t>
      </w:r>
      <w:r w:rsidR="00D8688C">
        <w:rPr>
          <w:lang w:val="en-NZ"/>
        </w:rPr>
        <w:t>89</w:t>
      </w:r>
      <w:r>
        <w:rPr>
          <w:lang w:val="en-NZ"/>
        </w:rPr>
        <w:t xml:space="preserve">m. </w:t>
      </w:r>
      <w:r w:rsidR="00BB45F0">
        <w:rPr>
          <w:lang w:val="en-NZ"/>
        </w:rPr>
        <w:t xml:space="preserve">It was not possible </w:t>
      </w:r>
      <w:r>
        <w:rPr>
          <w:lang w:val="en-NZ"/>
        </w:rPr>
        <w:t>in</w:t>
      </w:r>
      <w:r w:rsidR="00BB45F0">
        <w:rPr>
          <w:lang w:val="en-NZ"/>
        </w:rPr>
        <w:t xml:space="preserve"> this report to break down the</w:t>
      </w:r>
      <w:r>
        <w:rPr>
          <w:lang w:val="en-NZ"/>
        </w:rPr>
        <w:t>se</w:t>
      </w:r>
      <w:r w:rsidR="00BB45F0">
        <w:rPr>
          <w:lang w:val="en-NZ"/>
        </w:rPr>
        <w:t xml:space="preserve"> costs into separate detailed care and protection, and youth justice components. </w:t>
      </w:r>
      <w:r w:rsidR="0045593E">
        <w:rPr>
          <w:lang w:val="en-NZ"/>
        </w:rPr>
        <w:t>The e</w:t>
      </w:r>
      <w:r w:rsidR="0045593E" w:rsidRPr="0045593E">
        <w:rPr>
          <w:lang w:val="en-NZ"/>
        </w:rPr>
        <w:t>stimated costs include</w:t>
      </w:r>
      <w:r>
        <w:rPr>
          <w:lang w:val="en-NZ"/>
        </w:rPr>
        <w:t>,</w:t>
      </w:r>
      <w:r w:rsidR="0045593E" w:rsidRPr="0045593E">
        <w:rPr>
          <w:lang w:val="en-NZ"/>
        </w:rPr>
        <w:t xml:space="preserve"> for example, family group conferences, intakes, investigations, assessments, placements</w:t>
      </w:r>
      <w:r>
        <w:rPr>
          <w:lang w:val="en-NZ"/>
        </w:rPr>
        <w:t>,</w:t>
      </w:r>
      <w:r w:rsidR="0045593E" w:rsidRPr="0045593E">
        <w:rPr>
          <w:lang w:val="en-NZ"/>
        </w:rPr>
        <w:t xml:space="preserve"> and court preparation</w:t>
      </w:r>
      <w:r w:rsidR="00217489">
        <w:rPr>
          <w:lang w:val="en-NZ"/>
        </w:rPr>
        <w:t xml:space="preserve"> work by social workers</w:t>
      </w:r>
      <w:r w:rsidR="0045593E" w:rsidRPr="0045593E">
        <w:rPr>
          <w:lang w:val="en-NZ"/>
        </w:rPr>
        <w:t>.</w:t>
      </w:r>
    </w:p>
    <w:p w:rsidR="003A6ADE" w:rsidRDefault="003A6ADE" w:rsidP="003A6ADE">
      <w:pPr>
        <w:rPr>
          <w:lang w:val="en-NZ" w:eastAsia="en-AU"/>
        </w:rPr>
      </w:pPr>
    </w:p>
    <w:p w:rsidR="003A6ADE" w:rsidRDefault="003A6ADE" w:rsidP="003A6ADE">
      <w:pPr>
        <w:rPr>
          <w:lang w:val="en-NZ" w:eastAsia="en-AU"/>
        </w:rPr>
        <w:sectPr w:rsidR="003A6ADE" w:rsidSect="00B05301">
          <w:pgSz w:w="11906" w:h="16838"/>
          <w:pgMar w:top="1440" w:right="1440" w:bottom="1134" w:left="1440" w:header="708" w:footer="455" w:gutter="0"/>
          <w:cols w:space="708"/>
          <w:docGrid w:linePitch="360"/>
        </w:sectPr>
      </w:pPr>
    </w:p>
    <w:p w:rsidR="00E42BB8" w:rsidRDefault="00E42BB8" w:rsidP="00C44A76">
      <w:pPr>
        <w:pStyle w:val="Heading1"/>
        <w:spacing w:before="240"/>
        <w:ind w:right="-45"/>
        <w:rPr>
          <w:lang w:eastAsia="en-AU"/>
        </w:rPr>
      </w:pPr>
      <w:bookmarkStart w:id="27" w:name="_Toc438039151"/>
      <w:r>
        <w:rPr>
          <w:lang w:eastAsia="en-AU"/>
        </w:rPr>
        <w:lastRenderedPageBreak/>
        <w:t xml:space="preserve">Part </w:t>
      </w:r>
      <w:r w:rsidR="007E6068">
        <w:rPr>
          <w:lang w:eastAsia="en-AU"/>
        </w:rPr>
        <w:t xml:space="preserve">5 </w:t>
      </w:r>
      <w:r>
        <w:rPr>
          <w:lang w:eastAsia="en-AU"/>
        </w:rPr>
        <w:t xml:space="preserve">– </w:t>
      </w:r>
      <w:r w:rsidR="00A37004">
        <w:rPr>
          <w:lang w:eastAsia="en-AU"/>
        </w:rPr>
        <w:t>E</w:t>
      </w:r>
      <w:r>
        <w:rPr>
          <w:lang w:eastAsia="en-AU"/>
        </w:rPr>
        <w:t xml:space="preserve">stimated </w:t>
      </w:r>
      <w:r w:rsidR="00AC24EB">
        <w:rPr>
          <w:lang w:eastAsia="en-AU"/>
        </w:rPr>
        <w:t xml:space="preserve">total </w:t>
      </w:r>
      <w:r>
        <w:rPr>
          <w:lang w:eastAsia="en-AU"/>
        </w:rPr>
        <w:t>costs</w:t>
      </w:r>
      <w:r w:rsidR="00126868">
        <w:rPr>
          <w:lang w:eastAsia="en-AU"/>
        </w:rPr>
        <w:t xml:space="preserve"> to MSD </w:t>
      </w:r>
      <w:r w:rsidR="00A37004">
        <w:rPr>
          <w:lang w:eastAsia="en-AU"/>
        </w:rPr>
        <w:t>are</w:t>
      </w:r>
      <w:r w:rsidR="00066F50">
        <w:rPr>
          <w:lang w:eastAsia="en-AU"/>
        </w:rPr>
        <w:t xml:space="preserve"> </w:t>
      </w:r>
      <w:r w:rsidR="00C9344A">
        <w:rPr>
          <w:lang w:eastAsia="en-AU"/>
        </w:rPr>
        <w:t xml:space="preserve">over </w:t>
      </w:r>
      <w:r w:rsidR="00066F50">
        <w:rPr>
          <w:lang w:eastAsia="en-AU"/>
        </w:rPr>
        <w:t>$</w:t>
      </w:r>
      <w:r w:rsidR="00C9344A">
        <w:rPr>
          <w:lang w:eastAsia="en-AU"/>
        </w:rPr>
        <w:t>700</w:t>
      </w:r>
      <w:r w:rsidR="00066F50">
        <w:rPr>
          <w:lang w:eastAsia="en-AU"/>
        </w:rPr>
        <w:t xml:space="preserve"> </w:t>
      </w:r>
      <w:r w:rsidR="00C9344A">
        <w:rPr>
          <w:lang w:eastAsia="en-AU"/>
        </w:rPr>
        <w:t>m</w:t>
      </w:r>
      <w:r w:rsidR="00066F50">
        <w:rPr>
          <w:lang w:eastAsia="en-AU"/>
        </w:rPr>
        <w:t>illion</w:t>
      </w:r>
      <w:bookmarkEnd w:id="27"/>
    </w:p>
    <w:p w:rsidR="009D576A" w:rsidRPr="009D576A" w:rsidRDefault="002D12BF" w:rsidP="00A37004">
      <w:r>
        <w:rPr>
          <w:lang w:val="en-NZ"/>
        </w:rPr>
        <w:t>E</w:t>
      </w:r>
      <w:r w:rsidR="00E42BB8">
        <w:rPr>
          <w:lang w:val="en-NZ"/>
        </w:rPr>
        <w:t xml:space="preserve">stimated cost information for </w:t>
      </w:r>
      <w:r w:rsidR="009D576A">
        <w:rPr>
          <w:lang w:val="en-NZ"/>
        </w:rPr>
        <w:t xml:space="preserve">individuals </w:t>
      </w:r>
      <w:r>
        <w:rPr>
          <w:lang w:val="en-NZ"/>
        </w:rPr>
        <w:t xml:space="preserve">is available </w:t>
      </w:r>
      <w:r w:rsidR="00AE2B78">
        <w:rPr>
          <w:lang w:val="en-NZ"/>
        </w:rPr>
        <w:t xml:space="preserve">in terms of </w:t>
      </w:r>
      <w:r w:rsidR="009D576A">
        <w:t>w</w:t>
      </w:r>
      <w:r w:rsidR="009D576A" w:rsidRPr="009D576A">
        <w:t xml:space="preserve">elfare assistance </w:t>
      </w:r>
      <w:r w:rsidR="00AE2B78">
        <w:t xml:space="preserve">payments </w:t>
      </w:r>
      <w:r w:rsidR="009D576A" w:rsidRPr="009D576A">
        <w:t xml:space="preserve">from </w:t>
      </w:r>
      <w:r w:rsidR="00E42BB8" w:rsidRPr="009D576A">
        <w:t>Work and Income</w:t>
      </w:r>
      <w:r w:rsidR="00A37004">
        <w:t xml:space="preserve">, and </w:t>
      </w:r>
      <w:r w:rsidR="009D576A">
        <w:t xml:space="preserve">direct and indirect costs from contacts with the Care and Protection and Youth Justice service arms of </w:t>
      </w:r>
      <w:r w:rsidR="00E42BB8" w:rsidRPr="009D576A">
        <w:t>Child, Youth and Family</w:t>
      </w:r>
      <w:r w:rsidR="00C9344A">
        <w:t>.</w:t>
      </w:r>
    </w:p>
    <w:p w:rsidR="00E42BB8" w:rsidRDefault="00AE2B78" w:rsidP="00E42BB8">
      <w:pPr>
        <w:rPr>
          <w:lang w:val="en-NZ"/>
        </w:rPr>
      </w:pPr>
      <w:r>
        <w:rPr>
          <w:lang w:val="en-NZ"/>
        </w:rPr>
        <w:t>These e</w:t>
      </w:r>
      <w:r w:rsidR="00DF4234">
        <w:rPr>
          <w:lang w:val="en-NZ"/>
        </w:rPr>
        <w:t>stimated costs should be seen as indicative only as they are based on averages</w:t>
      </w:r>
      <w:r w:rsidR="007B3AB2">
        <w:rPr>
          <w:lang w:val="en-NZ"/>
        </w:rPr>
        <w:t xml:space="preserve">, some data </w:t>
      </w:r>
      <w:r w:rsidR="002D12BF">
        <w:rPr>
          <w:lang w:val="en-NZ"/>
        </w:rPr>
        <w:t>are</w:t>
      </w:r>
      <w:r w:rsidR="007B3AB2">
        <w:rPr>
          <w:lang w:val="en-NZ"/>
        </w:rPr>
        <w:t xml:space="preserve"> missing</w:t>
      </w:r>
      <w:r w:rsidR="00CE6205">
        <w:rPr>
          <w:lang w:val="en-NZ"/>
        </w:rPr>
        <w:t xml:space="preserve"> – particularly </w:t>
      </w:r>
      <w:r w:rsidR="005D57E3">
        <w:rPr>
          <w:lang w:val="en-NZ"/>
        </w:rPr>
        <w:t>before</w:t>
      </w:r>
      <w:r w:rsidR="00CE6205">
        <w:rPr>
          <w:lang w:val="en-NZ"/>
        </w:rPr>
        <w:t xml:space="preserve"> the early 1990s</w:t>
      </w:r>
      <w:r w:rsidR="007B3AB2">
        <w:rPr>
          <w:lang w:val="en-NZ"/>
        </w:rPr>
        <w:t>,</w:t>
      </w:r>
      <w:r w:rsidR="00DF4234">
        <w:rPr>
          <w:lang w:val="en-NZ"/>
        </w:rPr>
        <w:t xml:space="preserve"> and the results are impacted by data</w:t>
      </w:r>
      <w:r w:rsidR="002D12BF">
        <w:rPr>
          <w:lang w:val="en-NZ"/>
        </w:rPr>
        <w:t>-</w:t>
      </w:r>
      <w:r w:rsidR="00DF4234">
        <w:rPr>
          <w:lang w:val="en-NZ"/>
        </w:rPr>
        <w:t>match errors discussed in Appendix A.</w:t>
      </w:r>
    </w:p>
    <w:p w:rsidR="00C9344A" w:rsidRDefault="00C9344A" w:rsidP="00C9344A">
      <w:pPr>
        <w:rPr>
          <w:lang w:val="en-NZ" w:eastAsia="en-AU"/>
        </w:rPr>
      </w:pPr>
      <w:r>
        <w:rPr>
          <w:lang w:val="en-NZ" w:eastAsia="en-AU"/>
        </w:rPr>
        <w:t>The total costs to MSD from gang members and their children is estimated to be at least $714m, with this being an underestimate for the reasons discussed above.</w:t>
      </w:r>
    </w:p>
    <w:p w:rsidR="00C1433A" w:rsidRPr="00D16E12" w:rsidRDefault="00C1433A" w:rsidP="00CB74EE">
      <w:pPr>
        <w:pStyle w:val="TableofFigures"/>
        <w:keepNext/>
        <w:tabs>
          <w:tab w:val="left" w:pos="993"/>
        </w:tabs>
        <w:spacing w:before="170" w:after="120" w:line="240" w:lineRule="auto"/>
        <w:ind w:left="992" w:right="95" w:hanging="992"/>
        <w:rPr>
          <w:b/>
          <w:color w:val="121F6B"/>
          <w:sz w:val="18"/>
          <w:szCs w:val="18"/>
        </w:rPr>
      </w:pPr>
      <w:r w:rsidRPr="00D16E12">
        <w:rPr>
          <w:b/>
          <w:color w:val="121F6B"/>
          <w:sz w:val="18"/>
          <w:szCs w:val="18"/>
        </w:rPr>
        <w:t xml:space="preserve">Table </w:t>
      </w:r>
      <w:r w:rsidR="007E6068">
        <w:rPr>
          <w:b/>
          <w:color w:val="121F6B"/>
          <w:sz w:val="18"/>
          <w:szCs w:val="18"/>
        </w:rPr>
        <w:t>6</w:t>
      </w:r>
      <w:r w:rsidRPr="00D16E12">
        <w:rPr>
          <w:b/>
          <w:color w:val="121F6B"/>
          <w:sz w:val="18"/>
          <w:szCs w:val="18"/>
        </w:rPr>
        <w:t>:</w:t>
      </w:r>
      <w:r w:rsidRPr="00D16E12">
        <w:rPr>
          <w:b/>
          <w:color w:val="121F6B"/>
          <w:sz w:val="18"/>
          <w:szCs w:val="18"/>
        </w:rPr>
        <w:tab/>
      </w:r>
      <w:r>
        <w:rPr>
          <w:b/>
          <w:color w:val="121F6B"/>
          <w:sz w:val="18"/>
          <w:szCs w:val="18"/>
        </w:rPr>
        <w:t>Estimated costs to MSD from adult gang members and their children in their lifetimes</w:t>
      </w:r>
      <w:r w:rsidR="00211FF9">
        <w:rPr>
          <w:b/>
          <w:color w:val="121F6B"/>
          <w:sz w:val="18"/>
          <w:szCs w:val="18"/>
        </w:rPr>
        <w:t xml:space="preserve"> </w:t>
      </w:r>
      <w:r>
        <w:rPr>
          <w:b/>
          <w:color w:val="121F6B"/>
          <w:sz w:val="18"/>
          <w:szCs w:val="18"/>
        </w:rPr>
        <w:t>to</w:t>
      </w:r>
      <w:r w:rsidR="00211FF9">
        <w:rPr>
          <w:b/>
          <w:color w:val="121F6B"/>
          <w:sz w:val="18"/>
          <w:szCs w:val="18"/>
        </w:rPr>
        <w:t xml:space="preserve"> </w:t>
      </w:r>
      <w:r>
        <w:rPr>
          <w:b/>
          <w:color w:val="121F6B"/>
          <w:sz w:val="18"/>
          <w:szCs w:val="18"/>
        </w:rPr>
        <w:t>date</w:t>
      </w:r>
    </w:p>
    <w:tbl>
      <w:tblPr>
        <w:tblStyle w:val="TableGrid"/>
        <w:tblW w:w="9039" w:type="dxa"/>
        <w:tblLayout w:type="fixed"/>
        <w:tblCellMar>
          <w:top w:w="28" w:type="dxa"/>
          <w:bottom w:w="28" w:type="dxa"/>
        </w:tblCellMar>
        <w:tblLook w:val="04A0" w:firstRow="1" w:lastRow="0" w:firstColumn="1" w:lastColumn="0" w:noHBand="0" w:noVBand="1"/>
      </w:tblPr>
      <w:tblGrid>
        <w:gridCol w:w="3532"/>
        <w:gridCol w:w="1835"/>
        <w:gridCol w:w="1836"/>
        <w:gridCol w:w="1836"/>
      </w:tblGrid>
      <w:tr w:rsidR="00B60A10" w:rsidRPr="0073602A" w:rsidTr="00AE2B78">
        <w:tc>
          <w:tcPr>
            <w:tcW w:w="3532" w:type="dxa"/>
            <w:tcBorders>
              <w:top w:val="nil"/>
              <w:left w:val="nil"/>
              <w:bottom w:val="nil"/>
              <w:right w:val="nil"/>
            </w:tcBorders>
            <w:shd w:val="clear" w:color="auto" w:fill="121F6B"/>
          </w:tcPr>
          <w:p w:rsidR="00B60A10" w:rsidRPr="00D76347" w:rsidRDefault="00B60A10" w:rsidP="00DE5374">
            <w:pPr>
              <w:spacing w:after="0" w:line="240" w:lineRule="auto"/>
              <w:rPr>
                <w:b/>
                <w:sz w:val="18"/>
                <w:szCs w:val="18"/>
                <w:lang w:val="en-NZ" w:eastAsia="en-AU"/>
              </w:rPr>
            </w:pPr>
            <w:r>
              <w:rPr>
                <w:b/>
                <w:sz w:val="18"/>
                <w:szCs w:val="18"/>
                <w:lang w:val="en-NZ" w:eastAsia="en-AU"/>
              </w:rPr>
              <w:t>Source of estimated costs</w:t>
            </w:r>
          </w:p>
        </w:tc>
        <w:tc>
          <w:tcPr>
            <w:tcW w:w="1835" w:type="dxa"/>
            <w:tcBorders>
              <w:top w:val="nil"/>
              <w:left w:val="nil"/>
              <w:bottom w:val="nil"/>
              <w:right w:val="nil"/>
            </w:tcBorders>
            <w:shd w:val="clear" w:color="auto" w:fill="121F6B"/>
          </w:tcPr>
          <w:p w:rsidR="00B60A10" w:rsidRPr="00D76347" w:rsidRDefault="00B60A10" w:rsidP="00C44A76">
            <w:pPr>
              <w:spacing w:after="0" w:line="240" w:lineRule="auto"/>
              <w:ind w:right="104"/>
              <w:jc w:val="center"/>
              <w:rPr>
                <w:sz w:val="18"/>
                <w:szCs w:val="18"/>
                <w:lang w:val="en-NZ" w:eastAsia="en-AU"/>
              </w:rPr>
            </w:pPr>
            <w:r>
              <w:rPr>
                <w:b/>
                <w:sz w:val="18"/>
                <w:szCs w:val="18"/>
                <w:lang w:val="en-NZ" w:eastAsia="en-AU"/>
              </w:rPr>
              <w:t>Adult gang members</w:t>
            </w:r>
          </w:p>
        </w:tc>
        <w:tc>
          <w:tcPr>
            <w:tcW w:w="1836" w:type="dxa"/>
            <w:tcBorders>
              <w:top w:val="nil"/>
              <w:left w:val="nil"/>
              <w:bottom w:val="nil"/>
              <w:right w:val="nil"/>
            </w:tcBorders>
            <w:shd w:val="clear" w:color="auto" w:fill="121F6B"/>
          </w:tcPr>
          <w:p w:rsidR="00B60A10" w:rsidRPr="00D76347" w:rsidRDefault="00B60A10" w:rsidP="00DE5374">
            <w:pPr>
              <w:spacing w:after="0" w:line="240" w:lineRule="auto"/>
              <w:jc w:val="center"/>
              <w:rPr>
                <w:sz w:val="18"/>
                <w:szCs w:val="18"/>
                <w:lang w:val="en-NZ" w:eastAsia="en-AU"/>
              </w:rPr>
            </w:pPr>
            <w:r w:rsidRPr="00E80F80">
              <w:rPr>
                <w:b/>
                <w:sz w:val="18"/>
                <w:szCs w:val="18"/>
                <w:lang w:val="en-NZ" w:eastAsia="en-AU"/>
              </w:rPr>
              <w:t>Children of gang members</w:t>
            </w:r>
            <w:r w:rsidRPr="00C44A76">
              <w:rPr>
                <w:sz w:val="18"/>
                <w:szCs w:val="18"/>
                <w:vertAlign w:val="superscript"/>
                <w:lang w:val="en-NZ" w:eastAsia="en-AU"/>
              </w:rPr>
              <w:t>1</w:t>
            </w:r>
          </w:p>
        </w:tc>
        <w:tc>
          <w:tcPr>
            <w:tcW w:w="1836" w:type="dxa"/>
            <w:tcBorders>
              <w:top w:val="nil"/>
              <w:left w:val="nil"/>
              <w:bottom w:val="nil"/>
              <w:right w:val="nil"/>
            </w:tcBorders>
            <w:shd w:val="clear" w:color="auto" w:fill="121F6B"/>
          </w:tcPr>
          <w:p w:rsidR="00B60A10" w:rsidRPr="00E80F80" w:rsidRDefault="00B60A10" w:rsidP="00DE5374">
            <w:pPr>
              <w:spacing w:after="0" w:line="240" w:lineRule="auto"/>
              <w:jc w:val="center"/>
              <w:rPr>
                <w:b/>
                <w:sz w:val="18"/>
                <w:szCs w:val="18"/>
                <w:lang w:val="en-NZ" w:eastAsia="en-AU"/>
              </w:rPr>
            </w:pPr>
            <w:r>
              <w:rPr>
                <w:b/>
                <w:sz w:val="18"/>
                <w:szCs w:val="18"/>
                <w:lang w:val="en-NZ" w:eastAsia="en-AU"/>
              </w:rPr>
              <w:t>Total</w:t>
            </w:r>
          </w:p>
        </w:tc>
      </w:tr>
      <w:tr w:rsidR="00B60A10" w:rsidRPr="00A37004" w:rsidTr="00AE2B78">
        <w:tc>
          <w:tcPr>
            <w:tcW w:w="3532" w:type="dxa"/>
            <w:tcBorders>
              <w:top w:val="nil"/>
              <w:left w:val="nil"/>
              <w:bottom w:val="nil"/>
              <w:right w:val="nil"/>
            </w:tcBorders>
            <w:vAlign w:val="center"/>
          </w:tcPr>
          <w:p w:rsidR="00B60A10" w:rsidRPr="00A37004" w:rsidRDefault="00B60A10" w:rsidP="00C44A76">
            <w:pPr>
              <w:tabs>
                <w:tab w:val="left" w:pos="284"/>
              </w:tabs>
              <w:spacing w:after="0" w:line="240" w:lineRule="auto"/>
              <w:rPr>
                <w:sz w:val="18"/>
                <w:szCs w:val="18"/>
                <w:lang w:val="en-NZ" w:eastAsia="en-AU"/>
              </w:rPr>
            </w:pPr>
            <w:r w:rsidRPr="00A37004">
              <w:rPr>
                <w:sz w:val="18"/>
                <w:szCs w:val="18"/>
                <w:lang w:val="en-NZ" w:eastAsia="en-AU"/>
              </w:rPr>
              <w:t>Main benefit payments</w:t>
            </w:r>
          </w:p>
        </w:tc>
        <w:tc>
          <w:tcPr>
            <w:tcW w:w="1835" w:type="dxa"/>
            <w:tcBorders>
              <w:top w:val="nil"/>
              <w:left w:val="nil"/>
              <w:bottom w:val="nil"/>
              <w:right w:val="nil"/>
            </w:tcBorders>
            <w:vAlign w:val="bottom"/>
          </w:tcPr>
          <w:p w:rsidR="00B60A10" w:rsidRPr="00A37004" w:rsidRDefault="00B60A10" w:rsidP="00C9344A">
            <w:pPr>
              <w:spacing w:before="20" w:after="20" w:line="240" w:lineRule="auto"/>
              <w:jc w:val="center"/>
              <w:rPr>
                <w:sz w:val="18"/>
                <w:szCs w:val="18"/>
              </w:rPr>
            </w:pPr>
            <w:r w:rsidRPr="00A37004">
              <w:rPr>
                <w:sz w:val="18"/>
                <w:szCs w:val="18"/>
              </w:rPr>
              <w:t>$382m</w:t>
            </w:r>
          </w:p>
        </w:tc>
        <w:tc>
          <w:tcPr>
            <w:tcW w:w="1836" w:type="dxa"/>
            <w:tcBorders>
              <w:top w:val="nil"/>
              <w:left w:val="nil"/>
              <w:bottom w:val="nil"/>
              <w:right w:val="nil"/>
            </w:tcBorders>
            <w:vAlign w:val="bottom"/>
          </w:tcPr>
          <w:p w:rsidR="00B60A10" w:rsidRPr="00A37004" w:rsidRDefault="00B60A10" w:rsidP="00DE5374">
            <w:pPr>
              <w:spacing w:before="20" w:after="20" w:line="240" w:lineRule="auto"/>
              <w:jc w:val="center"/>
              <w:rPr>
                <w:sz w:val="18"/>
                <w:szCs w:val="18"/>
              </w:rPr>
            </w:pPr>
            <w:r w:rsidRPr="00A37004">
              <w:rPr>
                <w:sz w:val="18"/>
                <w:szCs w:val="18"/>
              </w:rPr>
              <w:t>-</w:t>
            </w:r>
          </w:p>
        </w:tc>
        <w:tc>
          <w:tcPr>
            <w:tcW w:w="1836" w:type="dxa"/>
            <w:tcBorders>
              <w:top w:val="nil"/>
              <w:left w:val="nil"/>
              <w:bottom w:val="nil"/>
              <w:right w:val="nil"/>
            </w:tcBorders>
            <w:vAlign w:val="bottom"/>
          </w:tcPr>
          <w:p w:rsidR="00B60A10" w:rsidRPr="00A37004" w:rsidRDefault="00B60A10" w:rsidP="00C9344A">
            <w:pPr>
              <w:spacing w:before="20" w:after="20" w:line="240" w:lineRule="auto"/>
              <w:jc w:val="center"/>
              <w:rPr>
                <w:sz w:val="18"/>
                <w:szCs w:val="18"/>
              </w:rPr>
            </w:pPr>
            <w:r w:rsidRPr="00A37004">
              <w:rPr>
                <w:sz w:val="18"/>
                <w:szCs w:val="18"/>
              </w:rPr>
              <w:t>$382m</w:t>
            </w:r>
          </w:p>
        </w:tc>
      </w:tr>
      <w:tr w:rsidR="00B60A10" w:rsidRPr="00A37004" w:rsidTr="00AE2B78">
        <w:tc>
          <w:tcPr>
            <w:tcW w:w="3532" w:type="dxa"/>
            <w:tcBorders>
              <w:top w:val="nil"/>
              <w:left w:val="nil"/>
              <w:bottom w:val="nil"/>
              <w:right w:val="nil"/>
            </w:tcBorders>
            <w:shd w:val="clear" w:color="auto" w:fill="CDD3F7"/>
            <w:vAlign w:val="center"/>
          </w:tcPr>
          <w:p w:rsidR="00B60A10" w:rsidRPr="00A37004" w:rsidRDefault="00B60A10" w:rsidP="00C44A76">
            <w:pPr>
              <w:tabs>
                <w:tab w:val="left" w:pos="284"/>
              </w:tabs>
              <w:spacing w:after="0" w:line="240" w:lineRule="auto"/>
              <w:rPr>
                <w:sz w:val="18"/>
                <w:szCs w:val="18"/>
                <w:lang w:val="en-NZ" w:eastAsia="en-AU"/>
              </w:rPr>
            </w:pPr>
            <w:r w:rsidRPr="00A37004">
              <w:rPr>
                <w:sz w:val="18"/>
                <w:szCs w:val="18"/>
                <w:lang w:val="en-NZ" w:eastAsia="en-AU"/>
              </w:rPr>
              <w:t>Supplementary benefit payments</w:t>
            </w:r>
          </w:p>
        </w:tc>
        <w:tc>
          <w:tcPr>
            <w:tcW w:w="1835" w:type="dxa"/>
            <w:tcBorders>
              <w:top w:val="nil"/>
              <w:left w:val="nil"/>
              <w:bottom w:val="nil"/>
              <w:right w:val="nil"/>
            </w:tcBorders>
            <w:shd w:val="clear" w:color="auto" w:fill="CDD3F7"/>
            <w:vAlign w:val="bottom"/>
          </w:tcPr>
          <w:p w:rsidR="00B60A10" w:rsidRPr="00A37004" w:rsidRDefault="00B60A10" w:rsidP="00C9344A">
            <w:pPr>
              <w:spacing w:before="20" w:after="20" w:line="240" w:lineRule="auto"/>
              <w:jc w:val="center"/>
              <w:rPr>
                <w:sz w:val="18"/>
                <w:szCs w:val="18"/>
              </w:rPr>
            </w:pPr>
            <w:r w:rsidRPr="00A37004">
              <w:rPr>
                <w:sz w:val="18"/>
                <w:szCs w:val="18"/>
              </w:rPr>
              <w:t>$143m</w:t>
            </w:r>
          </w:p>
        </w:tc>
        <w:tc>
          <w:tcPr>
            <w:tcW w:w="1836" w:type="dxa"/>
            <w:tcBorders>
              <w:top w:val="nil"/>
              <w:left w:val="nil"/>
              <w:bottom w:val="nil"/>
              <w:right w:val="nil"/>
            </w:tcBorders>
            <w:shd w:val="clear" w:color="auto" w:fill="CDD3F7"/>
            <w:vAlign w:val="bottom"/>
          </w:tcPr>
          <w:p w:rsidR="00B60A10" w:rsidRPr="00A37004" w:rsidRDefault="00B60A10" w:rsidP="00DE5374">
            <w:pPr>
              <w:spacing w:before="20" w:after="20" w:line="240" w:lineRule="auto"/>
              <w:jc w:val="center"/>
              <w:rPr>
                <w:sz w:val="18"/>
                <w:szCs w:val="18"/>
              </w:rPr>
            </w:pPr>
            <w:r w:rsidRPr="00A37004">
              <w:rPr>
                <w:sz w:val="18"/>
                <w:szCs w:val="18"/>
              </w:rPr>
              <w:t>-</w:t>
            </w:r>
          </w:p>
        </w:tc>
        <w:tc>
          <w:tcPr>
            <w:tcW w:w="1836" w:type="dxa"/>
            <w:tcBorders>
              <w:top w:val="nil"/>
              <w:left w:val="nil"/>
              <w:bottom w:val="nil"/>
              <w:right w:val="nil"/>
            </w:tcBorders>
            <w:shd w:val="clear" w:color="auto" w:fill="CDD3F7"/>
            <w:vAlign w:val="bottom"/>
          </w:tcPr>
          <w:p w:rsidR="00B60A10" w:rsidRPr="00A37004" w:rsidRDefault="00B60A10" w:rsidP="00C9344A">
            <w:pPr>
              <w:spacing w:before="20" w:after="20" w:line="240" w:lineRule="auto"/>
              <w:jc w:val="center"/>
              <w:rPr>
                <w:sz w:val="18"/>
                <w:szCs w:val="18"/>
              </w:rPr>
            </w:pPr>
            <w:r w:rsidRPr="00A37004">
              <w:rPr>
                <w:sz w:val="18"/>
                <w:szCs w:val="18"/>
              </w:rPr>
              <w:t>$143m</w:t>
            </w:r>
          </w:p>
        </w:tc>
      </w:tr>
      <w:tr w:rsidR="00B60A10" w:rsidRPr="00A37004" w:rsidTr="00AE2B78">
        <w:tc>
          <w:tcPr>
            <w:tcW w:w="3532" w:type="dxa"/>
            <w:tcBorders>
              <w:top w:val="nil"/>
              <w:left w:val="nil"/>
              <w:bottom w:val="single" w:sz="4" w:space="0" w:color="auto"/>
              <w:right w:val="nil"/>
            </w:tcBorders>
            <w:vAlign w:val="center"/>
          </w:tcPr>
          <w:p w:rsidR="00B60A10" w:rsidRPr="00A37004" w:rsidRDefault="00B60A10" w:rsidP="00C44A76">
            <w:pPr>
              <w:tabs>
                <w:tab w:val="left" w:pos="284"/>
              </w:tabs>
              <w:spacing w:after="0" w:line="240" w:lineRule="auto"/>
              <w:rPr>
                <w:sz w:val="18"/>
                <w:szCs w:val="18"/>
                <w:lang w:val="en-NZ" w:eastAsia="en-AU"/>
              </w:rPr>
            </w:pPr>
            <w:r w:rsidRPr="00A37004">
              <w:rPr>
                <w:sz w:val="18"/>
                <w:szCs w:val="18"/>
                <w:lang w:val="en-NZ" w:eastAsia="en-AU"/>
              </w:rPr>
              <w:t>Child, Youth and Family contacts</w:t>
            </w:r>
          </w:p>
        </w:tc>
        <w:tc>
          <w:tcPr>
            <w:tcW w:w="1835" w:type="dxa"/>
            <w:tcBorders>
              <w:top w:val="nil"/>
              <w:left w:val="nil"/>
              <w:bottom w:val="single" w:sz="4" w:space="0" w:color="auto"/>
              <w:right w:val="nil"/>
            </w:tcBorders>
            <w:vAlign w:val="bottom"/>
          </w:tcPr>
          <w:p w:rsidR="00B60A10" w:rsidRPr="00A37004" w:rsidRDefault="00B60A10" w:rsidP="00C9344A">
            <w:pPr>
              <w:spacing w:before="20" w:after="20" w:line="240" w:lineRule="auto"/>
              <w:jc w:val="center"/>
              <w:rPr>
                <w:sz w:val="18"/>
                <w:szCs w:val="18"/>
              </w:rPr>
            </w:pPr>
            <w:r w:rsidRPr="00A37004">
              <w:rPr>
                <w:sz w:val="18"/>
                <w:szCs w:val="18"/>
              </w:rPr>
              <w:t>$58m</w:t>
            </w:r>
          </w:p>
        </w:tc>
        <w:tc>
          <w:tcPr>
            <w:tcW w:w="1836" w:type="dxa"/>
            <w:tcBorders>
              <w:top w:val="nil"/>
              <w:left w:val="nil"/>
              <w:bottom w:val="single" w:sz="4" w:space="0" w:color="auto"/>
              <w:right w:val="nil"/>
            </w:tcBorders>
            <w:vAlign w:val="bottom"/>
          </w:tcPr>
          <w:p w:rsidR="00B60A10" w:rsidRPr="00A37004" w:rsidRDefault="00B60A10" w:rsidP="00C9344A">
            <w:pPr>
              <w:spacing w:before="20" w:after="20" w:line="240" w:lineRule="auto"/>
              <w:jc w:val="center"/>
              <w:rPr>
                <w:sz w:val="18"/>
                <w:szCs w:val="18"/>
              </w:rPr>
            </w:pPr>
            <w:r w:rsidRPr="00A37004">
              <w:rPr>
                <w:sz w:val="18"/>
                <w:szCs w:val="18"/>
              </w:rPr>
              <w:t>$131m</w:t>
            </w:r>
          </w:p>
        </w:tc>
        <w:tc>
          <w:tcPr>
            <w:tcW w:w="1836" w:type="dxa"/>
            <w:tcBorders>
              <w:top w:val="nil"/>
              <w:left w:val="nil"/>
              <w:bottom w:val="single" w:sz="4" w:space="0" w:color="auto"/>
              <w:right w:val="nil"/>
            </w:tcBorders>
            <w:vAlign w:val="bottom"/>
          </w:tcPr>
          <w:p w:rsidR="00B60A10" w:rsidRPr="00A37004" w:rsidRDefault="00B60A10" w:rsidP="00C9344A">
            <w:pPr>
              <w:spacing w:before="20" w:after="20" w:line="240" w:lineRule="auto"/>
              <w:jc w:val="center"/>
              <w:rPr>
                <w:sz w:val="18"/>
                <w:szCs w:val="18"/>
              </w:rPr>
            </w:pPr>
            <w:r w:rsidRPr="00A37004">
              <w:rPr>
                <w:sz w:val="18"/>
                <w:szCs w:val="18"/>
              </w:rPr>
              <w:t>$189m</w:t>
            </w:r>
          </w:p>
        </w:tc>
      </w:tr>
      <w:tr w:rsidR="00B60A10" w:rsidRPr="00C1433A" w:rsidTr="00AE2B78">
        <w:tc>
          <w:tcPr>
            <w:tcW w:w="3532" w:type="dxa"/>
            <w:tcBorders>
              <w:top w:val="single" w:sz="4" w:space="0" w:color="auto"/>
              <w:left w:val="nil"/>
              <w:bottom w:val="single" w:sz="4" w:space="0" w:color="auto"/>
              <w:right w:val="nil"/>
            </w:tcBorders>
            <w:shd w:val="clear" w:color="auto" w:fill="CDD3F7"/>
            <w:vAlign w:val="center"/>
          </w:tcPr>
          <w:p w:rsidR="00B60A10" w:rsidRPr="000A0422" w:rsidRDefault="00C9344A" w:rsidP="00C9344A">
            <w:pPr>
              <w:spacing w:after="0" w:line="240" w:lineRule="auto"/>
              <w:rPr>
                <w:sz w:val="18"/>
                <w:szCs w:val="18"/>
                <w:lang w:val="en-NZ" w:eastAsia="en-AU"/>
              </w:rPr>
            </w:pPr>
            <w:r>
              <w:rPr>
                <w:sz w:val="18"/>
                <w:szCs w:val="18"/>
                <w:lang w:val="en-NZ" w:eastAsia="en-AU"/>
              </w:rPr>
              <w:t>Total</w:t>
            </w:r>
            <w:r w:rsidR="00B60A10">
              <w:rPr>
                <w:sz w:val="18"/>
                <w:szCs w:val="18"/>
                <w:vertAlign w:val="superscript"/>
                <w:lang w:val="en-NZ" w:eastAsia="en-AU"/>
              </w:rPr>
              <w:t>2</w:t>
            </w:r>
          </w:p>
        </w:tc>
        <w:tc>
          <w:tcPr>
            <w:tcW w:w="1835" w:type="dxa"/>
            <w:tcBorders>
              <w:top w:val="single" w:sz="4" w:space="0" w:color="auto"/>
              <w:left w:val="nil"/>
              <w:bottom w:val="single" w:sz="4" w:space="0" w:color="auto"/>
              <w:right w:val="nil"/>
            </w:tcBorders>
            <w:shd w:val="clear" w:color="auto" w:fill="CDD3F7"/>
            <w:vAlign w:val="bottom"/>
          </w:tcPr>
          <w:p w:rsidR="00B60A10" w:rsidRPr="000A0422" w:rsidRDefault="00B60A10" w:rsidP="000A0422">
            <w:pPr>
              <w:spacing w:before="20" w:after="20" w:line="240" w:lineRule="auto"/>
              <w:jc w:val="center"/>
              <w:rPr>
                <w:sz w:val="18"/>
                <w:szCs w:val="18"/>
              </w:rPr>
            </w:pPr>
            <w:r w:rsidRPr="000A0422">
              <w:rPr>
                <w:sz w:val="18"/>
                <w:szCs w:val="18"/>
              </w:rPr>
              <w:t>$</w:t>
            </w:r>
            <w:r w:rsidRPr="00C44A76">
              <w:rPr>
                <w:sz w:val="18"/>
                <w:szCs w:val="18"/>
              </w:rPr>
              <w:t>583</w:t>
            </w:r>
            <w:r w:rsidRPr="000A0422">
              <w:rPr>
                <w:sz w:val="18"/>
                <w:szCs w:val="18"/>
              </w:rPr>
              <w:t>m</w:t>
            </w:r>
          </w:p>
        </w:tc>
        <w:tc>
          <w:tcPr>
            <w:tcW w:w="1836" w:type="dxa"/>
            <w:tcBorders>
              <w:top w:val="single" w:sz="4" w:space="0" w:color="auto"/>
              <w:left w:val="nil"/>
              <w:bottom w:val="single" w:sz="4" w:space="0" w:color="auto"/>
              <w:right w:val="nil"/>
            </w:tcBorders>
            <w:shd w:val="clear" w:color="auto" w:fill="CDD3F7"/>
            <w:vAlign w:val="bottom"/>
          </w:tcPr>
          <w:p w:rsidR="00B60A10" w:rsidRPr="00C1433A" w:rsidRDefault="00B60A10" w:rsidP="00DE5374">
            <w:pPr>
              <w:spacing w:before="20" w:after="20" w:line="240" w:lineRule="auto"/>
              <w:jc w:val="center"/>
              <w:rPr>
                <w:sz w:val="18"/>
                <w:szCs w:val="18"/>
              </w:rPr>
            </w:pPr>
            <w:r w:rsidRPr="00C1433A">
              <w:rPr>
                <w:sz w:val="18"/>
                <w:szCs w:val="18"/>
              </w:rPr>
              <w:t>$131m</w:t>
            </w:r>
          </w:p>
        </w:tc>
        <w:tc>
          <w:tcPr>
            <w:tcW w:w="1836" w:type="dxa"/>
            <w:tcBorders>
              <w:top w:val="single" w:sz="4" w:space="0" w:color="auto"/>
              <w:left w:val="nil"/>
              <w:bottom w:val="single" w:sz="4" w:space="0" w:color="auto"/>
              <w:right w:val="nil"/>
            </w:tcBorders>
            <w:shd w:val="clear" w:color="auto" w:fill="CDD3F7"/>
            <w:vAlign w:val="bottom"/>
          </w:tcPr>
          <w:p w:rsidR="00B60A10" w:rsidRPr="00C1433A" w:rsidRDefault="00B60A10">
            <w:pPr>
              <w:spacing w:before="20" w:after="20" w:line="240" w:lineRule="auto"/>
              <w:jc w:val="center"/>
              <w:rPr>
                <w:sz w:val="18"/>
                <w:szCs w:val="18"/>
              </w:rPr>
            </w:pPr>
            <w:r w:rsidRPr="00C1433A">
              <w:rPr>
                <w:sz w:val="18"/>
                <w:szCs w:val="18"/>
              </w:rPr>
              <w:t>$</w:t>
            </w:r>
            <w:r w:rsidR="007D0025">
              <w:rPr>
                <w:sz w:val="18"/>
                <w:szCs w:val="18"/>
              </w:rPr>
              <w:t>714</w:t>
            </w:r>
            <w:r w:rsidRPr="00C1433A">
              <w:rPr>
                <w:sz w:val="18"/>
                <w:szCs w:val="18"/>
              </w:rPr>
              <w:t>m</w:t>
            </w:r>
          </w:p>
        </w:tc>
      </w:tr>
    </w:tbl>
    <w:p w:rsidR="00C1433A" w:rsidRDefault="00C1433A" w:rsidP="00391151">
      <w:pPr>
        <w:tabs>
          <w:tab w:val="left" w:pos="851"/>
        </w:tabs>
        <w:spacing w:after="20" w:line="240" w:lineRule="auto"/>
        <w:ind w:right="662"/>
        <w:rPr>
          <w:sz w:val="16"/>
          <w:szCs w:val="16"/>
          <w:lang w:val="en-NZ"/>
        </w:rPr>
      </w:pPr>
      <w:r>
        <w:rPr>
          <w:sz w:val="16"/>
          <w:szCs w:val="16"/>
          <w:lang w:val="en-NZ"/>
        </w:rPr>
        <w:t>Note</w:t>
      </w:r>
      <w:r w:rsidR="009535C8">
        <w:rPr>
          <w:sz w:val="16"/>
          <w:szCs w:val="16"/>
          <w:lang w:val="en-NZ"/>
        </w:rPr>
        <w:t>s</w:t>
      </w:r>
      <w:r>
        <w:rPr>
          <w:sz w:val="16"/>
          <w:szCs w:val="16"/>
          <w:lang w:val="en-NZ"/>
        </w:rPr>
        <w:t>:</w:t>
      </w:r>
    </w:p>
    <w:p w:rsidR="009535C8" w:rsidRDefault="009535C8" w:rsidP="00487A14">
      <w:pPr>
        <w:pStyle w:val="ListParagraph"/>
        <w:numPr>
          <w:ilvl w:val="0"/>
          <w:numId w:val="12"/>
        </w:numPr>
        <w:tabs>
          <w:tab w:val="left" w:pos="851"/>
        </w:tabs>
        <w:spacing w:after="240" w:line="240" w:lineRule="auto"/>
        <w:ind w:left="357" w:right="663" w:hanging="357"/>
        <w:rPr>
          <w:sz w:val="16"/>
          <w:szCs w:val="16"/>
          <w:lang w:val="en-NZ"/>
        </w:rPr>
      </w:pPr>
      <w:r>
        <w:rPr>
          <w:sz w:val="16"/>
          <w:szCs w:val="16"/>
          <w:lang w:val="en-NZ"/>
        </w:rPr>
        <w:t xml:space="preserve">While some of the children of gang members </w:t>
      </w:r>
      <w:r w:rsidR="00E03596">
        <w:rPr>
          <w:sz w:val="16"/>
          <w:szCs w:val="16"/>
          <w:lang w:val="en-NZ"/>
        </w:rPr>
        <w:t>are</w:t>
      </w:r>
      <w:r>
        <w:rPr>
          <w:sz w:val="16"/>
          <w:szCs w:val="16"/>
          <w:lang w:val="en-NZ"/>
        </w:rPr>
        <w:t xml:space="preserve"> adults themselves now, no attempt was made </w:t>
      </w:r>
      <w:r w:rsidR="00E03596">
        <w:rPr>
          <w:sz w:val="16"/>
          <w:szCs w:val="16"/>
          <w:lang w:val="en-NZ"/>
        </w:rPr>
        <w:t>for</w:t>
      </w:r>
      <w:r>
        <w:rPr>
          <w:sz w:val="16"/>
          <w:szCs w:val="16"/>
          <w:lang w:val="en-NZ"/>
        </w:rPr>
        <w:t xml:space="preserve"> this report to try to identify </w:t>
      </w:r>
      <w:r w:rsidR="00E03596">
        <w:rPr>
          <w:sz w:val="16"/>
          <w:szCs w:val="16"/>
          <w:lang w:val="en-NZ"/>
        </w:rPr>
        <w:t xml:space="preserve">any </w:t>
      </w:r>
      <w:r>
        <w:rPr>
          <w:sz w:val="16"/>
          <w:szCs w:val="16"/>
          <w:lang w:val="en-NZ"/>
        </w:rPr>
        <w:t xml:space="preserve">welfare assistance </w:t>
      </w:r>
      <w:r w:rsidR="00E03596">
        <w:rPr>
          <w:sz w:val="16"/>
          <w:szCs w:val="16"/>
          <w:lang w:val="en-NZ"/>
        </w:rPr>
        <w:t>costs associated with them.</w:t>
      </w:r>
    </w:p>
    <w:p w:rsidR="00C1433A" w:rsidRPr="005F59CA" w:rsidRDefault="00391151" w:rsidP="00487A14">
      <w:pPr>
        <w:pStyle w:val="ListParagraph"/>
        <w:numPr>
          <w:ilvl w:val="0"/>
          <w:numId w:val="12"/>
        </w:numPr>
        <w:tabs>
          <w:tab w:val="left" w:pos="851"/>
        </w:tabs>
        <w:spacing w:after="240" w:line="240" w:lineRule="auto"/>
        <w:ind w:left="357" w:right="663" w:hanging="357"/>
        <w:rPr>
          <w:sz w:val="16"/>
          <w:szCs w:val="16"/>
          <w:lang w:val="en-NZ"/>
        </w:rPr>
      </w:pPr>
      <w:r>
        <w:rPr>
          <w:sz w:val="16"/>
          <w:szCs w:val="16"/>
          <w:lang w:val="en-NZ"/>
        </w:rPr>
        <w:t xml:space="preserve">MSD-related costs are likely to be underestimates due to data limitations. In particular, the </w:t>
      </w:r>
      <w:r w:rsidRPr="00C44A76">
        <w:rPr>
          <w:sz w:val="16"/>
          <w:szCs w:val="16"/>
          <w:lang w:val="en-NZ"/>
        </w:rPr>
        <w:t>Child, Youth and Family contact</w:t>
      </w:r>
      <w:r w:rsidR="000A0422">
        <w:rPr>
          <w:sz w:val="16"/>
          <w:szCs w:val="16"/>
          <w:lang w:val="en-NZ"/>
        </w:rPr>
        <w:t>s</w:t>
      </w:r>
      <w:r>
        <w:rPr>
          <w:sz w:val="16"/>
          <w:szCs w:val="16"/>
          <w:lang w:val="en-NZ"/>
        </w:rPr>
        <w:t xml:space="preserve"> figure for gang members is likely to be a significant underestimate.</w:t>
      </w:r>
    </w:p>
    <w:p w:rsidR="002279C1" w:rsidRDefault="002279C1" w:rsidP="005E2537">
      <w:pPr>
        <w:rPr>
          <w:lang w:val="en-NZ" w:eastAsia="en-AU"/>
        </w:rPr>
      </w:pPr>
    </w:p>
    <w:p w:rsidR="00CB74EE" w:rsidRDefault="00CB74EE" w:rsidP="005E2537">
      <w:pPr>
        <w:rPr>
          <w:lang w:val="en-NZ" w:eastAsia="en-AU"/>
        </w:rPr>
      </w:pPr>
    </w:p>
    <w:p w:rsidR="005E2537" w:rsidRDefault="005E2537" w:rsidP="005E2537">
      <w:pPr>
        <w:rPr>
          <w:lang w:val="en-NZ" w:eastAsia="en-AU"/>
        </w:rPr>
        <w:sectPr w:rsidR="005E2537" w:rsidSect="00B05301">
          <w:pgSz w:w="11906" w:h="16838"/>
          <w:pgMar w:top="1440" w:right="1440" w:bottom="1134" w:left="1440" w:header="708" w:footer="455" w:gutter="0"/>
          <w:cols w:space="708"/>
          <w:docGrid w:linePitch="360"/>
        </w:sectPr>
      </w:pPr>
    </w:p>
    <w:p w:rsidR="005E2537" w:rsidRPr="00A56175" w:rsidRDefault="005E2537" w:rsidP="005E2537">
      <w:pPr>
        <w:pStyle w:val="Heading1"/>
        <w:ind w:right="-46"/>
        <w:rPr>
          <w:lang w:eastAsia="en-AU"/>
        </w:rPr>
      </w:pPr>
      <w:bookmarkStart w:id="28" w:name="_Toc438039152"/>
      <w:r>
        <w:rPr>
          <w:lang w:eastAsia="en-AU"/>
        </w:rPr>
        <w:lastRenderedPageBreak/>
        <w:t xml:space="preserve">Part </w:t>
      </w:r>
      <w:r w:rsidR="007E6068">
        <w:rPr>
          <w:lang w:eastAsia="en-AU"/>
        </w:rPr>
        <w:t xml:space="preserve">6 </w:t>
      </w:r>
      <w:r>
        <w:rPr>
          <w:lang w:eastAsia="en-AU"/>
        </w:rPr>
        <w:t>– Conclusions</w:t>
      </w:r>
      <w:bookmarkEnd w:id="28"/>
    </w:p>
    <w:p w:rsidR="0050621D" w:rsidRDefault="0050621D" w:rsidP="0050621D">
      <w:pPr>
        <w:rPr>
          <w:lang w:val="en-NZ"/>
        </w:rPr>
      </w:pPr>
      <w:r>
        <w:rPr>
          <w:lang w:val="en-NZ"/>
        </w:rPr>
        <w:t>Perhaps not surprising</w:t>
      </w:r>
      <w:r w:rsidR="00211FF9">
        <w:rPr>
          <w:lang w:val="en-NZ"/>
        </w:rPr>
        <w:t>ly</w:t>
      </w:r>
      <w:r>
        <w:rPr>
          <w:lang w:val="en-NZ"/>
        </w:rPr>
        <w:t xml:space="preserve">, gang members </w:t>
      </w:r>
      <w:r w:rsidR="00211FF9">
        <w:rPr>
          <w:lang w:val="en-NZ"/>
        </w:rPr>
        <w:t>tend to be</w:t>
      </w:r>
      <w:r>
        <w:rPr>
          <w:lang w:val="en-NZ"/>
        </w:rPr>
        <w:t xml:space="preserve"> costly clients for MSD. </w:t>
      </w:r>
      <w:r w:rsidR="00725ECC">
        <w:rPr>
          <w:lang w:val="en-NZ"/>
        </w:rPr>
        <w:t>We</w:t>
      </w:r>
      <w:r>
        <w:rPr>
          <w:lang w:val="en-NZ"/>
        </w:rPr>
        <w:t xml:space="preserve"> estimate that the </w:t>
      </w:r>
      <w:r w:rsidR="006C5C25">
        <w:rPr>
          <w:lang w:val="en-NZ"/>
        </w:rPr>
        <w:t xml:space="preserve">3,960 </w:t>
      </w:r>
      <w:r>
        <w:rPr>
          <w:lang w:val="en-NZ"/>
        </w:rPr>
        <w:t xml:space="preserve">gang members and their children amassed costs </w:t>
      </w:r>
      <w:r w:rsidR="006428DD">
        <w:rPr>
          <w:lang w:val="en-NZ"/>
        </w:rPr>
        <w:t xml:space="preserve">for MSD </w:t>
      </w:r>
      <w:r>
        <w:rPr>
          <w:lang w:val="en-NZ"/>
        </w:rPr>
        <w:t xml:space="preserve">of </w:t>
      </w:r>
      <w:r w:rsidR="00803303">
        <w:rPr>
          <w:lang w:val="en-NZ"/>
        </w:rPr>
        <w:t>at least</w:t>
      </w:r>
      <w:r>
        <w:rPr>
          <w:lang w:val="en-NZ"/>
        </w:rPr>
        <w:t xml:space="preserve"> </w:t>
      </w:r>
      <w:r w:rsidRPr="00D53FC1">
        <w:rPr>
          <w:lang w:val="en-NZ"/>
        </w:rPr>
        <w:t>$</w:t>
      </w:r>
      <w:r>
        <w:rPr>
          <w:lang w:val="en-NZ"/>
        </w:rPr>
        <w:t>7</w:t>
      </w:r>
      <w:r w:rsidR="00803303">
        <w:rPr>
          <w:lang w:val="en-NZ"/>
        </w:rPr>
        <w:t>14</w:t>
      </w:r>
      <w:r>
        <w:rPr>
          <w:lang w:val="en-NZ"/>
        </w:rPr>
        <w:t xml:space="preserve"> million.</w:t>
      </w:r>
    </w:p>
    <w:p w:rsidR="00225AC2" w:rsidRDefault="00725ECC" w:rsidP="0050621D">
      <w:pPr>
        <w:rPr>
          <w:lang w:val="en-NZ"/>
        </w:rPr>
      </w:pPr>
      <w:r>
        <w:rPr>
          <w:lang w:val="en-NZ"/>
        </w:rPr>
        <w:t>T</w:t>
      </w:r>
      <w:r w:rsidR="0050621D">
        <w:rPr>
          <w:lang w:val="en-NZ"/>
        </w:rPr>
        <w:t xml:space="preserve">he children of gang members are a vulnerable group at high risk of experiencing negative life outcomes. There are in the order of </w:t>
      </w:r>
      <w:r w:rsidR="006F7BED">
        <w:rPr>
          <w:lang w:val="en-NZ"/>
        </w:rPr>
        <w:t>6</w:t>
      </w:r>
      <w:r w:rsidR="0050621D">
        <w:rPr>
          <w:lang w:val="en-NZ"/>
        </w:rPr>
        <w:t xml:space="preserve">,000 to 7,000 children </w:t>
      </w:r>
      <w:r w:rsidR="00211FF9">
        <w:rPr>
          <w:lang w:val="en-NZ"/>
        </w:rPr>
        <w:t xml:space="preserve">known to be </w:t>
      </w:r>
      <w:r w:rsidR="0050621D">
        <w:rPr>
          <w:lang w:val="en-NZ"/>
        </w:rPr>
        <w:t xml:space="preserve">associated with gang members who are growing up in welfare recipient families, </w:t>
      </w:r>
      <w:r w:rsidR="006428DD">
        <w:rPr>
          <w:lang w:val="en-NZ"/>
        </w:rPr>
        <w:t xml:space="preserve">and are </w:t>
      </w:r>
      <w:r w:rsidR="0050621D">
        <w:rPr>
          <w:lang w:val="en-NZ"/>
        </w:rPr>
        <w:t xml:space="preserve">subject to high rates of abuse and neglect. Also, nearly a quarter of the children of gang members aged 10 years </w:t>
      </w:r>
      <w:r w:rsidR="00211FF9">
        <w:rPr>
          <w:lang w:val="en-NZ"/>
        </w:rPr>
        <w:t xml:space="preserve">or older </w:t>
      </w:r>
      <w:r w:rsidR="0050621D">
        <w:rPr>
          <w:lang w:val="en-NZ"/>
        </w:rPr>
        <w:t>are already known to the Youth Justice service arm of Child, Youth and Family.</w:t>
      </w:r>
    </w:p>
    <w:p w:rsidR="0050621D" w:rsidRDefault="00225AC2" w:rsidP="0050621D">
      <w:pPr>
        <w:rPr>
          <w:lang w:val="en-NZ"/>
        </w:rPr>
      </w:pPr>
      <w:r>
        <w:rPr>
          <w:lang w:val="en-NZ"/>
        </w:rPr>
        <w:t>The</w:t>
      </w:r>
      <w:r w:rsidR="00B742F7">
        <w:rPr>
          <w:lang w:val="en-NZ"/>
        </w:rPr>
        <w:t>se</w:t>
      </w:r>
      <w:r>
        <w:rPr>
          <w:lang w:val="en-NZ"/>
        </w:rPr>
        <w:t xml:space="preserve"> </w:t>
      </w:r>
      <w:r w:rsidR="004E7956">
        <w:rPr>
          <w:lang w:val="en-NZ"/>
        </w:rPr>
        <w:t xml:space="preserve">negative life outcomes </w:t>
      </w:r>
      <w:r>
        <w:rPr>
          <w:lang w:val="en-NZ"/>
        </w:rPr>
        <w:t xml:space="preserve">suggest that the children of gang members </w:t>
      </w:r>
      <w:r w:rsidR="00B742F7">
        <w:rPr>
          <w:lang w:val="en-NZ"/>
        </w:rPr>
        <w:t>are likely to have a</w:t>
      </w:r>
      <w:r>
        <w:rPr>
          <w:lang w:val="en-NZ"/>
        </w:rPr>
        <w:t xml:space="preserve"> </w:t>
      </w:r>
      <w:r w:rsidR="00B742F7">
        <w:rPr>
          <w:lang w:val="en-NZ"/>
        </w:rPr>
        <w:t xml:space="preserve">heightened </w:t>
      </w:r>
      <w:r w:rsidR="004E7956">
        <w:rPr>
          <w:lang w:val="en-NZ"/>
        </w:rPr>
        <w:t xml:space="preserve">risk of </w:t>
      </w:r>
      <w:r w:rsidR="00B742F7">
        <w:rPr>
          <w:lang w:val="en-NZ"/>
        </w:rPr>
        <w:t xml:space="preserve">being future costly </w:t>
      </w:r>
      <w:r>
        <w:rPr>
          <w:lang w:val="en-NZ"/>
        </w:rPr>
        <w:t xml:space="preserve">adult clients to MSD and the wider </w:t>
      </w:r>
      <w:r w:rsidR="006428DD">
        <w:rPr>
          <w:lang w:val="en-NZ"/>
        </w:rPr>
        <w:t>g</w:t>
      </w:r>
      <w:r w:rsidR="00B742F7">
        <w:rPr>
          <w:lang w:val="en-NZ"/>
        </w:rPr>
        <w:t>overnment</w:t>
      </w:r>
      <w:r>
        <w:rPr>
          <w:lang w:val="en-NZ"/>
        </w:rPr>
        <w:t>.</w:t>
      </w:r>
    </w:p>
    <w:p w:rsidR="00644434" w:rsidRPr="0000078A" w:rsidRDefault="00644434" w:rsidP="00644434">
      <w:pPr>
        <w:keepNext/>
        <w:rPr>
          <w:b/>
          <w:color w:val="121F6B"/>
          <w:lang w:val="en-NZ"/>
        </w:rPr>
      </w:pPr>
      <w:r w:rsidRPr="0000078A">
        <w:rPr>
          <w:b/>
          <w:color w:val="121F6B"/>
          <w:lang w:val="en-NZ"/>
        </w:rPr>
        <w:t>Next steps</w:t>
      </w:r>
    </w:p>
    <w:p w:rsidR="00667EF6" w:rsidRDefault="00667EF6" w:rsidP="00667EF6">
      <w:pPr>
        <w:rPr>
          <w:lang w:val="en-NZ"/>
        </w:rPr>
      </w:pPr>
      <w:r>
        <w:rPr>
          <w:lang w:val="en-NZ"/>
        </w:rPr>
        <w:t xml:space="preserve">The profile of gang members is atypical compared </w:t>
      </w:r>
      <w:r w:rsidR="00725ECC">
        <w:rPr>
          <w:lang w:val="en-NZ"/>
        </w:rPr>
        <w:t>with</w:t>
      </w:r>
      <w:r>
        <w:rPr>
          <w:lang w:val="en-NZ"/>
        </w:rPr>
        <w:t xml:space="preserve"> the general New Zealand population which makes it difficult to put the findings in context. Whether meaningful non-gang comparison groups could be formed requires further investigation.</w:t>
      </w:r>
    </w:p>
    <w:p w:rsidR="00E82980" w:rsidRPr="00E82980" w:rsidRDefault="00E82980" w:rsidP="00E82980">
      <w:pPr>
        <w:rPr>
          <w:lang w:val="en-NZ"/>
        </w:rPr>
      </w:pPr>
      <w:r w:rsidRPr="00E82980">
        <w:rPr>
          <w:lang w:val="en-NZ"/>
        </w:rPr>
        <w:t xml:space="preserve">There is opportunity for government agencies to work more collaboratively to address the social harms noted throughout this report. Most notably, there would be added benefit in incorporating </w:t>
      </w:r>
      <w:r w:rsidR="006428DD">
        <w:rPr>
          <w:lang w:val="en-NZ"/>
        </w:rPr>
        <w:t>wider</w:t>
      </w:r>
      <w:r w:rsidR="006428DD" w:rsidRPr="00E82980">
        <w:rPr>
          <w:lang w:val="en-NZ"/>
        </w:rPr>
        <w:t xml:space="preserve"> </w:t>
      </w:r>
      <w:r w:rsidRPr="00E82980">
        <w:rPr>
          <w:lang w:val="en-NZ"/>
        </w:rPr>
        <w:t>social sector data to enhance the profile we have of gang families, though this would require additional commissioning and agreement from agencies. It may be a process worth considering should any future iterations of this report be undertaken.</w:t>
      </w:r>
    </w:p>
    <w:p w:rsidR="00E82980" w:rsidRDefault="00E82980" w:rsidP="00E82980">
      <w:pPr>
        <w:rPr>
          <w:lang w:val="en-NZ"/>
        </w:rPr>
      </w:pPr>
      <w:r w:rsidRPr="00E82980">
        <w:rPr>
          <w:lang w:val="en-NZ"/>
        </w:rPr>
        <w:t xml:space="preserve">This report, as a first step, gives a much more comprehensive picture of </w:t>
      </w:r>
      <w:r w:rsidR="00A37004">
        <w:rPr>
          <w:lang w:val="en-NZ"/>
        </w:rPr>
        <w:t xml:space="preserve">some of </w:t>
      </w:r>
      <w:r w:rsidRPr="00E82980">
        <w:rPr>
          <w:lang w:val="en-NZ"/>
        </w:rPr>
        <w:t>the social costs associated with gang activity and will be used to inform the Start at Home initiative outlined in the Gang Action Plan. This initiative not only highlights the need for targeted interventions but also encourages government to work together with communities to improve social outcomes with this cohort</w:t>
      </w:r>
      <w:r>
        <w:rPr>
          <w:lang w:val="en-NZ"/>
        </w:rPr>
        <w:t>.</w:t>
      </w:r>
    </w:p>
    <w:p w:rsidR="005E2537" w:rsidRDefault="005E2537" w:rsidP="00C05494">
      <w:pPr>
        <w:rPr>
          <w:lang w:val="en-NZ"/>
        </w:rPr>
      </w:pPr>
    </w:p>
    <w:p w:rsidR="00D16E12" w:rsidRDefault="00D16E12" w:rsidP="00143EFE">
      <w:pPr>
        <w:rPr>
          <w:lang w:val="en-NZ"/>
        </w:rPr>
        <w:sectPr w:rsidR="00D16E12" w:rsidSect="00B05301">
          <w:pgSz w:w="11906" w:h="16838"/>
          <w:pgMar w:top="1440" w:right="1440" w:bottom="1134" w:left="1440" w:header="708" w:footer="464" w:gutter="0"/>
          <w:cols w:space="708"/>
          <w:docGrid w:linePitch="360"/>
        </w:sectPr>
      </w:pPr>
    </w:p>
    <w:p w:rsidR="00B1036B" w:rsidRPr="002B7CB9" w:rsidRDefault="00B1036B" w:rsidP="005A769C">
      <w:pPr>
        <w:pStyle w:val="Heading1"/>
        <w:spacing w:before="120"/>
        <w:ind w:right="-45"/>
      </w:pPr>
      <w:bookmarkStart w:id="29" w:name="_Toc438039153"/>
      <w:r w:rsidRPr="002B7CB9">
        <w:lastRenderedPageBreak/>
        <w:t xml:space="preserve">Appendix </w:t>
      </w:r>
      <w:r>
        <w:t>A</w:t>
      </w:r>
      <w:r w:rsidRPr="002B7CB9">
        <w:t xml:space="preserve"> – </w:t>
      </w:r>
      <w:r>
        <w:t>Methodology</w:t>
      </w:r>
      <w:bookmarkEnd w:id="29"/>
    </w:p>
    <w:p w:rsidR="006D52BE" w:rsidRDefault="00B1036B" w:rsidP="00B1036B">
      <w:pPr>
        <w:rPr>
          <w:lang w:val="en-NZ"/>
        </w:rPr>
      </w:pPr>
      <w:r w:rsidRPr="004D11A1">
        <w:rPr>
          <w:lang w:val="en-NZ"/>
        </w:rPr>
        <w:t xml:space="preserve">The </w:t>
      </w:r>
      <w:r>
        <w:rPr>
          <w:lang w:val="en-NZ"/>
        </w:rPr>
        <w:t xml:space="preserve">base </w:t>
      </w:r>
      <w:r w:rsidR="00517A3D">
        <w:rPr>
          <w:lang w:val="en-NZ"/>
        </w:rPr>
        <w:t>information</w:t>
      </w:r>
      <w:r>
        <w:rPr>
          <w:lang w:val="en-NZ"/>
        </w:rPr>
        <w:t xml:space="preserve"> </w:t>
      </w:r>
      <w:r w:rsidR="00517A3D">
        <w:rPr>
          <w:lang w:val="en-NZ"/>
        </w:rPr>
        <w:t xml:space="preserve">on </w:t>
      </w:r>
      <w:r w:rsidR="002A6BF2">
        <w:rPr>
          <w:lang w:val="en-NZ"/>
        </w:rPr>
        <w:t xml:space="preserve">all </w:t>
      </w:r>
      <w:r w:rsidR="00517A3D">
        <w:rPr>
          <w:lang w:val="en-NZ"/>
        </w:rPr>
        <w:t xml:space="preserve">known </w:t>
      </w:r>
      <w:r w:rsidR="00676C24">
        <w:rPr>
          <w:lang w:val="en-NZ"/>
        </w:rPr>
        <w:t xml:space="preserve">adult </w:t>
      </w:r>
      <w:r w:rsidR="00517A3D">
        <w:rPr>
          <w:lang w:val="en-NZ"/>
        </w:rPr>
        <w:t xml:space="preserve">gang members </w:t>
      </w:r>
      <w:r w:rsidR="002A6BF2">
        <w:rPr>
          <w:lang w:val="en-NZ"/>
        </w:rPr>
        <w:t xml:space="preserve">as at July 2014 </w:t>
      </w:r>
      <w:r w:rsidR="00517A3D">
        <w:rPr>
          <w:lang w:val="en-NZ"/>
        </w:rPr>
        <w:t>was provided to MSD in October 2014 by the National Intelligence Centre at NZ Police.</w:t>
      </w:r>
      <w:r w:rsidR="00045B21">
        <w:rPr>
          <w:rStyle w:val="FootnoteReference"/>
        </w:rPr>
        <w:footnoteReference w:id="14"/>
      </w:r>
      <w:r w:rsidR="006D52BE">
        <w:rPr>
          <w:lang w:val="en-NZ"/>
        </w:rPr>
        <w:t xml:space="preserve"> The information was shared for research purposes under a Memorandum of Understanding between the two agencies that covered </w:t>
      </w:r>
      <w:r w:rsidR="00B939A2">
        <w:rPr>
          <w:lang w:val="en-NZ"/>
        </w:rPr>
        <w:t xml:space="preserve">areas such as </w:t>
      </w:r>
      <w:r w:rsidR="006D52BE">
        <w:rPr>
          <w:lang w:val="en-NZ"/>
        </w:rPr>
        <w:t>the security and confidentially of the information, and the breadth of the summary MSD information that would be produced on the gang members.</w:t>
      </w:r>
    </w:p>
    <w:p w:rsidR="00B1036B" w:rsidRDefault="006D52BE" w:rsidP="00B1036B">
      <w:pPr>
        <w:rPr>
          <w:lang w:val="en-NZ"/>
        </w:rPr>
      </w:pPr>
      <w:r>
        <w:rPr>
          <w:lang w:val="en-NZ"/>
        </w:rPr>
        <w:t>A total of 3,960 distinct individuals were included in the file after removing a small number of duplicate records.</w:t>
      </w:r>
    </w:p>
    <w:p w:rsidR="00DF7602" w:rsidRPr="00A65670" w:rsidRDefault="00DF7602" w:rsidP="00DF7602">
      <w:pPr>
        <w:rPr>
          <w:b/>
          <w:color w:val="121F6B"/>
          <w:lang w:val="en-NZ"/>
        </w:rPr>
      </w:pPr>
      <w:r>
        <w:rPr>
          <w:b/>
          <w:color w:val="121F6B"/>
          <w:lang w:val="en-NZ"/>
        </w:rPr>
        <w:t xml:space="preserve">Records were </w:t>
      </w:r>
      <w:r w:rsidR="00676C24">
        <w:rPr>
          <w:b/>
          <w:color w:val="121F6B"/>
          <w:lang w:val="en-NZ"/>
        </w:rPr>
        <w:t xml:space="preserve">probabilistically </w:t>
      </w:r>
      <w:r>
        <w:rPr>
          <w:b/>
          <w:color w:val="121F6B"/>
          <w:lang w:val="en-NZ"/>
        </w:rPr>
        <w:t xml:space="preserve">matched </w:t>
      </w:r>
      <w:r w:rsidR="00676C24">
        <w:rPr>
          <w:b/>
          <w:color w:val="121F6B"/>
          <w:lang w:val="en-NZ"/>
        </w:rPr>
        <w:t>by</w:t>
      </w:r>
      <w:r>
        <w:rPr>
          <w:b/>
          <w:color w:val="121F6B"/>
          <w:lang w:val="en-NZ"/>
        </w:rPr>
        <w:t xml:space="preserve"> MSD</w:t>
      </w:r>
    </w:p>
    <w:p w:rsidR="00583772" w:rsidRDefault="00B939A2" w:rsidP="004E3CA9">
      <w:pPr>
        <w:spacing w:after="60"/>
        <w:rPr>
          <w:lang w:val="en-NZ"/>
        </w:rPr>
      </w:pPr>
      <w:r>
        <w:rPr>
          <w:lang w:val="en-NZ"/>
        </w:rPr>
        <w:t>The gang member</w:t>
      </w:r>
      <w:r w:rsidR="004E3CA9">
        <w:rPr>
          <w:lang w:val="en-NZ"/>
        </w:rPr>
        <w:t>s</w:t>
      </w:r>
      <w:r>
        <w:rPr>
          <w:lang w:val="en-NZ"/>
        </w:rPr>
        <w:t xml:space="preserve"> names and dates of birth were run through a </w:t>
      </w:r>
      <w:r w:rsidR="00431936">
        <w:rPr>
          <w:lang w:val="en-NZ"/>
        </w:rPr>
        <w:t xml:space="preserve">probabilistic </w:t>
      </w:r>
      <w:r>
        <w:rPr>
          <w:lang w:val="en-NZ"/>
        </w:rPr>
        <w:t xml:space="preserve">data-matching routine developed by MSD using SAS </w:t>
      </w:r>
      <w:r w:rsidRPr="00251476">
        <w:rPr>
          <w:i/>
          <w:lang w:val="en-NZ"/>
        </w:rPr>
        <w:t>DataFlux Data Management Studio</w:t>
      </w:r>
      <w:r>
        <w:rPr>
          <w:lang w:val="en-NZ"/>
        </w:rPr>
        <w:t xml:space="preserve">. The routine produces a list of possible matches to MSD-held names and dates of birth </w:t>
      </w:r>
      <w:r w:rsidR="00431936">
        <w:rPr>
          <w:lang w:val="en-NZ"/>
        </w:rPr>
        <w:t xml:space="preserve">(including known aliases) </w:t>
      </w:r>
      <w:r w:rsidR="00251476">
        <w:rPr>
          <w:lang w:val="en-NZ"/>
        </w:rPr>
        <w:t xml:space="preserve">recorded </w:t>
      </w:r>
      <w:r>
        <w:rPr>
          <w:lang w:val="en-NZ"/>
        </w:rPr>
        <w:t>in the Work and Income and Child, Youth and Family computer systems</w:t>
      </w:r>
      <w:r w:rsidR="00251476">
        <w:rPr>
          <w:lang w:val="en-NZ"/>
        </w:rPr>
        <w:t xml:space="preserve"> (SWIFTT and CYRAS respectively)</w:t>
      </w:r>
      <w:r>
        <w:rPr>
          <w:lang w:val="en-NZ"/>
        </w:rPr>
        <w:t>.</w:t>
      </w:r>
      <w:r w:rsidR="00251476">
        <w:rPr>
          <w:lang w:val="en-NZ"/>
        </w:rPr>
        <w:t xml:space="preserve"> </w:t>
      </w:r>
      <w:r w:rsidR="004E3CA9">
        <w:rPr>
          <w:lang w:val="en-NZ"/>
        </w:rPr>
        <w:t>Each possible m</w:t>
      </w:r>
      <w:r w:rsidR="00251476">
        <w:rPr>
          <w:lang w:val="en-NZ"/>
        </w:rPr>
        <w:t xml:space="preserve">atch </w:t>
      </w:r>
      <w:r w:rsidR="004E3CA9">
        <w:rPr>
          <w:lang w:val="en-NZ"/>
        </w:rPr>
        <w:t>is</w:t>
      </w:r>
      <w:r w:rsidR="00251476">
        <w:rPr>
          <w:lang w:val="en-NZ"/>
        </w:rPr>
        <w:t xml:space="preserve"> marked as either</w:t>
      </w:r>
      <w:r w:rsidR="00C2253B">
        <w:rPr>
          <w:lang w:val="en-NZ"/>
        </w:rPr>
        <w:t xml:space="preserve"> a</w:t>
      </w:r>
      <w:r w:rsidR="00583772">
        <w:rPr>
          <w:lang w:val="en-NZ"/>
        </w:rPr>
        <w:t>:</w:t>
      </w:r>
    </w:p>
    <w:p w:rsidR="00583772" w:rsidRPr="006A5A20" w:rsidRDefault="00583772" w:rsidP="00487A14">
      <w:pPr>
        <w:pStyle w:val="Bullet1"/>
        <w:numPr>
          <w:ilvl w:val="0"/>
          <w:numId w:val="10"/>
        </w:numPr>
        <w:spacing w:after="60"/>
        <w:ind w:left="357" w:hanging="357"/>
        <w:rPr>
          <w:shd w:val="clear" w:color="auto" w:fill="FFFFFF"/>
        </w:rPr>
      </w:pPr>
      <w:r>
        <w:rPr>
          <w:shd w:val="clear" w:color="auto" w:fill="FFFFFF"/>
        </w:rPr>
        <w:t xml:space="preserve">100 </w:t>
      </w:r>
      <w:r w:rsidR="005D7755">
        <w:rPr>
          <w:shd w:val="clear" w:color="auto" w:fill="FFFFFF"/>
        </w:rPr>
        <w:t>percent</w:t>
      </w:r>
      <w:r>
        <w:rPr>
          <w:shd w:val="clear" w:color="auto" w:fill="FFFFFF"/>
        </w:rPr>
        <w:t xml:space="preserve"> match on </w:t>
      </w:r>
      <w:r w:rsidR="00C2253B">
        <w:rPr>
          <w:shd w:val="clear" w:color="auto" w:fill="FFFFFF"/>
        </w:rPr>
        <w:t xml:space="preserve">full </w:t>
      </w:r>
      <w:r>
        <w:rPr>
          <w:shd w:val="clear" w:color="auto" w:fill="FFFFFF"/>
        </w:rPr>
        <w:t>name and date of birth</w:t>
      </w:r>
    </w:p>
    <w:p w:rsidR="00583772" w:rsidRPr="006A5A20" w:rsidRDefault="00583772" w:rsidP="00487A14">
      <w:pPr>
        <w:pStyle w:val="Bullet1"/>
        <w:numPr>
          <w:ilvl w:val="0"/>
          <w:numId w:val="10"/>
        </w:numPr>
        <w:spacing w:after="60"/>
        <w:ind w:left="357" w:hanging="357"/>
        <w:rPr>
          <w:shd w:val="clear" w:color="auto" w:fill="FFFFFF"/>
        </w:rPr>
      </w:pPr>
      <w:r>
        <w:rPr>
          <w:shd w:val="clear" w:color="auto" w:fill="FFFFFF"/>
        </w:rPr>
        <w:t xml:space="preserve">95 </w:t>
      </w:r>
      <w:r w:rsidR="005D7755">
        <w:rPr>
          <w:shd w:val="clear" w:color="auto" w:fill="FFFFFF"/>
        </w:rPr>
        <w:t>percent</w:t>
      </w:r>
      <w:r>
        <w:rPr>
          <w:shd w:val="clear" w:color="auto" w:fill="FFFFFF"/>
        </w:rPr>
        <w:t xml:space="preserve"> fuzzy match</w:t>
      </w:r>
      <w:r w:rsidR="004E3CA9">
        <w:rPr>
          <w:rStyle w:val="FootnoteReference"/>
          <w:shd w:val="clear" w:color="auto" w:fill="FFFFFF"/>
        </w:rPr>
        <w:footnoteReference w:id="15"/>
      </w:r>
      <w:r>
        <w:rPr>
          <w:shd w:val="clear" w:color="auto" w:fill="FFFFFF"/>
        </w:rPr>
        <w:t xml:space="preserve"> on </w:t>
      </w:r>
      <w:r w:rsidR="00C2253B">
        <w:rPr>
          <w:shd w:val="clear" w:color="auto" w:fill="FFFFFF"/>
        </w:rPr>
        <w:t xml:space="preserve">full </w:t>
      </w:r>
      <w:r>
        <w:rPr>
          <w:shd w:val="clear" w:color="auto" w:fill="FFFFFF"/>
        </w:rPr>
        <w:t xml:space="preserve">name, and 100 </w:t>
      </w:r>
      <w:r w:rsidR="005D7755">
        <w:rPr>
          <w:shd w:val="clear" w:color="auto" w:fill="FFFFFF"/>
        </w:rPr>
        <w:t>percent</w:t>
      </w:r>
      <w:r>
        <w:rPr>
          <w:shd w:val="clear" w:color="auto" w:fill="FFFFFF"/>
        </w:rPr>
        <w:t xml:space="preserve"> date of birth match</w:t>
      </w:r>
    </w:p>
    <w:p w:rsidR="00583772" w:rsidRPr="006A5A20" w:rsidRDefault="00583772" w:rsidP="00487A14">
      <w:pPr>
        <w:pStyle w:val="Bullet1"/>
        <w:numPr>
          <w:ilvl w:val="0"/>
          <w:numId w:val="10"/>
        </w:numPr>
        <w:spacing w:after="60"/>
        <w:ind w:left="357" w:hanging="357"/>
        <w:rPr>
          <w:shd w:val="clear" w:color="auto" w:fill="FFFFFF"/>
        </w:rPr>
      </w:pPr>
      <w:r>
        <w:rPr>
          <w:shd w:val="clear" w:color="auto" w:fill="FFFFFF"/>
        </w:rPr>
        <w:t xml:space="preserve">85 </w:t>
      </w:r>
      <w:r w:rsidR="005D7755">
        <w:rPr>
          <w:shd w:val="clear" w:color="auto" w:fill="FFFFFF"/>
        </w:rPr>
        <w:t>percent</w:t>
      </w:r>
      <w:r>
        <w:rPr>
          <w:shd w:val="clear" w:color="auto" w:fill="FFFFFF"/>
        </w:rPr>
        <w:t xml:space="preserve"> fuzzy match on </w:t>
      </w:r>
      <w:r w:rsidR="00C2253B">
        <w:rPr>
          <w:shd w:val="clear" w:color="auto" w:fill="FFFFFF"/>
        </w:rPr>
        <w:t xml:space="preserve">full </w:t>
      </w:r>
      <w:r>
        <w:rPr>
          <w:shd w:val="clear" w:color="auto" w:fill="FFFFFF"/>
        </w:rPr>
        <w:t xml:space="preserve">name, and 100 </w:t>
      </w:r>
      <w:r w:rsidR="005D7755">
        <w:rPr>
          <w:shd w:val="clear" w:color="auto" w:fill="FFFFFF"/>
        </w:rPr>
        <w:t>percent</w:t>
      </w:r>
      <w:r>
        <w:rPr>
          <w:shd w:val="clear" w:color="auto" w:fill="FFFFFF"/>
        </w:rPr>
        <w:t xml:space="preserve"> date of birth match</w:t>
      </w:r>
    </w:p>
    <w:p w:rsidR="00583772" w:rsidRPr="006A5A20" w:rsidRDefault="00583772" w:rsidP="00487A14">
      <w:pPr>
        <w:pStyle w:val="Bullet1"/>
        <w:numPr>
          <w:ilvl w:val="0"/>
          <w:numId w:val="10"/>
        </w:numPr>
        <w:spacing w:after="60"/>
        <w:ind w:left="357" w:hanging="357"/>
        <w:rPr>
          <w:shd w:val="clear" w:color="auto" w:fill="FFFFFF"/>
        </w:rPr>
      </w:pPr>
      <w:r>
        <w:rPr>
          <w:shd w:val="clear" w:color="auto" w:fill="FFFFFF"/>
        </w:rPr>
        <w:t xml:space="preserve">100 </w:t>
      </w:r>
      <w:r w:rsidR="005D7755">
        <w:rPr>
          <w:shd w:val="clear" w:color="auto" w:fill="FFFFFF"/>
        </w:rPr>
        <w:t>percent</w:t>
      </w:r>
      <w:r>
        <w:rPr>
          <w:shd w:val="clear" w:color="auto" w:fill="FFFFFF"/>
        </w:rPr>
        <w:t xml:space="preserve"> match on </w:t>
      </w:r>
      <w:r w:rsidR="00C2253B">
        <w:rPr>
          <w:shd w:val="clear" w:color="auto" w:fill="FFFFFF"/>
        </w:rPr>
        <w:t xml:space="preserve">full </w:t>
      </w:r>
      <w:r>
        <w:rPr>
          <w:shd w:val="clear" w:color="auto" w:fill="FFFFFF"/>
        </w:rPr>
        <w:t>name, and day and year of birth match</w:t>
      </w:r>
    </w:p>
    <w:p w:rsidR="00583772" w:rsidRPr="006A5A20" w:rsidRDefault="00583772" w:rsidP="00487A14">
      <w:pPr>
        <w:pStyle w:val="Bullet1"/>
        <w:numPr>
          <w:ilvl w:val="0"/>
          <w:numId w:val="10"/>
        </w:numPr>
        <w:spacing w:after="60"/>
        <w:ind w:left="357" w:hanging="357"/>
        <w:rPr>
          <w:shd w:val="clear" w:color="auto" w:fill="FFFFFF"/>
        </w:rPr>
      </w:pPr>
      <w:r>
        <w:rPr>
          <w:shd w:val="clear" w:color="auto" w:fill="FFFFFF"/>
        </w:rPr>
        <w:t xml:space="preserve">100 </w:t>
      </w:r>
      <w:r w:rsidR="005D7755">
        <w:rPr>
          <w:shd w:val="clear" w:color="auto" w:fill="FFFFFF"/>
        </w:rPr>
        <w:t>percent</w:t>
      </w:r>
      <w:r>
        <w:rPr>
          <w:shd w:val="clear" w:color="auto" w:fill="FFFFFF"/>
        </w:rPr>
        <w:t xml:space="preserve"> match on </w:t>
      </w:r>
      <w:r w:rsidR="00C2253B">
        <w:rPr>
          <w:shd w:val="clear" w:color="auto" w:fill="FFFFFF"/>
        </w:rPr>
        <w:t xml:space="preserve">full </w:t>
      </w:r>
      <w:r>
        <w:rPr>
          <w:shd w:val="clear" w:color="auto" w:fill="FFFFFF"/>
        </w:rPr>
        <w:t>name, and day and month of birth match</w:t>
      </w:r>
    </w:p>
    <w:p w:rsidR="00583772" w:rsidRPr="006A5A20" w:rsidRDefault="00583772" w:rsidP="00487A14">
      <w:pPr>
        <w:pStyle w:val="Bullet1"/>
        <w:numPr>
          <w:ilvl w:val="0"/>
          <w:numId w:val="10"/>
        </w:numPr>
        <w:rPr>
          <w:shd w:val="clear" w:color="auto" w:fill="FFFFFF"/>
        </w:rPr>
      </w:pPr>
      <w:r>
        <w:rPr>
          <w:shd w:val="clear" w:color="auto" w:fill="FFFFFF"/>
        </w:rPr>
        <w:t xml:space="preserve">100 </w:t>
      </w:r>
      <w:r w:rsidR="005D7755">
        <w:rPr>
          <w:shd w:val="clear" w:color="auto" w:fill="FFFFFF"/>
        </w:rPr>
        <w:t>percent</w:t>
      </w:r>
      <w:r>
        <w:rPr>
          <w:shd w:val="clear" w:color="auto" w:fill="FFFFFF"/>
        </w:rPr>
        <w:t xml:space="preserve"> match on </w:t>
      </w:r>
      <w:r w:rsidR="00C2253B">
        <w:rPr>
          <w:shd w:val="clear" w:color="auto" w:fill="FFFFFF"/>
        </w:rPr>
        <w:t xml:space="preserve">full </w:t>
      </w:r>
      <w:r>
        <w:rPr>
          <w:shd w:val="clear" w:color="auto" w:fill="FFFFFF"/>
        </w:rPr>
        <w:t>name, month and year of birth within three years.</w:t>
      </w:r>
    </w:p>
    <w:p w:rsidR="00F542D3" w:rsidRDefault="00F542D3" w:rsidP="00517A3D">
      <w:pPr>
        <w:rPr>
          <w:lang w:val="en-NZ"/>
        </w:rPr>
      </w:pPr>
      <w:r>
        <w:rPr>
          <w:lang w:val="en-NZ"/>
        </w:rPr>
        <w:t xml:space="preserve">Different levels of matching are required </w:t>
      </w:r>
      <w:r w:rsidR="00CA5315">
        <w:rPr>
          <w:lang w:val="en-NZ"/>
        </w:rPr>
        <w:t>because</w:t>
      </w:r>
      <w:r>
        <w:rPr>
          <w:lang w:val="en-NZ"/>
        </w:rPr>
        <w:t xml:space="preserve"> t</w:t>
      </w:r>
      <w:r w:rsidR="00517A3D">
        <w:rPr>
          <w:lang w:val="en-NZ"/>
        </w:rPr>
        <w:t xml:space="preserve">he entry of identity information into source systems </w:t>
      </w:r>
      <w:r w:rsidR="00BA7DA8">
        <w:rPr>
          <w:lang w:val="en-NZ"/>
        </w:rPr>
        <w:t xml:space="preserve">is </w:t>
      </w:r>
      <w:r w:rsidR="00517A3D">
        <w:rPr>
          <w:lang w:val="en-NZ"/>
        </w:rPr>
        <w:t xml:space="preserve">sometimes </w:t>
      </w:r>
      <w:r w:rsidR="00F0605F" w:rsidRPr="00BA7DA8">
        <w:rPr>
          <w:lang w:val="en-NZ"/>
        </w:rPr>
        <w:t>imprecise</w:t>
      </w:r>
      <w:r w:rsidR="00F0605F">
        <w:rPr>
          <w:lang w:val="en-NZ"/>
        </w:rPr>
        <w:t>,</w:t>
      </w:r>
      <w:r w:rsidR="00F0605F" w:rsidRPr="00BA7DA8">
        <w:rPr>
          <w:lang w:val="en-NZ"/>
        </w:rPr>
        <w:t xml:space="preserve"> incomplete or inaccurate</w:t>
      </w:r>
      <w:r>
        <w:rPr>
          <w:lang w:val="en-NZ"/>
        </w:rPr>
        <w:t>.</w:t>
      </w:r>
      <w:r w:rsidR="0085208B">
        <w:rPr>
          <w:lang w:val="en-NZ"/>
        </w:rPr>
        <w:t xml:space="preserve"> </w:t>
      </w:r>
      <w:r w:rsidR="00BA7DA8">
        <w:rPr>
          <w:lang w:val="en-NZ"/>
        </w:rPr>
        <w:t>I</w:t>
      </w:r>
      <w:r w:rsidR="0085208B">
        <w:rPr>
          <w:lang w:val="en-NZ"/>
        </w:rPr>
        <w:t xml:space="preserve">n some cases, </w:t>
      </w:r>
      <w:r w:rsidR="000A5417">
        <w:rPr>
          <w:lang w:val="en-NZ"/>
        </w:rPr>
        <w:t xml:space="preserve">people </w:t>
      </w:r>
      <w:r w:rsidR="00BA7DA8">
        <w:rPr>
          <w:lang w:val="en-NZ"/>
        </w:rPr>
        <w:t xml:space="preserve">may have </w:t>
      </w:r>
      <w:r w:rsidR="000A5417">
        <w:rPr>
          <w:lang w:val="en-NZ"/>
        </w:rPr>
        <w:t>use</w:t>
      </w:r>
      <w:r w:rsidR="00BA7DA8">
        <w:rPr>
          <w:lang w:val="en-NZ"/>
        </w:rPr>
        <w:t>d</w:t>
      </w:r>
      <w:r w:rsidR="000A5417">
        <w:rPr>
          <w:lang w:val="en-NZ"/>
        </w:rPr>
        <w:t xml:space="preserve"> alias or fictitious names</w:t>
      </w:r>
      <w:r w:rsidR="00CA5315">
        <w:rPr>
          <w:lang w:val="en-NZ"/>
        </w:rPr>
        <w:t>,</w:t>
      </w:r>
      <w:r w:rsidR="000A5417">
        <w:rPr>
          <w:lang w:val="en-NZ"/>
        </w:rPr>
        <w:t xml:space="preserve"> </w:t>
      </w:r>
      <w:r w:rsidR="00283369">
        <w:rPr>
          <w:lang w:val="en-NZ"/>
        </w:rPr>
        <w:t xml:space="preserve">possibly </w:t>
      </w:r>
      <w:r w:rsidR="000A5417">
        <w:rPr>
          <w:lang w:val="en-NZ"/>
        </w:rPr>
        <w:t>to mislead agencies.</w:t>
      </w:r>
    </w:p>
    <w:p w:rsidR="00BD5DEC" w:rsidRDefault="00F542D3" w:rsidP="00517A3D">
      <w:pPr>
        <w:rPr>
          <w:lang w:val="en-NZ"/>
        </w:rPr>
      </w:pPr>
      <w:r>
        <w:rPr>
          <w:lang w:val="en-NZ"/>
        </w:rPr>
        <w:t xml:space="preserve">The sample was too large to manually inspect all matches, therefore the following approach was taken: all (a) and (b) matches above were automatically accepted, and the smaller number of </w:t>
      </w:r>
      <w:r w:rsidR="00756220">
        <w:rPr>
          <w:lang w:val="en-NZ"/>
        </w:rPr>
        <w:t xml:space="preserve">(c) to (f) possible </w:t>
      </w:r>
      <w:r>
        <w:rPr>
          <w:lang w:val="en-NZ"/>
        </w:rPr>
        <w:t xml:space="preserve">matches were manually inspected to see if they looked </w:t>
      </w:r>
      <w:r w:rsidR="00130846">
        <w:rPr>
          <w:lang w:val="en-NZ"/>
        </w:rPr>
        <w:t>like the same people or not</w:t>
      </w:r>
      <w:r w:rsidR="00283369">
        <w:rPr>
          <w:lang w:val="en-NZ"/>
        </w:rPr>
        <w:t>, and were accepted or rejected accordingly</w:t>
      </w:r>
      <w:r>
        <w:rPr>
          <w:lang w:val="en-NZ"/>
        </w:rPr>
        <w:t>.</w:t>
      </w:r>
      <w:r w:rsidR="00283369">
        <w:rPr>
          <w:lang w:val="en-NZ"/>
        </w:rPr>
        <w:t xml:space="preserve"> </w:t>
      </w:r>
    </w:p>
    <w:p w:rsidR="00F542D3" w:rsidRDefault="00BD5DEC" w:rsidP="00517A3D">
      <w:pPr>
        <w:rPr>
          <w:lang w:val="en-NZ"/>
        </w:rPr>
      </w:pPr>
      <w:r>
        <w:rPr>
          <w:lang w:val="en-NZ"/>
        </w:rPr>
        <w:t>For the g</w:t>
      </w:r>
      <w:r w:rsidR="00095400">
        <w:rPr>
          <w:lang w:val="en-NZ"/>
        </w:rPr>
        <w:t>ang members with no matches of any type</w:t>
      </w:r>
      <w:r>
        <w:rPr>
          <w:lang w:val="en-NZ"/>
        </w:rPr>
        <w:t xml:space="preserve">, a bespoke data match was conducted by the researcher to </w:t>
      </w:r>
      <w:r w:rsidR="00F70488">
        <w:rPr>
          <w:lang w:val="en-NZ"/>
        </w:rPr>
        <w:t>check</w:t>
      </w:r>
      <w:r>
        <w:rPr>
          <w:lang w:val="en-NZ"/>
        </w:rPr>
        <w:t xml:space="preserve"> for possible matches that may have been missed</w:t>
      </w:r>
      <w:r w:rsidR="00117C85">
        <w:rPr>
          <w:lang w:val="en-NZ"/>
        </w:rPr>
        <w:t xml:space="preserve"> (false negatives)</w:t>
      </w:r>
      <w:r w:rsidR="00480DD3">
        <w:rPr>
          <w:lang w:val="en-NZ"/>
        </w:rPr>
        <w:t>.</w:t>
      </w:r>
      <w:r w:rsidR="00095400">
        <w:rPr>
          <w:lang w:val="en-NZ"/>
        </w:rPr>
        <w:t xml:space="preserve"> </w:t>
      </w:r>
      <w:r w:rsidR="007A3DBA">
        <w:rPr>
          <w:lang w:val="en-NZ"/>
        </w:rPr>
        <w:t>This resulted in over 100 additional matches being identified</w:t>
      </w:r>
      <w:r w:rsidR="00117C85">
        <w:rPr>
          <w:lang w:val="en-NZ"/>
        </w:rPr>
        <w:t xml:space="preserve"> and accepted </w:t>
      </w:r>
      <w:r w:rsidR="00F70488">
        <w:rPr>
          <w:lang w:val="en-NZ"/>
        </w:rPr>
        <w:t>from</w:t>
      </w:r>
      <w:r w:rsidR="007A3DBA">
        <w:rPr>
          <w:lang w:val="en-NZ"/>
        </w:rPr>
        <w:t xml:space="preserve"> both the Child, Youth and Family and Work and Income data.</w:t>
      </w:r>
      <w:r w:rsidR="00117C85">
        <w:rPr>
          <w:lang w:val="en-NZ"/>
        </w:rPr>
        <w:t xml:space="preserve"> Many of these matches would have been difficult to detect without manual inspection and confirmation of the matches.</w:t>
      </w:r>
    </w:p>
    <w:p w:rsidR="00DF7602" w:rsidRPr="00A65670" w:rsidRDefault="00DF7602" w:rsidP="00DF7602">
      <w:pPr>
        <w:rPr>
          <w:b/>
          <w:color w:val="121F6B"/>
          <w:lang w:val="en-NZ"/>
        </w:rPr>
      </w:pPr>
      <w:r w:rsidRPr="00DF7602">
        <w:rPr>
          <w:b/>
          <w:color w:val="121F6B"/>
          <w:lang w:val="en-NZ"/>
        </w:rPr>
        <w:lastRenderedPageBreak/>
        <w:t xml:space="preserve">Inevitably </w:t>
      </w:r>
      <w:r>
        <w:rPr>
          <w:b/>
          <w:color w:val="121F6B"/>
          <w:lang w:val="en-NZ"/>
        </w:rPr>
        <w:t>large scale data</w:t>
      </w:r>
      <w:r w:rsidR="00947B1F">
        <w:rPr>
          <w:b/>
          <w:color w:val="121F6B"/>
          <w:lang w:val="en-NZ"/>
        </w:rPr>
        <w:t>-</w:t>
      </w:r>
      <w:r>
        <w:rPr>
          <w:b/>
          <w:color w:val="121F6B"/>
          <w:lang w:val="en-NZ"/>
        </w:rPr>
        <w:t>matches contain errors</w:t>
      </w:r>
      <w:r w:rsidR="00D26089">
        <w:rPr>
          <w:b/>
          <w:color w:val="121F6B"/>
          <w:lang w:val="en-NZ"/>
        </w:rPr>
        <w:t>, and therefore so do results</w:t>
      </w:r>
    </w:p>
    <w:p w:rsidR="009E5D8E" w:rsidRDefault="00517A3D" w:rsidP="00517A3D">
      <w:pPr>
        <w:rPr>
          <w:lang w:val="en-NZ"/>
        </w:rPr>
      </w:pPr>
      <w:r>
        <w:rPr>
          <w:lang w:val="en-NZ"/>
        </w:rPr>
        <w:t>Inevitably</w:t>
      </w:r>
      <w:r w:rsidR="00F542D3">
        <w:rPr>
          <w:lang w:val="en-NZ"/>
        </w:rPr>
        <w:t xml:space="preserve"> with </w:t>
      </w:r>
      <w:r w:rsidR="00947B1F">
        <w:rPr>
          <w:lang w:val="en-NZ"/>
        </w:rPr>
        <w:t xml:space="preserve">large-scale </w:t>
      </w:r>
      <w:r w:rsidR="00283369">
        <w:rPr>
          <w:lang w:val="en-NZ"/>
        </w:rPr>
        <w:t xml:space="preserve">probabilistic </w:t>
      </w:r>
      <w:r w:rsidR="00F542D3">
        <w:rPr>
          <w:lang w:val="en-NZ"/>
        </w:rPr>
        <w:t>data-matching</w:t>
      </w:r>
      <w:r>
        <w:rPr>
          <w:lang w:val="en-NZ"/>
        </w:rPr>
        <w:t xml:space="preserve"> the </w:t>
      </w:r>
      <w:r w:rsidR="00F542D3">
        <w:rPr>
          <w:lang w:val="en-NZ"/>
        </w:rPr>
        <w:t xml:space="preserve">final </w:t>
      </w:r>
      <w:r>
        <w:rPr>
          <w:lang w:val="en-NZ"/>
        </w:rPr>
        <w:t>match results</w:t>
      </w:r>
      <w:r w:rsidR="00F542D3">
        <w:rPr>
          <w:lang w:val="en-NZ"/>
        </w:rPr>
        <w:t xml:space="preserve"> that are </w:t>
      </w:r>
      <w:r w:rsidR="009E5D8E">
        <w:rPr>
          <w:lang w:val="en-NZ"/>
        </w:rPr>
        <w:t>accepted</w:t>
      </w:r>
      <w:r>
        <w:rPr>
          <w:lang w:val="en-NZ"/>
        </w:rPr>
        <w:t xml:space="preserve"> will have errors due to some matches that should have been made being missed</w:t>
      </w:r>
      <w:r w:rsidR="000A5417">
        <w:rPr>
          <w:lang w:val="en-NZ"/>
        </w:rPr>
        <w:t xml:space="preserve"> (false negatives)</w:t>
      </w:r>
      <w:r>
        <w:rPr>
          <w:lang w:val="en-NZ"/>
        </w:rPr>
        <w:t>, and some matches made being incorrect</w:t>
      </w:r>
      <w:r w:rsidR="000A5417">
        <w:rPr>
          <w:lang w:val="en-NZ"/>
        </w:rPr>
        <w:t xml:space="preserve"> (false positives)</w:t>
      </w:r>
      <w:r>
        <w:rPr>
          <w:lang w:val="en-NZ"/>
        </w:rPr>
        <w:t>.</w:t>
      </w:r>
      <w:r w:rsidRPr="00CE5CF9">
        <w:rPr>
          <w:lang w:val="en-NZ"/>
        </w:rPr>
        <w:t xml:space="preserve"> </w:t>
      </w:r>
      <w:r w:rsidR="009E5D8E">
        <w:rPr>
          <w:lang w:val="en-NZ"/>
        </w:rPr>
        <w:t>E</w:t>
      </w:r>
      <w:r w:rsidRPr="00CE5CF9">
        <w:rPr>
          <w:lang w:val="en-NZ"/>
        </w:rPr>
        <w:t xml:space="preserve">very effort has been made to minimise </w:t>
      </w:r>
      <w:r>
        <w:rPr>
          <w:lang w:val="en-NZ"/>
        </w:rPr>
        <w:t>these</w:t>
      </w:r>
      <w:r w:rsidRPr="00CE5CF9">
        <w:rPr>
          <w:lang w:val="en-NZ"/>
        </w:rPr>
        <w:t xml:space="preserve"> error</w:t>
      </w:r>
      <w:r>
        <w:rPr>
          <w:lang w:val="en-NZ"/>
        </w:rPr>
        <w:t>s</w:t>
      </w:r>
      <w:r w:rsidR="009E5D8E">
        <w:rPr>
          <w:lang w:val="en-NZ"/>
        </w:rPr>
        <w:t>.</w:t>
      </w:r>
    </w:p>
    <w:p w:rsidR="00517A3D" w:rsidRPr="00CE5CF9" w:rsidRDefault="009E5D8E" w:rsidP="00517A3D">
      <w:pPr>
        <w:rPr>
          <w:lang w:val="en-NZ"/>
        </w:rPr>
      </w:pPr>
      <w:r>
        <w:rPr>
          <w:lang w:val="en-NZ"/>
        </w:rPr>
        <w:t>Aside from other data limitations discussed below</w:t>
      </w:r>
      <w:r w:rsidR="00517A3D" w:rsidRPr="00CE5CF9">
        <w:rPr>
          <w:lang w:val="en-NZ"/>
        </w:rPr>
        <w:t xml:space="preserve">, </w:t>
      </w:r>
      <w:r>
        <w:rPr>
          <w:lang w:val="en-NZ"/>
        </w:rPr>
        <w:t xml:space="preserve">the data-match errors mean that </w:t>
      </w:r>
      <w:r w:rsidR="00517A3D" w:rsidRPr="00CE5CF9">
        <w:rPr>
          <w:lang w:val="en-NZ"/>
        </w:rPr>
        <w:t>it is not possible to produce absolutely accurate figures</w:t>
      </w:r>
      <w:r w:rsidR="00517A3D">
        <w:rPr>
          <w:lang w:val="en-NZ"/>
        </w:rPr>
        <w:t>.</w:t>
      </w:r>
      <w:r>
        <w:rPr>
          <w:lang w:val="en-NZ"/>
        </w:rPr>
        <w:t xml:space="preserve"> Caution therefore needs to be taken in interpreting all figures presented in the report.</w:t>
      </w:r>
    </w:p>
    <w:p w:rsidR="001A489A" w:rsidRPr="00A65670" w:rsidRDefault="001A489A" w:rsidP="001A489A">
      <w:pPr>
        <w:rPr>
          <w:b/>
          <w:color w:val="121F6B"/>
          <w:lang w:val="en-NZ"/>
        </w:rPr>
      </w:pPr>
      <w:r>
        <w:rPr>
          <w:b/>
          <w:color w:val="121F6B"/>
          <w:lang w:val="en-NZ"/>
        </w:rPr>
        <w:t>Work and Income data on main benefit receipt was available from 1993</w:t>
      </w:r>
    </w:p>
    <w:p w:rsidR="00E538E9" w:rsidRDefault="008C3277" w:rsidP="00B1036B">
      <w:pPr>
        <w:rPr>
          <w:lang w:val="en-NZ"/>
        </w:rPr>
      </w:pPr>
      <w:r>
        <w:rPr>
          <w:lang w:val="en-NZ"/>
        </w:rPr>
        <w:t xml:space="preserve">The Benefit Dynamics Dataset </w:t>
      </w:r>
      <w:r w:rsidR="00895864">
        <w:rPr>
          <w:lang w:val="en-NZ"/>
        </w:rPr>
        <w:t xml:space="preserve">(BDD) </w:t>
      </w:r>
      <w:r>
        <w:rPr>
          <w:lang w:val="en-NZ"/>
        </w:rPr>
        <w:t>held by MSD contains information on all spells of main benefit receipt from 1 January 1993 to the present day. The data include</w:t>
      </w:r>
      <w:r w:rsidR="0038001F">
        <w:rPr>
          <w:lang w:val="en-NZ"/>
        </w:rPr>
        <w:t>s</w:t>
      </w:r>
      <w:r>
        <w:rPr>
          <w:lang w:val="en-NZ"/>
        </w:rPr>
        <w:t xml:space="preserve"> information on the types of benefit received, the duration of receipt, </w:t>
      </w:r>
      <w:r w:rsidR="00431936">
        <w:rPr>
          <w:lang w:val="en-NZ"/>
        </w:rPr>
        <w:t xml:space="preserve">the benefit payment rate, and </w:t>
      </w:r>
      <w:r>
        <w:rPr>
          <w:lang w:val="en-NZ"/>
        </w:rPr>
        <w:t>whether a partner and/or children were included in the benefit spell.</w:t>
      </w:r>
    </w:p>
    <w:p w:rsidR="0038001F" w:rsidRPr="0038001F" w:rsidRDefault="0038001F" w:rsidP="00B1036B">
      <w:pPr>
        <w:rPr>
          <w:lang w:val="en-NZ"/>
        </w:rPr>
      </w:pPr>
      <w:r w:rsidRPr="0038001F">
        <w:rPr>
          <w:lang w:val="en-NZ"/>
        </w:rPr>
        <w:t>In this report, “main benefits” refers to the group of benefits that are income-tested eg Jobseeker Support, Supported Living Payment or Sole Parent Support, including the similar historical benefits they replaced. Excluded were the subsets of those receiving New Zealand Superannuation or the Veteran’s Pension that are income-tested, as well as those receiving the Unsupported Child Benefit and the Orphan’s Benefit. Benefit payments to gang members included as the partner of some other “primary” benefit recipient have been counted as main benefit payments in this report.</w:t>
      </w:r>
    </w:p>
    <w:p w:rsidR="00895864" w:rsidRDefault="00895864" w:rsidP="00B1036B">
      <w:pPr>
        <w:rPr>
          <w:lang w:val="en-NZ"/>
        </w:rPr>
      </w:pPr>
      <w:r>
        <w:rPr>
          <w:lang w:val="en-NZ"/>
        </w:rPr>
        <w:t xml:space="preserve">A limitation of the BDD is that spells of main benefit receipt before 1993 </w:t>
      </w:r>
      <w:r w:rsidR="00E53F81">
        <w:rPr>
          <w:lang w:val="en-NZ"/>
        </w:rPr>
        <w:t xml:space="preserve">are not reliable and therefore not included in the </w:t>
      </w:r>
      <w:r w:rsidR="00FC6E4A">
        <w:rPr>
          <w:lang w:val="en-NZ"/>
        </w:rPr>
        <w:t xml:space="preserve">BDD </w:t>
      </w:r>
      <w:r w:rsidR="00E53F81">
        <w:rPr>
          <w:lang w:val="en-NZ"/>
        </w:rPr>
        <w:t xml:space="preserve">data. </w:t>
      </w:r>
      <w:r>
        <w:rPr>
          <w:lang w:val="en-NZ"/>
        </w:rPr>
        <w:t>This means that benefit receipt figures produced for older gang members will likely be an under-estimate.</w:t>
      </w:r>
    </w:p>
    <w:p w:rsidR="009E5D8E" w:rsidRDefault="00F72715" w:rsidP="00B1036B">
      <w:pPr>
        <w:rPr>
          <w:lang w:val="en-NZ"/>
        </w:rPr>
      </w:pPr>
      <w:r>
        <w:rPr>
          <w:lang w:val="en-NZ"/>
        </w:rPr>
        <w:t xml:space="preserve">Information on the </w:t>
      </w:r>
      <w:r w:rsidR="009E5D8E">
        <w:rPr>
          <w:lang w:val="en-NZ"/>
        </w:rPr>
        <w:t xml:space="preserve">types of welfare assistance </w:t>
      </w:r>
      <w:r>
        <w:rPr>
          <w:lang w:val="en-NZ"/>
        </w:rPr>
        <w:t>received a</w:t>
      </w:r>
      <w:r w:rsidR="009E5D8E">
        <w:rPr>
          <w:lang w:val="en-NZ"/>
        </w:rPr>
        <w:t>nd the estimated costs of the assistance</w:t>
      </w:r>
      <w:r>
        <w:rPr>
          <w:lang w:val="en-NZ"/>
        </w:rPr>
        <w:t xml:space="preserve"> were extracted from the Income Support Expenditure</w:t>
      </w:r>
      <w:r w:rsidR="007233F3">
        <w:rPr>
          <w:lang w:val="en-NZ"/>
        </w:rPr>
        <w:t xml:space="preserve"> (ISE)</w:t>
      </w:r>
      <w:r>
        <w:rPr>
          <w:lang w:val="en-NZ"/>
        </w:rPr>
        <w:t xml:space="preserve"> datasets held by MSD</w:t>
      </w:r>
      <w:r w:rsidR="00CA5315">
        <w:rPr>
          <w:lang w:val="en-NZ"/>
        </w:rPr>
        <w:t>,</w:t>
      </w:r>
      <w:r w:rsidR="009E5D8E">
        <w:rPr>
          <w:lang w:val="en-NZ"/>
        </w:rPr>
        <w:t xml:space="preserve"> </w:t>
      </w:r>
      <w:r>
        <w:rPr>
          <w:lang w:val="en-NZ"/>
        </w:rPr>
        <w:t xml:space="preserve">and costs were </w:t>
      </w:r>
      <w:r w:rsidR="009E5D8E">
        <w:rPr>
          <w:lang w:val="en-NZ"/>
        </w:rPr>
        <w:t xml:space="preserve">CPI-adjusted to 2014 dollars. </w:t>
      </w:r>
      <w:r>
        <w:rPr>
          <w:lang w:val="en-NZ"/>
        </w:rPr>
        <w:t>The welfare assistance</w:t>
      </w:r>
      <w:r w:rsidR="009E5D8E">
        <w:rPr>
          <w:lang w:val="en-NZ"/>
        </w:rPr>
        <w:t xml:space="preserve"> </w:t>
      </w:r>
      <w:r>
        <w:rPr>
          <w:lang w:val="en-NZ"/>
        </w:rPr>
        <w:t xml:space="preserve">examined </w:t>
      </w:r>
      <w:r w:rsidR="009E5D8E">
        <w:rPr>
          <w:lang w:val="en-NZ"/>
        </w:rPr>
        <w:t>include</w:t>
      </w:r>
      <w:r>
        <w:rPr>
          <w:lang w:val="en-NZ"/>
        </w:rPr>
        <w:t>d</w:t>
      </w:r>
      <w:r w:rsidR="009E5D8E">
        <w:rPr>
          <w:lang w:val="en-NZ"/>
        </w:rPr>
        <w:t xml:space="preserve"> main benefit spells, supplementary benefits (eg Accommodation Supplement) and ad-hoc payments (eg hardship assistance).</w:t>
      </w:r>
      <w:r w:rsidR="00360CEF">
        <w:rPr>
          <w:lang w:val="en-NZ"/>
        </w:rPr>
        <w:t xml:space="preserve"> These cost </w:t>
      </w:r>
      <w:r w:rsidR="00EF6871">
        <w:rPr>
          <w:lang w:val="en-NZ"/>
        </w:rPr>
        <w:t>estimates</w:t>
      </w:r>
      <w:r w:rsidR="00360CEF">
        <w:rPr>
          <w:lang w:val="en-NZ"/>
        </w:rPr>
        <w:t xml:space="preserve"> are affected by the data limitations discussed above.</w:t>
      </w:r>
    </w:p>
    <w:p w:rsidR="008E5DF2" w:rsidRPr="00A65670" w:rsidRDefault="008E5DF2" w:rsidP="008E5DF2">
      <w:pPr>
        <w:rPr>
          <w:b/>
          <w:color w:val="121F6B"/>
          <w:lang w:val="en-NZ"/>
        </w:rPr>
      </w:pPr>
      <w:r>
        <w:rPr>
          <w:b/>
          <w:color w:val="121F6B"/>
          <w:lang w:val="en-NZ"/>
        </w:rPr>
        <w:t>Integrity Services data on benefit overpayment and welfare fraud</w:t>
      </w:r>
      <w:r w:rsidR="00F4439D">
        <w:rPr>
          <w:b/>
          <w:color w:val="121F6B"/>
          <w:lang w:val="en-NZ"/>
        </w:rPr>
        <w:t xml:space="preserve"> were examined for the last five years</w:t>
      </w:r>
    </w:p>
    <w:p w:rsidR="008E5DF2" w:rsidRDefault="003A5509" w:rsidP="00B1036B">
      <w:pPr>
        <w:rPr>
          <w:lang w:val="en-NZ"/>
        </w:rPr>
      </w:pPr>
      <w:r>
        <w:rPr>
          <w:lang w:val="en-NZ"/>
        </w:rPr>
        <w:t xml:space="preserve">Information from the Integrity Services Unit in MSD was used to examine whether gang members had been investigated for possible welfare fraud, whether it was found that they had been overpaid benefits, and whether they had been prosecuted for welfare fraud. </w:t>
      </w:r>
      <w:r w:rsidR="00A44FCA">
        <w:rPr>
          <w:lang w:val="en-NZ"/>
        </w:rPr>
        <w:t>Data-sharing and other initiatives over the last decade or so have seen considerable reductions in certain types of benefit overpayments (eg when a person receiving a benefit is imprisoned). For this reason, only information for the last five years was examined</w:t>
      </w:r>
      <w:r>
        <w:rPr>
          <w:lang w:val="en-NZ"/>
        </w:rPr>
        <w:t xml:space="preserve">. Figures are impacted by </w:t>
      </w:r>
      <w:r w:rsidR="00943C36">
        <w:rPr>
          <w:lang w:val="en-NZ"/>
        </w:rPr>
        <w:t xml:space="preserve">the </w:t>
      </w:r>
      <w:r>
        <w:rPr>
          <w:lang w:val="en-NZ"/>
        </w:rPr>
        <w:t>data-match errors</w:t>
      </w:r>
      <w:r w:rsidR="00943C36">
        <w:rPr>
          <w:lang w:val="en-NZ"/>
        </w:rPr>
        <w:t xml:space="preserve"> discussed earlier</w:t>
      </w:r>
      <w:r>
        <w:rPr>
          <w:lang w:val="en-NZ"/>
        </w:rPr>
        <w:t>.</w:t>
      </w:r>
    </w:p>
    <w:p w:rsidR="00FD752B" w:rsidRPr="00A65670" w:rsidRDefault="00CA5315" w:rsidP="00FD752B">
      <w:pPr>
        <w:rPr>
          <w:b/>
          <w:color w:val="121F6B"/>
          <w:lang w:val="en-NZ"/>
        </w:rPr>
      </w:pPr>
      <w:r w:rsidRPr="00CA5315">
        <w:rPr>
          <w:b/>
          <w:color w:val="121F6B"/>
          <w:lang w:val="en-NZ"/>
        </w:rPr>
        <w:t>Figures produced from Child, Youth and Family data are most likely to be under-estimates</w:t>
      </w:r>
    </w:p>
    <w:p w:rsidR="004A1912" w:rsidRDefault="004A1912" w:rsidP="004A1912">
      <w:pPr>
        <w:rPr>
          <w:lang w:val="en-NZ"/>
        </w:rPr>
      </w:pPr>
      <w:r>
        <w:rPr>
          <w:lang w:val="en-NZ"/>
        </w:rPr>
        <w:t>As well as errors in findings being introduced from data</w:t>
      </w:r>
      <w:r w:rsidR="00CA5315">
        <w:rPr>
          <w:lang w:val="en-NZ"/>
        </w:rPr>
        <w:t>-</w:t>
      </w:r>
      <w:r>
        <w:rPr>
          <w:lang w:val="en-NZ"/>
        </w:rPr>
        <w:t xml:space="preserve">matching errors, there are other issues with producing reliable estimates </w:t>
      </w:r>
      <w:r w:rsidR="00CA5315">
        <w:rPr>
          <w:lang w:val="en-NZ"/>
        </w:rPr>
        <w:t xml:space="preserve">using </w:t>
      </w:r>
      <w:r w:rsidR="0038001F">
        <w:t xml:space="preserve">Child, Youth and Family </w:t>
      </w:r>
      <w:r w:rsidR="00CA5315">
        <w:rPr>
          <w:lang w:val="en-NZ"/>
        </w:rPr>
        <w:t>data</w:t>
      </w:r>
      <w:r>
        <w:rPr>
          <w:lang w:val="en-NZ"/>
        </w:rPr>
        <w:t>:</w:t>
      </w:r>
    </w:p>
    <w:p w:rsidR="004A1912" w:rsidRDefault="00FE6681" w:rsidP="004A1912">
      <w:pPr>
        <w:pStyle w:val="Bullet1"/>
      </w:pPr>
      <w:r>
        <w:t>The current CYRAS computer system came online in November 2000. Some i</w:t>
      </w:r>
      <w:r w:rsidR="0038001F">
        <w:t>nformation</w:t>
      </w:r>
      <w:r w:rsidR="004A1912">
        <w:t xml:space="preserve"> </w:t>
      </w:r>
      <w:r>
        <w:t xml:space="preserve">on contacts with Child, Youth and Family </w:t>
      </w:r>
      <w:r w:rsidR="004A1912">
        <w:t xml:space="preserve">prior to </w:t>
      </w:r>
      <w:r>
        <w:t>this</w:t>
      </w:r>
      <w:r w:rsidR="004A1912" w:rsidRPr="004175C3">
        <w:t xml:space="preserve"> </w:t>
      </w:r>
      <w:r w:rsidR="002565E9">
        <w:t xml:space="preserve">date </w:t>
      </w:r>
      <w:r>
        <w:t xml:space="preserve">may not be </w:t>
      </w:r>
      <w:r w:rsidR="004A1912" w:rsidRPr="004175C3">
        <w:lastRenderedPageBreak/>
        <w:t>reliable or complete</w:t>
      </w:r>
      <w:r>
        <w:t xml:space="preserve"> due to issues with the migration of records between other computer systems over time</w:t>
      </w:r>
      <w:r w:rsidR="004A1912" w:rsidRPr="004175C3">
        <w:t>.</w:t>
      </w:r>
      <w:r w:rsidR="002565E9">
        <w:t xml:space="preserve"> </w:t>
      </w:r>
      <w:r w:rsidR="004A1912">
        <w:t xml:space="preserve">Given we are looking at </w:t>
      </w:r>
      <w:r w:rsidR="0038001F">
        <w:t>adult g</w:t>
      </w:r>
      <w:r w:rsidR="004A1912">
        <w:t>ang members</w:t>
      </w:r>
      <w:r w:rsidR="00CA5315">
        <w:t>,</w:t>
      </w:r>
      <w:r w:rsidR="004A1912">
        <w:t xml:space="preserve"> </w:t>
      </w:r>
      <w:r w:rsidR="0038001F">
        <w:t>half of whom are aged at least 40 years</w:t>
      </w:r>
      <w:r w:rsidR="004A1912">
        <w:t xml:space="preserve">, information on historical child abuse events by </w:t>
      </w:r>
      <w:r w:rsidR="00C073C3">
        <w:t>older</w:t>
      </w:r>
      <w:r w:rsidR="004A1912">
        <w:t xml:space="preserve"> gang members </w:t>
      </w:r>
      <w:r w:rsidR="002565E9">
        <w:t xml:space="preserve">is likely </w:t>
      </w:r>
      <w:r w:rsidR="004A1912">
        <w:t xml:space="preserve">not recorded in CYRAS. </w:t>
      </w:r>
    </w:p>
    <w:p w:rsidR="004A1912" w:rsidRDefault="004A1912" w:rsidP="004A1912">
      <w:pPr>
        <w:pStyle w:val="Bullet1"/>
      </w:pPr>
      <w:r>
        <w:t xml:space="preserve">There may be notifications </w:t>
      </w:r>
      <w:r w:rsidR="001C0600">
        <w:t xml:space="preserve">and findings </w:t>
      </w:r>
      <w:r>
        <w:t xml:space="preserve">of abuse by the gang members that are recorded in CYRAS against an </w:t>
      </w:r>
      <w:r w:rsidR="001C0600">
        <w:t xml:space="preserve">unlinked </w:t>
      </w:r>
      <w:r>
        <w:t xml:space="preserve">alias identity of the gang member, or the name of the perpetrator of the abuse may be unknown </w:t>
      </w:r>
      <w:r w:rsidR="00CC18EF">
        <w:t>and/</w:t>
      </w:r>
      <w:r>
        <w:t>or not recorded in CYRAS.</w:t>
      </w:r>
    </w:p>
    <w:p w:rsidR="00CA5315" w:rsidRDefault="00CA5315" w:rsidP="00CA5315">
      <w:pPr>
        <w:pStyle w:val="Bullet1"/>
      </w:pPr>
      <w:r>
        <w:t>We can identify only the children of gang members who have come to the attention of Child, Youth and Family and been linked in the parent</w:t>
      </w:r>
      <w:r>
        <w:rPr>
          <w:rFonts w:ascii="Courier New" w:hAnsi="Courier New" w:cs="Courier New"/>
        </w:rPr>
        <w:t>-</w:t>
      </w:r>
      <w:r>
        <w:t>child role in CYRAS. This may be an under-estimate of all children of the gang members.</w:t>
      </w:r>
    </w:p>
    <w:p w:rsidR="00CA5315" w:rsidRDefault="00CA5315" w:rsidP="00CA5315">
      <w:pPr>
        <w:rPr>
          <w:lang w:val="en-NZ"/>
        </w:rPr>
      </w:pPr>
      <w:r>
        <w:rPr>
          <w:lang w:val="en-NZ"/>
        </w:rPr>
        <w:t xml:space="preserve">If anything, the issues above are likely to mean that the </w:t>
      </w:r>
      <w:r w:rsidRPr="00CA5315">
        <w:rPr>
          <w:lang w:val="en-NZ"/>
        </w:rPr>
        <w:t xml:space="preserve">Child, Youth and Family related </w:t>
      </w:r>
      <w:r>
        <w:rPr>
          <w:lang w:val="en-NZ"/>
        </w:rPr>
        <w:t>results presented in the report are under-estimates and should therefore be interpreted with caution.</w:t>
      </w:r>
    </w:p>
    <w:p w:rsidR="006D371B" w:rsidRDefault="006D371B" w:rsidP="0021639A">
      <w:pPr>
        <w:rPr>
          <w:lang w:val="en-NZ"/>
        </w:rPr>
      </w:pPr>
      <w:r>
        <w:rPr>
          <w:lang w:val="en-NZ"/>
        </w:rPr>
        <w:t xml:space="preserve">The </w:t>
      </w:r>
      <w:r w:rsidR="00314119">
        <w:rPr>
          <w:lang w:val="en-NZ"/>
        </w:rPr>
        <w:t xml:space="preserve">direct and indirect </w:t>
      </w:r>
      <w:r>
        <w:rPr>
          <w:lang w:val="en-NZ"/>
        </w:rPr>
        <w:t>costs associated with the gang members and their children’s contact with Child, Youth and Family were estimated using costs data associated with various types of events including:</w:t>
      </w:r>
    </w:p>
    <w:p w:rsidR="00314119" w:rsidRPr="00314119" w:rsidRDefault="00314119" w:rsidP="00314119">
      <w:pPr>
        <w:rPr>
          <w:i/>
        </w:rPr>
      </w:pPr>
      <w:r w:rsidRPr="00314119">
        <w:rPr>
          <w:i/>
        </w:rPr>
        <w:t xml:space="preserve">Care and </w:t>
      </w:r>
      <w:r w:rsidR="002D12BF">
        <w:rPr>
          <w:i/>
        </w:rPr>
        <w:t>p</w:t>
      </w:r>
      <w:r w:rsidRPr="00314119">
        <w:rPr>
          <w:i/>
        </w:rPr>
        <w:t xml:space="preserve">rotection </w:t>
      </w:r>
    </w:p>
    <w:p w:rsidR="00314119" w:rsidRPr="00314119" w:rsidRDefault="00314119" w:rsidP="00487A14">
      <w:pPr>
        <w:pStyle w:val="ListParagraph"/>
        <w:numPr>
          <w:ilvl w:val="0"/>
          <w:numId w:val="11"/>
        </w:numPr>
        <w:spacing w:after="200" w:line="276" w:lineRule="auto"/>
        <w:ind w:left="426"/>
      </w:pPr>
      <w:r w:rsidRPr="00314119">
        <w:t>Child and Family Assessments (from 2009)</w:t>
      </w:r>
    </w:p>
    <w:p w:rsidR="00314119" w:rsidRPr="00314119" w:rsidRDefault="00314119" w:rsidP="00487A14">
      <w:pPr>
        <w:pStyle w:val="ListParagraph"/>
        <w:numPr>
          <w:ilvl w:val="0"/>
          <w:numId w:val="11"/>
        </w:numPr>
        <w:spacing w:after="200" w:line="276" w:lineRule="auto"/>
        <w:ind w:left="426"/>
      </w:pPr>
      <w:r w:rsidRPr="00314119">
        <w:t>Court preparation</w:t>
      </w:r>
      <w:r w:rsidR="001C0600">
        <w:t xml:space="preserve"> work by social workers</w:t>
      </w:r>
    </w:p>
    <w:p w:rsidR="00314119" w:rsidRPr="00314119" w:rsidRDefault="00314119" w:rsidP="00487A14">
      <w:pPr>
        <w:pStyle w:val="ListParagraph"/>
        <w:numPr>
          <w:ilvl w:val="0"/>
          <w:numId w:val="11"/>
        </w:numPr>
        <w:spacing w:after="200" w:line="276" w:lineRule="auto"/>
        <w:ind w:left="426"/>
      </w:pPr>
      <w:r w:rsidRPr="00314119">
        <w:t>Family Group Conferences (from 1991)</w:t>
      </w:r>
    </w:p>
    <w:p w:rsidR="00314119" w:rsidRPr="00314119" w:rsidRDefault="00314119" w:rsidP="00487A14">
      <w:pPr>
        <w:pStyle w:val="ListParagraph"/>
        <w:numPr>
          <w:ilvl w:val="0"/>
          <w:numId w:val="11"/>
        </w:numPr>
        <w:spacing w:after="200" w:line="276" w:lineRule="auto"/>
        <w:ind w:left="426"/>
      </w:pPr>
      <w:r w:rsidRPr="00314119">
        <w:t>Family Whanau Agreements (from 1991)</w:t>
      </w:r>
    </w:p>
    <w:p w:rsidR="00314119" w:rsidRPr="00314119" w:rsidRDefault="00314119" w:rsidP="00487A14">
      <w:pPr>
        <w:pStyle w:val="ListParagraph"/>
        <w:numPr>
          <w:ilvl w:val="0"/>
          <w:numId w:val="11"/>
        </w:numPr>
        <w:spacing w:after="200" w:line="276" w:lineRule="auto"/>
        <w:ind w:left="426"/>
      </w:pPr>
      <w:r w:rsidRPr="00314119">
        <w:t>Intakes</w:t>
      </w:r>
    </w:p>
    <w:p w:rsidR="00314119" w:rsidRPr="00314119" w:rsidRDefault="00314119" w:rsidP="00487A14">
      <w:pPr>
        <w:pStyle w:val="ListParagraph"/>
        <w:numPr>
          <w:ilvl w:val="0"/>
          <w:numId w:val="11"/>
        </w:numPr>
        <w:spacing w:after="200" w:line="276" w:lineRule="auto"/>
        <w:ind w:left="426"/>
      </w:pPr>
      <w:r w:rsidRPr="00314119">
        <w:t>Investigations</w:t>
      </w:r>
    </w:p>
    <w:p w:rsidR="00314119" w:rsidRPr="00314119" w:rsidRDefault="00314119" w:rsidP="00487A14">
      <w:pPr>
        <w:pStyle w:val="ListParagraph"/>
        <w:numPr>
          <w:ilvl w:val="0"/>
          <w:numId w:val="11"/>
        </w:numPr>
        <w:spacing w:after="200" w:line="276" w:lineRule="auto"/>
        <w:ind w:left="426"/>
      </w:pPr>
      <w:r w:rsidRPr="00314119">
        <w:t>Partnered Response (from 2009)</w:t>
      </w:r>
    </w:p>
    <w:p w:rsidR="00314119" w:rsidRPr="00314119" w:rsidRDefault="00314119" w:rsidP="00487A14">
      <w:pPr>
        <w:pStyle w:val="ListParagraph"/>
        <w:numPr>
          <w:ilvl w:val="0"/>
          <w:numId w:val="11"/>
        </w:numPr>
        <w:spacing w:after="200" w:line="276" w:lineRule="auto"/>
        <w:ind w:left="426"/>
      </w:pPr>
      <w:r w:rsidRPr="00314119">
        <w:t>Placements (from 1995)</w:t>
      </w:r>
    </w:p>
    <w:p w:rsidR="00314119" w:rsidRPr="00314119" w:rsidRDefault="00314119" w:rsidP="00487A14">
      <w:pPr>
        <w:pStyle w:val="ListParagraph"/>
        <w:numPr>
          <w:ilvl w:val="0"/>
          <w:numId w:val="11"/>
        </w:numPr>
        <w:spacing w:after="200" w:line="276" w:lineRule="auto"/>
        <w:ind w:left="426"/>
      </w:pPr>
      <w:r w:rsidRPr="00314119">
        <w:t>Safety Assessments (from 2009)</w:t>
      </w:r>
    </w:p>
    <w:p w:rsidR="00314119" w:rsidRPr="00314119" w:rsidRDefault="00314119" w:rsidP="00314119">
      <w:pPr>
        <w:rPr>
          <w:i/>
        </w:rPr>
      </w:pPr>
      <w:r w:rsidRPr="00314119">
        <w:rPr>
          <w:i/>
        </w:rPr>
        <w:t xml:space="preserve">Youth </w:t>
      </w:r>
      <w:r w:rsidR="002D12BF">
        <w:rPr>
          <w:i/>
        </w:rPr>
        <w:t>j</w:t>
      </w:r>
      <w:r w:rsidRPr="00314119">
        <w:rPr>
          <w:i/>
        </w:rPr>
        <w:t>ustice</w:t>
      </w:r>
    </w:p>
    <w:p w:rsidR="00314119" w:rsidRPr="00314119" w:rsidRDefault="00314119" w:rsidP="00487A14">
      <w:pPr>
        <w:pStyle w:val="ListParagraph"/>
        <w:numPr>
          <w:ilvl w:val="0"/>
          <w:numId w:val="11"/>
        </w:numPr>
        <w:spacing w:after="200" w:line="276" w:lineRule="auto"/>
        <w:ind w:left="426"/>
      </w:pPr>
      <w:r w:rsidRPr="00314119">
        <w:t>Court preparation</w:t>
      </w:r>
      <w:r w:rsidR="001C0600">
        <w:t xml:space="preserve"> work by social workers</w:t>
      </w:r>
    </w:p>
    <w:p w:rsidR="00314119" w:rsidRPr="00314119" w:rsidRDefault="00314119" w:rsidP="00487A14">
      <w:pPr>
        <w:pStyle w:val="ListParagraph"/>
        <w:numPr>
          <w:ilvl w:val="0"/>
          <w:numId w:val="11"/>
        </w:numPr>
        <w:spacing w:after="200" w:line="276" w:lineRule="auto"/>
        <w:ind w:left="426"/>
      </w:pPr>
      <w:r w:rsidRPr="00314119">
        <w:t>Family Group Conferences (from 1991)</w:t>
      </w:r>
    </w:p>
    <w:p w:rsidR="00314119" w:rsidRPr="00314119" w:rsidRDefault="00314119" w:rsidP="00487A14">
      <w:pPr>
        <w:pStyle w:val="ListParagraph"/>
        <w:numPr>
          <w:ilvl w:val="0"/>
          <w:numId w:val="11"/>
        </w:numPr>
        <w:spacing w:after="200" w:line="276" w:lineRule="auto"/>
        <w:ind w:left="426"/>
      </w:pPr>
      <w:r w:rsidRPr="00314119">
        <w:t>Intakes</w:t>
      </w:r>
    </w:p>
    <w:p w:rsidR="00314119" w:rsidRPr="00314119" w:rsidRDefault="00314119" w:rsidP="00487A14">
      <w:pPr>
        <w:pStyle w:val="ListParagraph"/>
        <w:numPr>
          <w:ilvl w:val="0"/>
          <w:numId w:val="11"/>
        </w:numPr>
        <w:spacing w:after="200" w:line="276" w:lineRule="auto"/>
        <w:ind w:left="426"/>
      </w:pPr>
      <w:r w:rsidRPr="00314119">
        <w:t>Placements (from 1995).</w:t>
      </w:r>
    </w:p>
    <w:p w:rsidR="006D371B" w:rsidRDefault="00314119" w:rsidP="0021639A">
      <w:pPr>
        <w:rPr>
          <w:lang w:val="en-NZ"/>
        </w:rPr>
      </w:pPr>
      <w:r>
        <w:rPr>
          <w:lang w:val="en-NZ"/>
        </w:rPr>
        <w:t xml:space="preserve">Costs </w:t>
      </w:r>
      <w:r w:rsidR="009E6DC1">
        <w:rPr>
          <w:lang w:val="en-NZ"/>
        </w:rPr>
        <w:t>should be viewed as indicative only.</w:t>
      </w:r>
    </w:p>
    <w:p w:rsidR="00803303" w:rsidRPr="00314119" w:rsidRDefault="00803303" w:rsidP="0021639A">
      <w:pPr>
        <w:rPr>
          <w:lang w:val="en-NZ"/>
        </w:rPr>
      </w:pPr>
    </w:p>
    <w:p w:rsidR="006D01DB" w:rsidRDefault="006D01DB">
      <w:pPr>
        <w:spacing w:after="0" w:line="240" w:lineRule="auto"/>
        <w:sectPr w:rsidR="006D01DB" w:rsidSect="00B05301">
          <w:pgSz w:w="11906" w:h="16838"/>
          <w:pgMar w:top="1440" w:right="1440" w:bottom="1134" w:left="1440" w:header="708" w:footer="464" w:gutter="0"/>
          <w:cols w:space="708"/>
          <w:docGrid w:linePitch="360"/>
        </w:sectPr>
      </w:pPr>
    </w:p>
    <w:p w:rsidR="006D01DB" w:rsidRDefault="006D01DB">
      <w:pPr>
        <w:spacing w:after="0" w:line="240" w:lineRule="auto"/>
      </w:pPr>
    </w:p>
    <w:p w:rsidR="00112A3D" w:rsidRDefault="00112A3D"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EA7BB2" w:rsidRDefault="00EA7BB2" w:rsidP="00554A34"/>
    <w:p w:rsidR="00EA7BB2" w:rsidRDefault="00EA7BB2"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6D01DB" w:rsidRDefault="006D01DB" w:rsidP="00554A34"/>
    <w:p w:rsidR="005250C6" w:rsidRDefault="005250C6" w:rsidP="00554A34"/>
    <w:p w:rsidR="006D01DB" w:rsidRDefault="006D01DB" w:rsidP="00554A34"/>
    <w:p w:rsidR="006D01DB" w:rsidRPr="00112A3D" w:rsidRDefault="006D01DB" w:rsidP="006D01DB">
      <w:pPr>
        <w:jc w:val="center"/>
      </w:pPr>
      <w:r>
        <w:rPr>
          <w:noProof/>
          <w:lang w:val="en-NZ" w:eastAsia="en-NZ"/>
        </w:rPr>
        <w:drawing>
          <wp:inline distT="0" distB="0" distL="0" distR="0" wp14:anchorId="3FB51FBB" wp14:editId="228F2E3D">
            <wp:extent cx="1438275" cy="133350"/>
            <wp:effectExtent l="0" t="0" r="9525" b="0"/>
            <wp:docPr id="64" name="Picture 64" descr="newzealand government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zealand government (bl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133350"/>
                    </a:xfrm>
                    <a:prstGeom prst="rect">
                      <a:avLst/>
                    </a:prstGeom>
                    <a:noFill/>
                    <a:ln>
                      <a:noFill/>
                    </a:ln>
                  </pic:spPr>
                </pic:pic>
              </a:graphicData>
            </a:graphic>
          </wp:inline>
        </w:drawing>
      </w:r>
    </w:p>
    <w:sectPr w:rsidR="006D01DB" w:rsidRPr="00112A3D" w:rsidSect="00B05301">
      <w:footerReference w:type="even" r:id="rId14"/>
      <w:footerReference w:type="default" r:id="rId15"/>
      <w:pgSz w:w="11906" w:h="16838"/>
      <w:pgMar w:top="1440" w:right="1440" w:bottom="1134" w:left="1440" w:header="708" w:footer="4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36" w:rsidRDefault="00304036" w:rsidP="00312697">
      <w:pPr>
        <w:spacing w:after="0" w:line="240" w:lineRule="auto"/>
      </w:pPr>
      <w:r>
        <w:separator/>
      </w:r>
    </w:p>
  </w:endnote>
  <w:endnote w:type="continuationSeparator" w:id="0">
    <w:p w:rsidR="00304036" w:rsidRDefault="00304036" w:rsidP="0031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AF" w:rsidRPr="00F07316" w:rsidRDefault="008257AF" w:rsidP="006A183C">
    <w:pPr>
      <w:tabs>
        <w:tab w:val="right" w:pos="9639"/>
      </w:tabs>
      <w:ind w:left="-567"/>
      <w:rPr>
        <w:sz w:val="16"/>
        <w:szCs w:val="16"/>
      </w:rPr>
    </w:pPr>
    <w:r w:rsidRPr="00F07316">
      <w:rPr>
        <w:sz w:val="16"/>
        <w:szCs w:val="16"/>
      </w:rPr>
      <w:t xml:space="preserve">Page </w:t>
    </w:r>
    <w:r w:rsidRPr="00F07316">
      <w:rPr>
        <w:sz w:val="16"/>
        <w:szCs w:val="16"/>
      </w:rPr>
      <w:fldChar w:fldCharType="begin"/>
    </w:r>
    <w:r w:rsidRPr="00F07316">
      <w:rPr>
        <w:sz w:val="16"/>
        <w:szCs w:val="16"/>
      </w:rPr>
      <w:instrText xml:space="preserve"> PAGE   \* MERGEFORMAT </w:instrText>
    </w:r>
    <w:r w:rsidRPr="00F07316">
      <w:rPr>
        <w:sz w:val="16"/>
        <w:szCs w:val="16"/>
      </w:rPr>
      <w:fldChar w:fldCharType="separate"/>
    </w:r>
    <w:r w:rsidR="002F4046">
      <w:rPr>
        <w:noProof/>
        <w:sz w:val="16"/>
        <w:szCs w:val="16"/>
      </w:rPr>
      <w:t>20</w:t>
    </w:r>
    <w:r w:rsidRPr="00F07316">
      <w:rPr>
        <w:noProof/>
        <w:sz w:val="16"/>
        <w:szCs w:val="16"/>
      </w:rPr>
      <w:fldChar w:fldCharType="end"/>
    </w:r>
    <w:r w:rsidRPr="00F07316">
      <w:rPr>
        <w:noProof/>
        <w:sz w:val="16"/>
        <w:szCs w:val="16"/>
      </w:rPr>
      <w:tab/>
    </w:r>
    <w:r w:rsidRPr="00F07316">
      <w:rPr>
        <w:sz w:val="16"/>
        <w:szCs w:val="16"/>
      </w:rPr>
      <w:t>Adult gang members and their children’s contact with Ministry of Social Development service lines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AF" w:rsidRPr="00F07316" w:rsidRDefault="008257AF" w:rsidP="006A183C">
    <w:pPr>
      <w:tabs>
        <w:tab w:val="right" w:pos="9639"/>
      </w:tabs>
      <w:ind w:left="-567"/>
      <w:rPr>
        <w:sz w:val="16"/>
        <w:szCs w:val="16"/>
      </w:rPr>
    </w:pPr>
    <w:r w:rsidRPr="00F07316">
      <w:rPr>
        <w:sz w:val="16"/>
        <w:szCs w:val="16"/>
      </w:rPr>
      <w:t>Adult gang members</w:t>
    </w:r>
    <w:r>
      <w:rPr>
        <w:sz w:val="16"/>
        <w:szCs w:val="16"/>
      </w:rPr>
      <w:t xml:space="preserve"> and their children’s</w:t>
    </w:r>
    <w:r w:rsidRPr="00F07316">
      <w:rPr>
        <w:sz w:val="16"/>
        <w:szCs w:val="16"/>
      </w:rPr>
      <w:t xml:space="preserve"> contact with Ministry of Social Development service lines</w:t>
    </w:r>
    <w:r w:rsidRPr="00F07316">
      <w:rPr>
        <w:noProof/>
        <w:sz w:val="16"/>
        <w:szCs w:val="16"/>
      </w:rPr>
      <w:tab/>
    </w:r>
    <w:r w:rsidRPr="00F07316">
      <w:rPr>
        <w:sz w:val="16"/>
        <w:szCs w:val="16"/>
      </w:rPr>
      <w:t xml:space="preserve">Page </w:t>
    </w:r>
    <w:r w:rsidRPr="00F07316">
      <w:rPr>
        <w:sz w:val="16"/>
        <w:szCs w:val="16"/>
      </w:rPr>
      <w:fldChar w:fldCharType="begin"/>
    </w:r>
    <w:r w:rsidRPr="00F07316">
      <w:rPr>
        <w:sz w:val="16"/>
        <w:szCs w:val="16"/>
      </w:rPr>
      <w:instrText xml:space="preserve"> PAGE   \* MERGEFORMAT </w:instrText>
    </w:r>
    <w:r w:rsidRPr="00F07316">
      <w:rPr>
        <w:sz w:val="16"/>
        <w:szCs w:val="16"/>
      </w:rPr>
      <w:fldChar w:fldCharType="separate"/>
    </w:r>
    <w:r w:rsidR="002F4046">
      <w:rPr>
        <w:noProof/>
        <w:sz w:val="16"/>
        <w:szCs w:val="16"/>
      </w:rPr>
      <w:t>21</w:t>
    </w:r>
    <w:r w:rsidRPr="00F07316">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AF" w:rsidRPr="009E20F2" w:rsidRDefault="008257AF" w:rsidP="006A183C">
    <w:pPr>
      <w:tabs>
        <w:tab w:val="right" w:pos="9639"/>
      </w:tabs>
      <w:ind w:left="-567"/>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7AF" w:rsidRPr="005250C6" w:rsidRDefault="008257AF" w:rsidP="00525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36" w:rsidRDefault="00304036" w:rsidP="00312697">
      <w:pPr>
        <w:spacing w:after="0" w:line="240" w:lineRule="auto"/>
      </w:pPr>
      <w:r>
        <w:separator/>
      </w:r>
    </w:p>
  </w:footnote>
  <w:footnote w:type="continuationSeparator" w:id="0">
    <w:p w:rsidR="00304036" w:rsidRDefault="00304036" w:rsidP="00312697">
      <w:pPr>
        <w:spacing w:after="0" w:line="240" w:lineRule="auto"/>
      </w:pPr>
      <w:r>
        <w:continuationSeparator/>
      </w:r>
    </w:p>
  </w:footnote>
  <w:footnote w:id="1">
    <w:p w:rsidR="008257AF" w:rsidRPr="00045B21" w:rsidRDefault="008257AF" w:rsidP="00045B21">
      <w:pPr>
        <w:pStyle w:val="FootnoteText"/>
        <w:spacing w:after="60"/>
        <w:ind w:left="284" w:hanging="284"/>
        <w:rPr>
          <w:rFonts w:ascii="Verdana" w:hAnsi="Verdana"/>
          <w:sz w:val="18"/>
          <w:szCs w:val="18"/>
          <w:lang w:val="en-NZ"/>
        </w:rPr>
      </w:pPr>
      <w:r w:rsidRPr="00045B21">
        <w:rPr>
          <w:rStyle w:val="FootnoteReference"/>
          <w:rFonts w:ascii="Verdana" w:hAnsi="Verdana"/>
          <w:sz w:val="18"/>
          <w:szCs w:val="18"/>
        </w:rPr>
        <w:footnoteRef/>
      </w:r>
      <w:r w:rsidRPr="00045B21">
        <w:rPr>
          <w:rFonts w:ascii="Verdana" w:hAnsi="Verdana"/>
          <w:sz w:val="18"/>
          <w:szCs w:val="18"/>
        </w:rPr>
        <w:t xml:space="preserve"> </w:t>
      </w:r>
      <w:r w:rsidRPr="00045B21">
        <w:rPr>
          <w:rFonts w:ascii="Verdana" w:hAnsi="Verdana"/>
          <w:sz w:val="18"/>
          <w:szCs w:val="18"/>
        </w:rPr>
        <w:tab/>
      </w:r>
      <w:r w:rsidRPr="00045B21">
        <w:rPr>
          <w:rFonts w:ascii="Verdana" w:hAnsi="Verdana"/>
          <w:sz w:val="18"/>
          <w:szCs w:val="18"/>
          <w:lang w:val="en-NZ"/>
        </w:rPr>
        <w:t>Gang “associates” and members of youth gangs were not examined in this report.</w:t>
      </w:r>
    </w:p>
  </w:footnote>
  <w:footnote w:id="2">
    <w:p w:rsidR="008257AF" w:rsidRPr="00B53F8B" w:rsidRDefault="008257AF" w:rsidP="00743550">
      <w:pPr>
        <w:pStyle w:val="FootnoteText"/>
        <w:spacing w:after="0"/>
        <w:rPr>
          <w:rFonts w:ascii="Verdana" w:hAnsi="Verdana"/>
          <w:sz w:val="18"/>
          <w:szCs w:val="18"/>
          <w:lang w:val="en-NZ"/>
        </w:rPr>
      </w:pPr>
      <w:r w:rsidRPr="00B53F8B">
        <w:rPr>
          <w:rStyle w:val="FootnoteReference"/>
          <w:rFonts w:ascii="Verdana" w:hAnsi="Verdana"/>
          <w:sz w:val="18"/>
          <w:szCs w:val="18"/>
        </w:rPr>
        <w:footnoteRef/>
      </w:r>
      <w:r w:rsidRPr="00B53F8B">
        <w:rPr>
          <w:rFonts w:ascii="Verdana" w:hAnsi="Verdana"/>
          <w:sz w:val="18"/>
          <w:szCs w:val="18"/>
        </w:rPr>
        <w:t xml:space="preserve"> </w:t>
      </w:r>
      <w:r w:rsidRPr="00B53F8B">
        <w:rPr>
          <w:rFonts w:ascii="Verdana" w:hAnsi="Verdana"/>
          <w:sz w:val="18"/>
          <w:szCs w:val="18"/>
          <w:lang w:val="en-NZ"/>
        </w:rPr>
        <w:tab/>
      </w:r>
      <w:r>
        <w:rPr>
          <w:rFonts w:ascii="Verdana" w:hAnsi="Verdana"/>
          <w:sz w:val="18"/>
          <w:szCs w:val="18"/>
          <w:lang w:val="en-NZ"/>
        </w:rPr>
        <w:t>New Zealand adult gang</w:t>
      </w:r>
      <w:r w:rsidRPr="00045B21">
        <w:rPr>
          <w:rFonts w:ascii="Verdana" w:hAnsi="Verdana"/>
          <w:sz w:val="18"/>
          <w:szCs w:val="18"/>
          <w:lang w:val="en-NZ"/>
        </w:rPr>
        <w:t xml:space="preserve"> membership is fluid with individuals moving into, out of and between gangs on a </w:t>
      </w:r>
      <w:r>
        <w:rPr>
          <w:rFonts w:ascii="Verdana" w:hAnsi="Verdana"/>
          <w:sz w:val="18"/>
          <w:szCs w:val="18"/>
          <w:lang w:val="en-NZ"/>
        </w:rPr>
        <w:t>regular</w:t>
      </w:r>
      <w:r w:rsidRPr="00045B21">
        <w:rPr>
          <w:rFonts w:ascii="Verdana" w:hAnsi="Verdana"/>
          <w:sz w:val="18"/>
          <w:szCs w:val="18"/>
          <w:lang w:val="en-NZ"/>
        </w:rPr>
        <w:t xml:space="preserve"> basis. For this reason, the recording of gang membership presents continuing challenges</w:t>
      </w:r>
      <w:r>
        <w:rPr>
          <w:rFonts w:ascii="Verdana" w:hAnsi="Verdana"/>
          <w:sz w:val="18"/>
          <w:szCs w:val="18"/>
          <w:lang w:val="en-NZ"/>
        </w:rPr>
        <w:t xml:space="preserve"> for </w:t>
      </w:r>
      <w:r w:rsidRPr="00045B21">
        <w:rPr>
          <w:rFonts w:ascii="Verdana" w:hAnsi="Verdana"/>
          <w:sz w:val="18"/>
          <w:szCs w:val="18"/>
          <w:lang w:val="en-NZ"/>
        </w:rPr>
        <w:t xml:space="preserve">NZ Police. It is estimated </w:t>
      </w:r>
      <w:r>
        <w:rPr>
          <w:rFonts w:ascii="Verdana" w:hAnsi="Verdana"/>
          <w:sz w:val="18"/>
          <w:szCs w:val="18"/>
          <w:lang w:val="en-NZ"/>
        </w:rPr>
        <w:t xml:space="preserve">by NZ Police </w:t>
      </w:r>
      <w:r w:rsidRPr="00045B21">
        <w:rPr>
          <w:rFonts w:ascii="Verdana" w:hAnsi="Verdana"/>
          <w:sz w:val="18"/>
          <w:szCs w:val="18"/>
          <w:lang w:val="en-NZ"/>
        </w:rPr>
        <w:t>that at any given time</w:t>
      </w:r>
      <w:r>
        <w:rPr>
          <w:rFonts w:ascii="Verdana" w:hAnsi="Verdana"/>
          <w:sz w:val="18"/>
          <w:szCs w:val="18"/>
          <w:lang w:val="en-NZ"/>
        </w:rPr>
        <w:t>,</w:t>
      </w:r>
      <w:r w:rsidRPr="00045B21">
        <w:rPr>
          <w:rFonts w:ascii="Verdana" w:hAnsi="Verdana"/>
          <w:sz w:val="18"/>
          <w:szCs w:val="18"/>
          <w:lang w:val="en-NZ"/>
        </w:rPr>
        <w:t xml:space="preserve"> there are likely to be between 3,500 and 4,000 patched members and prospects</w:t>
      </w:r>
      <w:r>
        <w:rPr>
          <w:rFonts w:ascii="Verdana" w:hAnsi="Verdana"/>
          <w:sz w:val="18"/>
          <w:szCs w:val="18"/>
          <w:lang w:val="en-NZ"/>
        </w:rPr>
        <w:t>.</w:t>
      </w:r>
    </w:p>
  </w:footnote>
  <w:footnote w:id="3">
    <w:p w:rsidR="008257AF" w:rsidRPr="009942B3" w:rsidRDefault="008257AF" w:rsidP="009942B3">
      <w:pPr>
        <w:pStyle w:val="FootnoteText"/>
        <w:spacing w:after="60"/>
        <w:ind w:left="284" w:hanging="284"/>
        <w:rPr>
          <w:rFonts w:ascii="Verdana" w:hAnsi="Verdana"/>
          <w:sz w:val="18"/>
          <w:szCs w:val="18"/>
          <w:lang w:val="en-NZ"/>
        </w:rPr>
      </w:pPr>
      <w:r w:rsidRPr="009942B3">
        <w:rPr>
          <w:rStyle w:val="FootnoteReference"/>
          <w:rFonts w:ascii="Verdana" w:hAnsi="Verdana"/>
          <w:sz w:val="18"/>
          <w:szCs w:val="18"/>
        </w:rPr>
        <w:footnoteRef/>
      </w:r>
      <w:r w:rsidRPr="009942B3">
        <w:rPr>
          <w:rFonts w:ascii="Verdana" w:hAnsi="Verdana"/>
          <w:sz w:val="18"/>
          <w:szCs w:val="18"/>
        </w:rPr>
        <w:t xml:space="preserve"> </w:t>
      </w:r>
      <w:r w:rsidRPr="009942B3">
        <w:rPr>
          <w:rFonts w:ascii="Verdana" w:hAnsi="Verdana"/>
          <w:sz w:val="18"/>
          <w:szCs w:val="18"/>
          <w:lang w:val="en-NZ"/>
        </w:rPr>
        <w:tab/>
        <w:t>While the individuals were known to be adult gang members as at July 2014, they were not necessarily gang members at the time they received benefits.</w:t>
      </w:r>
    </w:p>
  </w:footnote>
  <w:footnote w:id="4">
    <w:p w:rsidR="008257AF" w:rsidRPr="00FA6222" w:rsidRDefault="008257AF" w:rsidP="009942B3">
      <w:pPr>
        <w:pStyle w:val="FootnoteText"/>
        <w:spacing w:after="0"/>
        <w:rPr>
          <w:rFonts w:ascii="Verdana" w:hAnsi="Verdana"/>
          <w:sz w:val="18"/>
          <w:szCs w:val="18"/>
          <w:lang w:val="en-NZ"/>
        </w:rPr>
      </w:pPr>
      <w:r w:rsidRPr="00FA6222">
        <w:rPr>
          <w:rStyle w:val="FootnoteReference"/>
          <w:rFonts w:ascii="Verdana" w:hAnsi="Verdana"/>
          <w:sz w:val="18"/>
          <w:szCs w:val="18"/>
        </w:rPr>
        <w:footnoteRef/>
      </w:r>
      <w:r w:rsidRPr="00FA6222">
        <w:rPr>
          <w:rFonts w:ascii="Verdana" w:hAnsi="Verdana"/>
          <w:sz w:val="18"/>
          <w:szCs w:val="18"/>
        </w:rPr>
        <w:t xml:space="preserve"> </w:t>
      </w:r>
      <w:r w:rsidRPr="00FA6222">
        <w:rPr>
          <w:rFonts w:ascii="Verdana" w:hAnsi="Verdana"/>
          <w:sz w:val="18"/>
          <w:szCs w:val="18"/>
          <w:lang w:val="en-NZ"/>
        </w:rPr>
        <w:tab/>
      </w:r>
      <w:r>
        <w:rPr>
          <w:rFonts w:ascii="Verdana" w:hAnsi="Verdana"/>
          <w:sz w:val="18"/>
          <w:szCs w:val="18"/>
          <w:lang w:val="en-NZ"/>
        </w:rPr>
        <w:t>“</w:t>
      </w:r>
      <w:r w:rsidRPr="00152F3D">
        <w:rPr>
          <w:rFonts w:ascii="Verdana" w:hAnsi="Verdana"/>
          <w:sz w:val="18"/>
          <w:szCs w:val="18"/>
          <w:lang w:val="en-NZ"/>
        </w:rPr>
        <w:t>Main benefits</w:t>
      </w:r>
      <w:r>
        <w:rPr>
          <w:rFonts w:ascii="Verdana" w:hAnsi="Verdana"/>
          <w:sz w:val="18"/>
          <w:szCs w:val="18"/>
          <w:lang w:val="en-NZ"/>
        </w:rPr>
        <w:t>”</w:t>
      </w:r>
      <w:r w:rsidRPr="00152F3D">
        <w:rPr>
          <w:rFonts w:ascii="Verdana" w:hAnsi="Verdana"/>
          <w:sz w:val="18"/>
          <w:szCs w:val="18"/>
          <w:lang w:val="en-NZ"/>
        </w:rPr>
        <w:t xml:space="preserve"> </w:t>
      </w:r>
      <w:r>
        <w:rPr>
          <w:rFonts w:ascii="Verdana" w:hAnsi="Verdana"/>
          <w:sz w:val="18"/>
          <w:szCs w:val="18"/>
          <w:lang w:val="en-NZ"/>
        </w:rPr>
        <w:t xml:space="preserve">is used in this report to refer to </w:t>
      </w:r>
      <w:r w:rsidRPr="00152F3D">
        <w:rPr>
          <w:rFonts w:ascii="Verdana" w:hAnsi="Verdana"/>
          <w:sz w:val="18"/>
          <w:szCs w:val="18"/>
          <w:lang w:val="en-NZ"/>
        </w:rPr>
        <w:t>income-tested benefits</w:t>
      </w:r>
      <w:r>
        <w:rPr>
          <w:rFonts w:ascii="Verdana" w:hAnsi="Verdana"/>
          <w:sz w:val="18"/>
          <w:szCs w:val="18"/>
          <w:lang w:val="en-NZ"/>
        </w:rPr>
        <w:t>, with some exceptions (see Appendix A for further details). Data on benefit receipt before 1993 is not reliable.</w:t>
      </w:r>
    </w:p>
  </w:footnote>
  <w:footnote w:id="5">
    <w:p w:rsidR="008257AF" w:rsidRPr="005F204D" w:rsidRDefault="008257AF" w:rsidP="00D16F5E">
      <w:pPr>
        <w:pStyle w:val="FootnoteText"/>
        <w:spacing w:after="60"/>
        <w:ind w:left="284" w:hanging="284"/>
        <w:rPr>
          <w:rFonts w:ascii="Verdana" w:hAnsi="Verdana"/>
          <w:sz w:val="18"/>
          <w:szCs w:val="18"/>
          <w:lang w:val="en-NZ"/>
        </w:rPr>
      </w:pPr>
      <w:r w:rsidRPr="005F204D">
        <w:rPr>
          <w:rStyle w:val="FootnoteReference"/>
          <w:rFonts w:ascii="Verdana" w:hAnsi="Verdana"/>
          <w:sz w:val="18"/>
          <w:szCs w:val="18"/>
        </w:rPr>
        <w:footnoteRef/>
      </w:r>
      <w:r w:rsidRPr="005F204D">
        <w:rPr>
          <w:rFonts w:ascii="Verdana" w:hAnsi="Verdana"/>
          <w:sz w:val="18"/>
          <w:szCs w:val="18"/>
        </w:rPr>
        <w:t xml:space="preserve"> </w:t>
      </w:r>
      <w:r w:rsidRPr="005F204D">
        <w:rPr>
          <w:rFonts w:ascii="Verdana" w:hAnsi="Verdana"/>
          <w:sz w:val="18"/>
          <w:szCs w:val="18"/>
          <w:lang w:val="en-NZ"/>
        </w:rPr>
        <w:tab/>
        <w:t xml:space="preserve">A relationship table in CYRAS allows people to be linked in various “roles”. </w:t>
      </w:r>
      <w:r>
        <w:rPr>
          <w:rFonts w:ascii="Verdana" w:hAnsi="Verdana"/>
          <w:sz w:val="18"/>
          <w:szCs w:val="18"/>
          <w:lang w:val="en-NZ"/>
        </w:rPr>
        <w:t>For this analysis, g</w:t>
      </w:r>
      <w:r w:rsidRPr="005F204D">
        <w:rPr>
          <w:rFonts w:ascii="Verdana" w:hAnsi="Verdana"/>
          <w:sz w:val="18"/>
          <w:szCs w:val="18"/>
          <w:lang w:val="en-NZ"/>
        </w:rPr>
        <w:t xml:space="preserve">ang members were </w:t>
      </w:r>
      <w:r>
        <w:rPr>
          <w:rFonts w:ascii="Verdana" w:hAnsi="Verdana"/>
          <w:sz w:val="18"/>
          <w:szCs w:val="18"/>
          <w:lang w:val="en-NZ"/>
        </w:rPr>
        <w:t>taken</w:t>
      </w:r>
      <w:r w:rsidRPr="005F204D">
        <w:rPr>
          <w:rFonts w:ascii="Verdana" w:hAnsi="Verdana"/>
          <w:sz w:val="18"/>
          <w:szCs w:val="18"/>
          <w:lang w:val="en-NZ"/>
        </w:rPr>
        <w:t xml:space="preserve"> to be the parent of the child if they had the role of “parent”, </w:t>
      </w:r>
      <w:r>
        <w:rPr>
          <w:rFonts w:ascii="Verdana" w:hAnsi="Verdana"/>
          <w:sz w:val="18"/>
          <w:szCs w:val="18"/>
          <w:lang w:val="en-NZ"/>
        </w:rPr>
        <w:t>“birth parent” or “birth father”</w:t>
      </w:r>
      <w:r w:rsidRPr="005F204D">
        <w:rPr>
          <w:rFonts w:ascii="Verdana" w:hAnsi="Verdana"/>
          <w:sz w:val="18"/>
          <w:szCs w:val="18"/>
          <w:lang w:val="en-NZ"/>
        </w:rPr>
        <w:t>.</w:t>
      </w:r>
    </w:p>
  </w:footnote>
  <w:footnote w:id="6">
    <w:p w:rsidR="008257AF" w:rsidRPr="0036236F" w:rsidRDefault="008257AF" w:rsidP="005800D6">
      <w:pPr>
        <w:pStyle w:val="FootnoteText"/>
        <w:spacing w:after="0"/>
        <w:ind w:left="284" w:hanging="284"/>
        <w:rPr>
          <w:rFonts w:ascii="Verdana" w:hAnsi="Verdana"/>
          <w:sz w:val="18"/>
          <w:szCs w:val="18"/>
          <w:lang w:val="en-NZ"/>
        </w:rPr>
      </w:pPr>
      <w:r w:rsidRPr="0036236F">
        <w:rPr>
          <w:rStyle w:val="FootnoteReference"/>
          <w:rFonts w:ascii="Verdana" w:hAnsi="Verdana"/>
          <w:sz w:val="18"/>
          <w:szCs w:val="18"/>
        </w:rPr>
        <w:footnoteRef/>
      </w:r>
      <w:r w:rsidRPr="0036236F">
        <w:rPr>
          <w:rFonts w:ascii="Verdana" w:hAnsi="Verdana"/>
          <w:sz w:val="18"/>
          <w:szCs w:val="18"/>
        </w:rPr>
        <w:t xml:space="preserve"> </w:t>
      </w:r>
      <w:r w:rsidRPr="0036236F">
        <w:rPr>
          <w:rFonts w:ascii="Verdana" w:hAnsi="Verdana"/>
          <w:sz w:val="18"/>
          <w:szCs w:val="18"/>
          <w:lang w:val="en-NZ"/>
        </w:rPr>
        <w:tab/>
        <w:t xml:space="preserve">The </w:t>
      </w:r>
      <w:r>
        <w:rPr>
          <w:rFonts w:ascii="Verdana" w:hAnsi="Verdana"/>
          <w:sz w:val="18"/>
          <w:szCs w:val="18"/>
          <w:lang w:val="en-NZ"/>
        </w:rPr>
        <w:t xml:space="preserve">total </w:t>
      </w:r>
      <w:r w:rsidRPr="0036236F">
        <w:rPr>
          <w:rFonts w:ascii="Verdana" w:hAnsi="Verdana"/>
          <w:sz w:val="18"/>
          <w:szCs w:val="18"/>
          <w:lang w:val="en-NZ"/>
        </w:rPr>
        <w:t xml:space="preserve">number of children of gang members known to Child, Youth and Family </w:t>
      </w:r>
      <w:r>
        <w:rPr>
          <w:rFonts w:ascii="Verdana" w:hAnsi="Verdana"/>
          <w:sz w:val="18"/>
          <w:szCs w:val="18"/>
          <w:lang w:val="en-NZ"/>
        </w:rPr>
        <w:t xml:space="preserve">(5,890) </w:t>
      </w:r>
      <w:r w:rsidRPr="0036236F">
        <w:rPr>
          <w:rFonts w:ascii="Verdana" w:hAnsi="Verdana"/>
          <w:sz w:val="18"/>
          <w:szCs w:val="18"/>
          <w:lang w:val="en-NZ"/>
        </w:rPr>
        <w:t xml:space="preserve">is not </w:t>
      </w:r>
      <w:r>
        <w:rPr>
          <w:rFonts w:ascii="Verdana" w:hAnsi="Verdana"/>
          <w:sz w:val="18"/>
          <w:szCs w:val="18"/>
          <w:lang w:val="en-NZ"/>
        </w:rPr>
        <w:t xml:space="preserve">directly </w:t>
      </w:r>
      <w:r w:rsidRPr="0036236F">
        <w:rPr>
          <w:rFonts w:ascii="Verdana" w:hAnsi="Verdana"/>
          <w:sz w:val="18"/>
          <w:szCs w:val="18"/>
          <w:lang w:val="en-NZ"/>
        </w:rPr>
        <w:t>comparable to the earlier figure of 7,</w:t>
      </w:r>
      <w:r>
        <w:rPr>
          <w:rFonts w:ascii="Verdana" w:hAnsi="Verdana"/>
          <w:sz w:val="18"/>
          <w:szCs w:val="18"/>
          <w:lang w:val="en-NZ"/>
        </w:rPr>
        <w:t>075</w:t>
      </w:r>
      <w:r w:rsidRPr="0036236F">
        <w:rPr>
          <w:rFonts w:ascii="Verdana" w:hAnsi="Verdana"/>
          <w:sz w:val="18"/>
          <w:szCs w:val="18"/>
          <w:lang w:val="en-NZ"/>
        </w:rPr>
        <w:t xml:space="preserve"> children being included in </w:t>
      </w:r>
      <w:r>
        <w:rPr>
          <w:rFonts w:ascii="Verdana" w:hAnsi="Verdana"/>
          <w:sz w:val="18"/>
          <w:szCs w:val="18"/>
          <w:lang w:val="en-NZ"/>
        </w:rPr>
        <w:t xml:space="preserve">main </w:t>
      </w:r>
      <w:r w:rsidRPr="0036236F">
        <w:rPr>
          <w:rFonts w:ascii="Verdana" w:hAnsi="Verdana"/>
          <w:sz w:val="18"/>
          <w:szCs w:val="18"/>
          <w:lang w:val="en-NZ"/>
        </w:rPr>
        <w:t>benefit</w:t>
      </w:r>
      <w:r>
        <w:rPr>
          <w:rFonts w:ascii="Verdana" w:hAnsi="Verdana"/>
          <w:sz w:val="18"/>
          <w:szCs w:val="18"/>
          <w:lang w:val="en-NZ"/>
        </w:rPr>
        <w:t>s</w:t>
      </w:r>
      <w:r w:rsidRPr="0036236F">
        <w:rPr>
          <w:rFonts w:ascii="Verdana" w:hAnsi="Verdana"/>
          <w:sz w:val="18"/>
          <w:szCs w:val="18"/>
          <w:lang w:val="en-NZ"/>
        </w:rPr>
        <w:t xml:space="preserve"> with gang members. </w:t>
      </w:r>
      <w:r>
        <w:rPr>
          <w:rFonts w:ascii="Verdana" w:hAnsi="Verdana"/>
          <w:sz w:val="18"/>
          <w:szCs w:val="18"/>
          <w:lang w:val="en-NZ"/>
        </w:rPr>
        <w:t>The children included in benefits were “financially dependent” children of the gang members and not necessarily their own children.</w:t>
      </w:r>
    </w:p>
  </w:footnote>
  <w:footnote w:id="7">
    <w:p w:rsidR="008257AF" w:rsidRPr="00E20FB7" w:rsidRDefault="008257AF" w:rsidP="00644847">
      <w:pPr>
        <w:pStyle w:val="FootnoteText"/>
        <w:spacing w:after="60"/>
        <w:rPr>
          <w:rFonts w:ascii="Verdana" w:hAnsi="Verdana"/>
          <w:sz w:val="18"/>
          <w:szCs w:val="18"/>
          <w:lang w:val="en-NZ"/>
        </w:rPr>
      </w:pPr>
      <w:r w:rsidRPr="00E20FB7">
        <w:rPr>
          <w:rStyle w:val="FootnoteReference"/>
          <w:rFonts w:ascii="Verdana" w:hAnsi="Verdana"/>
          <w:sz w:val="18"/>
          <w:szCs w:val="18"/>
        </w:rPr>
        <w:footnoteRef/>
      </w:r>
      <w:r w:rsidRPr="00E20FB7">
        <w:rPr>
          <w:rFonts w:ascii="Verdana" w:hAnsi="Verdana"/>
          <w:sz w:val="18"/>
          <w:szCs w:val="18"/>
        </w:rPr>
        <w:t xml:space="preserve"> </w:t>
      </w:r>
      <w:r w:rsidRPr="00E20FB7">
        <w:rPr>
          <w:rFonts w:ascii="Verdana" w:hAnsi="Verdana"/>
          <w:sz w:val="18"/>
          <w:szCs w:val="18"/>
          <w:lang w:val="en-NZ"/>
        </w:rPr>
        <w:tab/>
      </w:r>
      <w:r w:rsidRPr="00795694">
        <w:rPr>
          <w:rFonts w:ascii="Verdana" w:hAnsi="Verdana"/>
          <w:sz w:val="18"/>
          <w:szCs w:val="18"/>
          <w:lang w:val="en-NZ"/>
        </w:rPr>
        <w:t>CYRAS is the Child, Youth and Family case management recording system, managed by MSD.</w:t>
      </w:r>
    </w:p>
  </w:footnote>
  <w:footnote w:id="8">
    <w:p w:rsidR="008257AF" w:rsidRPr="00795694" w:rsidRDefault="008257AF" w:rsidP="00D53413">
      <w:pPr>
        <w:pStyle w:val="FootnoteText"/>
        <w:spacing w:after="0"/>
        <w:ind w:left="284" w:hanging="284"/>
        <w:rPr>
          <w:rFonts w:ascii="Verdana" w:hAnsi="Verdana"/>
          <w:sz w:val="18"/>
          <w:szCs w:val="18"/>
          <w:lang w:val="en-NZ"/>
        </w:rPr>
      </w:pPr>
      <w:r w:rsidRPr="00795694">
        <w:rPr>
          <w:rStyle w:val="FootnoteReference"/>
          <w:rFonts w:ascii="Verdana" w:hAnsi="Verdana"/>
          <w:sz w:val="18"/>
          <w:szCs w:val="18"/>
        </w:rPr>
        <w:footnoteRef/>
      </w:r>
      <w:r w:rsidRPr="00795694">
        <w:rPr>
          <w:rFonts w:ascii="Verdana" w:hAnsi="Verdana"/>
          <w:sz w:val="18"/>
          <w:szCs w:val="18"/>
        </w:rPr>
        <w:t xml:space="preserve"> </w:t>
      </w:r>
      <w:r w:rsidRPr="00795694">
        <w:rPr>
          <w:rFonts w:ascii="Verdana" w:hAnsi="Verdana"/>
          <w:sz w:val="18"/>
          <w:szCs w:val="18"/>
          <w:lang w:val="en-NZ"/>
        </w:rPr>
        <w:tab/>
        <w:t>For convenience, the term “gang</w:t>
      </w:r>
      <w:r>
        <w:rPr>
          <w:rFonts w:ascii="Verdana" w:hAnsi="Verdana"/>
          <w:sz w:val="18"/>
          <w:szCs w:val="18"/>
          <w:lang w:val="en-NZ"/>
        </w:rPr>
        <w:t xml:space="preserve"> </w:t>
      </w:r>
      <w:r w:rsidRPr="00795694">
        <w:rPr>
          <w:rFonts w:ascii="Verdana" w:hAnsi="Verdana"/>
          <w:sz w:val="18"/>
          <w:szCs w:val="18"/>
          <w:lang w:val="en-NZ"/>
        </w:rPr>
        <w:t xml:space="preserve">member” is used </w:t>
      </w:r>
      <w:r>
        <w:rPr>
          <w:rFonts w:ascii="Verdana" w:hAnsi="Verdana"/>
          <w:sz w:val="18"/>
          <w:szCs w:val="18"/>
          <w:lang w:val="en-NZ"/>
        </w:rPr>
        <w:t>throughout</w:t>
      </w:r>
      <w:r w:rsidRPr="00795694">
        <w:rPr>
          <w:rFonts w:ascii="Verdana" w:hAnsi="Verdana"/>
          <w:sz w:val="18"/>
          <w:szCs w:val="18"/>
          <w:lang w:val="en-NZ"/>
        </w:rPr>
        <w:t xml:space="preserve"> this report to refer to both adult patched members and adult prospects.</w:t>
      </w:r>
    </w:p>
  </w:footnote>
  <w:footnote w:id="9">
    <w:p w:rsidR="008257AF" w:rsidRPr="00C25E43" w:rsidRDefault="008257AF" w:rsidP="00F47E19">
      <w:pPr>
        <w:pStyle w:val="FootnoteText"/>
        <w:spacing w:after="0"/>
        <w:ind w:left="284" w:hanging="284"/>
        <w:rPr>
          <w:rFonts w:ascii="Verdana" w:hAnsi="Verdana"/>
          <w:sz w:val="18"/>
          <w:szCs w:val="18"/>
          <w:lang w:val="en-NZ"/>
        </w:rPr>
      </w:pPr>
      <w:r w:rsidRPr="00C25E43">
        <w:rPr>
          <w:rStyle w:val="FootnoteReference"/>
          <w:rFonts w:ascii="Verdana" w:hAnsi="Verdana"/>
          <w:sz w:val="18"/>
          <w:szCs w:val="18"/>
        </w:rPr>
        <w:footnoteRef/>
      </w:r>
      <w:r w:rsidRPr="00C25E43">
        <w:rPr>
          <w:rFonts w:ascii="Verdana" w:hAnsi="Verdana"/>
          <w:sz w:val="18"/>
          <w:szCs w:val="18"/>
        </w:rPr>
        <w:t xml:space="preserve"> </w:t>
      </w:r>
      <w:r w:rsidRPr="00C25E43">
        <w:rPr>
          <w:rFonts w:ascii="Verdana" w:hAnsi="Verdana"/>
          <w:sz w:val="18"/>
          <w:szCs w:val="18"/>
          <w:lang w:val="en-NZ"/>
        </w:rPr>
        <w:tab/>
      </w:r>
      <w:r>
        <w:rPr>
          <w:rFonts w:ascii="Verdana" w:hAnsi="Verdana"/>
          <w:sz w:val="18"/>
          <w:szCs w:val="18"/>
          <w:lang w:val="en-NZ"/>
        </w:rPr>
        <w:t>In this report, “m</w:t>
      </w:r>
      <w:r w:rsidRPr="00152F3D">
        <w:rPr>
          <w:rFonts w:ascii="Verdana" w:hAnsi="Verdana"/>
          <w:sz w:val="18"/>
          <w:szCs w:val="18"/>
          <w:lang w:val="en-NZ"/>
        </w:rPr>
        <w:t>ain benefits</w:t>
      </w:r>
      <w:r>
        <w:rPr>
          <w:rFonts w:ascii="Verdana" w:hAnsi="Verdana"/>
          <w:sz w:val="18"/>
          <w:szCs w:val="18"/>
          <w:lang w:val="en-NZ"/>
        </w:rPr>
        <w:t>”</w:t>
      </w:r>
      <w:r w:rsidRPr="00152F3D">
        <w:rPr>
          <w:rFonts w:ascii="Verdana" w:hAnsi="Verdana"/>
          <w:sz w:val="18"/>
          <w:szCs w:val="18"/>
          <w:lang w:val="en-NZ"/>
        </w:rPr>
        <w:t xml:space="preserve"> refers to the group of </w:t>
      </w:r>
      <w:r>
        <w:rPr>
          <w:rFonts w:ascii="Verdana" w:hAnsi="Verdana"/>
          <w:sz w:val="18"/>
          <w:szCs w:val="18"/>
          <w:lang w:val="en-NZ"/>
        </w:rPr>
        <w:t>benefits that are i</w:t>
      </w:r>
      <w:r w:rsidRPr="00152F3D">
        <w:rPr>
          <w:rFonts w:ascii="Verdana" w:hAnsi="Verdana"/>
          <w:sz w:val="18"/>
          <w:szCs w:val="18"/>
          <w:lang w:val="en-NZ"/>
        </w:rPr>
        <w:t xml:space="preserve">ncome-tested </w:t>
      </w:r>
      <w:r>
        <w:rPr>
          <w:rFonts w:ascii="Verdana" w:hAnsi="Verdana"/>
          <w:sz w:val="18"/>
          <w:szCs w:val="18"/>
          <w:lang w:val="en-NZ"/>
        </w:rPr>
        <w:t>eg Jobseeker Support, Supported Living Payment or Sole Parent Support, including the similar historical benefits they replaced. Excluded were the subsets of those receiving New Zealand Superannuation or the Veteran’s Pension that are income-tested, as well as those receiving the Unsupported Child Benefit and the Orphan’s Benefit. Benefit payments to gang members included as the partner of some other “primary” benefit recipient have been counted as main benefit payments in this report.</w:t>
      </w:r>
    </w:p>
  </w:footnote>
  <w:footnote w:id="10">
    <w:p w:rsidR="008257AF" w:rsidRPr="0021687B" w:rsidRDefault="008257AF" w:rsidP="002E5AD0">
      <w:pPr>
        <w:pStyle w:val="FootnoteText"/>
        <w:spacing w:after="60"/>
        <w:ind w:left="284" w:hanging="284"/>
        <w:rPr>
          <w:rFonts w:ascii="Verdana" w:hAnsi="Verdana"/>
          <w:sz w:val="18"/>
          <w:szCs w:val="18"/>
          <w:lang w:val="en-NZ"/>
        </w:rPr>
      </w:pPr>
      <w:r w:rsidRPr="0021687B">
        <w:rPr>
          <w:rStyle w:val="FootnoteReference"/>
          <w:rFonts w:ascii="Verdana" w:hAnsi="Verdana"/>
          <w:sz w:val="18"/>
          <w:szCs w:val="18"/>
        </w:rPr>
        <w:footnoteRef/>
      </w:r>
      <w:r w:rsidRPr="0021687B">
        <w:rPr>
          <w:rFonts w:ascii="Verdana" w:hAnsi="Verdana"/>
          <w:sz w:val="18"/>
          <w:szCs w:val="18"/>
        </w:rPr>
        <w:t xml:space="preserve"> </w:t>
      </w:r>
      <w:r w:rsidRPr="0021687B">
        <w:rPr>
          <w:rFonts w:ascii="Verdana" w:hAnsi="Verdana"/>
          <w:sz w:val="18"/>
          <w:szCs w:val="18"/>
          <w:lang w:val="en-NZ"/>
        </w:rPr>
        <w:tab/>
      </w:r>
      <w:r>
        <w:rPr>
          <w:rFonts w:ascii="Verdana" w:hAnsi="Verdana"/>
          <w:sz w:val="18"/>
          <w:szCs w:val="18"/>
          <w:lang w:val="en-NZ"/>
        </w:rPr>
        <w:t xml:space="preserve">A </w:t>
      </w:r>
      <w:r w:rsidRPr="0021687B">
        <w:rPr>
          <w:rFonts w:ascii="Verdana" w:hAnsi="Verdana"/>
          <w:sz w:val="18"/>
          <w:szCs w:val="18"/>
          <w:lang w:val="en-NZ"/>
        </w:rPr>
        <w:t>“</w:t>
      </w:r>
      <w:r w:rsidRPr="0021687B">
        <w:rPr>
          <w:rFonts w:ascii="Verdana" w:hAnsi="Verdana"/>
          <w:color w:val="000000"/>
          <w:sz w:val="18"/>
          <w:szCs w:val="18"/>
        </w:rPr>
        <w:t xml:space="preserve">dependent child” generally refers to a child </w:t>
      </w:r>
      <w:r>
        <w:rPr>
          <w:rFonts w:ascii="Verdana" w:hAnsi="Verdana"/>
          <w:color w:val="000000"/>
          <w:sz w:val="18"/>
          <w:szCs w:val="18"/>
        </w:rPr>
        <w:t xml:space="preserve">who is </w:t>
      </w:r>
      <w:r w:rsidRPr="0021687B">
        <w:rPr>
          <w:rFonts w:ascii="Verdana" w:hAnsi="Verdana"/>
          <w:color w:val="000000"/>
          <w:sz w:val="18"/>
          <w:szCs w:val="18"/>
        </w:rPr>
        <w:t xml:space="preserve">under the age of 18 years, is </w:t>
      </w:r>
      <w:r w:rsidRPr="00116241">
        <w:rPr>
          <w:rFonts w:ascii="Verdana" w:hAnsi="Verdana"/>
          <w:color w:val="000000"/>
          <w:sz w:val="18"/>
          <w:szCs w:val="18"/>
        </w:rPr>
        <w:t xml:space="preserve">primarily the responsibility of the </w:t>
      </w:r>
      <w:r>
        <w:rPr>
          <w:rFonts w:ascii="Verdana" w:hAnsi="Verdana"/>
          <w:color w:val="000000"/>
          <w:sz w:val="18"/>
          <w:szCs w:val="18"/>
        </w:rPr>
        <w:t>benefit recipient</w:t>
      </w:r>
      <w:r w:rsidRPr="0021687B">
        <w:rPr>
          <w:rFonts w:ascii="Verdana" w:hAnsi="Verdana"/>
          <w:color w:val="000000"/>
          <w:sz w:val="18"/>
          <w:szCs w:val="18"/>
        </w:rPr>
        <w:t xml:space="preserve">, is </w:t>
      </w:r>
      <w:r w:rsidRPr="00116241">
        <w:rPr>
          <w:rFonts w:ascii="Verdana" w:hAnsi="Verdana"/>
          <w:color w:val="000000"/>
          <w:sz w:val="18"/>
          <w:szCs w:val="18"/>
        </w:rPr>
        <w:t>mainta</w:t>
      </w:r>
      <w:r w:rsidRPr="0021687B">
        <w:rPr>
          <w:rFonts w:ascii="Verdana" w:hAnsi="Verdana"/>
          <w:color w:val="000000"/>
          <w:sz w:val="18"/>
          <w:szCs w:val="18"/>
        </w:rPr>
        <w:t xml:space="preserve">ined as a member of </w:t>
      </w:r>
      <w:r>
        <w:rPr>
          <w:rFonts w:ascii="Verdana" w:hAnsi="Verdana"/>
          <w:color w:val="000000"/>
          <w:sz w:val="18"/>
          <w:szCs w:val="18"/>
        </w:rPr>
        <w:t>his or her</w:t>
      </w:r>
      <w:r w:rsidRPr="0021687B">
        <w:rPr>
          <w:rFonts w:ascii="Verdana" w:hAnsi="Verdana"/>
          <w:color w:val="000000"/>
          <w:sz w:val="18"/>
          <w:szCs w:val="18"/>
        </w:rPr>
        <w:t xml:space="preserve"> family, and is </w:t>
      </w:r>
      <w:r w:rsidRPr="00116241">
        <w:rPr>
          <w:rFonts w:ascii="Verdana" w:hAnsi="Verdana"/>
          <w:color w:val="000000"/>
          <w:sz w:val="18"/>
          <w:szCs w:val="18"/>
        </w:rPr>
        <w:t>financially dependent on th</w:t>
      </w:r>
      <w:r>
        <w:rPr>
          <w:rFonts w:ascii="Verdana" w:hAnsi="Verdana"/>
          <w:color w:val="000000"/>
          <w:sz w:val="18"/>
          <w:szCs w:val="18"/>
        </w:rPr>
        <w:t>e benefit recipient</w:t>
      </w:r>
      <w:r w:rsidRPr="0021687B">
        <w:rPr>
          <w:rFonts w:ascii="Verdana" w:hAnsi="Verdana"/>
          <w:color w:val="000000"/>
          <w:sz w:val="18"/>
          <w:szCs w:val="18"/>
        </w:rPr>
        <w:t>.</w:t>
      </w:r>
    </w:p>
  </w:footnote>
  <w:footnote w:id="11">
    <w:p w:rsidR="008257AF" w:rsidRPr="002E5AD0" w:rsidRDefault="008257AF" w:rsidP="002E5AD0">
      <w:pPr>
        <w:pStyle w:val="FootnoteText"/>
        <w:spacing w:after="0"/>
        <w:ind w:left="284" w:hanging="284"/>
        <w:rPr>
          <w:rFonts w:ascii="Verdana" w:hAnsi="Verdana"/>
          <w:sz w:val="18"/>
          <w:szCs w:val="18"/>
          <w:lang w:val="en-NZ"/>
        </w:rPr>
      </w:pPr>
      <w:r w:rsidRPr="002E5AD0">
        <w:rPr>
          <w:rStyle w:val="FootnoteReference"/>
          <w:rFonts w:ascii="Verdana" w:hAnsi="Verdana"/>
          <w:sz w:val="18"/>
          <w:szCs w:val="18"/>
        </w:rPr>
        <w:footnoteRef/>
      </w:r>
      <w:r w:rsidRPr="002E5AD0">
        <w:rPr>
          <w:rFonts w:ascii="Verdana" w:hAnsi="Verdana"/>
          <w:sz w:val="18"/>
          <w:szCs w:val="18"/>
        </w:rPr>
        <w:t xml:space="preserve"> </w:t>
      </w:r>
      <w:r w:rsidRPr="002E5AD0">
        <w:rPr>
          <w:rFonts w:ascii="Verdana" w:hAnsi="Verdana"/>
          <w:sz w:val="18"/>
          <w:szCs w:val="18"/>
          <w:lang w:val="en-NZ"/>
        </w:rPr>
        <w:tab/>
        <w:t xml:space="preserve">These figures include </w:t>
      </w:r>
      <w:r>
        <w:rPr>
          <w:rFonts w:ascii="Verdana" w:hAnsi="Verdana"/>
          <w:sz w:val="18"/>
          <w:szCs w:val="18"/>
          <w:lang w:val="en-NZ"/>
        </w:rPr>
        <w:t xml:space="preserve">inclusion in </w:t>
      </w:r>
      <w:r w:rsidRPr="002E5AD0">
        <w:rPr>
          <w:rFonts w:ascii="Verdana" w:hAnsi="Verdana"/>
          <w:sz w:val="18"/>
          <w:szCs w:val="18"/>
          <w:lang w:val="en-NZ"/>
        </w:rPr>
        <w:t xml:space="preserve">main benefit spells as well as </w:t>
      </w:r>
      <w:r>
        <w:rPr>
          <w:rFonts w:ascii="Verdana" w:hAnsi="Verdana"/>
          <w:sz w:val="18"/>
          <w:szCs w:val="18"/>
          <w:lang w:val="en-NZ"/>
        </w:rPr>
        <w:t>the</w:t>
      </w:r>
      <w:r w:rsidRPr="002E5AD0">
        <w:rPr>
          <w:rFonts w:ascii="Verdana" w:hAnsi="Verdana"/>
          <w:sz w:val="18"/>
          <w:szCs w:val="18"/>
          <w:lang w:val="en-NZ"/>
        </w:rPr>
        <w:t xml:space="preserve"> Unsupported Child Benefit </w:t>
      </w:r>
      <w:r>
        <w:rPr>
          <w:rFonts w:ascii="Verdana" w:hAnsi="Verdana"/>
          <w:sz w:val="18"/>
          <w:szCs w:val="18"/>
          <w:lang w:val="en-NZ"/>
        </w:rPr>
        <w:t>and the</w:t>
      </w:r>
      <w:r w:rsidRPr="002E5AD0">
        <w:rPr>
          <w:rFonts w:ascii="Verdana" w:hAnsi="Verdana"/>
          <w:sz w:val="18"/>
          <w:szCs w:val="18"/>
          <w:lang w:val="en-NZ"/>
        </w:rPr>
        <w:t xml:space="preserve"> Orphan</w:t>
      </w:r>
      <w:r>
        <w:rPr>
          <w:rFonts w:ascii="Verdana" w:hAnsi="Verdana"/>
          <w:sz w:val="18"/>
          <w:szCs w:val="18"/>
          <w:lang w:val="en-NZ"/>
        </w:rPr>
        <w:t>’</w:t>
      </w:r>
      <w:r w:rsidRPr="002E5AD0">
        <w:rPr>
          <w:rFonts w:ascii="Verdana" w:hAnsi="Verdana"/>
          <w:sz w:val="18"/>
          <w:szCs w:val="18"/>
          <w:lang w:val="en-NZ"/>
        </w:rPr>
        <w:t>s Benefit.</w:t>
      </w:r>
    </w:p>
  </w:footnote>
  <w:footnote w:id="12">
    <w:p w:rsidR="008257AF" w:rsidRPr="00795694" w:rsidRDefault="008257AF" w:rsidP="002E0B0A">
      <w:pPr>
        <w:pStyle w:val="FootnoteText"/>
        <w:spacing w:after="0"/>
        <w:ind w:hanging="284"/>
        <w:rPr>
          <w:rFonts w:ascii="Verdana" w:hAnsi="Verdana"/>
          <w:sz w:val="18"/>
          <w:szCs w:val="18"/>
          <w:lang w:val="en-NZ"/>
        </w:rPr>
      </w:pPr>
      <w:r w:rsidRPr="00795694">
        <w:rPr>
          <w:rStyle w:val="FootnoteReference"/>
          <w:rFonts w:ascii="Verdana" w:hAnsi="Verdana"/>
          <w:sz w:val="18"/>
          <w:szCs w:val="18"/>
        </w:rPr>
        <w:footnoteRef/>
      </w:r>
      <w:r w:rsidRPr="00795694">
        <w:rPr>
          <w:rFonts w:ascii="Verdana" w:hAnsi="Verdana"/>
          <w:sz w:val="18"/>
          <w:szCs w:val="18"/>
        </w:rPr>
        <w:t xml:space="preserve"> </w:t>
      </w:r>
      <w:r w:rsidRPr="00795694">
        <w:rPr>
          <w:rFonts w:ascii="Verdana" w:hAnsi="Verdana"/>
          <w:sz w:val="18"/>
          <w:szCs w:val="18"/>
          <w:lang w:val="en-NZ"/>
        </w:rPr>
        <w:tab/>
        <w:t>CYRAS is the Child, Youth and Family case management recording system, managed by MSD.</w:t>
      </w:r>
      <w:r>
        <w:rPr>
          <w:rFonts w:ascii="Verdana" w:hAnsi="Verdana"/>
          <w:sz w:val="18"/>
          <w:szCs w:val="18"/>
          <w:lang w:val="en-NZ"/>
        </w:rPr>
        <w:t xml:space="preserve"> CYRAS came online in November 2000.</w:t>
      </w:r>
    </w:p>
  </w:footnote>
  <w:footnote w:id="13">
    <w:p w:rsidR="008257AF" w:rsidRPr="005F204D" w:rsidRDefault="008257AF" w:rsidP="005D4902">
      <w:pPr>
        <w:pStyle w:val="FootnoteText"/>
        <w:spacing w:after="0"/>
        <w:ind w:left="284" w:hanging="284"/>
        <w:rPr>
          <w:rFonts w:ascii="Verdana" w:hAnsi="Verdana"/>
          <w:sz w:val="18"/>
          <w:szCs w:val="18"/>
          <w:lang w:val="en-NZ"/>
        </w:rPr>
      </w:pPr>
      <w:r w:rsidRPr="005F204D">
        <w:rPr>
          <w:rStyle w:val="FootnoteReference"/>
          <w:rFonts w:ascii="Verdana" w:hAnsi="Verdana"/>
          <w:sz w:val="18"/>
          <w:szCs w:val="18"/>
        </w:rPr>
        <w:footnoteRef/>
      </w:r>
      <w:r w:rsidRPr="005F204D">
        <w:rPr>
          <w:rFonts w:ascii="Verdana" w:hAnsi="Verdana"/>
          <w:sz w:val="18"/>
          <w:szCs w:val="18"/>
        </w:rPr>
        <w:t xml:space="preserve"> </w:t>
      </w:r>
      <w:r w:rsidRPr="005F204D">
        <w:rPr>
          <w:rFonts w:ascii="Verdana" w:hAnsi="Verdana"/>
          <w:sz w:val="18"/>
          <w:szCs w:val="18"/>
          <w:lang w:val="en-NZ"/>
        </w:rPr>
        <w:tab/>
        <w:t xml:space="preserve">A relationship table in CYRAS allows people to be linked in various “roles”. </w:t>
      </w:r>
      <w:r>
        <w:rPr>
          <w:rFonts w:ascii="Verdana" w:hAnsi="Verdana"/>
          <w:sz w:val="18"/>
          <w:szCs w:val="18"/>
          <w:lang w:val="en-NZ"/>
        </w:rPr>
        <w:t>For this analysis, g</w:t>
      </w:r>
      <w:r w:rsidRPr="005F204D">
        <w:rPr>
          <w:rFonts w:ascii="Verdana" w:hAnsi="Verdana"/>
          <w:sz w:val="18"/>
          <w:szCs w:val="18"/>
          <w:lang w:val="en-NZ"/>
        </w:rPr>
        <w:t xml:space="preserve">ang members were </w:t>
      </w:r>
      <w:r>
        <w:rPr>
          <w:rFonts w:ascii="Verdana" w:hAnsi="Verdana"/>
          <w:sz w:val="18"/>
          <w:szCs w:val="18"/>
          <w:lang w:val="en-NZ"/>
        </w:rPr>
        <w:t>taken</w:t>
      </w:r>
      <w:r w:rsidRPr="005F204D">
        <w:rPr>
          <w:rFonts w:ascii="Verdana" w:hAnsi="Verdana"/>
          <w:sz w:val="18"/>
          <w:szCs w:val="18"/>
          <w:lang w:val="en-NZ"/>
        </w:rPr>
        <w:t xml:space="preserve"> to be the parent of the child if they had the role of “parent”, </w:t>
      </w:r>
      <w:r>
        <w:rPr>
          <w:rFonts w:ascii="Verdana" w:hAnsi="Verdana"/>
          <w:sz w:val="18"/>
          <w:szCs w:val="18"/>
          <w:lang w:val="en-NZ"/>
        </w:rPr>
        <w:t>“birth parent” or “birth father”</w:t>
      </w:r>
      <w:r w:rsidRPr="005F204D">
        <w:rPr>
          <w:rFonts w:ascii="Verdana" w:hAnsi="Verdana"/>
          <w:sz w:val="18"/>
          <w:szCs w:val="18"/>
          <w:lang w:val="en-NZ"/>
        </w:rPr>
        <w:t>.</w:t>
      </w:r>
    </w:p>
  </w:footnote>
  <w:footnote w:id="14">
    <w:p w:rsidR="008257AF" w:rsidRPr="00045B21" w:rsidRDefault="008257AF" w:rsidP="00045B21">
      <w:pPr>
        <w:pStyle w:val="FootnoteText"/>
        <w:spacing w:after="60"/>
        <w:ind w:left="284" w:hanging="284"/>
        <w:rPr>
          <w:rFonts w:ascii="Verdana" w:hAnsi="Verdana"/>
          <w:sz w:val="18"/>
          <w:szCs w:val="18"/>
          <w:lang w:val="en-NZ"/>
        </w:rPr>
      </w:pPr>
      <w:r w:rsidRPr="00045B21">
        <w:rPr>
          <w:rStyle w:val="FootnoteReference"/>
          <w:rFonts w:ascii="Verdana" w:hAnsi="Verdana"/>
          <w:sz w:val="18"/>
          <w:szCs w:val="18"/>
        </w:rPr>
        <w:footnoteRef/>
      </w:r>
      <w:r w:rsidRPr="00045B21">
        <w:rPr>
          <w:rFonts w:ascii="Verdana" w:hAnsi="Verdana"/>
          <w:sz w:val="18"/>
          <w:szCs w:val="18"/>
        </w:rPr>
        <w:t xml:space="preserve"> </w:t>
      </w:r>
      <w:r w:rsidRPr="00045B21">
        <w:rPr>
          <w:rFonts w:ascii="Verdana" w:hAnsi="Verdana"/>
          <w:sz w:val="18"/>
          <w:szCs w:val="18"/>
          <w:lang w:val="en-NZ"/>
        </w:rPr>
        <w:tab/>
      </w:r>
      <w:r>
        <w:rPr>
          <w:rFonts w:ascii="Verdana" w:hAnsi="Verdana"/>
          <w:sz w:val="18"/>
          <w:szCs w:val="18"/>
          <w:lang w:val="en-NZ"/>
        </w:rPr>
        <w:t>New Zealand adult gang</w:t>
      </w:r>
      <w:r w:rsidRPr="00045B21">
        <w:rPr>
          <w:rFonts w:ascii="Verdana" w:hAnsi="Verdana"/>
          <w:sz w:val="18"/>
          <w:szCs w:val="18"/>
          <w:lang w:val="en-NZ"/>
        </w:rPr>
        <w:t xml:space="preserve"> membership is fluid with individuals moving into, out of and between gangs on a </w:t>
      </w:r>
      <w:r>
        <w:rPr>
          <w:rFonts w:ascii="Verdana" w:hAnsi="Verdana"/>
          <w:sz w:val="18"/>
          <w:szCs w:val="18"/>
          <w:lang w:val="en-NZ"/>
        </w:rPr>
        <w:t>regular</w:t>
      </w:r>
      <w:r w:rsidRPr="00045B21">
        <w:rPr>
          <w:rFonts w:ascii="Verdana" w:hAnsi="Verdana"/>
          <w:sz w:val="18"/>
          <w:szCs w:val="18"/>
          <w:lang w:val="en-NZ"/>
        </w:rPr>
        <w:t xml:space="preserve"> basis. For this reason, the recording of gang membership presents continuing challenges</w:t>
      </w:r>
      <w:r>
        <w:rPr>
          <w:rFonts w:ascii="Verdana" w:hAnsi="Verdana"/>
          <w:sz w:val="18"/>
          <w:szCs w:val="18"/>
          <w:lang w:val="en-NZ"/>
        </w:rPr>
        <w:t xml:space="preserve"> for </w:t>
      </w:r>
      <w:r w:rsidRPr="00045B21">
        <w:rPr>
          <w:rFonts w:ascii="Verdana" w:hAnsi="Verdana"/>
          <w:sz w:val="18"/>
          <w:szCs w:val="18"/>
          <w:lang w:val="en-NZ"/>
        </w:rPr>
        <w:t xml:space="preserve">NZ Police. It is therefore estimated </w:t>
      </w:r>
      <w:r>
        <w:rPr>
          <w:rFonts w:ascii="Verdana" w:hAnsi="Verdana"/>
          <w:sz w:val="18"/>
          <w:szCs w:val="18"/>
          <w:lang w:val="en-NZ"/>
        </w:rPr>
        <w:t xml:space="preserve">by NZ Police </w:t>
      </w:r>
      <w:r w:rsidRPr="00045B21">
        <w:rPr>
          <w:rFonts w:ascii="Verdana" w:hAnsi="Verdana"/>
          <w:sz w:val="18"/>
          <w:szCs w:val="18"/>
          <w:lang w:val="en-NZ"/>
        </w:rPr>
        <w:t>that at any given time</w:t>
      </w:r>
      <w:r>
        <w:rPr>
          <w:rFonts w:ascii="Verdana" w:hAnsi="Verdana"/>
          <w:sz w:val="18"/>
          <w:szCs w:val="18"/>
          <w:lang w:val="en-NZ"/>
        </w:rPr>
        <w:t>,</w:t>
      </w:r>
      <w:r w:rsidRPr="00045B21">
        <w:rPr>
          <w:rFonts w:ascii="Verdana" w:hAnsi="Verdana"/>
          <w:sz w:val="18"/>
          <w:szCs w:val="18"/>
          <w:lang w:val="en-NZ"/>
        </w:rPr>
        <w:t xml:space="preserve"> there are likely to be between 3,500 and 4,000 patched members and prospects</w:t>
      </w:r>
      <w:r>
        <w:rPr>
          <w:rFonts w:ascii="Verdana" w:hAnsi="Verdana"/>
          <w:sz w:val="18"/>
          <w:szCs w:val="18"/>
          <w:lang w:val="en-NZ"/>
        </w:rPr>
        <w:t>.</w:t>
      </w:r>
    </w:p>
  </w:footnote>
  <w:footnote w:id="15">
    <w:p w:rsidR="008257AF" w:rsidRPr="004E3CA9" w:rsidRDefault="008257AF" w:rsidP="004E3CA9">
      <w:pPr>
        <w:pStyle w:val="FootnoteText"/>
        <w:spacing w:after="0"/>
        <w:rPr>
          <w:rFonts w:ascii="Verdana" w:hAnsi="Verdana"/>
          <w:sz w:val="18"/>
          <w:szCs w:val="18"/>
          <w:lang w:val="en-NZ"/>
        </w:rPr>
      </w:pPr>
      <w:r w:rsidRPr="004E3CA9">
        <w:rPr>
          <w:rStyle w:val="FootnoteReference"/>
          <w:rFonts w:ascii="Verdana" w:hAnsi="Verdana"/>
          <w:sz w:val="18"/>
          <w:szCs w:val="18"/>
        </w:rPr>
        <w:footnoteRef/>
      </w:r>
      <w:r w:rsidRPr="004E3CA9">
        <w:rPr>
          <w:rFonts w:ascii="Verdana" w:hAnsi="Verdana"/>
          <w:sz w:val="18"/>
          <w:szCs w:val="18"/>
        </w:rPr>
        <w:t xml:space="preserve"> </w:t>
      </w:r>
      <w:r w:rsidRPr="004E3CA9">
        <w:rPr>
          <w:rFonts w:ascii="Verdana" w:hAnsi="Verdana"/>
          <w:sz w:val="18"/>
          <w:szCs w:val="18"/>
          <w:lang w:val="en-NZ"/>
        </w:rPr>
        <w:tab/>
        <w:t xml:space="preserve">A </w:t>
      </w:r>
      <w:r>
        <w:rPr>
          <w:rFonts w:ascii="Verdana" w:hAnsi="Verdana"/>
          <w:sz w:val="18"/>
          <w:szCs w:val="18"/>
          <w:lang w:val="en-NZ"/>
        </w:rPr>
        <w:t>“</w:t>
      </w:r>
      <w:r w:rsidRPr="004E3CA9">
        <w:rPr>
          <w:rFonts w:ascii="Verdana" w:hAnsi="Verdana"/>
          <w:sz w:val="18"/>
          <w:szCs w:val="18"/>
          <w:lang w:val="en-NZ"/>
        </w:rPr>
        <w:t>fuzzy match</w:t>
      </w:r>
      <w:r>
        <w:rPr>
          <w:rFonts w:ascii="Verdana" w:hAnsi="Verdana"/>
          <w:sz w:val="18"/>
          <w:szCs w:val="18"/>
          <w:lang w:val="en-NZ"/>
        </w:rPr>
        <w:t>”</w:t>
      </w:r>
      <w:r w:rsidRPr="004E3CA9">
        <w:rPr>
          <w:rFonts w:ascii="Verdana" w:hAnsi="Verdana"/>
          <w:sz w:val="18"/>
          <w:szCs w:val="18"/>
          <w:lang w:val="en-NZ"/>
        </w:rPr>
        <w:t xml:space="preserve"> is essentially a comparison </w:t>
      </w:r>
      <w:r>
        <w:rPr>
          <w:rFonts w:ascii="Verdana" w:hAnsi="Verdana"/>
          <w:sz w:val="18"/>
          <w:szCs w:val="18"/>
          <w:lang w:val="en-NZ"/>
        </w:rPr>
        <w:t xml:space="preserve">of patterns in </w:t>
      </w:r>
      <w:r w:rsidRPr="004E3CA9">
        <w:rPr>
          <w:rFonts w:ascii="Verdana" w:hAnsi="Verdana"/>
          <w:sz w:val="18"/>
          <w:szCs w:val="18"/>
          <w:lang w:val="en-NZ"/>
        </w:rPr>
        <w:t xml:space="preserve">two </w:t>
      </w:r>
      <w:r>
        <w:rPr>
          <w:rFonts w:ascii="Verdana" w:hAnsi="Verdana"/>
          <w:sz w:val="18"/>
          <w:szCs w:val="18"/>
          <w:lang w:val="en-NZ"/>
        </w:rPr>
        <w:t xml:space="preserve">character </w:t>
      </w:r>
      <w:r w:rsidRPr="004E3CA9">
        <w:rPr>
          <w:rFonts w:ascii="Verdana" w:hAnsi="Verdana"/>
          <w:sz w:val="18"/>
          <w:szCs w:val="18"/>
          <w:lang w:val="en-NZ"/>
        </w:rPr>
        <w:t xml:space="preserve">strings </w:t>
      </w:r>
      <w:r>
        <w:rPr>
          <w:rFonts w:ascii="Verdana" w:hAnsi="Verdana"/>
          <w:sz w:val="18"/>
          <w:szCs w:val="18"/>
          <w:lang w:val="en-NZ"/>
        </w:rPr>
        <w:t xml:space="preserve">(in this case names) </w:t>
      </w:r>
      <w:r w:rsidRPr="004E3CA9">
        <w:rPr>
          <w:rFonts w:ascii="Verdana" w:hAnsi="Verdana"/>
          <w:sz w:val="18"/>
          <w:szCs w:val="18"/>
          <w:lang w:val="en-NZ"/>
        </w:rPr>
        <w:t xml:space="preserve">to see </w:t>
      </w:r>
      <w:r>
        <w:rPr>
          <w:rFonts w:ascii="Verdana" w:hAnsi="Verdana"/>
          <w:sz w:val="18"/>
          <w:szCs w:val="18"/>
          <w:lang w:val="en-NZ"/>
        </w:rPr>
        <w:t>how similar they are</w:t>
      </w:r>
      <w:r w:rsidRPr="004E3CA9">
        <w:rPr>
          <w:rFonts w:ascii="Verdana" w:hAnsi="Verdana"/>
          <w:sz w:val="18"/>
          <w:szCs w:val="18"/>
          <w:lang w:val="en-NZ"/>
        </w:rPr>
        <w:t>.</w:t>
      </w:r>
      <w:r>
        <w:rPr>
          <w:rFonts w:ascii="Verdana" w:hAnsi="Verdana"/>
          <w:sz w:val="18"/>
          <w:szCs w:val="18"/>
          <w:lang w:val="en-NZ"/>
        </w:rPr>
        <w:t xml:space="preserve"> A 95 percent fuzzy match means the two sets of characters are very similar, but not exactly the same. This may occur for example if a name was Katherine Smith in one source and Catherine Smith in the other source.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E4E308"/>
    <w:lvl w:ilvl="0">
      <w:start w:val="1"/>
      <w:numFmt w:val="bullet"/>
      <w:pStyle w:val="Bullet1"/>
      <w:lvlText w:val=""/>
      <w:lvlJc w:val="left"/>
      <w:pPr>
        <w:tabs>
          <w:tab w:val="num" w:pos="360"/>
        </w:tabs>
        <w:ind w:left="360" w:hanging="360"/>
      </w:pPr>
      <w:rPr>
        <w:rFonts w:ascii="Symbol" w:hAnsi="Symbol" w:hint="default"/>
      </w:rPr>
    </w:lvl>
  </w:abstractNum>
  <w:abstractNum w:abstractNumId="1">
    <w:nsid w:val="04990CA0"/>
    <w:multiLevelType w:val="hybridMultilevel"/>
    <w:tmpl w:val="078E32F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nsid w:val="07E055C0"/>
    <w:multiLevelType w:val="hybridMultilevel"/>
    <w:tmpl w:val="2F7E4E8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nsid w:val="22071CF5"/>
    <w:multiLevelType w:val="hybridMultilevel"/>
    <w:tmpl w:val="49908AB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283F3243"/>
    <w:multiLevelType w:val="hybridMultilevel"/>
    <w:tmpl w:val="7862B0E4"/>
    <w:lvl w:ilvl="0" w:tplc="C01414EA">
      <w:start w:val="1"/>
      <w:numFmt w:val="bullet"/>
      <w:pStyle w:val="bullet10"/>
      <w:lvlText w:val="•"/>
      <w:lvlJc w:val="left"/>
      <w:pPr>
        <w:tabs>
          <w:tab w:val="num" w:pos="-360"/>
        </w:tabs>
        <w:ind w:left="360" w:hanging="360"/>
      </w:pPr>
      <w:rPr>
        <w:rFonts w:ascii="Trebuchet MS" w:hAnsi="Trebuchet MS" w:hint="default"/>
        <w:color w:val="auto"/>
        <w:sz w:val="20"/>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88D551A"/>
    <w:multiLevelType w:val="hybridMultilevel"/>
    <w:tmpl w:val="24647C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09E2C7F"/>
    <w:multiLevelType w:val="hybridMultilevel"/>
    <w:tmpl w:val="74AC8FB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45C43F38"/>
    <w:multiLevelType w:val="hybridMultilevel"/>
    <w:tmpl w:val="1EF0472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47AE15AF"/>
    <w:multiLevelType w:val="hybridMultilevel"/>
    <w:tmpl w:val="0B7031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4FD14BE5"/>
    <w:multiLevelType w:val="hybridMultilevel"/>
    <w:tmpl w:val="AD7E670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6"/>
  </w:num>
  <w:num w:numId="5">
    <w:abstractNumId w:val="11"/>
  </w:num>
  <w:num w:numId="6">
    <w:abstractNumId w:val="10"/>
  </w:num>
  <w:num w:numId="7">
    <w:abstractNumId w:val="5"/>
  </w:num>
  <w:num w:numId="8">
    <w:abstractNumId w:val="2"/>
  </w:num>
  <w:num w:numId="9">
    <w:abstractNumId w:val="9"/>
  </w:num>
  <w:num w:numId="10">
    <w:abstractNumId w:val="1"/>
  </w:num>
  <w:num w:numId="11">
    <w:abstractNumId w:val="7"/>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CA"/>
    <w:rsid w:val="0000078A"/>
    <w:rsid w:val="00000824"/>
    <w:rsid w:val="00000B4C"/>
    <w:rsid w:val="000029E6"/>
    <w:rsid w:val="00004690"/>
    <w:rsid w:val="00004B46"/>
    <w:rsid w:val="00005CA0"/>
    <w:rsid w:val="00005E7E"/>
    <w:rsid w:val="00007005"/>
    <w:rsid w:val="000106D0"/>
    <w:rsid w:val="000118BF"/>
    <w:rsid w:val="00011F59"/>
    <w:rsid w:val="00012651"/>
    <w:rsid w:val="00012BA9"/>
    <w:rsid w:val="00014D4F"/>
    <w:rsid w:val="0001581A"/>
    <w:rsid w:val="00016542"/>
    <w:rsid w:val="00017DC5"/>
    <w:rsid w:val="00020485"/>
    <w:rsid w:val="000224E4"/>
    <w:rsid w:val="00025C78"/>
    <w:rsid w:val="00031139"/>
    <w:rsid w:val="00031FAA"/>
    <w:rsid w:val="00035C56"/>
    <w:rsid w:val="00037CB0"/>
    <w:rsid w:val="000408DE"/>
    <w:rsid w:val="00041BA5"/>
    <w:rsid w:val="0004268C"/>
    <w:rsid w:val="00042CAA"/>
    <w:rsid w:val="00042FF1"/>
    <w:rsid w:val="00043A1F"/>
    <w:rsid w:val="00045074"/>
    <w:rsid w:val="00045B21"/>
    <w:rsid w:val="00045FA0"/>
    <w:rsid w:val="0005179F"/>
    <w:rsid w:val="000603CE"/>
    <w:rsid w:val="00060CD7"/>
    <w:rsid w:val="000622A4"/>
    <w:rsid w:val="000649DE"/>
    <w:rsid w:val="00065337"/>
    <w:rsid w:val="00066F50"/>
    <w:rsid w:val="00070110"/>
    <w:rsid w:val="00077F5F"/>
    <w:rsid w:val="000813F3"/>
    <w:rsid w:val="00082972"/>
    <w:rsid w:val="00084E45"/>
    <w:rsid w:val="0008515B"/>
    <w:rsid w:val="0008618B"/>
    <w:rsid w:val="00087E11"/>
    <w:rsid w:val="00091A50"/>
    <w:rsid w:val="00091B94"/>
    <w:rsid w:val="0009231B"/>
    <w:rsid w:val="00092808"/>
    <w:rsid w:val="00095400"/>
    <w:rsid w:val="00095839"/>
    <w:rsid w:val="0009752F"/>
    <w:rsid w:val="00097F14"/>
    <w:rsid w:val="000A0422"/>
    <w:rsid w:val="000A1668"/>
    <w:rsid w:val="000A1842"/>
    <w:rsid w:val="000A2341"/>
    <w:rsid w:val="000A336A"/>
    <w:rsid w:val="000A44B4"/>
    <w:rsid w:val="000A5417"/>
    <w:rsid w:val="000A666B"/>
    <w:rsid w:val="000B155D"/>
    <w:rsid w:val="000B4D99"/>
    <w:rsid w:val="000B7F13"/>
    <w:rsid w:val="000C4A5D"/>
    <w:rsid w:val="000C62B4"/>
    <w:rsid w:val="000C6BA1"/>
    <w:rsid w:val="000D287B"/>
    <w:rsid w:val="000D383E"/>
    <w:rsid w:val="000D47E5"/>
    <w:rsid w:val="000D5F95"/>
    <w:rsid w:val="000D61B5"/>
    <w:rsid w:val="000D7BC5"/>
    <w:rsid w:val="000E05C9"/>
    <w:rsid w:val="000E08C3"/>
    <w:rsid w:val="000E0AD8"/>
    <w:rsid w:val="000E303E"/>
    <w:rsid w:val="000E3341"/>
    <w:rsid w:val="000E3BB9"/>
    <w:rsid w:val="000E3BEA"/>
    <w:rsid w:val="000E59E5"/>
    <w:rsid w:val="000E76F9"/>
    <w:rsid w:val="000F31D5"/>
    <w:rsid w:val="000F507E"/>
    <w:rsid w:val="000F537A"/>
    <w:rsid w:val="000F5B58"/>
    <w:rsid w:val="000F6952"/>
    <w:rsid w:val="0010042E"/>
    <w:rsid w:val="00100D6A"/>
    <w:rsid w:val="0010486F"/>
    <w:rsid w:val="00106AED"/>
    <w:rsid w:val="001071BA"/>
    <w:rsid w:val="00110AD3"/>
    <w:rsid w:val="00112A3D"/>
    <w:rsid w:val="00112DCD"/>
    <w:rsid w:val="00114F99"/>
    <w:rsid w:val="001157AA"/>
    <w:rsid w:val="001175AF"/>
    <w:rsid w:val="00117C85"/>
    <w:rsid w:val="00117E0F"/>
    <w:rsid w:val="001216FD"/>
    <w:rsid w:val="0012226C"/>
    <w:rsid w:val="00122A24"/>
    <w:rsid w:val="00122A6B"/>
    <w:rsid w:val="0012328E"/>
    <w:rsid w:val="00124556"/>
    <w:rsid w:val="00125B42"/>
    <w:rsid w:val="00126868"/>
    <w:rsid w:val="001269B3"/>
    <w:rsid w:val="00130846"/>
    <w:rsid w:val="00131CDE"/>
    <w:rsid w:val="00132A19"/>
    <w:rsid w:val="001330C9"/>
    <w:rsid w:val="001335C0"/>
    <w:rsid w:val="0013692F"/>
    <w:rsid w:val="00136B86"/>
    <w:rsid w:val="001414F1"/>
    <w:rsid w:val="0014169E"/>
    <w:rsid w:val="00142F88"/>
    <w:rsid w:val="00143EFE"/>
    <w:rsid w:val="00144D95"/>
    <w:rsid w:val="00145168"/>
    <w:rsid w:val="00146714"/>
    <w:rsid w:val="00152F3D"/>
    <w:rsid w:val="001534B7"/>
    <w:rsid w:val="00153C46"/>
    <w:rsid w:val="001558F6"/>
    <w:rsid w:val="0015625C"/>
    <w:rsid w:val="00156F46"/>
    <w:rsid w:val="00157140"/>
    <w:rsid w:val="00157860"/>
    <w:rsid w:val="001647F2"/>
    <w:rsid w:val="00164A92"/>
    <w:rsid w:val="0016560C"/>
    <w:rsid w:val="00165E3F"/>
    <w:rsid w:val="00166BCF"/>
    <w:rsid w:val="00167435"/>
    <w:rsid w:val="00167F6B"/>
    <w:rsid w:val="00170887"/>
    <w:rsid w:val="00170AF5"/>
    <w:rsid w:val="001742F5"/>
    <w:rsid w:val="00174E04"/>
    <w:rsid w:val="00175734"/>
    <w:rsid w:val="00176E1D"/>
    <w:rsid w:val="0017701E"/>
    <w:rsid w:val="00177FE0"/>
    <w:rsid w:val="00180459"/>
    <w:rsid w:val="00182A96"/>
    <w:rsid w:val="00182F8C"/>
    <w:rsid w:val="00183DA6"/>
    <w:rsid w:val="00184D94"/>
    <w:rsid w:val="00185AD9"/>
    <w:rsid w:val="00185C32"/>
    <w:rsid w:val="00187357"/>
    <w:rsid w:val="00190D6B"/>
    <w:rsid w:val="00191279"/>
    <w:rsid w:val="0019516D"/>
    <w:rsid w:val="001A0B11"/>
    <w:rsid w:val="001A2A02"/>
    <w:rsid w:val="001A483B"/>
    <w:rsid w:val="001A489A"/>
    <w:rsid w:val="001A6DAA"/>
    <w:rsid w:val="001B04B0"/>
    <w:rsid w:val="001B057B"/>
    <w:rsid w:val="001B11A5"/>
    <w:rsid w:val="001B1226"/>
    <w:rsid w:val="001B33D8"/>
    <w:rsid w:val="001B3837"/>
    <w:rsid w:val="001C032C"/>
    <w:rsid w:val="001C0600"/>
    <w:rsid w:val="001C3904"/>
    <w:rsid w:val="001C3A6A"/>
    <w:rsid w:val="001C4ABD"/>
    <w:rsid w:val="001D00EB"/>
    <w:rsid w:val="001D1F28"/>
    <w:rsid w:val="001D2C69"/>
    <w:rsid w:val="001D2E4A"/>
    <w:rsid w:val="001D348C"/>
    <w:rsid w:val="001D3744"/>
    <w:rsid w:val="001D4231"/>
    <w:rsid w:val="001D507A"/>
    <w:rsid w:val="001D6DD5"/>
    <w:rsid w:val="001D7660"/>
    <w:rsid w:val="001D7EAB"/>
    <w:rsid w:val="001E04A0"/>
    <w:rsid w:val="001E13A9"/>
    <w:rsid w:val="001E2E14"/>
    <w:rsid w:val="001E484A"/>
    <w:rsid w:val="001F0074"/>
    <w:rsid w:val="001F034D"/>
    <w:rsid w:val="001F27AB"/>
    <w:rsid w:val="001F2ACD"/>
    <w:rsid w:val="001F48F5"/>
    <w:rsid w:val="00200F81"/>
    <w:rsid w:val="00201BA6"/>
    <w:rsid w:val="0020495A"/>
    <w:rsid w:val="00205773"/>
    <w:rsid w:val="00205B4A"/>
    <w:rsid w:val="00205EDB"/>
    <w:rsid w:val="0020628C"/>
    <w:rsid w:val="00211FF9"/>
    <w:rsid w:val="002137DF"/>
    <w:rsid w:val="00213DA6"/>
    <w:rsid w:val="00216126"/>
    <w:rsid w:val="00216302"/>
    <w:rsid w:val="0021639A"/>
    <w:rsid w:val="0021687B"/>
    <w:rsid w:val="00216BA5"/>
    <w:rsid w:val="002170CD"/>
    <w:rsid w:val="00217489"/>
    <w:rsid w:val="00220C80"/>
    <w:rsid w:val="00223382"/>
    <w:rsid w:val="00225AC2"/>
    <w:rsid w:val="002279C1"/>
    <w:rsid w:val="0023013A"/>
    <w:rsid w:val="0023313F"/>
    <w:rsid w:val="0023489B"/>
    <w:rsid w:val="00236A35"/>
    <w:rsid w:val="00240E03"/>
    <w:rsid w:val="00242A7F"/>
    <w:rsid w:val="002447EA"/>
    <w:rsid w:val="002452D4"/>
    <w:rsid w:val="00245A2B"/>
    <w:rsid w:val="00246A9C"/>
    <w:rsid w:val="00247021"/>
    <w:rsid w:val="00247AD3"/>
    <w:rsid w:val="00250A3A"/>
    <w:rsid w:val="00251476"/>
    <w:rsid w:val="0025186D"/>
    <w:rsid w:val="002565E9"/>
    <w:rsid w:val="0025693D"/>
    <w:rsid w:val="0026218A"/>
    <w:rsid w:val="00267BFB"/>
    <w:rsid w:val="002747E1"/>
    <w:rsid w:val="00274DFA"/>
    <w:rsid w:val="002760D0"/>
    <w:rsid w:val="00276702"/>
    <w:rsid w:val="002802AC"/>
    <w:rsid w:val="002822ED"/>
    <w:rsid w:val="00283369"/>
    <w:rsid w:val="00284452"/>
    <w:rsid w:val="00286AC5"/>
    <w:rsid w:val="0028708C"/>
    <w:rsid w:val="002909A4"/>
    <w:rsid w:val="002953F1"/>
    <w:rsid w:val="0029700B"/>
    <w:rsid w:val="002979C7"/>
    <w:rsid w:val="002A05A8"/>
    <w:rsid w:val="002A0651"/>
    <w:rsid w:val="002A2686"/>
    <w:rsid w:val="002A48F8"/>
    <w:rsid w:val="002A5647"/>
    <w:rsid w:val="002A6BF2"/>
    <w:rsid w:val="002A714A"/>
    <w:rsid w:val="002B5E0D"/>
    <w:rsid w:val="002B68B1"/>
    <w:rsid w:val="002B6BAD"/>
    <w:rsid w:val="002B6E37"/>
    <w:rsid w:val="002B7CB9"/>
    <w:rsid w:val="002C58EC"/>
    <w:rsid w:val="002C5D6B"/>
    <w:rsid w:val="002C6F6E"/>
    <w:rsid w:val="002C7990"/>
    <w:rsid w:val="002D0063"/>
    <w:rsid w:val="002D12BF"/>
    <w:rsid w:val="002D1C62"/>
    <w:rsid w:val="002D302E"/>
    <w:rsid w:val="002D52BF"/>
    <w:rsid w:val="002D6622"/>
    <w:rsid w:val="002D77F2"/>
    <w:rsid w:val="002E0B0A"/>
    <w:rsid w:val="002E0BC0"/>
    <w:rsid w:val="002E1A53"/>
    <w:rsid w:val="002E2553"/>
    <w:rsid w:val="002E377A"/>
    <w:rsid w:val="002E486F"/>
    <w:rsid w:val="002E4CA6"/>
    <w:rsid w:val="002E5AD0"/>
    <w:rsid w:val="002E7E94"/>
    <w:rsid w:val="002F1CCD"/>
    <w:rsid w:val="002F339B"/>
    <w:rsid w:val="002F39C2"/>
    <w:rsid w:val="002F4046"/>
    <w:rsid w:val="002F69D6"/>
    <w:rsid w:val="002F6CBE"/>
    <w:rsid w:val="002F6E4A"/>
    <w:rsid w:val="00301009"/>
    <w:rsid w:val="0030395C"/>
    <w:rsid w:val="00304036"/>
    <w:rsid w:val="0030553B"/>
    <w:rsid w:val="0030652C"/>
    <w:rsid w:val="003069B4"/>
    <w:rsid w:val="00306E2E"/>
    <w:rsid w:val="00307675"/>
    <w:rsid w:val="003102B3"/>
    <w:rsid w:val="0031127E"/>
    <w:rsid w:val="00312697"/>
    <w:rsid w:val="00312E55"/>
    <w:rsid w:val="00313E88"/>
    <w:rsid w:val="00314119"/>
    <w:rsid w:val="00314365"/>
    <w:rsid w:val="00316174"/>
    <w:rsid w:val="00316620"/>
    <w:rsid w:val="003178E9"/>
    <w:rsid w:val="00320203"/>
    <w:rsid w:val="00322AE0"/>
    <w:rsid w:val="00324406"/>
    <w:rsid w:val="003252CF"/>
    <w:rsid w:val="00326164"/>
    <w:rsid w:val="00326C8F"/>
    <w:rsid w:val="00327433"/>
    <w:rsid w:val="00327B63"/>
    <w:rsid w:val="00331559"/>
    <w:rsid w:val="00332B83"/>
    <w:rsid w:val="00332C76"/>
    <w:rsid w:val="00334577"/>
    <w:rsid w:val="003345DF"/>
    <w:rsid w:val="00337298"/>
    <w:rsid w:val="0034053B"/>
    <w:rsid w:val="0034284A"/>
    <w:rsid w:val="00342946"/>
    <w:rsid w:val="00344827"/>
    <w:rsid w:val="00347640"/>
    <w:rsid w:val="003503FE"/>
    <w:rsid w:val="00350D66"/>
    <w:rsid w:val="00350EC5"/>
    <w:rsid w:val="00351A89"/>
    <w:rsid w:val="00352420"/>
    <w:rsid w:val="00354EC2"/>
    <w:rsid w:val="00355561"/>
    <w:rsid w:val="00356A8B"/>
    <w:rsid w:val="00357728"/>
    <w:rsid w:val="00360CEF"/>
    <w:rsid w:val="0036236F"/>
    <w:rsid w:val="00362A23"/>
    <w:rsid w:val="0036321C"/>
    <w:rsid w:val="00363F25"/>
    <w:rsid w:val="00364401"/>
    <w:rsid w:val="0037120A"/>
    <w:rsid w:val="00372ED7"/>
    <w:rsid w:val="003748FF"/>
    <w:rsid w:val="00376675"/>
    <w:rsid w:val="0038001F"/>
    <w:rsid w:val="0038061E"/>
    <w:rsid w:val="00382504"/>
    <w:rsid w:val="003864E3"/>
    <w:rsid w:val="0038726D"/>
    <w:rsid w:val="00391151"/>
    <w:rsid w:val="00391FAE"/>
    <w:rsid w:val="0039253E"/>
    <w:rsid w:val="0039366E"/>
    <w:rsid w:val="00393E0E"/>
    <w:rsid w:val="0039639E"/>
    <w:rsid w:val="003978F4"/>
    <w:rsid w:val="003A0D0D"/>
    <w:rsid w:val="003A1DD0"/>
    <w:rsid w:val="003A29C4"/>
    <w:rsid w:val="003A5509"/>
    <w:rsid w:val="003A61DD"/>
    <w:rsid w:val="003A6ADE"/>
    <w:rsid w:val="003A79F5"/>
    <w:rsid w:val="003A7B5A"/>
    <w:rsid w:val="003B0BBE"/>
    <w:rsid w:val="003B2737"/>
    <w:rsid w:val="003B3C69"/>
    <w:rsid w:val="003B4D0F"/>
    <w:rsid w:val="003C21F2"/>
    <w:rsid w:val="003C46A3"/>
    <w:rsid w:val="003C5319"/>
    <w:rsid w:val="003C6BD4"/>
    <w:rsid w:val="003C7A63"/>
    <w:rsid w:val="003D0888"/>
    <w:rsid w:val="003D13C3"/>
    <w:rsid w:val="003D2A31"/>
    <w:rsid w:val="003D332D"/>
    <w:rsid w:val="003D4044"/>
    <w:rsid w:val="003D49EF"/>
    <w:rsid w:val="003D5CBD"/>
    <w:rsid w:val="003D6A82"/>
    <w:rsid w:val="003D7937"/>
    <w:rsid w:val="003E04C5"/>
    <w:rsid w:val="003E4960"/>
    <w:rsid w:val="003E61D2"/>
    <w:rsid w:val="003E73AE"/>
    <w:rsid w:val="003F0DB3"/>
    <w:rsid w:val="003F6008"/>
    <w:rsid w:val="003F7907"/>
    <w:rsid w:val="003F7A37"/>
    <w:rsid w:val="003F7F8C"/>
    <w:rsid w:val="0040213C"/>
    <w:rsid w:val="00407DE1"/>
    <w:rsid w:val="00407F3C"/>
    <w:rsid w:val="0041002D"/>
    <w:rsid w:val="004131BE"/>
    <w:rsid w:val="00413C69"/>
    <w:rsid w:val="004143AC"/>
    <w:rsid w:val="004149E4"/>
    <w:rsid w:val="00414E8A"/>
    <w:rsid w:val="004167F0"/>
    <w:rsid w:val="00416B93"/>
    <w:rsid w:val="00416C49"/>
    <w:rsid w:val="00416EFF"/>
    <w:rsid w:val="00420A19"/>
    <w:rsid w:val="00422462"/>
    <w:rsid w:val="004227ED"/>
    <w:rsid w:val="00422B04"/>
    <w:rsid w:val="00422EF9"/>
    <w:rsid w:val="00423F3D"/>
    <w:rsid w:val="004243A5"/>
    <w:rsid w:val="00424932"/>
    <w:rsid w:val="00427875"/>
    <w:rsid w:val="004310E9"/>
    <w:rsid w:val="004318D5"/>
    <w:rsid w:val="00431936"/>
    <w:rsid w:val="00432702"/>
    <w:rsid w:val="0043286C"/>
    <w:rsid w:val="00433B8D"/>
    <w:rsid w:val="004377E1"/>
    <w:rsid w:val="00437BD9"/>
    <w:rsid w:val="004402CA"/>
    <w:rsid w:val="00440481"/>
    <w:rsid w:val="00443776"/>
    <w:rsid w:val="00443D3A"/>
    <w:rsid w:val="00444601"/>
    <w:rsid w:val="00445BCE"/>
    <w:rsid w:val="0045001E"/>
    <w:rsid w:val="00454D37"/>
    <w:rsid w:val="00454F25"/>
    <w:rsid w:val="0045593E"/>
    <w:rsid w:val="00456817"/>
    <w:rsid w:val="00457D64"/>
    <w:rsid w:val="0046314E"/>
    <w:rsid w:val="00463257"/>
    <w:rsid w:val="00466901"/>
    <w:rsid w:val="004676ED"/>
    <w:rsid w:val="00467C9F"/>
    <w:rsid w:val="0047004D"/>
    <w:rsid w:val="00470C81"/>
    <w:rsid w:val="00470D79"/>
    <w:rsid w:val="00474076"/>
    <w:rsid w:val="004758A6"/>
    <w:rsid w:val="0047775A"/>
    <w:rsid w:val="004803BF"/>
    <w:rsid w:val="00480DD3"/>
    <w:rsid w:val="00480EA6"/>
    <w:rsid w:val="00487A14"/>
    <w:rsid w:val="00487CD3"/>
    <w:rsid w:val="00490469"/>
    <w:rsid w:val="00490CF9"/>
    <w:rsid w:val="00491D88"/>
    <w:rsid w:val="00496876"/>
    <w:rsid w:val="004A1912"/>
    <w:rsid w:val="004A2070"/>
    <w:rsid w:val="004A23BC"/>
    <w:rsid w:val="004A353E"/>
    <w:rsid w:val="004A731D"/>
    <w:rsid w:val="004B0F99"/>
    <w:rsid w:val="004B129A"/>
    <w:rsid w:val="004B1456"/>
    <w:rsid w:val="004B2B00"/>
    <w:rsid w:val="004B484A"/>
    <w:rsid w:val="004B748F"/>
    <w:rsid w:val="004C0AC6"/>
    <w:rsid w:val="004C0C3B"/>
    <w:rsid w:val="004C2763"/>
    <w:rsid w:val="004C37B8"/>
    <w:rsid w:val="004C3E7D"/>
    <w:rsid w:val="004C4B2A"/>
    <w:rsid w:val="004D11A1"/>
    <w:rsid w:val="004D4085"/>
    <w:rsid w:val="004D513E"/>
    <w:rsid w:val="004D71F0"/>
    <w:rsid w:val="004D7493"/>
    <w:rsid w:val="004E2ADB"/>
    <w:rsid w:val="004E3CA9"/>
    <w:rsid w:val="004E5793"/>
    <w:rsid w:val="004E7956"/>
    <w:rsid w:val="004F5C72"/>
    <w:rsid w:val="00500763"/>
    <w:rsid w:val="0050621D"/>
    <w:rsid w:val="005063AD"/>
    <w:rsid w:val="00507FC1"/>
    <w:rsid w:val="00511698"/>
    <w:rsid w:val="00513A94"/>
    <w:rsid w:val="00513C4A"/>
    <w:rsid w:val="005147FF"/>
    <w:rsid w:val="00514C21"/>
    <w:rsid w:val="00514D30"/>
    <w:rsid w:val="00517A3D"/>
    <w:rsid w:val="00520829"/>
    <w:rsid w:val="00521C7C"/>
    <w:rsid w:val="00524B2D"/>
    <w:rsid w:val="00524CA3"/>
    <w:rsid w:val="005250C6"/>
    <w:rsid w:val="00526442"/>
    <w:rsid w:val="005272A3"/>
    <w:rsid w:val="005278BB"/>
    <w:rsid w:val="005300DE"/>
    <w:rsid w:val="0053124C"/>
    <w:rsid w:val="00533E65"/>
    <w:rsid w:val="0053489E"/>
    <w:rsid w:val="00535FF7"/>
    <w:rsid w:val="00537D91"/>
    <w:rsid w:val="005413B1"/>
    <w:rsid w:val="00541DA4"/>
    <w:rsid w:val="00543AC1"/>
    <w:rsid w:val="005503F8"/>
    <w:rsid w:val="0055129F"/>
    <w:rsid w:val="00553684"/>
    <w:rsid w:val="0055407C"/>
    <w:rsid w:val="00554A34"/>
    <w:rsid w:val="00555482"/>
    <w:rsid w:val="00555D55"/>
    <w:rsid w:val="00557BB5"/>
    <w:rsid w:val="005611B5"/>
    <w:rsid w:val="00564037"/>
    <w:rsid w:val="00564274"/>
    <w:rsid w:val="005648D3"/>
    <w:rsid w:val="005652DD"/>
    <w:rsid w:val="0056681E"/>
    <w:rsid w:val="00570636"/>
    <w:rsid w:val="0057127C"/>
    <w:rsid w:val="00572AA9"/>
    <w:rsid w:val="0057402B"/>
    <w:rsid w:val="00577B2C"/>
    <w:rsid w:val="005800D6"/>
    <w:rsid w:val="00580CB3"/>
    <w:rsid w:val="00581230"/>
    <w:rsid w:val="005833B5"/>
    <w:rsid w:val="00583772"/>
    <w:rsid w:val="0058518F"/>
    <w:rsid w:val="00585807"/>
    <w:rsid w:val="00594363"/>
    <w:rsid w:val="00594905"/>
    <w:rsid w:val="00595906"/>
    <w:rsid w:val="00595BB3"/>
    <w:rsid w:val="00595C45"/>
    <w:rsid w:val="0059688B"/>
    <w:rsid w:val="005969A7"/>
    <w:rsid w:val="005A2BC0"/>
    <w:rsid w:val="005A4B95"/>
    <w:rsid w:val="005A55FA"/>
    <w:rsid w:val="005A5C81"/>
    <w:rsid w:val="005A742E"/>
    <w:rsid w:val="005A769C"/>
    <w:rsid w:val="005B11F9"/>
    <w:rsid w:val="005B1DA2"/>
    <w:rsid w:val="005B3EB7"/>
    <w:rsid w:val="005B6554"/>
    <w:rsid w:val="005B7273"/>
    <w:rsid w:val="005C0967"/>
    <w:rsid w:val="005C0B01"/>
    <w:rsid w:val="005C1F84"/>
    <w:rsid w:val="005C2497"/>
    <w:rsid w:val="005C2C0F"/>
    <w:rsid w:val="005C4B3B"/>
    <w:rsid w:val="005C599C"/>
    <w:rsid w:val="005C7E68"/>
    <w:rsid w:val="005D0F2E"/>
    <w:rsid w:val="005D1C89"/>
    <w:rsid w:val="005D2C96"/>
    <w:rsid w:val="005D2CD4"/>
    <w:rsid w:val="005D4902"/>
    <w:rsid w:val="005D57E3"/>
    <w:rsid w:val="005D5B78"/>
    <w:rsid w:val="005D7755"/>
    <w:rsid w:val="005D7EAA"/>
    <w:rsid w:val="005E01B1"/>
    <w:rsid w:val="005E2410"/>
    <w:rsid w:val="005E2537"/>
    <w:rsid w:val="005E3531"/>
    <w:rsid w:val="005E49FE"/>
    <w:rsid w:val="005E56DC"/>
    <w:rsid w:val="005E7A7A"/>
    <w:rsid w:val="005F0430"/>
    <w:rsid w:val="005F07B2"/>
    <w:rsid w:val="005F0FCD"/>
    <w:rsid w:val="005F1A33"/>
    <w:rsid w:val="005F204D"/>
    <w:rsid w:val="005F3C68"/>
    <w:rsid w:val="005F59CA"/>
    <w:rsid w:val="005F5D6D"/>
    <w:rsid w:val="005F7258"/>
    <w:rsid w:val="005F7DA7"/>
    <w:rsid w:val="00605378"/>
    <w:rsid w:val="00606391"/>
    <w:rsid w:val="00607509"/>
    <w:rsid w:val="006115B7"/>
    <w:rsid w:val="00615B70"/>
    <w:rsid w:val="006160EF"/>
    <w:rsid w:val="00616D03"/>
    <w:rsid w:val="0061794E"/>
    <w:rsid w:val="006207F6"/>
    <w:rsid w:val="00622073"/>
    <w:rsid w:val="006223DB"/>
    <w:rsid w:val="0062296F"/>
    <w:rsid w:val="00623BAB"/>
    <w:rsid w:val="0062698D"/>
    <w:rsid w:val="00626ED8"/>
    <w:rsid w:val="00627A52"/>
    <w:rsid w:val="0063185C"/>
    <w:rsid w:val="00631D73"/>
    <w:rsid w:val="00632517"/>
    <w:rsid w:val="00633080"/>
    <w:rsid w:val="00633BF6"/>
    <w:rsid w:val="00633F6B"/>
    <w:rsid w:val="006342C8"/>
    <w:rsid w:val="00635245"/>
    <w:rsid w:val="0063575E"/>
    <w:rsid w:val="00636274"/>
    <w:rsid w:val="00636299"/>
    <w:rsid w:val="00637352"/>
    <w:rsid w:val="00640EE6"/>
    <w:rsid w:val="00642021"/>
    <w:rsid w:val="006428DD"/>
    <w:rsid w:val="00642A8C"/>
    <w:rsid w:val="00642C9F"/>
    <w:rsid w:val="00643BC2"/>
    <w:rsid w:val="00644434"/>
    <w:rsid w:val="00644847"/>
    <w:rsid w:val="00653118"/>
    <w:rsid w:val="00653DB9"/>
    <w:rsid w:val="0065664D"/>
    <w:rsid w:val="00660D75"/>
    <w:rsid w:val="00660D80"/>
    <w:rsid w:val="006617CF"/>
    <w:rsid w:val="00662043"/>
    <w:rsid w:val="006622EC"/>
    <w:rsid w:val="00662494"/>
    <w:rsid w:val="00664A83"/>
    <w:rsid w:val="00667298"/>
    <w:rsid w:val="00667E32"/>
    <w:rsid w:val="00667EF6"/>
    <w:rsid w:val="0067024E"/>
    <w:rsid w:val="0067136F"/>
    <w:rsid w:val="00673E49"/>
    <w:rsid w:val="00675A60"/>
    <w:rsid w:val="00675A6B"/>
    <w:rsid w:val="00676574"/>
    <w:rsid w:val="00676C24"/>
    <w:rsid w:val="00677E54"/>
    <w:rsid w:val="006804B4"/>
    <w:rsid w:val="00680F02"/>
    <w:rsid w:val="006812B4"/>
    <w:rsid w:val="006815C5"/>
    <w:rsid w:val="00682152"/>
    <w:rsid w:val="006825A7"/>
    <w:rsid w:val="0068270B"/>
    <w:rsid w:val="00682847"/>
    <w:rsid w:val="00682FA0"/>
    <w:rsid w:val="006841C8"/>
    <w:rsid w:val="00686708"/>
    <w:rsid w:val="00687842"/>
    <w:rsid w:val="00687BFE"/>
    <w:rsid w:val="00693D7D"/>
    <w:rsid w:val="006945B2"/>
    <w:rsid w:val="0069532C"/>
    <w:rsid w:val="006960BD"/>
    <w:rsid w:val="00696D3F"/>
    <w:rsid w:val="006A183C"/>
    <w:rsid w:val="006A1D18"/>
    <w:rsid w:val="006A203F"/>
    <w:rsid w:val="006A39FA"/>
    <w:rsid w:val="006A3DA5"/>
    <w:rsid w:val="006A7258"/>
    <w:rsid w:val="006A7EAA"/>
    <w:rsid w:val="006B1296"/>
    <w:rsid w:val="006B37E2"/>
    <w:rsid w:val="006B3A28"/>
    <w:rsid w:val="006B42C3"/>
    <w:rsid w:val="006B7DAC"/>
    <w:rsid w:val="006C04E5"/>
    <w:rsid w:val="006C1782"/>
    <w:rsid w:val="006C4E15"/>
    <w:rsid w:val="006C5773"/>
    <w:rsid w:val="006C5C25"/>
    <w:rsid w:val="006C6BDB"/>
    <w:rsid w:val="006C7080"/>
    <w:rsid w:val="006C7541"/>
    <w:rsid w:val="006D01DB"/>
    <w:rsid w:val="006D133D"/>
    <w:rsid w:val="006D2AAA"/>
    <w:rsid w:val="006D35EF"/>
    <w:rsid w:val="006D371B"/>
    <w:rsid w:val="006D52BE"/>
    <w:rsid w:val="006D74C5"/>
    <w:rsid w:val="006E03E6"/>
    <w:rsid w:val="006E0AC3"/>
    <w:rsid w:val="006E5321"/>
    <w:rsid w:val="006E6483"/>
    <w:rsid w:val="006E7977"/>
    <w:rsid w:val="006F0E13"/>
    <w:rsid w:val="006F1776"/>
    <w:rsid w:val="006F25A3"/>
    <w:rsid w:val="006F27C7"/>
    <w:rsid w:val="006F41A0"/>
    <w:rsid w:val="006F4C37"/>
    <w:rsid w:val="006F5B94"/>
    <w:rsid w:val="006F732F"/>
    <w:rsid w:val="006F7BED"/>
    <w:rsid w:val="0070040B"/>
    <w:rsid w:val="0070286B"/>
    <w:rsid w:val="00702F68"/>
    <w:rsid w:val="00703A8E"/>
    <w:rsid w:val="00706AC5"/>
    <w:rsid w:val="007119E2"/>
    <w:rsid w:val="00711BA5"/>
    <w:rsid w:val="00713DF6"/>
    <w:rsid w:val="007156FD"/>
    <w:rsid w:val="00720FA2"/>
    <w:rsid w:val="007216E4"/>
    <w:rsid w:val="007233F3"/>
    <w:rsid w:val="007244F7"/>
    <w:rsid w:val="00725ECC"/>
    <w:rsid w:val="00727EA8"/>
    <w:rsid w:val="00732314"/>
    <w:rsid w:val="0073295D"/>
    <w:rsid w:val="00732B0D"/>
    <w:rsid w:val="0073602A"/>
    <w:rsid w:val="00736226"/>
    <w:rsid w:val="007365DB"/>
    <w:rsid w:val="00740763"/>
    <w:rsid w:val="007407B5"/>
    <w:rsid w:val="00740C21"/>
    <w:rsid w:val="00740C8C"/>
    <w:rsid w:val="00743550"/>
    <w:rsid w:val="00743C25"/>
    <w:rsid w:val="0074569A"/>
    <w:rsid w:val="00746153"/>
    <w:rsid w:val="00746E8D"/>
    <w:rsid w:val="00747100"/>
    <w:rsid w:val="00747C52"/>
    <w:rsid w:val="00756220"/>
    <w:rsid w:val="0076056D"/>
    <w:rsid w:val="00760E0D"/>
    <w:rsid w:val="007617D5"/>
    <w:rsid w:val="007620DE"/>
    <w:rsid w:val="00762414"/>
    <w:rsid w:val="007624FF"/>
    <w:rsid w:val="00763A46"/>
    <w:rsid w:val="00771701"/>
    <w:rsid w:val="00771FB6"/>
    <w:rsid w:val="007739E1"/>
    <w:rsid w:val="00775D70"/>
    <w:rsid w:val="00776998"/>
    <w:rsid w:val="0078097F"/>
    <w:rsid w:val="00780B54"/>
    <w:rsid w:val="00780D5F"/>
    <w:rsid w:val="0078142B"/>
    <w:rsid w:val="007814CC"/>
    <w:rsid w:val="00781756"/>
    <w:rsid w:val="00781B15"/>
    <w:rsid w:val="00784B1C"/>
    <w:rsid w:val="0078550C"/>
    <w:rsid w:val="00785DDF"/>
    <w:rsid w:val="0078646B"/>
    <w:rsid w:val="0078752D"/>
    <w:rsid w:val="00787BCD"/>
    <w:rsid w:val="00790BCA"/>
    <w:rsid w:val="00795694"/>
    <w:rsid w:val="00795C2B"/>
    <w:rsid w:val="00797084"/>
    <w:rsid w:val="007972FB"/>
    <w:rsid w:val="007A2399"/>
    <w:rsid w:val="007A3DBA"/>
    <w:rsid w:val="007A7463"/>
    <w:rsid w:val="007B0C70"/>
    <w:rsid w:val="007B201A"/>
    <w:rsid w:val="007B211C"/>
    <w:rsid w:val="007B3AB2"/>
    <w:rsid w:val="007B523C"/>
    <w:rsid w:val="007C3F78"/>
    <w:rsid w:val="007C41AF"/>
    <w:rsid w:val="007C7E70"/>
    <w:rsid w:val="007D0025"/>
    <w:rsid w:val="007D5958"/>
    <w:rsid w:val="007E1485"/>
    <w:rsid w:val="007E20C7"/>
    <w:rsid w:val="007E2248"/>
    <w:rsid w:val="007E3A87"/>
    <w:rsid w:val="007E442C"/>
    <w:rsid w:val="007E524F"/>
    <w:rsid w:val="007E6068"/>
    <w:rsid w:val="007E6F95"/>
    <w:rsid w:val="007F041E"/>
    <w:rsid w:val="007F10DB"/>
    <w:rsid w:val="007F1993"/>
    <w:rsid w:val="007F1E50"/>
    <w:rsid w:val="007F1FA3"/>
    <w:rsid w:val="007F568E"/>
    <w:rsid w:val="007F5C51"/>
    <w:rsid w:val="007F7384"/>
    <w:rsid w:val="00800849"/>
    <w:rsid w:val="008027FA"/>
    <w:rsid w:val="00803303"/>
    <w:rsid w:val="0080498F"/>
    <w:rsid w:val="00804BA8"/>
    <w:rsid w:val="00806209"/>
    <w:rsid w:val="008075ED"/>
    <w:rsid w:val="0080786F"/>
    <w:rsid w:val="00810563"/>
    <w:rsid w:val="0081073C"/>
    <w:rsid w:val="0081115C"/>
    <w:rsid w:val="00811B65"/>
    <w:rsid w:val="00811E46"/>
    <w:rsid w:val="00813F70"/>
    <w:rsid w:val="008214F3"/>
    <w:rsid w:val="00821561"/>
    <w:rsid w:val="00821A10"/>
    <w:rsid w:val="00824717"/>
    <w:rsid w:val="00824B62"/>
    <w:rsid w:val="008257AF"/>
    <w:rsid w:val="00827968"/>
    <w:rsid w:val="00833F3C"/>
    <w:rsid w:val="00835720"/>
    <w:rsid w:val="00835C3F"/>
    <w:rsid w:val="0083659F"/>
    <w:rsid w:val="00836B52"/>
    <w:rsid w:val="00836C45"/>
    <w:rsid w:val="008411D5"/>
    <w:rsid w:val="008427FE"/>
    <w:rsid w:val="00842BAE"/>
    <w:rsid w:val="00843AB2"/>
    <w:rsid w:val="008445D4"/>
    <w:rsid w:val="00845BD1"/>
    <w:rsid w:val="0085059C"/>
    <w:rsid w:val="0085208B"/>
    <w:rsid w:val="00853160"/>
    <w:rsid w:val="008535DB"/>
    <w:rsid w:val="00853800"/>
    <w:rsid w:val="00854D88"/>
    <w:rsid w:val="0085757D"/>
    <w:rsid w:val="008578EA"/>
    <w:rsid w:val="00857A97"/>
    <w:rsid w:val="0086005E"/>
    <w:rsid w:val="00860654"/>
    <w:rsid w:val="00861009"/>
    <w:rsid w:val="00863C13"/>
    <w:rsid w:val="00863FF4"/>
    <w:rsid w:val="008645DD"/>
    <w:rsid w:val="00870E29"/>
    <w:rsid w:val="00872827"/>
    <w:rsid w:val="008728C9"/>
    <w:rsid w:val="00873F36"/>
    <w:rsid w:val="008742E0"/>
    <w:rsid w:val="0087635D"/>
    <w:rsid w:val="008775FE"/>
    <w:rsid w:val="00883305"/>
    <w:rsid w:val="008844B2"/>
    <w:rsid w:val="0088598D"/>
    <w:rsid w:val="008864D8"/>
    <w:rsid w:val="00886604"/>
    <w:rsid w:val="00886DBB"/>
    <w:rsid w:val="00887869"/>
    <w:rsid w:val="00890FF4"/>
    <w:rsid w:val="00891E57"/>
    <w:rsid w:val="00892946"/>
    <w:rsid w:val="00894815"/>
    <w:rsid w:val="00895864"/>
    <w:rsid w:val="00897287"/>
    <w:rsid w:val="008979B3"/>
    <w:rsid w:val="008A038D"/>
    <w:rsid w:val="008A1E1B"/>
    <w:rsid w:val="008A4A3F"/>
    <w:rsid w:val="008A586F"/>
    <w:rsid w:val="008A79AD"/>
    <w:rsid w:val="008B18A8"/>
    <w:rsid w:val="008B1C0C"/>
    <w:rsid w:val="008B2159"/>
    <w:rsid w:val="008B2644"/>
    <w:rsid w:val="008B30BD"/>
    <w:rsid w:val="008B33A6"/>
    <w:rsid w:val="008B57A5"/>
    <w:rsid w:val="008B59AD"/>
    <w:rsid w:val="008B6DA3"/>
    <w:rsid w:val="008C111D"/>
    <w:rsid w:val="008C30C7"/>
    <w:rsid w:val="008C3277"/>
    <w:rsid w:val="008C4916"/>
    <w:rsid w:val="008C4B1D"/>
    <w:rsid w:val="008C65CE"/>
    <w:rsid w:val="008D24D0"/>
    <w:rsid w:val="008D507D"/>
    <w:rsid w:val="008D61A5"/>
    <w:rsid w:val="008D7799"/>
    <w:rsid w:val="008E1C5C"/>
    <w:rsid w:val="008E1DDC"/>
    <w:rsid w:val="008E4767"/>
    <w:rsid w:val="008E5DF2"/>
    <w:rsid w:val="008E7653"/>
    <w:rsid w:val="008E77D3"/>
    <w:rsid w:val="008F13EF"/>
    <w:rsid w:val="008F3524"/>
    <w:rsid w:val="008F499A"/>
    <w:rsid w:val="008F52B7"/>
    <w:rsid w:val="008F5E31"/>
    <w:rsid w:val="008F6055"/>
    <w:rsid w:val="008F60E8"/>
    <w:rsid w:val="008F6F3E"/>
    <w:rsid w:val="0090024E"/>
    <w:rsid w:val="00900D30"/>
    <w:rsid w:val="00901231"/>
    <w:rsid w:val="00902471"/>
    <w:rsid w:val="00903467"/>
    <w:rsid w:val="00903FCB"/>
    <w:rsid w:val="0090573A"/>
    <w:rsid w:val="00905C6F"/>
    <w:rsid w:val="00906452"/>
    <w:rsid w:val="00906BEF"/>
    <w:rsid w:val="00906EAA"/>
    <w:rsid w:val="00911954"/>
    <w:rsid w:val="0091203F"/>
    <w:rsid w:val="009166B4"/>
    <w:rsid w:val="009228FB"/>
    <w:rsid w:val="00922B87"/>
    <w:rsid w:val="00923558"/>
    <w:rsid w:val="00923E3B"/>
    <w:rsid w:val="0092522B"/>
    <w:rsid w:val="00925494"/>
    <w:rsid w:val="00931769"/>
    <w:rsid w:val="0094008C"/>
    <w:rsid w:val="00940446"/>
    <w:rsid w:val="00943BC0"/>
    <w:rsid w:val="00943C36"/>
    <w:rsid w:val="00943D6B"/>
    <w:rsid w:val="00943D8F"/>
    <w:rsid w:val="009441B9"/>
    <w:rsid w:val="00945ADF"/>
    <w:rsid w:val="00946245"/>
    <w:rsid w:val="00946731"/>
    <w:rsid w:val="009474D2"/>
    <w:rsid w:val="0094789B"/>
    <w:rsid w:val="00947B1F"/>
    <w:rsid w:val="00947E80"/>
    <w:rsid w:val="00947FE5"/>
    <w:rsid w:val="00951E77"/>
    <w:rsid w:val="00952370"/>
    <w:rsid w:val="009530B0"/>
    <w:rsid w:val="009535C8"/>
    <w:rsid w:val="00954528"/>
    <w:rsid w:val="00956FEB"/>
    <w:rsid w:val="00957441"/>
    <w:rsid w:val="00960962"/>
    <w:rsid w:val="00962092"/>
    <w:rsid w:val="00962CB8"/>
    <w:rsid w:val="00963303"/>
    <w:rsid w:val="009671BA"/>
    <w:rsid w:val="00970AAD"/>
    <w:rsid w:val="00970DD2"/>
    <w:rsid w:val="0097139D"/>
    <w:rsid w:val="00971B2C"/>
    <w:rsid w:val="0097221D"/>
    <w:rsid w:val="00972DEC"/>
    <w:rsid w:val="009731D8"/>
    <w:rsid w:val="0097468A"/>
    <w:rsid w:val="00974F0D"/>
    <w:rsid w:val="009758BA"/>
    <w:rsid w:val="00977D90"/>
    <w:rsid w:val="009820E8"/>
    <w:rsid w:val="00982435"/>
    <w:rsid w:val="00983302"/>
    <w:rsid w:val="0098668E"/>
    <w:rsid w:val="00991F1D"/>
    <w:rsid w:val="009942B3"/>
    <w:rsid w:val="00995712"/>
    <w:rsid w:val="00995A59"/>
    <w:rsid w:val="009A0107"/>
    <w:rsid w:val="009A1039"/>
    <w:rsid w:val="009A314D"/>
    <w:rsid w:val="009A5092"/>
    <w:rsid w:val="009A5E3F"/>
    <w:rsid w:val="009A6520"/>
    <w:rsid w:val="009A7D4A"/>
    <w:rsid w:val="009B020E"/>
    <w:rsid w:val="009B0875"/>
    <w:rsid w:val="009B0F8F"/>
    <w:rsid w:val="009B11AA"/>
    <w:rsid w:val="009B2504"/>
    <w:rsid w:val="009B4CE4"/>
    <w:rsid w:val="009C1139"/>
    <w:rsid w:val="009C2268"/>
    <w:rsid w:val="009C2613"/>
    <w:rsid w:val="009C485C"/>
    <w:rsid w:val="009C573A"/>
    <w:rsid w:val="009C5BF8"/>
    <w:rsid w:val="009C5D3F"/>
    <w:rsid w:val="009C7E84"/>
    <w:rsid w:val="009D15F1"/>
    <w:rsid w:val="009D18A8"/>
    <w:rsid w:val="009D2B10"/>
    <w:rsid w:val="009D576A"/>
    <w:rsid w:val="009D789C"/>
    <w:rsid w:val="009E04D7"/>
    <w:rsid w:val="009E20F2"/>
    <w:rsid w:val="009E25F9"/>
    <w:rsid w:val="009E2E29"/>
    <w:rsid w:val="009E37E9"/>
    <w:rsid w:val="009E39C6"/>
    <w:rsid w:val="009E3D6F"/>
    <w:rsid w:val="009E5870"/>
    <w:rsid w:val="009E5D8E"/>
    <w:rsid w:val="009E6A36"/>
    <w:rsid w:val="009E6DC1"/>
    <w:rsid w:val="009E7831"/>
    <w:rsid w:val="009F2B4D"/>
    <w:rsid w:val="009F3DDE"/>
    <w:rsid w:val="009F4254"/>
    <w:rsid w:val="009F5EFF"/>
    <w:rsid w:val="00A0126E"/>
    <w:rsid w:val="00A04CB3"/>
    <w:rsid w:val="00A04CD6"/>
    <w:rsid w:val="00A05EB3"/>
    <w:rsid w:val="00A06A8A"/>
    <w:rsid w:val="00A15540"/>
    <w:rsid w:val="00A165C1"/>
    <w:rsid w:val="00A1669B"/>
    <w:rsid w:val="00A16CAD"/>
    <w:rsid w:val="00A179F6"/>
    <w:rsid w:val="00A179F7"/>
    <w:rsid w:val="00A21527"/>
    <w:rsid w:val="00A2388A"/>
    <w:rsid w:val="00A240A3"/>
    <w:rsid w:val="00A24615"/>
    <w:rsid w:val="00A25239"/>
    <w:rsid w:val="00A2536A"/>
    <w:rsid w:val="00A31881"/>
    <w:rsid w:val="00A31A42"/>
    <w:rsid w:val="00A31A8B"/>
    <w:rsid w:val="00A336DA"/>
    <w:rsid w:val="00A34B68"/>
    <w:rsid w:val="00A35350"/>
    <w:rsid w:val="00A37004"/>
    <w:rsid w:val="00A40CDC"/>
    <w:rsid w:val="00A41015"/>
    <w:rsid w:val="00A43338"/>
    <w:rsid w:val="00A43896"/>
    <w:rsid w:val="00A43A41"/>
    <w:rsid w:val="00A44791"/>
    <w:rsid w:val="00A44FCA"/>
    <w:rsid w:val="00A46A49"/>
    <w:rsid w:val="00A46B0A"/>
    <w:rsid w:val="00A47A23"/>
    <w:rsid w:val="00A519EC"/>
    <w:rsid w:val="00A56175"/>
    <w:rsid w:val="00A60BC4"/>
    <w:rsid w:val="00A6244E"/>
    <w:rsid w:val="00A6249B"/>
    <w:rsid w:val="00A63A97"/>
    <w:rsid w:val="00A65670"/>
    <w:rsid w:val="00A70459"/>
    <w:rsid w:val="00A706E0"/>
    <w:rsid w:val="00A71873"/>
    <w:rsid w:val="00A74272"/>
    <w:rsid w:val="00A75012"/>
    <w:rsid w:val="00A76221"/>
    <w:rsid w:val="00A76985"/>
    <w:rsid w:val="00A81A35"/>
    <w:rsid w:val="00A82891"/>
    <w:rsid w:val="00A83951"/>
    <w:rsid w:val="00A86D44"/>
    <w:rsid w:val="00A876DA"/>
    <w:rsid w:val="00A92F68"/>
    <w:rsid w:val="00A92FF4"/>
    <w:rsid w:val="00A93CAE"/>
    <w:rsid w:val="00A93CE2"/>
    <w:rsid w:val="00A94A8C"/>
    <w:rsid w:val="00A94B38"/>
    <w:rsid w:val="00A94FBE"/>
    <w:rsid w:val="00A9674B"/>
    <w:rsid w:val="00A96DA3"/>
    <w:rsid w:val="00A971CF"/>
    <w:rsid w:val="00AA3074"/>
    <w:rsid w:val="00AA3A6C"/>
    <w:rsid w:val="00AA527C"/>
    <w:rsid w:val="00AA5B97"/>
    <w:rsid w:val="00AA7EDC"/>
    <w:rsid w:val="00AB2A9A"/>
    <w:rsid w:val="00AB4C88"/>
    <w:rsid w:val="00AB609C"/>
    <w:rsid w:val="00AB696A"/>
    <w:rsid w:val="00AB7A8E"/>
    <w:rsid w:val="00AC01E0"/>
    <w:rsid w:val="00AC060E"/>
    <w:rsid w:val="00AC0949"/>
    <w:rsid w:val="00AC0A88"/>
    <w:rsid w:val="00AC11EC"/>
    <w:rsid w:val="00AC24C7"/>
    <w:rsid w:val="00AC24EB"/>
    <w:rsid w:val="00AC3745"/>
    <w:rsid w:val="00AC51F0"/>
    <w:rsid w:val="00AC7CE6"/>
    <w:rsid w:val="00AD35E8"/>
    <w:rsid w:val="00AD37AB"/>
    <w:rsid w:val="00AD6CED"/>
    <w:rsid w:val="00AE1F86"/>
    <w:rsid w:val="00AE2B78"/>
    <w:rsid w:val="00AE3283"/>
    <w:rsid w:val="00AE3B6F"/>
    <w:rsid w:val="00AE7D09"/>
    <w:rsid w:val="00AF020D"/>
    <w:rsid w:val="00AF14A7"/>
    <w:rsid w:val="00AF2D10"/>
    <w:rsid w:val="00AF72BA"/>
    <w:rsid w:val="00B00181"/>
    <w:rsid w:val="00B0242D"/>
    <w:rsid w:val="00B044FD"/>
    <w:rsid w:val="00B04EC4"/>
    <w:rsid w:val="00B05301"/>
    <w:rsid w:val="00B05342"/>
    <w:rsid w:val="00B0626F"/>
    <w:rsid w:val="00B1036B"/>
    <w:rsid w:val="00B1094A"/>
    <w:rsid w:val="00B12658"/>
    <w:rsid w:val="00B12735"/>
    <w:rsid w:val="00B12E81"/>
    <w:rsid w:val="00B12EA3"/>
    <w:rsid w:val="00B13100"/>
    <w:rsid w:val="00B147AC"/>
    <w:rsid w:val="00B14868"/>
    <w:rsid w:val="00B14CF5"/>
    <w:rsid w:val="00B16072"/>
    <w:rsid w:val="00B1624E"/>
    <w:rsid w:val="00B1730A"/>
    <w:rsid w:val="00B17C66"/>
    <w:rsid w:val="00B20A42"/>
    <w:rsid w:val="00B2142D"/>
    <w:rsid w:val="00B23779"/>
    <w:rsid w:val="00B307DB"/>
    <w:rsid w:val="00B32CB6"/>
    <w:rsid w:val="00B33DA5"/>
    <w:rsid w:val="00B34168"/>
    <w:rsid w:val="00B34C88"/>
    <w:rsid w:val="00B3502C"/>
    <w:rsid w:val="00B351EC"/>
    <w:rsid w:val="00B35C86"/>
    <w:rsid w:val="00B36544"/>
    <w:rsid w:val="00B37035"/>
    <w:rsid w:val="00B378DB"/>
    <w:rsid w:val="00B37A32"/>
    <w:rsid w:val="00B41635"/>
    <w:rsid w:val="00B41C54"/>
    <w:rsid w:val="00B44732"/>
    <w:rsid w:val="00B47F3F"/>
    <w:rsid w:val="00B5284D"/>
    <w:rsid w:val="00B52AFE"/>
    <w:rsid w:val="00B52F1C"/>
    <w:rsid w:val="00B5357A"/>
    <w:rsid w:val="00B53F8B"/>
    <w:rsid w:val="00B55C4A"/>
    <w:rsid w:val="00B60A10"/>
    <w:rsid w:val="00B62D03"/>
    <w:rsid w:val="00B62DF2"/>
    <w:rsid w:val="00B65E0F"/>
    <w:rsid w:val="00B668D0"/>
    <w:rsid w:val="00B742F7"/>
    <w:rsid w:val="00B77F43"/>
    <w:rsid w:val="00B81259"/>
    <w:rsid w:val="00B81B24"/>
    <w:rsid w:val="00B823E8"/>
    <w:rsid w:val="00B826C7"/>
    <w:rsid w:val="00B839D8"/>
    <w:rsid w:val="00B850C8"/>
    <w:rsid w:val="00B9395B"/>
    <w:rsid w:val="00B939A2"/>
    <w:rsid w:val="00B9485B"/>
    <w:rsid w:val="00B97A98"/>
    <w:rsid w:val="00BA0B85"/>
    <w:rsid w:val="00BA16CC"/>
    <w:rsid w:val="00BA2CE2"/>
    <w:rsid w:val="00BA3288"/>
    <w:rsid w:val="00BA4B86"/>
    <w:rsid w:val="00BA4BBC"/>
    <w:rsid w:val="00BA7DA8"/>
    <w:rsid w:val="00BB07C1"/>
    <w:rsid w:val="00BB3795"/>
    <w:rsid w:val="00BB45F0"/>
    <w:rsid w:val="00BB46D7"/>
    <w:rsid w:val="00BB477A"/>
    <w:rsid w:val="00BB6F1F"/>
    <w:rsid w:val="00BC3011"/>
    <w:rsid w:val="00BC6029"/>
    <w:rsid w:val="00BD0198"/>
    <w:rsid w:val="00BD0849"/>
    <w:rsid w:val="00BD294A"/>
    <w:rsid w:val="00BD40B0"/>
    <w:rsid w:val="00BD4E4C"/>
    <w:rsid w:val="00BD5DEC"/>
    <w:rsid w:val="00BE07A9"/>
    <w:rsid w:val="00BE1C4B"/>
    <w:rsid w:val="00BE578B"/>
    <w:rsid w:val="00BE6041"/>
    <w:rsid w:val="00BF0320"/>
    <w:rsid w:val="00BF2C6C"/>
    <w:rsid w:val="00BF420A"/>
    <w:rsid w:val="00BF6208"/>
    <w:rsid w:val="00C00785"/>
    <w:rsid w:val="00C013F4"/>
    <w:rsid w:val="00C01597"/>
    <w:rsid w:val="00C01B40"/>
    <w:rsid w:val="00C02C1A"/>
    <w:rsid w:val="00C046D1"/>
    <w:rsid w:val="00C05494"/>
    <w:rsid w:val="00C073C3"/>
    <w:rsid w:val="00C1013A"/>
    <w:rsid w:val="00C119C2"/>
    <w:rsid w:val="00C12CA6"/>
    <w:rsid w:val="00C1433A"/>
    <w:rsid w:val="00C14BF5"/>
    <w:rsid w:val="00C1591F"/>
    <w:rsid w:val="00C15BE8"/>
    <w:rsid w:val="00C174E7"/>
    <w:rsid w:val="00C21F12"/>
    <w:rsid w:val="00C2206E"/>
    <w:rsid w:val="00C2253B"/>
    <w:rsid w:val="00C25639"/>
    <w:rsid w:val="00C25E43"/>
    <w:rsid w:val="00C274F9"/>
    <w:rsid w:val="00C32537"/>
    <w:rsid w:val="00C332D1"/>
    <w:rsid w:val="00C349A2"/>
    <w:rsid w:val="00C34EBD"/>
    <w:rsid w:val="00C40FE7"/>
    <w:rsid w:val="00C4331E"/>
    <w:rsid w:val="00C44A76"/>
    <w:rsid w:val="00C46119"/>
    <w:rsid w:val="00C46F7C"/>
    <w:rsid w:val="00C506E1"/>
    <w:rsid w:val="00C51BFE"/>
    <w:rsid w:val="00C5215F"/>
    <w:rsid w:val="00C53A94"/>
    <w:rsid w:val="00C64854"/>
    <w:rsid w:val="00C651BC"/>
    <w:rsid w:val="00C665FA"/>
    <w:rsid w:val="00C67C42"/>
    <w:rsid w:val="00C67DEA"/>
    <w:rsid w:val="00C7001C"/>
    <w:rsid w:val="00C70C64"/>
    <w:rsid w:val="00C717CE"/>
    <w:rsid w:val="00C73C68"/>
    <w:rsid w:val="00C7478F"/>
    <w:rsid w:val="00C7773C"/>
    <w:rsid w:val="00C77E33"/>
    <w:rsid w:val="00C80207"/>
    <w:rsid w:val="00C80FA6"/>
    <w:rsid w:val="00C8127E"/>
    <w:rsid w:val="00C81BA6"/>
    <w:rsid w:val="00C82379"/>
    <w:rsid w:val="00C8312A"/>
    <w:rsid w:val="00C85EBA"/>
    <w:rsid w:val="00C86D6B"/>
    <w:rsid w:val="00C87046"/>
    <w:rsid w:val="00C91A39"/>
    <w:rsid w:val="00C92801"/>
    <w:rsid w:val="00C92BA6"/>
    <w:rsid w:val="00C92C11"/>
    <w:rsid w:val="00C92DDA"/>
    <w:rsid w:val="00C92F4B"/>
    <w:rsid w:val="00C9344A"/>
    <w:rsid w:val="00C93F62"/>
    <w:rsid w:val="00C94DDD"/>
    <w:rsid w:val="00C960BA"/>
    <w:rsid w:val="00C96DF2"/>
    <w:rsid w:val="00CA4B6B"/>
    <w:rsid w:val="00CA5315"/>
    <w:rsid w:val="00CB011B"/>
    <w:rsid w:val="00CB0165"/>
    <w:rsid w:val="00CB1EC3"/>
    <w:rsid w:val="00CB1F58"/>
    <w:rsid w:val="00CB27F7"/>
    <w:rsid w:val="00CB3180"/>
    <w:rsid w:val="00CB4A28"/>
    <w:rsid w:val="00CB74EE"/>
    <w:rsid w:val="00CB7A58"/>
    <w:rsid w:val="00CC0692"/>
    <w:rsid w:val="00CC18EF"/>
    <w:rsid w:val="00CC228B"/>
    <w:rsid w:val="00CC48F6"/>
    <w:rsid w:val="00CC61C0"/>
    <w:rsid w:val="00CC79B6"/>
    <w:rsid w:val="00CD5FAE"/>
    <w:rsid w:val="00CD6899"/>
    <w:rsid w:val="00CD7271"/>
    <w:rsid w:val="00CD74D2"/>
    <w:rsid w:val="00CE1FF7"/>
    <w:rsid w:val="00CE3469"/>
    <w:rsid w:val="00CE447F"/>
    <w:rsid w:val="00CE5CF9"/>
    <w:rsid w:val="00CE5FFF"/>
    <w:rsid w:val="00CE6182"/>
    <w:rsid w:val="00CE6205"/>
    <w:rsid w:val="00CE6BEA"/>
    <w:rsid w:val="00CE6C06"/>
    <w:rsid w:val="00CE7313"/>
    <w:rsid w:val="00CF0FBC"/>
    <w:rsid w:val="00CF3F55"/>
    <w:rsid w:val="00CF685A"/>
    <w:rsid w:val="00D00291"/>
    <w:rsid w:val="00D00890"/>
    <w:rsid w:val="00D0118B"/>
    <w:rsid w:val="00D01C1E"/>
    <w:rsid w:val="00D0494F"/>
    <w:rsid w:val="00D057E8"/>
    <w:rsid w:val="00D06B36"/>
    <w:rsid w:val="00D105D9"/>
    <w:rsid w:val="00D11A52"/>
    <w:rsid w:val="00D11EDC"/>
    <w:rsid w:val="00D1241A"/>
    <w:rsid w:val="00D1387B"/>
    <w:rsid w:val="00D14EF2"/>
    <w:rsid w:val="00D16E12"/>
    <w:rsid w:val="00D16F5E"/>
    <w:rsid w:val="00D17633"/>
    <w:rsid w:val="00D176CF"/>
    <w:rsid w:val="00D2066B"/>
    <w:rsid w:val="00D20D93"/>
    <w:rsid w:val="00D21F1B"/>
    <w:rsid w:val="00D2421A"/>
    <w:rsid w:val="00D24B04"/>
    <w:rsid w:val="00D25359"/>
    <w:rsid w:val="00D26089"/>
    <w:rsid w:val="00D278FA"/>
    <w:rsid w:val="00D30ED3"/>
    <w:rsid w:val="00D31036"/>
    <w:rsid w:val="00D33C6D"/>
    <w:rsid w:val="00D33FBE"/>
    <w:rsid w:val="00D34EA0"/>
    <w:rsid w:val="00D34F68"/>
    <w:rsid w:val="00D42940"/>
    <w:rsid w:val="00D42969"/>
    <w:rsid w:val="00D458BB"/>
    <w:rsid w:val="00D460AF"/>
    <w:rsid w:val="00D46A9A"/>
    <w:rsid w:val="00D47DA5"/>
    <w:rsid w:val="00D514B3"/>
    <w:rsid w:val="00D53413"/>
    <w:rsid w:val="00D53FC1"/>
    <w:rsid w:val="00D54994"/>
    <w:rsid w:val="00D55CEF"/>
    <w:rsid w:val="00D60BD9"/>
    <w:rsid w:val="00D61425"/>
    <w:rsid w:val="00D65447"/>
    <w:rsid w:val="00D65759"/>
    <w:rsid w:val="00D71798"/>
    <w:rsid w:val="00D721FA"/>
    <w:rsid w:val="00D727F4"/>
    <w:rsid w:val="00D75C84"/>
    <w:rsid w:val="00D76347"/>
    <w:rsid w:val="00D7700C"/>
    <w:rsid w:val="00D807F7"/>
    <w:rsid w:val="00D80FDC"/>
    <w:rsid w:val="00D81C76"/>
    <w:rsid w:val="00D82075"/>
    <w:rsid w:val="00D82428"/>
    <w:rsid w:val="00D83596"/>
    <w:rsid w:val="00D840F2"/>
    <w:rsid w:val="00D842E7"/>
    <w:rsid w:val="00D8581C"/>
    <w:rsid w:val="00D85A1F"/>
    <w:rsid w:val="00D8664E"/>
    <w:rsid w:val="00D8688C"/>
    <w:rsid w:val="00D86934"/>
    <w:rsid w:val="00D87968"/>
    <w:rsid w:val="00D87E26"/>
    <w:rsid w:val="00D91BEA"/>
    <w:rsid w:val="00D92056"/>
    <w:rsid w:val="00D93427"/>
    <w:rsid w:val="00D97A40"/>
    <w:rsid w:val="00D97D28"/>
    <w:rsid w:val="00DA016D"/>
    <w:rsid w:val="00DA5F1E"/>
    <w:rsid w:val="00DB01CC"/>
    <w:rsid w:val="00DB070E"/>
    <w:rsid w:val="00DB0D7B"/>
    <w:rsid w:val="00DB11D3"/>
    <w:rsid w:val="00DB3DD9"/>
    <w:rsid w:val="00DB46F1"/>
    <w:rsid w:val="00DB6E3E"/>
    <w:rsid w:val="00DC0E60"/>
    <w:rsid w:val="00DC28AF"/>
    <w:rsid w:val="00DC3D84"/>
    <w:rsid w:val="00DC5DAC"/>
    <w:rsid w:val="00DC7866"/>
    <w:rsid w:val="00DD0270"/>
    <w:rsid w:val="00DD209E"/>
    <w:rsid w:val="00DD3D00"/>
    <w:rsid w:val="00DD4462"/>
    <w:rsid w:val="00DD7526"/>
    <w:rsid w:val="00DE0940"/>
    <w:rsid w:val="00DE1C98"/>
    <w:rsid w:val="00DE3E39"/>
    <w:rsid w:val="00DE5374"/>
    <w:rsid w:val="00DF3B59"/>
    <w:rsid w:val="00DF4234"/>
    <w:rsid w:val="00DF4536"/>
    <w:rsid w:val="00DF7602"/>
    <w:rsid w:val="00E006D8"/>
    <w:rsid w:val="00E01630"/>
    <w:rsid w:val="00E02222"/>
    <w:rsid w:val="00E028C8"/>
    <w:rsid w:val="00E03596"/>
    <w:rsid w:val="00E039C2"/>
    <w:rsid w:val="00E125A4"/>
    <w:rsid w:val="00E12A1D"/>
    <w:rsid w:val="00E14AAE"/>
    <w:rsid w:val="00E1541B"/>
    <w:rsid w:val="00E15965"/>
    <w:rsid w:val="00E168DC"/>
    <w:rsid w:val="00E172E7"/>
    <w:rsid w:val="00E20FB7"/>
    <w:rsid w:val="00E21FEE"/>
    <w:rsid w:val="00E275E7"/>
    <w:rsid w:val="00E321B9"/>
    <w:rsid w:val="00E32959"/>
    <w:rsid w:val="00E344E1"/>
    <w:rsid w:val="00E349C1"/>
    <w:rsid w:val="00E35533"/>
    <w:rsid w:val="00E40BD2"/>
    <w:rsid w:val="00E42BB8"/>
    <w:rsid w:val="00E4338A"/>
    <w:rsid w:val="00E44323"/>
    <w:rsid w:val="00E452F7"/>
    <w:rsid w:val="00E46314"/>
    <w:rsid w:val="00E46F67"/>
    <w:rsid w:val="00E50C45"/>
    <w:rsid w:val="00E52849"/>
    <w:rsid w:val="00E538E9"/>
    <w:rsid w:val="00E53F81"/>
    <w:rsid w:val="00E54507"/>
    <w:rsid w:val="00E549DB"/>
    <w:rsid w:val="00E55234"/>
    <w:rsid w:val="00E56FE1"/>
    <w:rsid w:val="00E602F7"/>
    <w:rsid w:val="00E6084A"/>
    <w:rsid w:val="00E620BE"/>
    <w:rsid w:val="00E64552"/>
    <w:rsid w:val="00E6550D"/>
    <w:rsid w:val="00E65981"/>
    <w:rsid w:val="00E671C3"/>
    <w:rsid w:val="00E71891"/>
    <w:rsid w:val="00E71963"/>
    <w:rsid w:val="00E725F3"/>
    <w:rsid w:val="00E80FCD"/>
    <w:rsid w:val="00E81B77"/>
    <w:rsid w:val="00E82980"/>
    <w:rsid w:val="00E876E1"/>
    <w:rsid w:val="00E87F7E"/>
    <w:rsid w:val="00E90142"/>
    <w:rsid w:val="00E90FC1"/>
    <w:rsid w:val="00E9269E"/>
    <w:rsid w:val="00E9362C"/>
    <w:rsid w:val="00E97C16"/>
    <w:rsid w:val="00E97E53"/>
    <w:rsid w:val="00EA005E"/>
    <w:rsid w:val="00EA45C3"/>
    <w:rsid w:val="00EA60DE"/>
    <w:rsid w:val="00EA61F8"/>
    <w:rsid w:val="00EA7BB2"/>
    <w:rsid w:val="00EB06FB"/>
    <w:rsid w:val="00EB0F0B"/>
    <w:rsid w:val="00EB2D09"/>
    <w:rsid w:val="00EC20D0"/>
    <w:rsid w:val="00EC2CE7"/>
    <w:rsid w:val="00EC37EF"/>
    <w:rsid w:val="00EC4A04"/>
    <w:rsid w:val="00EC5414"/>
    <w:rsid w:val="00EC598D"/>
    <w:rsid w:val="00EC63E7"/>
    <w:rsid w:val="00EC71D4"/>
    <w:rsid w:val="00ED0947"/>
    <w:rsid w:val="00ED1545"/>
    <w:rsid w:val="00ED1BB9"/>
    <w:rsid w:val="00ED3957"/>
    <w:rsid w:val="00ED3F65"/>
    <w:rsid w:val="00ED4C09"/>
    <w:rsid w:val="00ED525C"/>
    <w:rsid w:val="00ED574D"/>
    <w:rsid w:val="00ED61F0"/>
    <w:rsid w:val="00ED6678"/>
    <w:rsid w:val="00EE1B5E"/>
    <w:rsid w:val="00EE27F1"/>
    <w:rsid w:val="00EE2EDB"/>
    <w:rsid w:val="00EE31C4"/>
    <w:rsid w:val="00EE4399"/>
    <w:rsid w:val="00EE4865"/>
    <w:rsid w:val="00EE5897"/>
    <w:rsid w:val="00EF039B"/>
    <w:rsid w:val="00EF1A66"/>
    <w:rsid w:val="00EF2015"/>
    <w:rsid w:val="00EF286E"/>
    <w:rsid w:val="00EF2F95"/>
    <w:rsid w:val="00EF6871"/>
    <w:rsid w:val="00EF7E1E"/>
    <w:rsid w:val="00F00413"/>
    <w:rsid w:val="00F004DF"/>
    <w:rsid w:val="00F00D61"/>
    <w:rsid w:val="00F02909"/>
    <w:rsid w:val="00F031D2"/>
    <w:rsid w:val="00F05422"/>
    <w:rsid w:val="00F05C59"/>
    <w:rsid w:val="00F0605F"/>
    <w:rsid w:val="00F06EE8"/>
    <w:rsid w:val="00F07316"/>
    <w:rsid w:val="00F07349"/>
    <w:rsid w:val="00F1083B"/>
    <w:rsid w:val="00F10F36"/>
    <w:rsid w:val="00F1146B"/>
    <w:rsid w:val="00F167CA"/>
    <w:rsid w:val="00F16991"/>
    <w:rsid w:val="00F2114B"/>
    <w:rsid w:val="00F2127F"/>
    <w:rsid w:val="00F22AE5"/>
    <w:rsid w:val="00F24B68"/>
    <w:rsid w:val="00F25032"/>
    <w:rsid w:val="00F26AAF"/>
    <w:rsid w:val="00F26EAA"/>
    <w:rsid w:val="00F3304A"/>
    <w:rsid w:val="00F342D1"/>
    <w:rsid w:val="00F34ECA"/>
    <w:rsid w:val="00F35112"/>
    <w:rsid w:val="00F41FE3"/>
    <w:rsid w:val="00F43FCE"/>
    <w:rsid w:val="00F4439D"/>
    <w:rsid w:val="00F44CF5"/>
    <w:rsid w:val="00F47E19"/>
    <w:rsid w:val="00F52017"/>
    <w:rsid w:val="00F535C4"/>
    <w:rsid w:val="00F542D3"/>
    <w:rsid w:val="00F54B94"/>
    <w:rsid w:val="00F55D9E"/>
    <w:rsid w:val="00F605FF"/>
    <w:rsid w:val="00F60D2A"/>
    <w:rsid w:val="00F612D9"/>
    <w:rsid w:val="00F615F9"/>
    <w:rsid w:val="00F61DF4"/>
    <w:rsid w:val="00F70488"/>
    <w:rsid w:val="00F72715"/>
    <w:rsid w:val="00F72C3E"/>
    <w:rsid w:val="00F732C4"/>
    <w:rsid w:val="00F7401F"/>
    <w:rsid w:val="00F74FFD"/>
    <w:rsid w:val="00F77C90"/>
    <w:rsid w:val="00F81C30"/>
    <w:rsid w:val="00F82CAC"/>
    <w:rsid w:val="00F8480C"/>
    <w:rsid w:val="00F86D73"/>
    <w:rsid w:val="00F86FCD"/>
    <w:rsid w:val="00F873D3"/>
    <w:rsid w:val="00F901F0"/>
    <w:rsid w:val="00F90BDA"/>
    <w:rsid w:val="00F9161C"/>
    <w:rsid w:val="00F926FD"/>
    <w:rsid w:val="00F9334D"/>
    <w:rsid w:val="00F94A0E"/>
    <w:rsid w:val="00F95904"/>
    <w:rsid w:val="00F9762E"/>
    <w:rsid w:val="00FA4A03"/>
    <w:rsid w:val="00FA5FFA"/>
    <w:rsid w:val="00FA6222"/>
    <w:rsid w:val="00FA631F"/>
    <w:rsid w:val="00FA6711"/>
    <w:rsid w:val="00FB0745"/>
    <w:rsid w:val="00FB0FE2"/>
    <w:rsid w:val="00FB38CB"/>
    <w:rsid w:val="00FB394C"/>
    <w:rsid w:val="00FB6A8A"/>
    <w:rsid w:val="00FB7218"/>
    <w:rsid w:val="00FB7D98"/>
    <w:rsid w:val="00FC02BB"/>
    <w:rsid w:val="00FC05B4"/>
    <w:rsid w:val="00FC1A1F"/>
    <w:rsid w:val="00FC5D3A"/>
    <w:rsid w:val="00FC6991"/>
    <w:rsid w:val="00FC6E4A"/>
    <w:rsid w:val="00FC74DA"/>
    <w:rsid w:val="00FD3102"/>
    <w:rsid w:val="00FD34A6"/>
    <w:rsid w:val="00FD462B"/>
    <w:rsid w:val="00FD7218"/>
    <w:rsid w:val="00FD752B"/>
    <w:rsid w:val="00FE34A0"/>
    <w:rsid w:val="00FE4FB0"/>
    <w:rsid w:val="00FE6681"/>
    <w:rsid w:val="00FF2783"/>
    <w:rsid w:val="00FF294C"/>
    <w:rsid w:val="00FF46CC"/>
    <w:rsid w:val="00FF54D0"/>
    <w:rsid w:val="00FF76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qFormat="1"/>
    <w:lsdException w:name="Default Paragraph Font" w:uiPriority="1" w:unhideWhenUsed="1"/>
    <w:lsdException w:name="Body Text" w:uiPriority="0"/>
    <w:lsdException w:name="Subtitle" w:semiHidden="0" w:qFormat="1"/>
    <w:lsdException w:name="Strong" w:uiPriority="22"/>
    <w:lsdException w:name="Emphasis" w:locked="1"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EA7BB2"/>
    <w:pPr>
      <w:spacing w:after="120" w:line="288" w:lineRule="auto"/>
    </w:pPr>
    <w:rPr>
      <w:rFonts w:ascii="Verdana" w:hAnsi="Verdana" w:cs="Arial"/>
      <w:kern w:val="28"/>
      <w:lang w:val="en-US"/>
    </w:rPr>
  </w:style>
  <w:style w:type="paragraph" w:styleId="Heading1">
    <w:name w:val="heading 1"/>
    <w:basedOn w:val="Normal"/>
    <w:next w:val="Normal"/>
    <w:link w:val="Heading1Char"/>
    <w:uiPriority w:val="99"/>
    <w:qFormat/>
    <w:rsid w:val="008742E0"/>
    <w:pPr>
      <w:keepNext/>
      <w:keepLines/>
      <w:pBdr>
        <w:bottom w:val="single" w:sz="24" w:space="1" w:color="121F6B"/>
      </w:pBdr>
      <w:spacing w:before="360" w:after="240"/>
      <w:ind w:right="-1440"/>
      <w:outlineLvl w:val="0"/>
    </w:pPr>
    <w:rPr>
      <w:rFonts w:ascii="Georgia" w:eastAsiaTheme="majorEastAsia" w:hAnsi="Georgia"/>
      <w:b/>
      <w:bCs/>
      <w:color w:val="121F6B"/>
      <w:kern w:val="0"/>
      <w:sz w:val="40"/>
      <w:szCs w:val="28"/>
      <w:lang w:val="en-NZ"/>
    </w:rPr>
  </w:style>
  <w:style w:type="paragraph" w:styleId="Heading2">
    <w:name w:val="heading 2"/>
    <w:basedOn w:val="Normal"/>
    <w:next w:val="Normal"/>
    <w:link w:val="Heading2Char"/>
    <w:uiPriority w:val="99"/>
    <w:qFormat/>
    <w:rsid w:val="00A56175"/>
    <w:pPr>
      <w:spacing w:before="170" w:after="170" w:line="240" w:lineRule="auto"/>
      <w:outlineLvl w:val="1"/>
    </w:pPr>
    <w:rPr>
      <w:b/>
      <w:sz w:val="28"/>
    </w:rPr>
  </w:style>
  <w:style w:type="paragraph" w:styleId="Heading3">
    <w:name w:val="heading 3"/>
    <w:basedOn w:val="Normal"/>
    <w:next w:val="Normal"/>
    <w:link w:val="Heading3Char"/>
    <w:uiPriority w:val="99"/>
    <w:qFormat/>
    <w:rsid w:val="00C91A39"/>
    <w:pPr>
      <w:keepNext/>
      <w:keepLines/>
      <w:spacing w:before="120"/>
      <w:outlineLvl w:val="2"/>
    </w:pPr>
    <w:rPr>
      <w:rFonts w:eastAsiaTheme="majorEastAsia"/>
      <w:b/>
      <w:bCs/>
      <w:kern w:val="0"/>
      <w:sz w:val="22"/>
      <w:szCs w:val="22"/>
      <w:lang w:val="en-NZ"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lang w:val="en-NZ"/>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42E0"/>
    <w:rPr>
      <w:rFonts w:ascii="Georgia" w:eastAsiaTheme="majorEastAsia" w:hAnsi="Georgia" w:cs="Arial"/>
      <w:b/>
      <w:bCs/>
      <w:color w:val="121F6B"/>
      <w:sz w:val="40"/>
      <w:szCs w:val="28"/>
    </w:rPr>
  </w:style>
  <w:style w:type="character" w:customStyle="1" w:styleId="Heading2Char">
    <w:name w:val="Heading 2 Char"/>
    <w:basedOn w:val="DefaultParagraphFont"/>
    <w:link w:val="Heading2"/>
    <w:uiPriority w:val="99"/>
    <w:rsid w:val="00A56175"/>
    <w:rPr>
      <w:rFonts w:ascii="Verdana" w:hAnsi="Verdana" w:cs="Arial"/>
      <w:b/>
      <w:kern w:val="28"/>
      <w:sz w:val="28"/>
      <w:lang w:val="en-US"/>
    </w:rPr>
  </w:style>
  <w:style w:type="character" w:customStyle="1" w:styleId="Heading3Char">
    <w:name w:val="Heading 3 Char"/>
    <w:basedOn w:val="DefaultParagraphFont"/>
    <w:link w:val="Heading3"/>
    <w:uiPriority w:val="99"/>
    <w:rsid w:val="00C91A39"/>
    <w:rPr>
      <w:rFonts w:ascii="Verdana" w:eastAsiaTheme="majorEastAsia" w:hAnsi="Verdana" w:cs="Arial"/>
      <w:b/>
      <w:bCs/>
      <w:sz w:val="22"/>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uiPriority w:val="34"/>
    <w:qFormat/>
    <w:rsid w:val="00F167CA"/>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lang w:val="en-NZ"/>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2"/>
      </w:numPr>
      <w:suppressAutoHyphens/>
      <w:autoSpaceDE w:val="0"/>
      <w:autoSpaceDN w:val="0"/>
      <w:adjustRightInd w:val="0"/>
      <w:textAlignment w:val="center"/>
    </w:pPr>
    <w:rPr>
      <w:rFonts w:eastAsia="Times New Roman"/>
      <w:lang w:val="en-NZ" w:eastAsia="en-AU"/>
    </w:rPr>
  </w:style>
  <w:style w:type="paragraph" w:customStyle="1" w:styleId="Bullet2">
    <w:name w:val="Bullet2"/>
    <w:qFormat/>
    <w:rsid w:val="009E3D6F"/>
    <w:pPr>
      <w:numPr>
        <w:numId w:val="3"/>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9F3DDE"/>
    <w:pPr>
      <w:tabs>
        <w:tab w:val="right" w:leader="dot" w:pos="9016"/>
      </w:tabs>
      <w:spacing w:after="100"/>
    </w:pPr>
    <w:rPr>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D31036"/>
    <w:pPr>
      <w:spacing w:after="100"/>
      <w:ind w:left="220"/>
    </w:pPr>
  </w:style>
  <w:style w:type="paragraph" w:styleId="Caption">
    <w:name w:val="caption"/>
    <w:basedOn w:val="Normal"/>
    <w:next w:val="Normal"/>
    <w:uiPriority w:val="35"/>
    <w:semiHidden/>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Introduction">
    <w:name w:val="Introduction"/>
    <w:basedOn w:val="Normal"/>
    <w:rsid w:val="002C7990"/>
    <w:pPr>
      <w:suppressAutoHyphens/>
      <w:autoSpaceDE w:val="0"/>
      <w:autoSpaceDN w:val="0"/>
      <w:adjustRightInd w:val="0"/>
      <w:spacing w:after="283" w:line="380" w:lineRule="atLeast"/>
      <w:textAlignment w:val="center"/>
    </w:pPr>
    <w:rPr>
      <w:rFonts w:ascii="Arial" w:eastAsia="Times New Roman" w:hAnsi="Arial"/>
      <w:bCs/>
      <w:color w:val="007073"/>
      <w:kern w:val="0"/>
      <w:sz w:val="30"/>
      <w:szCs w:val="26"/>
      <w:lang w:eastAsia="en-NZ"/>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uiPriority w:val="99"/>
    <w:rsid w:val="00BE1C4B"/>
    <w:pPr>
      <w:suppressAutoHyphens/>
      <w:autoSpaceDE w:val="0"/>
      <w:autoSpaceDN w:val="0"/>
      <w:adjustRightInd w:val="0"/>
      <w:spacing w:after="170" w:line="240" w:lineRule="auto"/>
      <w:ind w:left="227" w:hanging="227"/>
      <w:textAlignment w:val="center"/>
    </w:pPr>
    <w:rPr>
      <w:rFonts w:ascii="Arial" w:eastAsia="Times New Roman" w:hAnsi="Arial"/>
      <w:kern w:val="0"/>
      <w:sz w:val="16"/>
      <w:szCs w:val="24"/>
      <w:lang w:eastAsia="en-NZ"/>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BE1C4B"/>
    <w:rPr>
      <w:rFonts w:ascii="Arial" w:eastAsia="Times New Roman" w:hAnsi="Arial" w:cs="Arial"/>
      <w:sz w:val="16"/>
      <w:szCs w:val="24"/>
      <w:lang w:val="en-US" w:eastAsia="en-NZ"/>
    </w:rPr>
  </w:style>
  <w:style w:type="character" w:styleId="FootnoteReference">
    <w:name w:val="footnote reference"/>
    <w:uiPriority w:val="99"/>
    <w:semiHidden/>
    <w:unhideWhenUsed/>
    <w:rsid w:val="00BE1C4B"/>
    <w:rPr>
      <w:rFonts w:ascii="Arial" w:hAnsi="Arial" w:cs="Arial"/>
      <w:color w:val="auto"/>
      <w:sz w:val="22"/>
      <w:szCs w:val="16"/>
      <w:vertAlign w:val="superscript"/>
      <w:lang w:val="en-US"/>
    </w:rPr>
  </w:style>
  <w:style w:type="paragraph" w:styleId="BodyText">
    <w:name w:val="Body Text"/>
    <w:basedOn w:val="Normal"/>
    <w:link w:val="BodyTextChar"/>
    <w:rsid w:val="00C15BE8"/>
    <w:pPr>
      <w:suppressAutoHyphens/>
      <w:autoSpaceDE w:val="0"/>
      <w:autoSpaceDN w:val="0"/>
      <w:adjustRightInd w:val="0"/>
      <w:spacing w:line="320" w:lineRule="atLeast"/>
      <w:textAlignment w:val="center"/>
    </w:pPr>
    <w:rPr>
      <w:rFonts w:ascii="Arial" w:eastAsia="Times New Roman" w:hAnsi="Arial"/>
      <w:kern w:val="0"/>
      <w:sz w:val="24"/>
      <w:szCs w:val="22"/>
      <w:lang w:eastAsia="en-NZ"/>
    </w:rPr>
  </w:style>
  <w:style w:type="character" w:customStyle="1" w:styleId="BodyTextChar">
    <w:name w:val="Body Text Char"/>
    <w:basedOn w:val="DefaultParagraphFont"/>
    <w:link w:val="BodyText"/>
    <w:rsid w:val="00C15BE8"/>
    <w:rPr>
      <w:rFonts w:ascii="Arial" w:eastAsia="Times New Roman" w:hAnsi="Arial" w:cs="Arial"/>
      <w:sz w:val="24"/>
      <w:szCs w:val="22"/>
      <w:lang w:val="en-US" w:eastAsia="en-NZ"/>
    </w:rPr>
  </w:style>
  <w:style w:type="paragraph" w:customStyle="1" w:styleId="bullet10">
    <w:name w:val="bullet 1"/>
    <w:basedOn w:val="Normal"/>
    <w:rsid w:val="00C15BE8"/>
    <w:pPr>
      <w:numPr>
        <w:numId w:val="4"/>
      </w:numPr>
      <w:suppressAutoHyphens/>
      <w:autoSpaceDE w:val="0"/>
      <w:autoSpaceDN w:val="0"/>
      <w:adjustRightInd w:val="0"/>
      <w:spacing w:after="57" w:line="320" w:lineRule="atLeast"/>
      <w:textAlignment w:val="center"/>
    </w:pPr>
    <w:rPr>
      <w:rFonts w:ascii="Arial" w:eastAsia="Times New Roman" w:hAnsi="Arial" w:cs="Arial (TT)"/>
      <w:kern w:val="0"/>
      <w:sz w:val="24"/>
      <w:szCs w:val="22"/>
      <w:lang w:eastAsia="en-NZ"/>
    </w:rPr>
  </w:style>
  <w:style w:type="paragraph" w:customStyle="1" w:styleId="Tableheading">
    <w:name w:val="Table heading"/>
    <w:basedOn w:val="BodyText"/>
    <w:rsid w:val="00E12A1D"/>
    <w:pPr>
      <w:spacing w:before="60" w:after="40" w:line="240" w:lineRule="auto"/>
    </w:pPr>
    <w:rPr>
      <w:b/>
      <w:sz w:val="20"/>
    </w:rPr>
  </w:style>
  <w:style w:type="paragraph" w:customStyle="1" w:styleId="Insidecoversubheading">
    <w:name w:val="Inside cover subheading"/>
    <w:basedOn w:val="Normal"/>
    <w:rsid w:val="00C8127E"/>
    <w:pPr>
      <w:suppressAutoHyphens/>
      <w:autoSpaceDE w:val="0"/>
      <w:autoSpaceDN w:val="0"/>
      <w:adjustRightInd w:val="0"/>
      <w:spacing w:after="0" w:line="320" w:lineRule="atLeast"/>
      <w:ind w:left="408"/>
      <w:textAlignment w:val="center"/>
    </w:pPr>
    <w:rPr>
      <w:rFonts w:ascii="Arial" w:eastAsia="Times New Roman" w:hAnsi="Arial"/>
      <w:b/>
      <w:color w:val="007073"/>
      <w:kern w:val="0"/>
      <w:sz w:val="24"/>
      <w:lang w:eastAsia="en-NZ"/>
    </w:rPr>
  </w:style>
  <w:style w:type="character" w:styleId="Emphasis">
    <w:name w:val="Emphasis"/>
    <w:basedOn w:val="DefaultParagraphFont"/>
    <w:uiPriority w:val="20"/>
    <w:qFormat/>
    <w:locked/>
    <w:rsid w:val="00017DC5"/>
    <w:rPr>
      <w:b/>
      <w:bCs/>
      <w:i w:val="0"/>
      <w:iCs w:val="0"/>
    </w:rPr>
  </w:style>
  <w:style w:type="character" w:customStyle="1" w:styleId="st">
    <w:name w:val="st"/>
    <w:basedOn w:val="DefaultParagraphFont"/>
    <w:rsid w:val="00017DC5"/>
  </w:style>
  <w:style w:type="paragraph" w:customStyle="1" w:styleId="Default">
    <w:name w:val="Default"/>
    <w:rsid w:val="00F25032"/>
    <w:pPr>
      <w:autoSpaceDE w:val="0"/>
      <w:autoSpaceDN w:val="0"/>
      <w:adjustRightInd w:val="0"/>
    </w:pPr>
    <w:rPr>
      <w:rFonts w:ascii="Arial" w:eastAsia="Times New Roman" w:hAnsi="Arial" w:cs="Arial"/>
      <w:color w:val="000000"/>
      <w:sz w:val="24"/>
      <w:szCs w:val="24"/>
      <w:lang w:eastAsia="en-NZ"/>
    </w:rPr>
  </w:style>
  <w:style w:type="character" w:styleId="CommentReference">
    <w:name w:val="annotation reference"/>
    <w:basedOn w:val="DefaultParagraphFont"/>
    <w:uiPriority w:val="99"/>
    <w:semiHidden/>
    <w:rsid w:val="005C2C0F"/>
    <w:rPr>
      <w:sz w:val="16"/>
      <w:szCs w:val="16"/>
    </w:rPr>
  </w:style>
  <w:style w:type="paragraph" w:styleId="CommentText">
    <w:name w:val="annotation text"/>
    <w:basedOn w:val="Normal"/>
    <w:link w:val="CommentTextChar"/>
    <w:uiPriority w:val="99"/>
    <w:semiHidden/>
    <w:rsid w:val="005C2C0F"/>
    <w:pPr>
      <w:spacing w:line="240" w:lineRule="auto"/>
    </w:pPr>
  </w:style>
  <w:style w:type="character" w:customStyle="1" w:styleId="CommentTextChar">
    <w:name w:val="Comment Text Char"/>
    <w:basedOn w:val="DefaultParagraphFont"/>
    <w:link w:val="CommentText"/>
    <w:uiPriority w:val="99"/>
    <w:semiHidden/>
    <w:rsid w:val="005C2C0F"/>
    <w:rPr>
      <w:rFonts w:ascii="Verdana" w:hAnsi="Verdana" w:cs="Arial"/>
      <w:kern w:val="28"/>
      <w:lang w:val="en-US"/>
    </w:rPr>
  </w:style>
  <w:style w:type="paragraph" w:styleId="CommentSubject">
    <w:name w:val="annotation subject"/>
    <w:basedOn w:val="CommentText"/>
    <w:next w:val="CommentText"/>
    <w:link w:val="CommentSubjectChar"/>
    <w:uiPriority w:val="99"/>
    <w:semiHidden/>
    <w:rsid w:val="005C2C0F"/>
    <w:rPr>
      <w:b/>
      <w:bCs/>
    </w:rPr>
  </w:style>
  <w:style w:type="character" w:customStyle="1" w:styleId="CommentSubjectChar">
    <w:name w:val="Comment Subject Char"/>
    <w:basedOn w:val="CommentTextChar"/>
    <w:link w:val="CommentSubject"/>
    <w:uiPriority w:val="99"/>
    <w:semiHidden/>
    <w:rsid w:val="005C2C0F"/>
    <w:rPr>
      <w:rFonts w:ascii="Verdana" w:hAnsi="Verdana" w:cs="Arial"/>
      <w:b/>
      <w:bCs/>
      <w:kern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nhideWhenUsed="1" w:qFormat="1"/>
    <w:lsdException w:name="heading 3" w:semiHidden="0" w:qFormat="1"/>
    <w:lsdException w:name="heading 4" w:semiHidden="0" w:qFormat="1"/>
    <w:lsdException w:name="heading 5" w:uiPriority="9"/>
    <w:lsdException w:name="heading 6" w:locked="1" w:uiPriority="9" w:unhideWhenUsed="1"/>
    <w:lsdException w:name="heading 7" w:locked="1" w:uiPriority="9" w:unhideWhenUsed="1" w:qFormat="1"/>
    <w:lsdException w:name="heading 8" w:locked="1" w:uiPriority="9" w:unhideWhenUsed="1" w:qFormat="1"/>
    <w:lsdException w:name="heading 9" w:locked="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qFormat="1"/>
    <w:lsdException w:name="Default Paragraph Font" w:uiPriority="1" w:unhideWhenUsed="1"/>
    <w:lsdException w:name="Body Text" w:uiPriority="0"/>
    <w:lsdException w:name="Subtitle" w:semiHidden="0" w:qFormat="1"/>
    <w:lsdException w:name="Strong" w:uiPriority="22"/>
    <w:lsdException w:name="Emphasis" w:locked="1"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EA7BB2"/>
    <w:pPr>
      <w:spacing w:after="120" w:line="288" w:lineRule="auto"/>
    </w:pPr>
    <w:rPr>
      <w:rFonts w:ascii="Verdana" w:hAnsi="Verdana" w:cs="Arial"/>
      <w:kern w:val="28"/>
      <w:lang w:val="en-US"/>
    </w:rPr>
  </w:style>
  <w:style w:type="paragraph" w:styleId="Heading1">
    <w:name w:val="heading 1"/>
    <w:basedOn w:val="Normal"/>
    <w:next w:val="Normal"/>
    <w:link w:val="Heading1Char"/>
    <w:uiPriority w:val="99"/>
    <w:qFormat/>
    <w:rsid w:val="008742E0"/>
    <w:pPr>
      <w:keepNext/>
      <w:keepLines/>
      <w:pBdr>
        <w:bottom w:val="single" w:sz="24" w:space="1" w:color="121F6B"/>
      </w:pBdr>
      <w:spacing w:before="360" w:after="240"/>
      <w:ind w:right="-1440"/>
      <w:outlineLvl w:val="0"/>
    </w:pPr>
    <w:rPr>
      <w:rFonts w:ascii="Georgia" w:eastAsiaTheme="majorEastAsia" w:hAnsi="Georgia"/>
      <w:b/>
      <w:bCs/>
      <w:color w:val="121F6B"/>
      <w:kern w:val="0"/>
      <w:sz w:val="40"/>
      <w:szCs w:val="28"/>
      <w:lang w:val="en-NZ"/>
    </w:rPr>
  </w:style>
  <w:style w:type="paragraph" w:styleId="Heading2">
    <w:name w:val="heading 2"/>
    <w:basedOn w:val="Normal"/>
    <w:next w:val="Normal"/>
    <w:link w:val="Heading2Char"/>
    <w:uiPriority w:val="99"/>
    <w:qFormat/>
    <w:rsid w:val="00A56175"/>
    <w:pPr>
      <w:spacing w:before="170" w:after="170" w:line="240" w:lineRule="auto"/>
      <w:outlineLvl w:val="1"/>
    </w:pPr>
    <w:rPr>
      <w:b/>
      <w:sz w:val="28"/>
    </w:rPr>
  </w:style>
  <w:style w:type="paragraph" w:styleId="Heading3">
    <w:name w:val="heading 3"/>
    <w:basedOn w:val="Normal"/>
    <w:next w:val="Normal"/>
    <w:link w:val="Heading3Char"/>
    <w:uiPriority w:val="99"/>
    <w:qFormat/>
    <w:rsid w:val="00C91A39"/>
    <w:pPr>
      <w:keepNext/>
      <w:keepLines/>
      <w:spacing w:before="120"/>
      <w:outlineLvl w:val="2"/>
    </w:pPr>
    <w:rPr>
      <w:rFonts w:eastAsiaTheme="majorEastAsia"/>
      <w:b/>
      <w:bCs/>
      <w:kern w:val="0"/>
      <w:sz w:val="22"/>
      <w:szCs w:val="22"/>
      <w:lang w:val="en-NZ" w:eastAsia="en-AU"/>
    </w:rPr>
  </w:style>
  <w:style w:type="paragraph" w:styleId="Heading4">
    <w:name w:val="heading 4"/>
    <w:basedOn w:val="Normal"/>
    <w:next w:val="Normal"/>
    <w:link w:val="Heading4Char"/>
    <w:uiPriority w:val="99"/>
    <w:qFormat/>
    <w:rsid w:val="00F167CA"/>
    <w:pPr>
      <w:keepNext/>
      <w:keepLines/>
      <w:spacing w:before="480" w:after="480"/>
      <w:outlineLvl w:val="3"/>
    </w:pPr>
    <w:rPr>
      <w:rFonts w:ascii="Arial" w:eastAsiaTheme="majorEastAsia" w:hAnsi="Arial" w:cs="Times New Roman"/>
      <w:bCs/>
      <w:iCs/>
      <w:kern w:val="0"/>
      <w:lang w:val="en-NZ"/>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742E0"/>
    <w:rPr>
      <w:rFonts w:ascii="Georgia" w:eastAsiaTheme="majorEastAsia" w:hAnsi="Georgia" w:cs="Arial"/>
      <w:b/>
      <w:bCs/>
      <w:color w:val="121F6B"/>
      <w:sz w:val="40"/>
      <w:szCs w:val="28"/>
    </w:rPr>
  </w:style>
  <w:style w:type="character" w:customStyle="1" w:styleId="Heading2Char">
    <w:name w:val="Heading 2 Char"/>
    <w:basedOn w:val="DefaultParagraphFont"/>
    <w:link w:val="Heading2"/>
    <w:uiPriority w:val="99"/>
    <w:rsid w:val="00A56175"/>
    <w:rPr>
      <w:rFonts w:ascii="Verdana" w:hAnsi="Verdana" w:cs="Arial"/>
      <w:b/>
      <w:kern w:val="28"/>
      <w:sz w:val="28"/>
      <w:lang w:val="en-US"/>
    </w:rPr>
  </w:style>
  <w:style w:type="character" w:customStyle="1" w:styleId="Heading3Char">
    <w:name w:val="Heading 3 Char"/>
    <w:basedOn w:val="DefaultParagraphFont"/>
    <w:link w:val="Heading3"/>
    <w:uiPriority w:val="99"/>
    <w:rsid w:val="00C91A39"/>
    <w:rPr>
      <w:rFonts w:ascii="Verdana" w:eastAsiaTheme="majorEastAsia" w:hAnsi="Verdana" w:cs="Arial"/>
      <w:b/>
      <w:bCs/>
      <w:sz w:val="22"/>
      <w:szCs w:val="22"/>
      <w:lang w:eastAsia="en-AU"/>
    </w:rPr>
  </w:style>
  <w:style w:type="character" w:customStyle="1" w:styleId="Heading4Char">
    <w:name w:val="Heading 4 Char"/>
    <w:basedOn w:val="DefaultParagraphFont"/>
    <w:link w:val="Heading4"/>
    <w:uiPriority w:val="99"/>
    <w:rsid w:val="00F167CA"/>
    <w:rPr>
      <w:rFonts w:ascii="Arial" w:eastAsiaTheme="majorEastAsia" w:hAnsi="Arial"/>
      <w:bCs/>
      <w:iCs/>
    </w:rPr>
  </w:style>
  <w:style w:type="paragraph" w:styleId="ListParagraph">
    <w:name w:val="List Paragraph"/>
    <w:basedOn w:val="Normal"/>
    <w:uiPriority w:val="34"/>
    <w:qFormat/>
    <w:rsid w:val="00F167CA"/>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lang w:val="en-NZ"/>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2"/>
      </w:numPr>
      <w:suppressAutoHyphens/>
      <w:autoSpaceDE w:val="0"/>
      <w:autoSpaceDN w:val="0"/>
      <w:adjustRightInd w:val="0"/>
      <w:textAlignment w:val="center"/>
    </w:pPr>
    <w:rPr>
      <w:rFonts w:eastAsia="Times New Roman"/>
      <w:lang w:val="en-NZ" w:eastAsia="en-AU"/>
    </w:rPr>
  </w:style>
  <w:style w:type="paragraph" w:customStyle="1" w:styleId="Bullet2">
    <w:name w:val="Bullet2"/>
    <w:qFormat/>
    <w:rsid w:val="009E3D6F"/>
    <w:pPr>
      <w:numPr>
        <w:numId w:val="3"/>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qFormat/>
    <w:rsid w:val="009F3DDE"/>
    <w:pPr>
      <w:tabs>
        <w:tab w:val="right" w:leader="dot" w:pos="9016"/>
      </w:tabs>
      <w:spacing w:after="100"/>
    </w:pPr>
    <w:rPr>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qFormat/>
    <w:rsid w:val="00D31036"/>
    <w:pPr>
      <w:spacing w:after="100"/>
      <w:ind w:left="220"/>
    </w:pPr>
  </w:style>
  <w:style w:type="paragraph" w:styleId="Caption">
    <w:name w:val="caption"/>
    <w:basedOn w:val="Normal"/>
    <w:next w:val="Normal"/>
    <w:uiPriority w:val="35"/>
    <w:semiHidden/>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qFormat/>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Introduction">
    <w:name w:val="Introduction"/>
    <w:basedOn w:val="Normal"/>
    <w:rsid w:val="002C7990"/>
    <w:pPr>
      <w:suppressAutoHyphens/>
      <w:autoSpaceDE w:val="0"/>
      <w:autoSpaceDN w:val="0"/>
      <w:adjustRightInd w:val="0"/>
      <w:spacing w:after="283" w:line="380" w:lineRule="atLeast"/>
      <w:textAlignment w:val="center"/>
    </w:pPr>
    <w:rPr>
      <w:rFonts w:ascii="Arial" w:eastAsia="Times New Roman" w:hAnsi="Arial"/>
      <w:bCs/>
      <w:color w:val="007073"/>
      <w:kern w:val="0"/>
      <w:sz w:val="30"/>
      <w:szCs w:val="26"/>
      <w:lang w:eastAsia="en-NZ"/>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
    <w:basedOn w:val="Normal"/>
    <w:link w:val="FootnoteTextChar"/>
    <w:uiPriority w:val="99"/>
    <w:rsid w:val="00BE1C4B"/>
    <w:pPr>
      <w:suppressAutoHyphens/>
      <w:autoSpaceDE w:val="0"/>
      <w:autoSpaceDN w:val="0"/>
      <w:adjustRightInd w:val="0"/>
      <w:spacing w:after="170" w:line="240" w:lineRule="auto"/>
      <w:ind w:left="227" w:hanging="227"/>
      <w:textAlignment w:val="center"/>
    </w:pPr>
    <w:rPr>
      <w:rFonts w:ascii="Arial" w:eastAsia="Times New Roman" w:hAnsi="Arial"/>
      <w:kern w:val="0"/>
      <w:sz w:val="16"/>
      <w:szCs w:val="24"/>
      <w:lang w:eastAsia="en-NZ"/>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BE1C4B"/>
    <w:rPr>
      <w:rFonts w:ascii="Arial" w:eastAsia="Times New Roman" w:hAnsi="Arial" w:cs="Arial"/>
      <w:sz w:val="16"/>
      <w:szCs w:val="24"/>
      <w:lang w:val="en-US" w:eastAsia="en-NZ"/>
    </w:rPr>
  </w:style>
  <w:style w:type="character" w:styleId="FootnoteReference">
    <w:name w:val="footnote reference"/>
    <w:uiPriority w:val="99"/>
    <w:semiHidden/>
    <w:unhideWhenUsed/>
    <w:rsid w:val="00BE1C4B"/>
    <w:rPr>
      <w:rFonts w:ascii="Arial" w:hAnsi="Arial" w:cs="Arial"/>
      <w:color w:val="auto"/>
      <w:sz w:val="22"/>
      <w:szCs w:val="16"/>
      <w:vertAlign w:val="superscript"/>
      <w:lang w:val="en-US"/>
    </w:rPr>
  </w:style>
  <w:style w:type="paragraph" w:styleId="BodyText">
    <w:name w:val="Body Text"/>
    <w:basedOn w:val="Normal"/>
    <w:link w:val="BodyTextChar"/>
    <w:rsid w:val="00C15BE8"/>
    <w:pPr>
      <w:suppressAutoHyphens/>
      <w:autoSpaceDE w:val="0"/>
      <w:autoSpaceDN w:val="0"/>
      <w:adjustRightInd w:val="0"/>
      <w:spacing w:line="320" w:lineRule="atLeast"/>
      <w:textAlignment w:val="center"/>
    </w:pPr>
    <w:rPr>
      <w:rFonts w:ascii="Arial" w:eastAsia="Times New Roman" w:hAnsi="Arial"/>
      <w:kern w:val="0"/>
      <w:sz w:val="24"/>
      <w:szCs w:val="22"/>
      <w:lang w:eastAsia="en-NZ"/>
    </w:rPr>
  </w:style>
  <w:style w:type="character" w:customStyle="1" w:styleId="BodyTextChar">
    <w:name w:val="Body Text Char"/>
    <w:basedOn w:val="DefaultParagraphFont"/>
    <w:link w:val="BodyText"/>
    <w:rsid w:val="00C15BE8"/>
    <w:rPr>
      <w:rFonts w:ascii="Arial" w:eastAsia="Times New Roman" w:hAnsi="Arial" w:cs="Arial"/>
      <w:sz w:val="24"/>
      <w:szCs w:val="22"/>
      <w:lang w:val="en-US" w:eastAsia="en-NZ"/>
    </w:rPr>
  </w:style>
  <w:style w:type="paragraph" w:customStyle="1" w:styleId="bullet10">
    <w:name w:val="bullet 1"/>
    <w:basedOn w:val="Normal"/>
    <w:rsid w:val="00C15BE8"/>
    <w:pPr>
      <w:numPr>
        <w:numId w:val="4"/>
      </w:numPr>
      <w:suppressAutoHyphens/>
      <w:autoSpaceDE w:val="0"/>
      <w:autoSpaceDN w:val="0"/>
      <w:adjustRightInd w:val="0"/>
      <w:spacing w:after="57" w:line="320" w:lineRule="atLeast"/>
      <w:textAlignment w:val="center"/>
    </w:pPr>
    <w:rPr>
      <w:rFonts w:ascii="Arial" w:eastAsia="Times New Roman" w:hAnsi="Arial" w:cs="Arial (TT)"/>
      <w:kern w:val="0"/>
      <w:sz w:val="24"/>
      <w:szCs w:val="22"/>
      <w:lang w:eastAsia="en-NZ"/>
    </w:rPr>
  </w:style>
  <w:style w:type="paragraph" w:customStyle="1" w:styleId="Tableheading">
    <w:name w:val="Table heading"/>
    <w:basedOn w:val="BodyText"/>
    <w:rsid w:val="00E12A1D"/>
    <w:pPr>
      <w:spacing w:before="60" w:after="40" w:line="240" w:lineRule="auto"/>
    </w:pPr>
    <w:rPr>
      <w:b/>
      <w:sz w:val="20"/>
    </w:rPr>
  </w:style>
  <w:style w:type="paragraph" w:customStyle="1" w:styleId="Insidecoversubheading">
    <w:name w:val="Inside cover subheading"/>
    <w:basedOn w:val="Normal"/>
    <w:rsid w:val="00C8127E"/>
    <w:pPr>
      <w:suppressAutoHyphens/>
      <w:autoSpaceDE w:val="0"/>
      <w:autoSpaceDN w:val="0"/>
      <w:adjustRightInd w:val="0"/>
      <w:spacing w:after="0" w:line="320" w:lineRule="atLeast"/>
      <w:ind w:left="408"/>
      <w:textAlignment w:val="center"/>
    </w:pPr>
    <w:rPr>
      <w:rFonts w:ascii="Arial" w:eastAsia="Times New Roman" w:hAnsi="Arial"/>
      <w:b/>
      <w:color w:val="007073"/>
      <w:kern w:val="0"/>
      <w:sz w:val="24"/>
      <w:lang w:eastAsia="en-NZ"/>
    </w:rPr>
  </w:style>
  <w:style w:type="character" w:styleId="Emphasis">
    <w:name w:val="Emphasis"/>
    <w:basedOn w:val="DefaultParagraphFont"/>
    <w:uiPriority w:val="20"/>
    <w:qFormat/>
    <w:locked/>
    <w:rsid w:val="00017DC5"/>
    <w:rPr>
      <w:b/>
      <w:bCs/>
      <w:i w:val="0"/>
      <w:iCs w:val="0"/>
    </w:rPr>
  </w:style>
  <w:style w:type="character" w:customStyle="1" w:styleId="st">
    <w:name w:val="st"/>
    <w:basedOn w:val="DefaultParagraphFont"/>
    <w:rsid w:val="00017DC5"/>
  </w:style>
  <w:style w:type="paragraph" w:customStyle="1" w:styleId="Default">
    <w:name w:val="Default"/>
    <w:rsid w:val="00F25032"/>
    <w:pPr>
      <w:autoSpaceDE w:val="0"/>
      <w:autoSpaceDN w:val="0"/>
      <w:adjustRightInd w:val="0"/>
    </w:pPr>
    <w:rPr>
      <w:rFonts w:ascii="Arial" w:eastAsia="Times New Roman" w:hAnsi="Arial" w:cs="Arial"/>
      <w:color w:val="000000"/>
      <w:sz w:val="24"/>
      <w:szCs w:val="24"/>
      <w:lang w:eastAsia="en-NZ"/>
    </w:rPr>
  </w:style>
  <w:style w:type="character" w:styleId="CommentReference">
    <w:name w:val="annotation reference"/>
    <w:basedOn w:val="DefaultParagraphFont"/>
    <w:uiPriority w:val="99"/>
    <w:semiHidden/>
    <w:rsid w:val="005C2C0F"/>
    <w:rPr>
      <w:sz w:val="16"/>
      <w:szCs w:val="16"/>
    </w:rPr>
  </w:style>
  <w:style w:type="paragraph" w:styleId="CommentText">
    <w:name w:val="annotation text"/>
    <w:basedOn w:val="Normal"/>
    <w:link w:val="CommentTextChar"/>
    <w:uiPriority w:val="99"/>
    <w:semiHidden/>
    <w:rsid w:val="005C2C0F"/>
    <w:pPr>
      <w:spacing w:line="240" w:lineRule="auto"/>
    </w:pPr>
  </w:style>
  <w:style w:type="character" w:customStyle="1" w:styleId="CommentTextChar">
    <w:name w:val="Comment Text Char"/>
    <w:basedOn w:val="DefaultParagraphFont"/>
    <w:link w:val="CommentText"/>
    <w:uiPriority w:val="99"/>
    <w:semiHidden/>
    <w:rsid w:val="005C2C0F"/>
    <w:rPr>
      <w:rFonts w:ascii="Verdana" w:hAnsi="Verdana" w:cs="Arial"/>
      <w:kern w:val="28"/>
      <w:lang w:val="en-US"/>
    </w:rPr>
  </w:style>
  <w:style w:type="paragraph" w:styleId="CommentSubject">
    <w:name w:val="annotation subject"/>
    <w:basedOn w:val="CommentText"/>
    <w:next w:val="CommentText"/>
    <w:link w:val="CommentSubjectChar"/>
    <w:uiPriority w:val="99"/>
    <w:semiHidden/>
    <w:rsid w:val="005C2C0F"/>
    <w:rPr>
      <w:b/>
      <w:bCs/>
    </w:rPr>
  </w:style>
  <w:style w:type="character" w:customStyle="1" w:styleId="CommentSubjectChar">
    <w:name w:val="Comment Subject Char"/>
    <w:basedOn w:val="CommentTextChar"/>
    <w:link w:val="CommentSubject"/>
    <w:uiPriority w:val="99"/>
    <w:semiHidden/>
    <w:rsid w:val="005C2C0F"/>
    <w:rPr>
      <w:rFonts w:ascii="Verdana" w:hAnsi="Verdana" w:cs="Arial"/>
      <w:b/>
      <w:bCs/>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51939">
      <w:bodyDiv w:val="1"/>
      <w:marLeft w:val="0"/>
      <w:marRight w:val="0"/>
      <w:marTop w:val="0"/>
      <w:marBottom w:val="0"/>
      <w:divBdr>
        <w:top w:val="none" w:sz="0" w:space="0" w:color="auto"/>
        <w:left w:val="none" w:sz="0" w:space="0" w:color="auto"/>
        <w:bottom w:val="none" w:sz="0" w:space="0" w:color="auto"/>
        <w:right w:val="none" w:sz="0" w:space="0" w:color="auto"/>
      </w:divBdr>
    </w:div>
    <w:div w:id="1304384980">
      <w:bodyDiv w:val="1"/>
      <w:marLeft w:val="0"/>
      <w:marRight w:val="0"/>
      <w:marTop w:val="0"/>
      <w:marBottom w:val="0"/>
      <w:divBdr>
        <w:top w:val="none" w:sz="0" w:space="0" w:color="auto"/>
        <w:left w:val="none" w:sz="0" w:space="0" w:color="auto"/>
        <w:bottom w:val="none" w:sz="0" w:space="0" w:color="auto"/>
        <w:right w:val="none" w:sz="0" w:space="0" w:color="auto"/>
      </w:divBdr>
    </w:div>
    <w:div w:id="1403218287">
      <w:bodyDiv w:val="1"/>
      <w:marLeft w:val="0"/>
      <w:marRight w:val="0"/>
      <w:marTop w:val="0"/>
      <w:marBottom w:val="0"/>
      <w:divBdr>
        <w:top w:val="none" w:sz="0" w:space="0" w:color="auto"/>
        <w:left w:val="none" w:sz="0" w:space="0" w:color="auto"/>
        <w:bottom w:val="none" w:sz="0" w:space="0" w:color="auto"/>
        <w:right w:val="none" w:sz="0" w:space="0" w:color="auto"/>
      </w:divBdr>
    </w:div>
    <w:div w:id="1728675810">
      <w:bodyDiv w:val="1"/>
      <w:marLeft w:val="0"/>
      <w:marRight w:val="0"/>
      <w:marTop w:val="0"/>
      <w:marBottom w:val="0"/>
      <w:divBdr>
        <w:top w:val="none" w:sz="0" w:space="0" w:color="auto"/>
        <w:left w:val="none" w:sz="0" w:space="0" w:color="auto"/>
        <w:bottom w:val="none" w:sz="0" w:space="0" w:color="auto"/>
        <w:right w:val="none" w:sz="0" w:space="0" w:color="auto"/>
      </w:divBdr>
    </w:div>
    <w:div w:id="17918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826D0-1F47-4F4E-AE36-ED71B986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7668</Words>
  <Characters>43708</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51274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Johnson</dc:creator>
  <cp:lastModifiedBy>Philip Spier</cp:lastModifiedBy>
  <cp:revision>2</cp:revision>
  <cp:lastPrinted>2015-12-16T01:07:00Z</cp:lastPrinted>
  <dcterms:created xsi:type="dcterms:W3CDTF">2016-02-29T03:04:00Z</dcterms:created>
  <dcterms:modified xsi:type="dcterms:W3CDTF">2016-02-29T03:04:00Z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A8560183</vt:lpwstr>
  </property>
  <property fmtid="{D5CDD505-2E9C-101B-9397-08002B2CF9AE}" pid="4" name="Objective-Title">
    <vt:lpwstr>Gang members contact with the MSD service lines for publication - March 2016</vt:lpwstr>
  </property>
  <property fmtid="{D5CDD505-2E9C-101B-9397-08002B2CF9AE}" pid="5" name="Objective-Comment">
    <vt:lpwstr/>
  </property>
  <property fmtid="{D5CDD505-2E9C-101B-9397-08002B2CF9AE}" pid="6" name="Objective-CreationStamp">
    <vt:filetime>2015-12-16T00:44:57Z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2016-02-28T23:34:07Z</vt:filetime>
  </property>
  <property fmtid="{D5CDD505-2E9C-101B-9397-08002B2CF9AE}" pid="10" name="Objective-ModificationStamp">
    <vt:filetime>2016-02-28T23:34:08Z</vt:filetime>
  </property>
  <property fmtid="{D5CDD505-2E9C-101B-9397-08002B2CF9AE}" pid="11" name="Objective-Owner">
    <vt:lpwstr>Philip Spier</vt:lpwstr>
  </property>
  <property fmtid="{D5CDD505-2E9C-101B-9397-08002B2CF9AE}" pid="12" name="Objective-Path">
    <vt:lpwstr>Global Folder:MSD INFORMATION REPOSITORY:Social Research &amp; Evaluation:Youth:Fresh Start for Youth Offenders:Influence of Gangs:</vt:lpwstr>
  </property>
  <property fmtid="{D5CDD505-2E9C-101B-9397-08002B2CF9AE}" pid="13" name="Objective-Parent">
    <vt:lpwstr>Influence of Gangs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SR/YO/29/14-1131</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ies>
</file>