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131" w:rsidRPr="00662131" w:rsidRDefault="00332D6F" w:rsidP="00662131">
      <w:r>
        <w:t xml:space="preserve"> </w:t>
      </w:r>
      <w:r w:rsidR="00662131" w:rsidRPr="00662131">
        <w:rPr>
          <w:noProof/>
          <w:lang w:eastAsia="en-NZ"/>
        </w:rPr>
        <w:drawing>
          <wp:anchor distT="0" distB="0" distL="114300" distR="114300" simplePos="0" relativeHeight="251664384" behindDoc="0" locked="0" layoutInCell="1" allowOverlap="1" wp14:anchorId="2E3DF072" wp14:editId="193E13DE">
            <wp:simplePos x="0" y="0"/>
            <wp:positionH relativeFrom="page">
              <wp:posOffset>730250</wp:posOffset>
            </wp:positionH>
            <wp:positionV relativeFrom="page">
              <wp:posOffset>671830</wp:posOffset>
            </wp:positionV>
            <wp:extent cx="3005455" cy="701675"/>
            <wp:effectExtent l="0" t="0" r="4445" b="3175"/>
            <wp:wrapNone/>
            <wp:docPr id="6" name="Picture 6" descr="\\corp.ssi.govt.nz\usersm\mjohn034\Desktop\MSD Branding\MSD Logos\MSD_30mmBELO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rp.ssi.govt.nz\usersm\mjohn034\Desktop\MSD Branding\MSD Logos\MSD_30mmBELOW_RGB.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723" t="13514" r="3990" b="13513"/>
                    <a:stretch/>
                  </pic:blipFill>
                  <pic:spPr bwMode="auto">
                    <a:xfrm>
                      <a:off x="0" y="0"/>
                      <a:ext cx="3005455" cy="701675"/>
                    </a:xfrm>
                    <a:prstGeom prst="rect">
                      <a:avLst/>
                    </a:prstGeom>
                    <a:noFill/>
                    <a:ln>
                      <a:noFill/>
                    </a:ln>
                    <a:extLst>
                      <a:ext uri="{53640926-AAD7-44D8-BBD7-CCE9431645EC}">
                        <a14:shadowObscured xmlns:a14="http://schemas.microsoft.com/office/drawing/2010/main"/>
                      </a:ext>
                    </a:extLst>
                  </pic:spPr>
                </pic:pic>
              </a:graphicData>
            </a:graphic>
          </wp:anchor>
        </w:drawing>
      </w:r>
    </w:p>
    <w:p w:rsidR="00662131" w:rsidRPr="00662131" w:rsidRDefault="00662131" w:rsidP="00662131">
      <w:pPr>
        <w:spacing w:before="60" w:after="60"/>
      </w:pPr>
    </w:p>
    <w:p w:rsidR="00662131" w:rsidRPr="00662131" w:rsidRDefault="00662131" w:rsidP="00662131">
      <w:pPr>
        <w:spacing w:before="60" w:after="60"/>
      </w:pPr>
    </w:p>
    <w:p w:rsidR="00662131" w:rsidRPr="00662131" w:rsidRDefault="00662131" w:rsidP="00662131">
      <w:pPr>
        <w:spacing w:before="60" w:after="60"/>
      </w:pPr>
      <w:bookmarkStart w:id="0" w:name="_GoBack"/>
      <w:bookmarkEnd w:id="0"/>
    </w:p>
    <w:p w:rsidR="00662131" w:rsidRPr="00662131" w:rsidRDefault="00662131" w:rsidP="00A341A6">
      <w:pPr>
        <w:spacing w:before="8040" w:after="0" w:line="760" w:lineRule="atLeast"/>
        <w:ind w:right="-1038"/>
        <w:rPr>
          <w:rFonts w:ascii="Georgia" w:hAnsi="Georgia"/>
          <w:b/>
          <w:noProof/>
          <w:color w:val="FFFFFF" w:themeColor="background1"/>
          <w:sz w:val="56"/>
          <w:lang w:eastAsia="en-NZ"/>
        </w:rPr>
      </w:pPr>
      <w:r w:rsidRPr="00662131">
        <w:rPr>
          <w:rFonts w:ascii="Georgia" w:hAnsi="Georgia"/>
          <w:b/>
          <w:noProof/>
          <w:color w:val="FFFFFF" w:themeColor="background1"/>
          <w:sz w:val="56"/>
          <w:lang w:eastAsia="en-NZ"/>
        </w:rPr>
        <w:drawing>
          <wp:anchor distT="0" distB="0" distL="114300" distR="114300" simplePos="0" relativeHeight="251665408" behindDoc="1" locked="0" layoutInCell="1" allowOverlap="1" wp14:anchorId="7D8CE5F0" wp14:editId="215E3488">
            <wp:simplePos x="0" y="0"/>
            <wp:positionH relativeFrom="column">
              <wp:posOffset>-962025</wp:posOffset>
            </wp:positionH>
            <wp:positionV relativeFrom="paragraph">
              <wp:posOffset>3441797</wp:posOffset>
            </wp:positionV>
            <wp:extent cx="7620000" cy="413587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1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9597" cy="4141081"/>
                    </a:xfrm>
                    <a:prstGeom prst="rect">
                      <a:avLst/>
                    </a:prstGeom>
                  </pic:spPr>
                </pic:pic>
              </a:graphicData>
            </a:graphic>
            <wp14:sizeRelH relativeFrom="page">
              <wp14:pctWidth>0</wp14:pctWidth>
            </wp14:sizeRelH>
            <wp14:sizeRelV relativeFrom="page">
              <wp14:pctHeight>0</wp14:pctHeight>
            </wp14:sizeRelV>
          </wp:anchor>
        </w:drawing>
      </w:r>
      <w:r w:rsidR="00FC7E74" w:rsidRPr="00FC7E74">
        <w:t xml:space="preserve"> </w:t>
      </w:r>
      <w:r w:rsidR="00FC7E74" w:rsidRPr="00FC7E74">
        <w:rPr>
          <w:rFonts w:ascii="Georgia" w:hAnsi="Georgia"/>
          <w:b/>
          <w:noProof/>
          <w:color w:val="FFFFFF" w:themeColor="background1"/>
          <w:sz w:val="56"/>
          <w:lang w:eastAsia="en-NZ"/>
        </w:rPr>
        <w:t>Cost-effectiveness of MSD employment assistance</w:t>
      </w:r>
    </w:p>
    <w:p w:rsidR="002F3A0B" w:rsidRPr="002F3A0B" w:rsidRDefault="00CE3659" w:rsidP="002F3A0B">
      <w:pPr>
        <w:pStyle w:val="Report2"/>
        <w:rPr>
          <w:color w:val="FFFFFF" w:themeColor="background1"/>
          <w:sz w:val="32"/>
          <w:szCs w:val="32"/>
        </w:rPr>
      </w:pPr>
      <w:r w:rsidRPr="00CE3659">
        <w:rPr>
          <w:color w:val="FFFFFF" w:themeColor="background1"/>
          <w:sz w:val="32"/>
          <w:szCs w:val="32"/>
        </w:rPr>
        <w:t>Technical report for 2016/2017 financial year</w:t>
      </w:r>
    </w:p>
    <w:p w:rsidR="00662131" w:rsidRPr="00662131" w:rsidRDefault="00EB3D5A" w:rsidP="002F3A0B">
      <w:pPr>
        <w:spacing w:before="480" w:after="0" w:line="760" w:lineRule="atLeast"/>
        <w:ind w:right="-1038"/>
        <w:rPr>
          <w:rFonts w:ascii="Georgia" w:hAnsi="Georgia"/>
          <w:b/>
          <w:noProof/>
          <w:color w:val="121F6B"/>
          <w:sz w:val="56"/>
          <w:lang w:eastAsia="en-NZ"/>
        </w:rPr>
      </w:pPr>
      <w:r>
        <w:rPr>
          <w:rFonts w:eastAsiaTheme="majorEastAsia"/>
          <w:b/>
          <w:bCs/>
          <w:noProof/>
          <w:color w:val="121F6B"/>
          <w:sz w:val="24"/>
          <w:szCs w:val="22"/>
          <w:lang w:eastAsia="en-AU"/>
        </w:rPr>
        <w:t xml:space="preserve">November </w:t>
      </w:r>
      <w:r w:rsidR="00FC7E74">
        <w:rPr>
          <w:rFonts w:eastAsiaTheme="majorEastAsia"/>
          <w:b/>
          <w:bCs/>
          <w:noProof/>
          <w:color w:val="121F6B"/>
          <w:sz w:val="24"/>
          <w:szCs w:val="22"/>
          <w:lang w:eastAsia="en-AU"/>
        </w:rPr>
        <w:t>2018</w:t>
      </w:r>
      <w:r w:rsidR="00662131" w:rsidRPr="00662131">
        <w:rPr>
          <w:rFonts w:ascii="Georgia" w:hAnsi="Georgia"/>
          <w:b/>
          <w:noProof/>
          <w:color w:val="121F6B"/>
          <w:sz w:val="56"/>
          <w:lang w:eastAsia="en-NZ"/>
        </w:rPr>
        <w:br w:type="page"/>
      </w:r>
    </w:p>
    <w:p w:rsidR="00312697" w:rsidRPr="000874C9" w:rsidRDefault="00216BA5" w:rsidP="006A5415">
      <w:pPr>
        <w:spacing w:before="6840"/>
        <w:rPr>
          <w:b/>
          <w:sz w:val="24"/>
          <w:szCs w:val="24"/>
        </w:rPr>
      </w:pPr>
      <w:r w:rsidRPr="000874C9">
        <w:rPr>
          <w:b/>
          <w:sz w:val="24"/>
          <w:szCs w:val="24"/>
          <w:lang w:val="en-US"/>
        </w:rPr>
        <w:lastRenderedPageBreak/>
        <w:t>Authors</w:t>
      </w:r>
    </w:p>
    <w:p w:rsidR="00FC7E74" w:rsidRDefault="00FC7E74" w:rsidP="00FC7E74">
      <w:r>
        <w:t>Marc de Boer, Principal Analyst, Insights MSD, Insights and Investment</w:t>
      </w:r>
    </w:p>
    <w:p w:rsidR="00FC7E74" w:rsidRDefault="00FC7E74" w:rsidP="00FC7E74">
      <w:r>
        <w:t>Bryan Ku, Analyst, Insights MSD, Insights and Investment</w:t>
      </w:r>
    </w:p>
    <w:p w:rsidR="00053906" w:rsidRPr="00CC5848" w:rsidRDefault="00053906" w:rsidP="00FC7E74">
      <w:pPr>
        <w:rPr>
          <w:b/>
          <w:sz w:val="24"/>
          <w:szCs w:val="24"/>
          <w:lang w:val="en-US"/>
        </w:rPr>
      </w:pPr>
      <w:r w:rsidRPr="00CC5848">
        <w:rPr>
          <w:b/>
          <w:sz w:val="24"/>
          <w:szCs w:val="24"/>
          <w:lang w:val="en-US"/>
        </w:rPr>
        <w:t>Acknowledgements</w:t>
      </w:r>
    </w:p>
    <w:p w:rsidR="00053906" w:rsidRPr="00FC7E74" w:rsidRDefault="00FC7E74" w:rsidP="000874C9">
      <w:pPr>
        <w:rPr>
          <w:lang w:eastAsia="en-AU"/>
        </w:rPr>
      </w:pPr>
      <w:r w:rsidRPr="00FF210D">
        <w:t>We would like to thank the following people for their contributions and comments in preparing this report:</w:t>
      </w:r>
      <w:r>
        <w:t xml:space="preserve"> Steven Su, Barbara Rackham, Ann Dostine, </w:t>
      </w:r>
      <w:r w:rsidRPr="00023D7D">
        <w:rPr>
          <w:lang w:eastAsia="en-AU"/>
        </w:rPr>
        <w:t>Laura Crespo</w:t>
      </w:r>
      <w:r>
        <w:rPr>
          <w:lang w:eastAsia="en-AU"/>
        </w:rPr>
        <w:t xml:space="preserve">, </w:t>
      </w:r>
      <w:r w:rsidRPr="00023D7D">
        <w:rPr>
          <w:lang w:eastAsia="en-AU"/>
        </w:rPr>
        <w:t>John Gibbs</w:t>
      </w:r>
      <w:r>
        <w:rPr>
          <w:lang w:eastAsia="en-AU"/>
        </w:rPr>
        <w:t xml:space="preserve">, </w:t>
      </w:r>
      <w:r w:rsidRPr="00023D7D">
        <w:rPr>
          <w:lang w:eastAsia="en-AU"/>
        </w:rPr>
        <w:t>Phillip Hall</w:t>
      </w:r>
      <w:r>
        <w:rPr>
          <w:lang w:eastAsia="en-AU"/>
        </w:rPr>
        <w:t xml:space="preserve">, Rob Hodgson, </w:t>
      </w:r>
      <w:r w:rsidRPr="00BA6910">
        <w:rPr>
          <w:lang w:eastAsia="en-AU"/>
        </w:rPr>
        <w:t>Eleonora Sparagna</w:t>
      </w:r>
      <w:r>
        <w:rPr>
          <w:lang w:eastAsia="en-AU"/>
        </w:rPr>
        <w:t>, David Rae</w:t>
      </w:r>
      <w:r w:rsidR="00EB3D5A">
        <w:rPr>
          <w:lang w:eastAsia="en-AU"/>
        </w:rPr>
        <w:t xml:space="preserve"> </w:t>
      </w:r>
      <w:r w:rsidR="00CE3659">
        <w:rPr>
          <w:lang w:eastAsia="en-AU"/>
        </w:rPr>
        <w:t>Tim Maloney</w:t>
      </w:r>
      <w:r w:rsidR="002517D3">
        <w:rPr>
          <w:lang w:eastAsia="en-AU"/>
        </w:rPr>
        <w:t xml:space="preserve"> and Sarah Stacy-Baynes</w:t>
      </w:r>
      <w:r>
        <w:rPr>
          <w:lang w:eastAsia="en-AU"/>
        </w:rPr>
        <w:t>.</w:t>
      </w:r>
      <w:r w:rsidR="00053906" w:rsidRPr="00CC5848">
        <w:t xml:space="preserve"> </w:t>
      </w:r>
    </w:p>
    <w:p w:rsidR="00216BA5" w:rsidRPr="00CC5848" w:rsidRDefault="00216BA5" w:rsidP="000874C9">
      <w:pPr>
        <w:rPr>
          <w:b/>
          <w:sz w:val="24"/>
          <w:szCs w:val="24"/>
          <w:lang w:val="en-US"/>
        </w:rPr>
      </w:pPr>
      <w:r w:rsidRPr="00CC5848">
        <w:rPr>
          <w:b/>
          <w:sz w:val="24"/>
          <w:szCs w:val="24"/>
          <w:lang w:val="en-US"/>
        </w:rPr>
        <w:t>Disclaimer</w:t>
      </w:r>
    </w:p>
    <w:p w:rsidR="0029046A" w:rsidRPr="00CC5848" w:rsidRDefault="0029046A" w:rsidP="000874C9">
      <w:r w:rsidRPr="00CC5848">
        <w:t xml:space="preserve">The views and interpretations in this report are those of the Research and Evaluation team and are not the official position of the Ministry of Social Development. </w:t>
      </w:r>
      <w:bookmarkStart w:id="1" w:name="_Toc386619898"/>
      <w:bookmarkStart w:id="2" w:name="_Toc402433422"/>
    </w:p>
    <w:p w:rsidR="00CE3659" w:rsidRDefault="00CE3659" w:rsidP="00CE3659">
      <w:pPr>
        <w:pStyle w:val="Heading3"/>
      </w:pPr>
      <w:bookmarkStart w:id="3" w:name="_Toc452630483"/>
      <w:bookmarkStart w:id="4" w:name="_Toc524003439"/>
      <w:r>
        <w:t>Statistics New Zealand IDI disclaimer</w:t>
      </w:r>
      <w:bookmarkEnd w:id="3"/>
      <w:bookmarkEnd w:id="4"/>
    </w:p>
    <w:p w:rsidR="00CE3659" w:rsidRDefault="00CE3659" w:rsidP="00CE3659">
      <w:pPr>
        <w:rPr>
          <w:lang w:eastAsia="en-AU"/>
        </w:rPr>
      </w:pPr>
      <w:r>
        <w:rPr>
          <w:lang w:eastAsia="en-AU"/>
        </w:rPr>
        <w:t>The results in this report are not official statistics; they have been created for research purposes from the Integrated Data Infrastructure (IDI) managed by Statistics New Zealand.</w:t>
      </w:r>
    </w:p>
    <w:p w:rsidR="00CE3659" w:rsidRDefault="00CE3659" w:rsidP="00CE3659">
      <w:pPr>
        <w:rPr>
          <w:lang w:eastAsia="en-AU"/>
        </w:rPr>
      </w:pPr>
      <w:r>
        <w:rPr>
          <w:lang w:eastAsia="en-AU"/>
        </w:rPr>
        <w:t xml:space="preserve">The opinions, findings, recommendations and conclusions expressed in this paper are those of the </w:t>
      </w:r>
      <w:r w:rsidRPr="00631F3E">
        <w:rPr>
          <w:noProof/>
          <w:lang w:eastAsia="en-AU"/>
        </w:rPr>
        <w:t>authors</w:t>
      </w:r>
      <w:r>
        <w:rPr>
          <w:noProof/>
          <w:lang w:eastAsia="en-AU"/>
        </w:rPr>
        <w:t>,</w:t>
      </w:r>
      <w:r>
        <w:rPr>
          <w:lang w:eastAsia="en-AU"/>
        </w:rPr>
        <w:t xml:space="preserve"> not Statistics New Zealand.</w:t>
      </w:r>
    </w:p>
    <w:p w:rsidR="00CE3659" w:rsidRDefault="00CE3659" w:rsidP="00CE3659">
      <w:pPr>
        <w:rPr>
          <w:lang w:eastAsia="en-AU"/>
        </w:rPr>
      </w:pPr>
      <w:r>
        <w:rPr>
          <w:lang w:eastAsia="en-AU"/>
        </w:rPr>
        <w:t xml:space="preserve">Access to the anonymised data used in this study was provided by Statistics New Zealand in accordance with security and confidentiality provisions of the Statistics Act 1975. Only people authorised by the Statistics Act 1975 are allowed to see data about a particular person, household, business or organisation and the results in this paper have been </w:t>
      </w:r>
      <w:r w:rsidRPr="00C34FD3">
        <w:rPr>
          <w:noProof/>
          <w:lang w:eastAsia="en-AU"/>
        </w:rPr>
        <w:t>confidentialised</w:t>
      </w:r>
      <w:r>
        <w:rPr>
          <w:lang w:eastAsia="en-AU"/>
        </w:rPr>
        <w:t xml:space="preserve"> to protect these groups from identification.</w:t>
      </w:r>
    </w:p>
    <w:p w:rsidR="00CE3659" w:rsidRDefault="00CE3659" w:rsidP="00CE3659">
      <w:pPr>
        <w:rPr>
          <w:lang w:eastAsia="en-AU"/>
        </w:rPr>
      </w:pPr>
      <w:r>
        <w:rPr>
          <w:lang w:eastAsia="en-AU"/>
        </w:rPr>
        <w:t xml:space="preserve">Careful consideration has been given to the privacy, security and confidentiality issues associated with using administrative and survey data in the IDI. Further detail can be found in the Privacy Impact Assessment for the Integrated Data Infrastructure available from www.stats.govt.nz. </w:t>
      </w:r>
    </w:p>
    <w:p w:rsidR="00CE3659" w:rsidRDefault="00CE3659" w:rsidP="00CE3659">
      <w:pPr>
        <w:pStyle w:val="Heading3"/>
      </w:pPr>
      <w:bookmarkStart w:id="5" w:name="_Toc452630484"/>
      <w:bookmarkStart w:id="6" w:name="_Toc524003440"/>
      <w:r>
        <w:t>Inland Revenue IDI disclaimer</w:t>
      </w:r>
      <w:bookmarkEnd w:id="5"/>
      <w:bookmarkEnd w:id="6"/>
    </w:p>
    <w:p w:rsidR="00CE3659" w:rsidRDefault="00CE3659" w:rsidP="00CE3659">
      <w:pPr>
        <w:rPr>
          <w:lang w:eastAsia="en-AU"/>
        </w:rPr>
      </w:pPr>
      <w:r w:rsidRPr="001E4860">
        <w:rPr>
          <w:lang w:eastAsia="en-AU"/>
        </w:rPr>
        <w:t xml:space="preserve">The results </w:t>
      </w:r>
      <w:r>
        <w:rPr>
          <w:lang w:eastAsia="en-AU"/>
        </w:rPr>
        <w:t xml:space="preserve">in this report </w:t>
      </w:r>
      <w:r w:rsidRPr="001E4860">
        <w:rPr>
          <w:lang w:eastAsia="en-AU"/>
        </w:rPr>
        <w:t xml:space="preserve">are based in part on tax data supplied by Inland Revenue to Statistics NZ under the Tax Administration Act 1994. This tax data must </w:t>
      </w:r>
      <w:r>
        <w:rPr>
          <w:lang w:eastAsia="en-AU"/>
        </w:rPr>
        <w:t xml:space="preserve">only </w:t>
      </w:r>
      <w:r w:rsidRPr="001E4860">
        <w:rPr>
          <w:lang w:eastAsia="en-AU"/>
        </w:rPr>
        <w:t xml:space="preserve">be used for statistical purposes, and no individual information may be published or disclosed in any other </w:t>
      </w:r>
      <w:r w:rsidRPr="00631F3E">
        <w:rPr>
          <w:noProof/>
          <w:lang w:eastAsia="en-AU"/>
        </w:rPr>
        <w:t>form</w:t>
      </w:r>
      <w:r w:rsidRPr="001E4860">
        <w:rPr>
          <w:lang w:eastAsia="en-AU"/>
        </w:rPr>
        <w:t xml:space="preserve"> or provided to Inland Revenue for administrative or regulatory purposes.</w:t>
      </w:r>
    </w:p>
    <w:p w:rsidR="00CE3659" w:rsidRDefault="00CE3659" w:rsidP="00CE3659">
      <w:pPr>
        <w:rPr>
          <w:lang w:eastAsia="en-AU"/>
        </w:rPr>
      </w:pPr>
      <w:r w:rsidRPr="001E4860">
        <w:rPr>
          <w:lang w:eastAsia="en-AU"/>
        </w:rPr>
        <w:t xml:space="preserve">Any person who has had access to the unit record data has certified that they have been shown, have read, and have understood section 81 of the Tax Administration Act 1994, which relates to secrecy. Any discussion of data limitations or weaknesses is in the context of using the IDI for statistical </w:t>
      </w:r>
      <w:r w:rsidRPr="00631F3E">
        <w:rPr>
          <w:noProof/>
          <w:lang w:eastAsia="en-AU"/>
        </w:rPr>
        <w:t>purposes</w:t>
      </w:r>
      <w:r w:rsidRPr="001E4860">
        <w:rPr>
          <w:lang w:eastAsia="en-AU"/>
        </w:rPr>
        <w:t xml:space="preserve"> and is not related to the data’s ability to support Inland Revenue’s core operational requirements.</w:t>
      </w:r>
    </w:p>
    <w:p w:rsidR="00CE3659" w:rsidRDefault="00CE3659" w:rsidP="00CE3659">
      <w:pPr>
        <w:pStyle w:val="Heading3"/>
      </w:pPr>
      <w:bookmarkStart w:id="7" w:name="_Toc524003441"/>
      <w:r>
        <w:t>New Zealand Defence Force IDI disclaimer</w:t>
      </w:r>
      <w:bookmarkEnd w:id="7"/>
    </w:p>
    <w:p w:rsidR="00CE3659" w:rsidRDefault="00CE3659" w:rsidP="00CE3659">
      <w:pPr>
        <w:rPr>
          <w:lang w:eastAsia="en-AU"/>
        </w:rPr>
      </w:pPr>
      <w:r>
        <w:rPr>
          <w:lang w:eastAsia="en-AU"/>
        </w:rPr>
        <w:t>The New Zealand Defence Force has consented to the release of IDI results for the Limited Services Volunteer programme to Statistics New Zealand as part of this report.</w:t>
      </w:r>
    </w:p>
    <w:p w:rsidR="0029046A" w:rsidRPr="00CC5848" w:rsidRDefault="0029046A" w:rsidP="000874C9">
      <w:pPr>
        <w:rPr>
          <w:b/>
          <w:sz w:val="24"/>
          <w:szCs w:val="24"/>
          <w:lang w:val="en-US"/>
        </w:rPr>
      </w:pPr>
      <w:r w:rsidRPr="00CC5848">
        <w:rPr>
          <w:b/>
          <w:sz w:val="24"/>
          <w:szCs w:val="24"/>
          <w:lang w:val="en-US"/>
        </w:rPr>
        <w:lastRenderedPageBreak/>
        <w:t>Published</w:t>
      </w:r>
    </w:p>
    <w:p w:rsidR="0038350A" w:rsidRPr="00CC5848" w:rsidRDefault="006A5415" w:rsidP="000874C9">
      <w:pPr>
        <w:rPr>
          <w:lang w:val="en-US"/>
        </w:rPr>
      </w:pPr>
      <w:r w:rsidRPr="00CC5848">
        <w:rPr>
          <w:lang w:val="en-US"/>
        </w:rPr>
        <w:t>Ministry of Social Development</w:t>
      </w:r>
      <w:r w:rsidRPr="00CC5848">
        <w:rPr>
          <w:lang w:val="en-US"/>
        </w:rPr>
        <w:br/>
        <w:t>PO Box 1556</w:t>
      </w:r>
      <w:r w:rsidRPr="00CC5848">
        <w:rPr>
          <w:lang w:val="en-US"/>
        </w:rPr>
        <w:br/>
        <w:t>Wellington</w:t>
      </w:r>
      <w:r w:rsidR="0038350A" w:rsidRPr="00CC5848">
        <w:rPr>
          <w:lang w:val="en-US"/>
        </w:rPr>
        <w:br/>
        <w:t>www.msd.govt.nz</w:t>
      </w:r>
    </w:p>
    <w:p w:rsidR="0029046A" w:rsidRPr="00CC5848" w:rsidRDefault="0093722B" w:rsidP="000874C9">
      <w:pPr>
        <w:rPr>
          <w:lang w:val="en-US"/>
        </w:rPr>
      </w:pPr>
      <w:r>
        <w:rPr>
          <w:lang w:val="en-US"/>
        </w:rPr>
        <w:t>February 2019</w:t>
      </w:r>
    </w:p>
    <w:p w:rsidR="00745F24" w:rsidRPr="00CC5848" w:rsidRDefault="0029046A" w:rsidP="000874C9">
      <w:pPr>
        <w:rPr>
          <w:b/>
          <w:sz w:val="24"/>
          <w:szCs w:val="24"/>
          <w:lang w:val="en-US"/>
        </w:rPr>
      </w:pPr>
      <w:r w:rsidRPr="00CC5848">
        <w:rPr>
          <w:b/>
          <w:sz w:val="24"/>
          <w:szCs w:val="24"/>
          <w:lang w:val="en-US"/>
        </w:rPr>
        <w:t xml:space="preserve">ISBN </w:t>
      </w:r>
    </w:p>
    <w:p w:rsidR="00FC7E74" w:rsidRDefault="0093722B" w:rsidP="006A5415">
      <w:pPr>
        <w:rPr>
          <w:lang w:val="en-US"/>
        </w:rPr>
      </w:pPr>
      <w:r>
        <w:rPr>
          <w:lang w:val="en-US"/>
        </w:rPr>
        <w:t>REP/18/11/1533</w:t>
      </w:r>
    </w:p>
    <w:p w:rsidR="00FC7E74" w:rsidRPr="007525AF" w:rsidRDefault="00FC7E74" w:rsidP="00FC7E74">
      <w:pPr>
        <w:rPr>
          <w:lang w:eastAsia="en-AU"/>
        </w:rPr>
      </w:pPr>
    </w:p>
    <w:p w:rsidR="00053906" w:rsidRDefault="00053906" w:rsidP="006A5415">
      <w:pPr>
        <w:rPr>
          <w:color w:val="000000"/>
          <w:lang w:eastAsia="en-NZ"/>
        </w:rPr>
      </w:pPr>
      <w:r>
        <w:rPr>
          <w:color w:val="000000"/>
          <w:lang w:eastAsia="en-NZ"/>
        </w:rPr>
        <w:br w:type="page"/>
      </w:r>
    </w:p>
    <w:p w:rsidR="000874C9" w:rsidRPr="000874C9" w:rsidRDefault="000874C9" w:rsidP="0038350A">
      <w:pPr>
        <w:pStyle w:val="TOCHeading"/>
      </w:pPr>
      <w:bookmarkStart w:id="8" w:name="_Toc522039221"/>
      <w:bookmarkStart w:id="9" w:name="_Toc522039376"/>
      <w:bookmarkStart w:id="10" w:name="_Toc386619899"/>
      <w:bookmarkStart w:id="11" w:name="_Toc402433423"/>
      <w:bookmarkEnd w:id="1"/>
      <w:bookmarkEnd w:id="2"/>
      <w:r w:rsidRPr="000874C9">
        <w:lastRenderedPageBreak/>
        <w:t>Contents</w:t>
      </w:r>
      <w:bookmarkEnd w:id="8"/>
      <w:bookmarkEnd w:id="9"/>
    </w:p>
    <w:p w:rsidR="00462AB7" w:rsidRDefault="0038350A">
      <w:pPr>
        <w:pStyle w:val="TOC3"/>
        <w:rPr>
          <w:rFonts w:asciiTheme="minorHAnsi" w:eastAsiaTheme="minorEastAsia" w:hAnsiTheme="minorHAnsi" w:cstheme="minorBidi"/>
          <w:noProof/>
          <w:kern w:val="0"/>
          <w:sz w:val="22"/>
          <w:szCs w:val="22"/>
          <w:lang w:eastAsia="en-NZ"/>
        </w:rPr>
      </w:pPr>
      <w:r>
        <w:rPr>
          <w:b/>
        </w:rPr>
        <w:fldChar w:fldCharType="begin"/>
      </w:r>
      <w:r>
        <w:instrText xml:space="preserve"> TOC \o "2-3" \h \z \t "Heading 1,1" </w:instrText>
      </w:r>
      <w:r>
        <w:rPr>
          <w:b/>
        </w:rPr>
        <w:fldChar w:fldCharType="separate"/>
      </w:r>
      <w:hyperlink w:anchor="_Toc524003439" w:history="1">
        <w:r w:rsidR="00462AB7" w:rsidRPr="00621508">
          <w:rPr>
            <w:rStyle w:val="Hyperlink"/>
            <w:noProof/>
          </w:rPr>
          <w:t>Statistics New Zealand IDI disclaimer</w:t>
        </w:r>
        <w:r w:rsidR="00462AB7">
          <w:rPr>
            <w:noProof/>
            <w:webHidden/>
          </w:rPr>
          <w:tab/>
        </w:r>
        <w:r w:rsidR="00462AB7">
          <w:rPr>
            <w:noProof/>
            <w:webHidden/>
          </w:rPr>
          <w:fldChar w:fldCharType="begin"/>
        </w:r>
        <w:r w:rsidR="00462AB7">
          <w:rPr>
            <w:noProof/>
            <w:webHidden/>
          </w:rPr>
          <w:instrText xml:space="preserve"> PAGEREF _Toc524003439 \h </w:instrText>
        </w:r>
        <w:r w:rsidR="00462AB7">
          <w:rPr>
            <w:noProof/>
            <w:webHidden/>
          </w:rPr>
        </w:r>
        <w:r w:rsidR="00462AB7">
          <w:rPr>
            <w:noProof/>
            <w:webHidden/>
          </w:rPr>
          <w:fldChar w:fldCharType="separate"/>
        </w:r>
        <w:r w:rsidR="00F24924">
          <w:rPr>
            <w:noProof/>
            <w:webHidden/>
          </w:rPr>
          <w:t>2</w:t>
        </w:r>
        <w:r w:rsidR="00462AB7">
          <w:rPr>
            <w:noProof/>
            <w:webHidden/>
          </w:rPr>
          <w:fldChar w:fldCharType="end"/>
        </w:r>
      </w:hyperlink>
    </w:p>
    <w:p w:rsidR="00462AB7" w:rsidRDefault="003929C9">
      <w:pPr>
        <w:pStyle w:val="TOC3"/>
        <w:rPr>
          <w:rFonts w:asciiTheme="minorHAnsi" w:eastAsiaTheme="minorEastAsia" w:hAnsiTheme="minorHAnsi" w:cstheme="minorBidi"/>
          <w:noProof/>
          <w:kern w:val="0"/>
          <w:sz w:val="22"/>
          <w:szCs w:val="22"/>
          <w:lang w:eastAsia="en-NZ"/>
        </w:rPr>
      </w:pPr>
      <w:hyperlink w:anchor="_Toc524003440" w:history="1">
        <w:r w:rsidR="00462AB7" w:rsidRPr="00621508">
          <w:rPr>
            <w:rStyle w:val="Hyperlink"/>
            <w:noProof/>
          </w:rPr>
          <w:t>Inland Revenue IDI disclaimer</w:t>
        </w:r>
        <w:r w:rsidR="00462AB7">
          <w:rPr>
            <w:noProof/>
            <w:webHidden/>
          </w:rPr>
          <w:tab/>
        </w:r>
        <w:r w:rsidR="00462AB7">
          <w:rPr>
            <w:noProof/>
            <w:webHidden/>
          </w:rPr>
          <w:fldChar w:fldCharType="begin"/>
        </w:r>
        <w:r w:rsidR="00462AB7">
          <w:rPr>
            <w:noProof/>
            <w:webHidden/>
          </w:rPr>
          <w:instrText xml:space="preserve"> PAGEREF _Toc524003440 \h </w:instrText>
        </w:r>
        <w:r w:rsidR="00462AB7">
          <w:rPr>
            <w:noProof/>
            <w:webHidden/>
          </w:rPr>
        </w:r>
        <w:r w:rsidR="00462AB7">
          <w:rPr>
            <w:noProof/>
            <w:webHidden/>
          </w:rPr>
          <w:fldChar w:fldCharType="separate"/>
        </w:r>
        <w:r w:rsidR="00F24924">
          <w:rPr>
            <w:noProof/>
            <w:webHidden/>
          </w:rPr>
          <w:t>2</w:t>
        </w:r>
        <w:r w:rsidR="00462AB7">
          <w:rPr>
            <w:noProof/>
            <w:webHidden/>
          </w:rPr>
          <w:fldChar w:fldCharType="end"/>
        </w:r>
      </w:hyperlink>
    </w:p>
    <w:p w:rsidR="00462AB7" w:rsidRDefault="003929C9">
      <w:pPr>
        <w:pStyle w:val="TOC3"/>
        <w:rPr>
          <w:rFonts w:asciiTheme="minorHAnsi" w:eastAsiaTheme="minorEastAsia" w:hAnsiTheme="minorHAnsi" w:cstheme="minorBidi"/>
          <w:noProof/>
          <w:kern w:val="0"/>
          <w:sz w:val="22"/>
          <w:szCs w:val="22"/>
          <w:lang w:eastAsia="en-NZ"/>
        </w:rPr>
      </w:pPr>
      <w:hyperlink w:anchor="_Toc524003441" w:history="1">
        <w:r w:rsidR="00462AB7" w:rsidRPr="00621508">
          <w:rPr>
            <w:rStyle w:val="Hyperlink"/>
            <w:noProof/>
          </w:rPr>
          <w:t>New Zealand Defence Force IDI disclaimer</w:t>
        </w:r>
        <w:r w:rsidR="00462AB7">
          <w:rPr>
            <w:noProof/>
            <w:webHidden/>
          </w:rPr>
          <w:tab/>
        </w:r>
        <w:r w:rsidR="00462AB7">
          <w:rPr>
            <w:noProof/>
            <w:webHidden/>
          </w:rPr>
          <w:fldChar w:fldCharType="begin"/>
        </w:r>
        <w:r w:rsidR="00462AB7">
          <w:rPr>
            <w:noProof/>
            <w:webHidden/>
          </w:rPr>
          <w:instrText xml:space="preserve"> PAGEREF _Toc524003441 \h </w:instrText>
        </w:r>
        <w:r w:rsidR="00462AB7">
          <w:rPr>
            <w:noProof/>
            <w:webHidden/>
          </w:rPr>
        </w:r>
        <w:r w:rsidR="00462AB7">
          <w:rPr>
            <w:noProof/>
            <w:webHidden/>
          </w:rPr>
          <w:fldChar w:fldCharType="separate"/>
        </w:r>
        <w:r w:rsidR="00F24924">
          <w:rPr>
            <w:noProof/>
            <w:webHidden/>
          </w:rPr>
          <w:t>2</w:t>
        </w:r>
        <w:r w:rsidR="00462AB7">
          <w:rPr>
            <w:noProof/>
            <w:webHidden/>
          </w:rPr>
          <w:fldChar w:fldCharType="end"/>
        </w:r>
      </w:hyperlink>
    </w:p>
    <w:p w:rsidR="00462AB7" w:rsidRDefault="003929C9">
      <w:pPr>
        <w:pStyle w:val="TOC1"/>
        <w:rPr>
          <w:rFonts w:asciiTheme="minorHAnsi" w:eastAsiaTheme="minorEastAsia" w:hAnsiTheme="minorHAnsi" w:cstheme="minorBidi"/>
          <w:b w:val="0"/>
          <w:kern w:val="0"/>
          <w:sz w:val="22"/>
          <w:szCs w:val="22"/>
          <w:lang w:eastAsia="en-NZ"/>
        </w:rPr>
      </w:pPr>
      <w:hyperlink w:anchor="_Toc524003442" w:history="1">
        <w:r w:rsidR="00462AB7" w:rsidRPr="00621508">
          <w:rPr>
            <w:rStyle w:val="Hyperlink"/>
          </w:rPr>
          <w:t>Overview</w:t>
        </w:r>
        <w:r w:rsidR="00462AB7">
          <w:rPr>
            <w:webHidden/>
          </w:rPr>
          <w:tab/>
        </w:r>
        <w:r w:rsidR="00462AB7">
          <w:rPr>
            <w:webHidden/>
          </w:rPr>
          <w:fldChar w:fldCharType="begin"/>
        </w:r>
        <w:r w:rsidR="00462AB7">
          <w:rPr>
            <w:webHidden/>
          </w:rPr>
          <w:instrText xml:space="preserve"> PAGEREF _Toc524003442 \h </w:instrText>
        </w:r>
        <w:r w:rsidR="00462AB7">
          <w:rPr>
            <w:webHidden/>
          </w:rPr>
        </w:r>
        <w:r w:rsidR="00462AB7">
          <w:rPr>
            <w:webHidden/>
          </w:rPr>
          <w:fldChar w:fldCharType="separate"/>
        </w:r>
        <w:r w:rsidR="00F24924">
          <w:rPr>
            <w:webHidden/>
          </w:rPr>
          <w:t>7</w:t>
        </w:r>
        <w:r w:rsidR="00462AB7">
          <w:rPr>
            <w:webHidden/>
          </w:rPr>
          <w:fldChar w:fldCharType="end"/>
        </w:r>
      </w:hyperlink>
    </w:p>
    <w:p w:rsidR="00462AB7" w:rsidRDefault="003929C9">
      <w:pPr>
        <w:pStyle w:val="TOC1"/>
        <w:rPr>
          <w:rFonts w:asciiTheme="minorHAnsi" w:eastAsiaTheme="minorEastAsia" w:hAnsiTheme="minorHAnsi" w:cstheme="minorBidi"/>
          <w:b w:val="0"/>
          <w:kern w:val="0"/>
          <w:sz w:val="22"/>
          <w:szCs w:val="22"/>
          <w:lang w:eastAsia="en-NZ"/>
        </w:rPr>
      </w:pPr>
      <w:hyperlink w:anchor="_Toc524003443" w:history="1">
        <w:r w:rsidR="00462AB7" w:rsidRPr="00621508">
          <w:rPr>
            <w:rStyle w:val="Hyperlink"/>
          </w:rPr>
          <w:t>What are employment assistance interventions?</w:t>
        </w:r>
        <w:r w:rsidR="00462AB7">
          <w:rPr>
            <w:webHidden/>
          </w:rPr>
          <w:tab/>
        </w:r>
        <w:r w:rsidR="00462AB7">
          <w:rPr>
            <w:webHidden/>
          </w:rPr>
          <w:fldChar w:fldCharType="begin"/>
        </w:r>
        <w:r w:rsidR="00462AB7">
          <w:rPr>
            <w:webHidden/>
          </w:rPr>
          <w:instrText xml:space="preserve"> PAGEREF _Toc524003443 \h </w:instrText>
        </w:r>
        <w:r w:rsidR="00462AB7">
          <w:rPr>
            <w:webHidden/>
          </w:rPr>
        </w:r>
        <w:r w:rsidR="00462AB7">
          <w:rPr>
            <w:webHidden/>
          </w:rPr>
          <w:fldChar w:fldCharType="separate"/>
        </w:r>
        <w:r w:rsidR="00F24924">
          <w:rPr>
            <w:webHidden/>
          </w:rPr>
          <w:t>7</w:t>
        </w:r>
        <w:r w:rsidR="00462AB7">
          <w:rPr>
            <w:webHidden/>
          </w:rPr>
          <w:fldChar w:fldCharType="end"/>
        </w:r>
      </w:hyperlink>
    </w:p>
    <w:p w:rsidR="00462AB7" w:rsidRDefault="003929C9">
      <w:pPr>
        <w:pStyle w:val="TOC2"/>
        <w:tabs>
          <w:tab w:val="right" w:leader="dot" w:pos="9016"/>
        </w:tabs>
        <w:rPr>
          <w:rFonts w:asciiTheme="minorHAnsi" w:eastAsiaTheme="minorEastAsia" w:hAnsiTheme="minorHAnsi" w:cstheme="minorBidi"/>
          <w:noProof/>
          <w:kern w:val="0"/>
          <w:sz w:val="22"/>
          <w:szCs w:val="22"/>
          <w:lang w:eastAsia="en-NZ"/>
        </w:rPr>
      </w:pPr>
      <w:hyperlink w:anchor="_Toc524003444" w:history="1">
        <w:r w:rsidR="00462AB7" w:rsidRPr="00621508">
          <w:rPr>
            <w:rStyle w:val="Hyperlink"/>
            <w:noProof/>
          </w:rPr>
          <w:t>Definition of an EA intervention spell</w:t>
        </w:r>
        <w:r w:rsidR="00462AB7">
          <w:rPr>
            <w:noProof/>
            <w:webHidden/>
          </w:rPr>
          <w:tab/>
        </w:r>
        <w:r w:rsidR="00462AB7">
          <w:rPr>
            <w:noProof/>
            <w:webHidden/>
          </w:rPr>
          <w:fldChar w:fldCharType="begin"/>
        </w:r>
        <w:r w:rsidR="00462AB7">
          <w:rPr>
            <w:noProof/>
            <w:webHidden/>
          </w:rPr>
          <w:instrText xml:space="preserve"> PAGEREF _Toc524003444 \h </w:instrText>
        </w:r>
        <w:r w:rsidR="00462AB7">
          <w:rPr>
            <w:noProof/>
            <w:webHidden/>
          </w:rPr>
        </w:r>
        <w:r w:rsidR="00462AB7">
          <w:rPr>
            <w:noProof/>
            <w:webHidden/>
          </w:rPr>
          <w:fldChar w:fldCharType="separate"/>
        </w:r>
        <w:r w:rsidR="00F24924">
          <w:rPr>
            <w:noProof/>
            <w:webHidden/>
          </w:rPr>
          <w:t>9</w:t>
        </w:r>
        <w:r w:rsidR="00462AB7">
          <w:rPr>
            <w:noProof/>
            <w:webHidden/>
          </w:rPr>
          <w:fldChar w:fldCharType="end"/>
        </w:r>
      </w:hyperlink>
    </w:p>
    <w:p w:rsidR="00462AB7" w:rsidRDefault="003929C9">
      <w:pPr>
        <w:pStyle w:val="TOC3"/>
        <w:rPr>
          <w:rFonts w:asciiTheme="minorHAnsi" w:eastAsiaTheme="minorEastAsia" w:hAnsiTheme="minorHAnsi" w:cstheme="minorBidi"/>
          <w:noProof/>
          <w:kern w:val="0"/>
          <w:sz w:val="22"/>
          <w:szCs w:val="22"/>
          <w:lang w:eastAsia="en-NZ"/>
        </w:rPr>
      </w:pPr>
      <w:hyperlink w:anchor="_Toc524003445" w:history="1">
        <w:r w:rsidR="00462AB7" w:rsidRPr="00621508">
          <w:rPr>
            <w:rStyle w:val="Hyperlink"/>
            <w:noProof/>
          </w:rPr>
          <w:t>Do you exclude of short duration spells or non-completers?</w:t>
        </w:r>
        <w:r w:rsidR="00462AB7">
          <w:rPr>
            <w:noProof/>
            <w:webHidden/>
          </w:rPr>
          <w:tab/>
        </w:r>
        <w:r w:rsidR="00462AB7">
          <w:rPr>
            <w:noProof/>
            <w:webHidden/>
          </w:rPr>
          <w:fldChar w:fldCharType="begin"/>
        </w:r>
        <w:r w:rsidR="00462AB7">
          <w:rPr>
            <w:noProof/>
            <w:webHidden/>
          </w:rPr>
          <w:instrText xml:space="preserve"> PAGEREF _Toc524003445 \h </w:instrText>
        </w:r>
        <w:r w:rsidR="00462AB7">
          <w:rPr>
            <w:noProof/>
            <w:webHidden/>
          </w:rPr>
        </w:r>
        <w:r w:rsidR="00462AB7">
          <w:rPr>
            <w:noProof/>
            <w:webHidden/>
          </w:rPr>
          <w:fldChar w:fldCharType="separate"/>
        </w:r>
        <w:r w:rsidR="00F24924">
          <w:rPr>
            <w:noProof/>
            <w:webHidden/>
          </w:rPr>
          <w:t>9</w:t>
        </w:r>
        <w:r w:rsidR="00462AB7">
          <w:rPr>
            <w:noProof/>
            <w:webHidden/>
          </w:rPr>
          <w:fldChar w:fldCharType="end"/>
        </w:r>
      </w:hyperlink>
    </w:p>
    <w:p w:rsidR="00462AB7" w:rsidRDefault="003929C9">
      <w:pPr>
        <w:pStyle w:val="TOC3"/>
        <w:rPr>
          <w:rFonts w:asciiTheme="minorHAnsi" w:eastAsiaTheme="minorEastAsia" w:hAnsiTheme="minorHAnsi" w:cstheme="minorBidi"/>
          <w:noProof/>
          <w:kern w:val="0"/>
          <w:sz w:val="22"/>
          <w:szCs w:val="22"/>
          <w:lang w:eastAsia="en-NZ"/>
        </w:rPr>
      </w:pPr>
      <w:hyperlink w:anchor="_Toc524003446" w:history="1">
        <w:r w:rsidR="00462AB7" w:rsidRPr="00621508">
          <w:rPr>
            <w:rStyle w:val="Hyperlink"/>
            <w:noProof/>
          </w:rPr>
          <w:t>Common issues with EA intervention data</w:t>
        </w:r>
        <w:r w:rsidR="00462AB7">
          <w:rPr>
            <w:noProof/>
            <w:webHidden/>
          </w:rPr>
          <w:tab/>
        </w:r>
        <w:r w:rsidR="00462AB7">
          <w:rPr>
            <w:noProof/>
            <w:webHidden/>
          </w:rPr>
          <w:fldChar w:fldCharType="begin"/>
        </w:r>
        <w:r w:rsidR="00462AB7">
          <w:rPr>
            <w:noProof/>
            <w:webHidden/>
          </w:rPr>
          <w:instrText xml:space="preserve"> PAGEREF _Toc524003446 \h </w:instrText>
        </w:r>
        <w:r w:rsidR="00462AB7">
          <w:rPr>
            <w:noProof/>
            <w:webHidden/>
          </w:rPr>
        </w:r>
        <w:r w:rsidR="00462AB7">
          <w:rPr>
            <w:noProof/>
            <w:webHidden/>
          </w:rPr>
          <w:fldChar w:fldCharType="separate"/>
        </w:r>
        <w:r w:rsidR="00F24924">
          <w:rPr>
            <w:noProof/>
            <w:webHidden/>
          </w:rPr>
          <w:t>10</w:t>
        </w:r>
        <w:r w:rsidR="00462AB7">
          <w:rPr>
            <w:noProof/>
            <w:webHidden/>
          </w:rPr>
          <w:fldChar w:fldCharType="end"/>
        </w:r>
      </w:hyperlink>
    </w:p>
    <w:p w:rsidR="00462AB7" w:rsidRDefault="003929C9">
      <w:pPr>
        <w:pStyle w:val="TOC2"/>
        <w:tabs>
          <w:tab w:val="right" w:leader="dot" w:pos="9016"/>
        </w:tabs>
        <w:rPr>
          <w:rFonts w:asciiTheme="minorHAnsi" w:eastAsiaTheme="minorEastAsia" w:hAnsiTheme="minorHAnsi" w:cstheme="minorBidi"/>
          <w:noProof/>
          <w:kern w:val="0"/>
          <w:sz w:val="22"/>
          <w:szCs w:val="22"/>
          <w:lang w:eastAsia="en-NZ"/>
        </w:rPr>
      </w:pPr>
      <w:hyperlink w:anchor="_Toc524003447" w:history="1">
        <w:r w:rsidR="00462AB7" w:rsidRPr="00621508">
          <w:rPr>
            <w:rStyle w:val="Hyperlink"/>
            <w:noProof/>
          </w:rPr>
          <w:t>Case management services</w:t>
        </w:r>
        <w:r w:rsidR="00462AB7">
          <w:rPr>
            <w:noProof/>
            <w:webHidden/>
          </w:rPr>
          <w:tab/>
        </w:r>
        <w:r w:rsidR="00462AB7">
          <w:rPr>
            <w:noProof/>
            <w:webHidden/>
          </w:rPr>
          <w:fldChar w:fldCharType="begin"/>
        </w:r>
        <w:r w:rsidR="00462AB7">
          <w:rPr>
            <w:noProof/>
            <w:webHidden/>
          </w:rPr>
          <w:instrText xml:space="preserve"> PAGEREF _Toc524003447 \h </w:instrText>
        </w:r>
        <w:r w:rsidR="00462AB7">
          <w:rPr>
            <w:noProof/>
            <w:webHidden/>
          </w:rPr>
        </w:r>
        <w:r w:rsidR="00462AB7">
          <w:rPr>
            <w:noProof/>
            <w:webHidden/>
          </w:rPr>
          <w:fldChar w:fldCharType="separate"/>
        </w:r>
        <w:r w:rsidR="00F24924">
          <w:rPr>
            <w:noProof/>
            <w:webHidden/>
          </w:rPr>
          <w:t>11</w:t>
        </w:r>
        <w:r w:rsidR="00462AB7">
          <w:rPr>
            <w:noProof/>
            <w:webHidden/>
          </w:rPr>
          <w:fldChar w:fldCharType="end"/>
        </w:r>
      </w:hyperlink>
    </w:p>
    <w:p w:rsidR="00462AB7" w:rsidRDefault="003929C9">
      <w:pPr>
        <w:pStyle w:val="TOC1"/>
        <w:rPr>
          <w:rFonts w:asciiTheme="minorHAnsi" w:eastAsiaTheme="minorEastAsia" w:hAnsiTheme="minorHAnsi" w:cstheme="minorBidi"/>
          <w:b w:val="0"/>
          <w:kern w:val="0"/>
          <w:sz w:val="22"/>
          <w:szCs w:val="22"/>
          <w:lang w:eastAsia="en-NZ"/>
        </w:rPr>
      </w:pPr>
      <w:hyperlink w:anchor="_Toc524003448" w:history="1">
        <w:r w:rsidR="00462AB7" w:rsidRPr="00621508">
          <w:rPr>
            <w:rStyle w:val="Hyperlink"/>
            <w:lang w:eastAsia="en-AU"/>
          </w:rPr>
          <w:t>Estimating the cost of EA interventions</w:t>
        </w:r>
        <w:r w:rsidR="00462AB7">
          <w:rPr>
            <w:webHidden/>
          </w:rPr>
          <w:tab/>
        </w:r>
        <w:r w:rsidR="00462AB7">
          <w:rPr>
            <w:webHidden/>
          </w:rPr>
          <w:fldChar w:fldCharType="begin"/>
        </w:r>
        <w:r w:rsidR="00462AB7">
          <w:rPr>
            <w:webHidden/>
          </w:rPr>
          <w:instrText xml:space="preserve"> PAGEREF _Toc524003448 \h </w:instrText>
        </w:r>
        <w:r w:rsidR="00462AB7">
          <w:rPr>
            <w:webHidden/>
          </w:rPr>
        </w:r>
        <w:r w:rsidR="00462AB7">
          <w:rPr>
            <w:webHidden/>
          </w:rPr>
          <w:fldChar w:fldCharType="separate"/>
        </w:r>
        <w:r w:rsidR="00F24924">
          <w:rPr>
            <w:webHidden/>
          </w:rPr>
          <w:t>12</w:t>
        </w:r>
        <w:r w:rsidR="00462AB7">
          <w:rPr>
            <w:webHidden/>
          </w:rPr>
          <w:fldChar w:fldCharType="end"/>
        </w:r>
      </w:hyperlink>
    </w:p>
    <w:p w:rsidR="00462AB7" w:rsidRDefault="003929C9">
      <w:pPr>
        <w:pStyle w:val="TOC2"/>
        <w:tabs>
          <w:tab w:val="right" w:leader="dot" w:pos="9016"/>
        </w:tabs>
        <w:rPr>
          <w:rFonts w:asciiTheme="minorHAnsi" w:eastAsiaTheme="minorEastAsia" w:hAnsiTheme="minorHAnsi" w:cstheme="minorBidi"/>
          <w:noProof/>
          <w:kern w:val="0"/>
          <w:sz w:val="22"/>
          <w:szCs w:val="22"/>
          <w:lang w:eastAsia="en-NZ"/>
        </w:rPr>
      </w:pPr>
      <w:hyperlink w:anchor="_Toc524003449" w:history="1">
        <w:r w:rsidR="00462AB7" w:rsidRPr="00621508">
          <w:rPr>
            <w:rStyle w:val="Hyperlink"/>
            <w:noProof/>
            <w:lang w:eastAsia="en-AU"/>
          </w:rPr>
          <w:t>Principles behind the cost allocation model</w:t>
        </w:r>
        <w:r w:rsidR="00462AB7">
          <w:rPr>
            <w:noProof/>
            <w:webHidden/>
          </w:rPr>
          <w:tab/>
        </w:r>
        <w:r w:rsidR="00462AB7">
          <w:rPr>
            <w:noProof/>
            <w:webHidden/>
          </w:rPr>
          <w:fldChar w:fldCharType="begin"/>
        </w:r>
        <w:r w:rsidR="00462AB7">
          <w:rPr>
            <w:noProof/>
            <w:webHidden/>
          </w:rPr>
          <w:instrText xml:space="preserve"> PAGEREF _Toc524003449 \h </w:instrText>
        </w:r>
        <w:r w:rsidR="00462AB7">
          <w:rPr>
            <w:noProof/>
            <w:webHidden/>
          </w:rPr>
        </w:r>
        <w:r w:rsidR="00462AB7">
          <w:rPr>
            <w:noProof/>
            <w:webHidden/>
          </w:rPr>
          <w:fldChar w:fldCharType="separate"/>
        </w:r>
        <w:r w:rsidR="00F24924">
          <w:rPr>
            <w:noProof/>
            <w:webHidden/>
          </w:rPr>
          <w:t>13</w:t>
        </w:r>
        <w:r w:rsidR="00462AB7">
          <w:rPr>
            <w:noProof/>
            <w:webHidden/>
          </w:rPr>
          <w:fldChar w:fldCharType="end"/>
        </w:r>
      </w:hyperlink>
    </w:p>
    <w:p w:rsidR="00462AB7" w:rsidRDefault="003929C9">
      <w:pPr>
        <w:pStyle w:val="TOC2"/>
        <w:tabs>
          <w:tab w:val="right" w:leader="dot" w:pos="9016"/>
        </w:tabs>
        <w:rPr>
          <w:rFonts w:asciiTheme="minorHAnsi" w:eastAsiaTheme="minorEastAsia" w:hAnsiTheme="minorHAnsi" w:cstheme="minorBidi"/>
          <w:noProof/>
          <w:kern w:val="0"/>
          <w:sz w:val="22"/>
          <w:szCs w:val="22"/>
          <w:lang w:eastAsia="en-NZ"/>
        </w:rPr>
      </w:pPr>
      <w:hyperlink w:anchor="_Toc524003450" w:history="1">
        <w:r w:rsidR="00462AB7" w:rsidRPr="00621508">
          <w:rPr>
            <w:rStyle w:val="Hyperlink"/>
            <w:noProof/>
            <w:lang w:eastAsia="en-AU"/>
          </w:rPr>
          <w:t>Cost allocation framework</w:t>
        </w:r>
        <w:r w:rsidR="00462AB7">
          <w:rPr>
            <w:noProof/>
            <w:webHidden/>
          </w:rPr>
          <w:tab/>
        </w:r>
        <w:r w:rsidR="00462AB7">
          <w:rPr>
            <w:noProof/>
            <w:webHidden/>
          </w:rPr>
          <w:fldChar w:fldCharType="begin"/>
        </w:r>
        <w:r w:rsidR="00462AB7">
          <w:rPr>
            <w:noProof/>
            <w:webHidden/>
          </w:rPr>
          <w:instrText xml:space="preserve"> PAGEREF _Toc524003450 \h </w:instrText>
        </w:r>
        <w:r w:rsidR="00462AB7">
          <w:rPr>
            <w:noProof/>
            <w:webHidden/>
          </w:rPr>
        </w:r>
        <w:r w:rsidR="00462AB7">
          <w:rPr>
            <w:noProof/>
            <w:webHidden/>
          </w:rPr>
          <w:fldChar w:fldCharType="separate"/>
        </w:r>
        <w:r w:rsidR="00F24924">
          <w:rPr>
            <w:noProof/>
            <w:webHidden/>
          </w:rPr>
          <w:t>13</w:t>
        </w:r>
        <w:r w:rsidR="00462AB7">
          <w:rPr>
            <w:noProof/>
            <w:webHidden/>
          </w:rPr>
          <w:fldChar w:fldCharType="end"/>
        </w:r>
      </w:hyperlink>
    </w:p>
    <w:p w:rsidR="00462AB7" w:rsidRDefault="003929C9">
      <w:pPr>
        <w:pStyle w:val="TOC2"/>
        <w:tabs>
          <w:tab w:val="right" w:leader="dot" w:pos="9016"/>
        </w:tabs>
        <w:rPr>
          <w:rFonts w:asciiTheme="minorHAnsi" w:eastAsiaTheme="minorEastAsia" w:hAnsiTheme="minorHAnsi" w:cstheme="minorBidi"/>
          <w:noProof/>
          <w:kern w:val="0"/>
          <w:sz w:val="22"/>
          <w:szCs w:val="22"/>
          <w:lang w:eastAsia="en-NZ"/>
        </w:rPr>
      </w:pPr>
      <w:hyperlink w:anchor="_Toc524003451" w:history="1">
        <w:r w:rsidR="00462AB7" w:rsidRPr="00621508">
          <w:rPr>
            <w:rStyle w:val="Hyperlink"/>
            <w:noProof/>
            <w:lang w:eastAsia="en-AU"/>
          </w:rPr>
          <w:t>Financial inputs</w:t>
        </w:r>
        <w:r w:rsidR="00462AB7">
          <w:rPr>
            <w:noProof/>
            <w:webHidden/>
          </w:rPr>
          <w:tab/>
        </w:r>
        <w:r w:rsidR="00462AB7">
          <w:rPr>
            <w:noProof/>
            <w:webHidden/>
          </w:rPr>
          <w:fldChar w:fldCharType="begin"/>
        </w:r>
        <w:r w:rsidR="00462AB7">
          <w:rPr>
            <w:noProof/>
            <w:webHidden/>
          </w:rPr>
          <w:instrText xml:space="preserve"> PAGEREF _Toc524003451 \h </w:instrText>
        </w:r>
        <w:r w:rsidR="00462AB7">
          <w:rPr>
            <w:noProof/>
            <w:webHidden/>
          </w:rPr>
        </w:r>
        <w:r w:rsidR="00462AB7">
          <w:rPr>
            <w:noProof/>
            <w:webHidden/>
          </w:rPr>
          <w:fldChar w:fldCharType="separate"/>
        </w:r>
        <w:r w:rsidR="00F24924">
          <w:rPr>
            <w:noProof/>
            <w:webHidden/>
          </w:rPr>
          <w:t>15</w:t>
        </w:r>
        <w:r w:rsidR="00462AB7">
          <w:rPr>
            <w:noProof/>
            <w:webHidden/>
          </w:rPr>
          <w:fldChar w:fldCharType="end"/>
        </w:r>
      </w:hyperlink>
    </w:p>
    <w:p w:rsidR="00462AB7" w:rsidRDefault="003929C9">
      <w:pPr>
        <w:pStyle w:val="TOC2"/>
        <w:tabs>
          <w:tab w:val="right" w:leader="dot" w:pos="9016"/>
        </w:tabs>
        <w:rPr>
          <w:rFonts w:asciiTheme="minorHAnsi" w:eastAsiaTheme="minorEastAsia" w:hAnsiTheme="minorHAnsi" w:cstheme="minorBidi"/>
          <w:noProof/>
          <w:kern w:val="0"/>
          <w:sz w:val="22"/>
          <w:szCs w:val="22"/>
          <w:lang w:eastAsia="en-NZ"/>
        </w:rPr>
      </w:pPr>
      <w:hyperlink w:anchor="_Toc524003452" w:history="1">
        <w:r w:rsidR="00462AB7" w:rsidRPr="00621508">
          <w:rPr>
            <w:rStyle w:val="Hyperlink"/>
            <w:noProof/>
            <w:lang w:eastAsia="en-AU"/>
          </w:rPr>
          <w:t>How do we estimate staff time?</w:t>
        </w:r>
        <w:r w:rsidR="00462AB7">
          <w:rPr>
            <w:noProof/>
            <w:webHidden/>
          </w:rPr>
          <w:tab/>
        </w:r>
        <w:r w:rsidR="00462AB7">
          <w:rPr>
            <w:noProof/>
            <w:webHidden/>
          </w:rPr>
          <w:fldChar w:fldCharType="begin"/>
        </w:r>
        <w:r w:rsidR="00462AB7">
          <w:rPr>
            <w:noProof/>
            <w:webHidden/>
          </w:rPr>
          <w:instrText xml:space="preserve"> PAGEREF _Toc524003452 \h </w:instrText>
        </w:r>
        <w:r w:rsidR="00462AB7">
          <w:rPr>
            <w:noProof/>
            <w:webHidden/>
          </w:rPr>
        </w:r>
        <w:r w:rsidR="00462AB7">
          <w:rPr>
            <w:noProof/>
            <w:webHidden/>
          </w:rPr>
          <w:fldChar w:fldCharType="separate"/>
        </w:r>
        <w:r w:rsidR="00F24924">
          <w:rPr>
            <w:noProof/>
            <w:webHidden/>
          </w:rPr>
          <w:t>15</w:t>
        </w:r>
        <w:r w:rsidR="00462AB7">
          <w:rPr>
            <w:noProof/>
            <w:webHidden/>
          </w:rPr>
          <w:fldChar w:fldCharType="end"/>
        </w:r>
      </w:hyperlink>
    </w:p>
    <w:p w:rsidR="00462AB7" w:rsidRDefault="003929C9">
      <w:pPr>
        <w:pStyle w:val="TOC1"/>
        <w:rPr>
          <w:rFonts w:asciiTheme="minorHAnsi" w:eastAsiaTheme="minorEastAsia" w:hAnsiTheme="minorHAnsi" w:cstheme="minorBidi"/>
          <w:b w:val="0"/>
          <w:kern w:val="0"/>
          <w:sz w:val="22"/>
          <w:szCs w:val="22"/>
          <w:lang w:eastAsia="en-NZ"/>
        </w:rPr>
      </w:pPr>
      <w:hyperlink w:anchor="_Toc524003453" w:history="1">
        <w:r w:rsidR="00462AB7" w:rsidRPr="00621508">
          <w:rPr>
            <w:rStyle w:val="Hyperlink"/>
          </w:rPr>
          <w:t>Outcome measures</w:t>
        </w:r>
        <w:r w:rsidR="00462AB7">
          <w:rPr>
            <w:webHidden/>
          </w:rPr>
          <w:tab/>
        </w:r>
        <w:r w:rsidR="00462AB7">
          <w:rPr>
            <w:webHidden/>
          </w:rPr>
          <w:fldChar w:fldCharType="begin"/>
        </w:r>
        <w:r w:rsidR="00462AB7">
          <w:rPr>
            <w:webHidden/>
          </w:rPr>
          <w:instrText xml:space="preserve"> PAGEREF _Toc524003453 \h </w:instrText>
        </w:r>
        <w:r w:rsidR="00462AB7">
          <w:rPr>
            <w:webHidden/>
          </w:rPr>
        </w:r>
        <w:r w:rsidR="00462AB7">
          <w:rPr>
            <w:webHidden/>
          </w:rPr>
          <w:fldChar w:fldCharType="separate"/>
        </w:r>
        <w:r w:rsidR="00F24924">
          <w:rPr>
            <w:webHidden/>
          </w:rPr>
          <w:t>16</w:t>
        </w:r>
        <w:r w:rsidR="00462AB7">
          <w:rPr>
            <w:webHidden/>
          </w:rPr>
          <w:fldChar w:fldCharType="end"/>
        </w:r>
      </w:hyperlink>
    </w:p>
    <w:p w:rsidR="00462AB7" w:rsidRDefault="003929C9">
      <w:pPr>
        <w:pStyle w:val="TOC2"/>
        <w:tabs>
          <w:tab w:val="right" w:leader="dot" w:pos="9016"/>
        </w:tabs>
        <w:rPr>
          <w:rFonts w:asciiTheme="minorHAnsi" w:eastAsiaTheme="minorEastAsia" w:hAnsiTheme="minorHAnsi" w:cstheme="minorBidi"/>
          <w:noProof/>
          <w:kern w:val="0"/>
          <w:sz w:val="22"/>
          <w:szCs w:val="22"/>
          <w:lang w:eastAsia="en-NZ"/>
        </w:rPr>
      </w:pPr>
      <w:hyperlink w:anchor="_Toc524003454" w:history="1">
        <w:r w:rsidR="00462AB7" w:rsidRPr="00621508">
          <w:rPr>
            <w:rStyle w:val="Hyperlink"/>
            <w:noProof/>
          </w:rPr>
          <w:t>Income</w:t>
        </w:r>
        <w:r w:rsidR="00462AB7">
          <w:rPr>
            <w:noProof/>
            <w:webHidden/>
          </w:rPr>
          <w:tab/>
        </w:r>
        <w:r w:rsidR="00462AB7">
          <w:rPr>
            <w:noProof/>
            <w:webHidden/>
          </w:rPr>
          <w:fldChar w:fldCharType="begin"/>
        </w:r>
        <w:r w:rsidR="00462AB7">
          <w:rPr>
            <w:noProof/>
            <w:webHidden/>
          </w:rPr>
          <w:instrText xml:space="preserve"> PAGEREF _Toc524003454 \h </w:instrText>
        </w:r>
        <w:r w:rsidR="00462AB7">
          <w:rPr>
            <w:noProof/>
            <w:webHidden/>
          </w:rPr>
        </w:r>
        <w:r w:rsidR="00462AB7">
          <w:rPr>
            <w:noProof/>
            <w:webHidden/>
          </w:rPr>
          <w:fldChar w:fldCharType="separate"/>
        </w:r>
        <w:r w:rsidR="00F24924">
          <w:rPr>
            <w:noProof/>
            <w:webHidden/>
          </w:rPr>
          <w:t>17</w:t>
        </w:r>
        <w:r w:rsidR="00462AB7">
          <w:rPr>
            <w:noProof/>
            <w:webHidden/>
          </w:rPr>
          <w:fldChar w:fldCharType="end"/>
        </w:r>
      </w:hyperlink>
    </w:p>
    <w:p w:rsidR="00462AB7" w:rsidRDefault="003929C9">
      <w:pPr>
        <w:pStyle w:val="TOC3"/>
        <w:rPr>
          <w:rFonts w:asciiTheme="minorHAnsi" w:eastAsiaTheme="minorEastAsia" w:hAnsiTheme="minorHAnsi" w:cstheme="minorBidi"/>
          <w:noProof/>
          <w:kern w:val="0"/>
          <w:sz w:val="22"/>
          <w:szCs w:val="22"/>
          <w:lang w:eastAsia="en-NZ"/>
        </w:rPr>
      </w:pPr>
      <w:hyperlink w:anchor="_Toc524003455" w:history="1">
        <w:r w:rsidR="00462AB7" w:rsidRPr="00621508">
          <w:rPr>
            <w:rStyle w:val="Hyperlink"/>
            <w:noProof/>
          </w:rPr>
          <w:t>Net income from all sources</w:t>
        </w:r>
        <w:r w:rsidR="00462AB7">
          <w:rPr>
            <w:noProof/>
            <w:webHidden/>
          </w:rPr>
          <w:tab/>
        </w:r>
        <w:r w:rsidR="00462AB7">
          <w:rPr>
            <w:noProof/>
            <w:webHidden/>
          </w:rPr>
          <w:fldChar w:fldCharType="begin"/>
        </w:r>
        <w:r w:rsidR="00462AB7">
          <w:rPr>
            <w:noProof/>
            <w:webHidden/>
          </w:rPr>
          <w:instrText xml:space="preserve"> PAGEREF _Toc524003455 \h </w:instrText>
        </w:r>
        <w:r w:rsidR="00462AB7">
          <w:rPr>
            <w:noProof/>
            <w:webHidden/>
          </w:rPr>
        </w:r>
        <w:r w:rsidR="00462AB7">
          <w:rPr>
            <w:noProof/>
            <w:webHidden/>
          </w:rPr>
          <w:fldChar w:fldCharType="separate"/>
        </w:r>
        <w:r w:rsidR="00F24924">
          <w:rPr>
            <w:noProof/>
            <w:webHidden/>
          </w:rPr>
          <w:t>18</w:t>
        </w:r>
        <w:r w:rsidR="00462AB7">
          <w:rPr>
            <w:noProof/>
            <w:webHidden/>
          </w:rPr>
          <w:fldChar w:fldCharType="end"/>
        </w:r>
      </w:hyperlink>
    </w:p>
    <w:p w:rsidR="00462AB7" w:rsidRDefault="003929C9">
      <w:pPr>
        <w:pStyle w:val="TOC3"/>
        <w:rPr>
          <w:rFonts w:asciiTheme="minorHAnsi" w:eastAsiaTheme="minorEastAsia" w:hAnsiTheme="minorHAnsi" w:cstheme="minorBidi"/>
          <w:noProof/>
          <w:kern w:val="0"/>
          <w:sz w:val="22"/>
          <w:szCs w:val="22"/>
          <w:lang w:eastAsia="en-NZ"/>
        </w:rPr>
      </w:pPr>
      <w:hyperlink w:anchor="_Toc524003456" w:history="1">
        <w:r w:rsidR="00462AB7" w:rsidRPr="00621508">
          <w:rPr>
            <w:rStyle w:val="Hyperlink"/>
            <w:noProof/>
          </w:rPr>
          <w:t>Income support received after tax</w:t>
        </w:r>
        <w:r w:rsidR="00462AB7">
          <w:rPr>
            <w:noProof/>
            <w:webHidden/>
          </w:rPr>
          <w:tab/>
        </w:r>
        <w:r w:rsidR="00462AB7">
          <w:rPr>
            <w:noProof/>
            <w:webHidden/>
          </w:rPr>
          <w:fldChar w:fldCharType="begin"/>
        </w:r>
        <w:r w:rsidR="00462AB7">
          <w:rPr>
            <w:noProof/>
            <w:webHidden/>
          </w:rPr>
          <w:instrText xml:space="preserve"> PAGEREF _Toc524003456 \h </w:instrText>
        </w:r>
        <w:r w:rsidR="00462AB7">
          <w:rPr>
            <w:noProof/>
            <w:webHidden/>
          </w:rPr>
        </w:r>
        <w:r w:rsidR="00462AB7">
          <w:rPr>
            <w:noProof/>
            <w:webHidden/>
          </w:rPr>
          <w:fldChar w:fldCharType="separate"/>
        </w:r>
        <w:r w:rsidR="00F24924">
          <w:rPr>
            <w:noProof/>
            <w:webHidden/>
          </w:rPr>
          <w:t>18</w:t>
        </w:r>
        <w:r w:rsidR="00462AB7">
          <w:rPr>
            <w:noProof/>
            <w:webHidden/>
          </w:rPr>
          <w:fldChar w:fldCharType="end"/>
        </w:r>
      </w:hyperlink>
    </w:p>
    <w:p w:rsidR="00462AB7" w:rsidRDefault="003929C9">
      <w:pPr>
        <w:pStyle w:val="TOC2"/>
        <w:tabs>
          <w:tab w:val="right" w:leader="dot" w:pos="9016"/>
        </w:tabs>
        <w:rPr>
          <w:rFonts w:asciiTheme="minorHAnsi" w:eastAsiaTheme="minorEastAsia" w:hAnsiTheme="minorHAnsi" w:cstheme="minorBidi"/>
          <w:noProof/>
          <w:kern w:val="0"/>
          <w:sz w:val="22"/>
          <w:szCs w:val="22"/>
          <w:lang w:eastAsia="en-NZ"/>
        </w:rPr>
      </w:pPr>
      <w:hyperlink w:anchor="_Toc524003457" w:history="1">
        <w:r w:rsidR="00462AB7" w:rsidRPr="00621508">
          <w:rPr>
            <w:rStyle w:val="Hyperlink"/>
            <w:noProof/>
          </w:rPr>
          <w:t>Employment</w:t>
        </w:r>
        <w:r w:rsidR="00462AB7">
          <w:rPr>
            <w:noProof/>
            <w:webHidden/>
          </w:rPr>
          <w:tab/>
        </w:r>
        <w:r w:rsidR="00462AB7">
          <w:rPr>
            <w:noProof/>
            <w:webHidden/>
          </w:rPr>
          <w:fldChar w:fldCharType="begin"/>
        </w:r>
        <w:r w:rsidR="00462AB7">
          <w:rPr>
            <w:noProof/>
            <w:webHidden/>
          </w:rPr>
          <w:instrText xml:space="preserve"> PAGEREF _Toc524003457 \h </w:instrText>
        </w:r>
        <w:r w:rsidR="00462AB7">
          <w:rPr>
            <w:noProof/>
            <w:webHidden/>
          </w:rPr>
        </w:r>
        <w:r w:rsidR="00462AB7">
          <w:rPr>
            <w:noProof/>
            <w:webHidden/>
          </w:rPr>
          <w:fldChar w:fldCharType="separate"/>
        </w:r>
        <w:r w:rsidR="00F24924">
          <w:rPr>
            <w:noProof/>
            <w:webHidden/>
          </w:rPr>
          <w:t>19</w:t>
        </w:r>
        <w:r w:rsidR="00462AB7">
          <w:rPr>
            <w:noProof/>
            <w:webHidden/>
          </w:rPr>
          <w:fldChar w:fldCharType="end"/>
        </w:r>
      </w:hyperlink>
    </w:p>
    <w:p w:rsidR="00462AB7" w:rsidRDefault="003929C9">
      <w:pPr>
        <w:pStyle w:val="TOC3"/>
        <w:rPr>
          <w:rFonts w:asciiTheme="minorHAnsi" w:eastAsiaTheme="minorEastAsia" w:hAnsiTheme="minorHAnsi" w:cstheme="minorBidi"/>
          <w:noProof/>
          <w:kern w:val="0"/>
          <w:sz w:val="22"/>
          <w:szCs w:val="22"/>
          <w:lang w:eastAsia="en-NZ"/>
        </w:rPr>
      </w:pPr>
      <w:hyperlink w:anchor="_Toc524003458" w:history="1">
        <w:r w:rsidR="00462AB7" w:rsidRPr="00621508">
          <w:rPr>
            <w:rStyle w:val="Hyperlink"/>
            <w:noProof/>
          </w:rPr>
          <w:t>Any time in employment</w:t>
        </w:r>
        <w:r w:rsidR="00462AB7">
          <w:rPr>
            <w:noProof/>
            <w:webHidden/>
          </w:rPr>
          <w:tab/>
        </w:r>
        <w:r w:rsidR="00462AB7">
          <w:rPr>
            <w:noProof/>
            <w:webHidden/>
          </w:rPr>
          <w:fldChar w:fldCharType="begin"/>
        </w:r>
        <w:r w:rsidR="00462AB7">
          <w:rPr>
            <w:noProof/>
            <w:webHidden/>
          </w:rPr>
          <w:instrText xml:space="preserve"> PAGEREF _Toc524003458 \h </w:instrText>
        </w:r>
        <w:r w:rsidR="00462AB7">
          <w:rPr>
            <w:noProof/>
            <w:webHidden/>
          </w:rPr>
        </w:r>
        <w:r w:rsidR="00462AB7">
          <w:rPr>
            <w:noProof/>
            <w:webHidden/>
          </w:rPr>
          <w:fldChar w:fldCharType="separate"/>
        </w:r>
        <w:r w:rsidR="00F24924">
          <w:rPr>
            <w:noProof/>
            <w:webHidden/>
          </w:rPr>
          <w:t>19</w:t>
        </w:r>
        <w:r w:rsidR="00462AB7">
          <w:rPr>
            <w:noProof/>
            <w:webHidden/>
          </w:rPr>
          <w:fldChar w:fldCharType="end"/>
        </w:r>
      </w:hyperlink>
    </w:p>
    <w:p w:rsidR="00462AB7" w:rsidRDefault="003929C9">
      <w:pPr>
        <w:pStyle w:val="TOC3"/>
        <w:rPr>
          <w:rFonts w:asciiTheme="minorHAnsi" w:eastAsiaTheme="minorEastAsia" w:hAnsiTheme="minorHAnsi" w:cstheme="minorBidi"/>
          <w:noProof/>
          <w:kern w:val="0"/>
          <w:sz w:val="22"/>
          <w:szCs w:val="22"/>
          <w:lang w:eastAsia="en-NZ"/>
        </w:rPr>
      </w:pPr>
      <w:hyperlink w:anchor="_Toc524003459" w:history="1">
        <w:r w:rsidR="00462AB7" w:rsidRPr="00621508">
          <w:rPr>
            <w:rStyle w:val="Hyperlink"/>
            <w:noProof/>
          </w:rPr>
          <w:t>Time in employment while on main benefit</w:t>
        </w:r>
        <w:r w:rsidR="00462AB7">
          <w:rPr>
            <w:noProof/>
            <w:webHidden/>
          </w:rPr>
          <w:tab/>
        </w:r>
        <w:r w:rsidR="00462AB7">
          <w:rPr>
            <w:noProof/>
            <w:webHidden/>
          </w:rPr>
          <w:fldChar w:fldCharType="begin"/>
        </w:r>
        <w:r w:rsidR="00462AB7">
          <w:rPr>
            <w:noProof/>
            <w:webHidden/>
          </w:rPr>
          <w:instrText xml:space="preserve"> PAGEREF _Toc524003459 \h </w:instrText>
        </w:r>
        <w:r w:rsidR="00462AB7">
          <w:rPr>
            <w:noProof/>
            <w:webHidden/>
          </w:rPr>
        </w:r>
        <w:r w:rsidR="00462AB7">
          <w:rPr>
            <w:noProof/>
            <w:webHidden/>
          </w:rPr>
          <w:fldChar w:fldCharType="separate"/>
        </w:r>
        <w:r w:rsidR="00F24924">
          <w:rPr>
            <w:noProof/>
            <w:webHidden/>
          </w:rPr>
          <w:t>19</w:t>
        </w:r>
        <w:r w:rsidR="00462AB7">
          <w:rPr>
            <w:noProof/>
            <w:webHidden/>
          </w:rPr>
          <w:fldChar w:fldCharType="end"/>
        </w:r>
      </w:hyperlink>
    </w:p>
    <w:p w:rsidR="00462AB7" w:rsidRDefault="003929C9">
      <w:pPr>
        <w:pStyle w:val="TOC3"/>
        <w:rPr>
          <w:rFonts w:asciiTheme="minorHAnsi" w:eastAsiaTheme="minorEastAsia" w:hAnsiTheme="minorHAnsi" w:cstheme="minorBidi"/>
          <w:noProof/>
          <w:kern w:val="0"/>
          <w:sz w:val="22"/>
          <w:szCs w:val="22"/>
          <w:lang w:eastAsia="en-NZ"/>
        </w:rPr>
      </w:pPr>
      <w:hyperlink w:anchor="_Toc524003460" w:history="1">
        <w:r w:rsidR="00462AB7" w:rsidRPr="00621508">
          <w:rPr>
            <w:rStyle w:val="Hyperlink"/>
            <w:noProof/>
          </w:rPr>
          <w:t>Time in employment and independent of Work and Income</w:t>
        </w:r>
        <w:r w:rsidR="00462AB7">
          <w:rPr>
            <w:noProof/>
            <w:webHidden/>
          </w:rPr>
          <w:tab/>
        </w:r>
        <w:r w:rsidR="00462AB7">
          <w:rPr>
            <w:noProof/>
            <w:webHidden/>
          </w:rPr>
          <w:fldChar w:fldCharType="begin"/>
        </w:r>
        <w:r w:rsidR="00462AB7">
          <w:rPr>
            <w:noProof/>
            <w:webHidden/>
          </w:rPr>
          <w:instrText xml:space="preserve"> PAGEREF _Toc524003460 \h </w:instrText>
        </w:r>
        <w:r w:rsidR="00462AB7">
          <w:rPr>
            <w:noProof/>
            <w:webHidden/>
          </w:rPr>
        </w:r>
        <w:r w:rsidR="00462AB7">
          <w:rPr>
            <w:noProof/>
            <w:webHidden/>
          </w:rPr>
          <w:fldChar w:fldCharType="separate"/>
        </w:r>
        <w:r w:rsidR="00F24924">
          <w:rPr>
            <w:noProof/>
            <w:webHidden/>
          </w:rPr>
          <w:t>19</w:t>
        </w:r>
        <w:r w:rsidR="00462AB7">
          <w:rPr>
            <w:noProof/>
            <w:webHidden/>
          </w:rPr>
          <w:fldChar w:fldCharType="end"/>
        </w:r>
      </w:hyperlink>
    </w:p>
    <w:p w:rsidR="00462AB7" w:rsidRDefault="003929C9">
      <w:pPr>
        <w:pStyle w:val="TOC2"/>
        <w:tabs>
          <w:tab w:val="right" w:leader="dot" w:pos="9016"/>
        </w:tabs>
        <w:rPr>
          <w:rFonts w:asciiTheme="minorHAnsi" w:eastAsiaTheme="minorEastAsia" w:hAnsiTheme="minorHAnsi" w:cstheme="minorBidi"/>
          <w:noProof/>
          <w:kern w:val="0"/>
          <w:sz w:val="22"/>
          <w:szCs w:val="22"/>
          <w:lang w:eastAsia="en-NZ"/>
        </w:rPr>
      </w:pPr>
      <w:hyperlink w:anchor="_Toc524003461" w:history="1">
        <w:r w:rsidR="00462AB7" w:rsidRPr="00621508">
          <w:rPr>
            <w:rStyle w:val="Hyperlink"/>
            <w:noProof/>
          </w:rPr>
          <w:t>Independent from Welfare</w:t>
        </w:r>
        <w:r w:rsidR="00462AB7">
          <w:rPr>
            <w:noProof/>
            <w:webHidden/>
          </w:rPr>
          <w:tab/>
        </w:r>
        <w:r w:rsidR="00462AB7">
          <w:rPr>
            <w:noProof/>
            <w:webHidden/>
          </w:rPr>
          <w:fldChar w:fldCharType="begin"/>
        </w:r>
        <w:r w:rsidR="00462AB7">
          <w:rPr>
            <w:noProof/>
            <w:webHidden/>
          </w:rPr>
          <w:instrText xml:space="preserve"> PAGEREF _Toc524003461 \h </w:instrText>
        </w:r>
        <w:r w:rsidR="00462AB7">
          <w:rPr>
            <w:noProof/>
            <w:webHidden/>
          </w:rPr>
        </w:r>
        <w:r w:rsidR="00462AB7">
          <w:rPr>
            <w:noProof/>
            <w:webHidden/>
          </w:rPr>
          <w:fldChar w:fldCharType="separate"/>
        </w:r>
        <w:r w:rsidR="00F24924">
          <w:rPr>
            <w:noProof/>
            <w:webHidden/>
          </w:rPr>
          <w:t>19</w:t>
        </w:r>
        <w:r w:rsidR="00462AB7">
          <w:rPr>
            <w:noProof/>
            <w:webHidden/>
          </w:rPr>
          <w:fldChar w:fldCharType="end"/>
        </w:r>
      </w:hyperlink>
    </w:p>
    <w:p w:rsidR="00462AB7" w:rsidRDefault="003929C9">
      <w:pPr>
        <w:pStyle w:val="TOC2"/>
        <w:tabs>
          <w:tab w:val="right" w:leader="dot" w:pos="9016"/>
        </w:tabs>
        <w:rPr>
          <w:rFonts w:asciiTheme="minorHAnsi" w:eastAsiaTheme="minorEastAsia" w:hAnsiTheme="minorHAnsi" w:cstheme="minorBidi"/>
          <w:noProof/>
          <w:kern w:val="0"/>
          <w:sz w:val="22"/>
          <w:szCs w:val="22"/>
          <w:lang w:eastAsia="en-NZ"/>
        </w:rPr>
      </w:pPr>
      <w:hyperlink w:anchor="_Toc524003462" w:history="1">
        <w:r w:rsidR="00462AB7" w:rsidRPr="00621508">
          <w:rPr>
            <w:rStyle w:val="Hyperlink"/>
            <w:noProof/>
          </w:rPr>
          <w:t>Justice</w:t>
        </w:r>
        <w:r w:rsidR="00462AB7">
          <w:rPr>
            <w:noProof/>
            <w:webHidden/>
          </w:rPr>
          <w:tab/>
        </w:r>
        <w:r w:rsidR="00462AB7">
          <w:rPr>
            <w:noProof/>
            <w:webHidden/>
          </w:rPr>
          <w:fldChar w:fldCharType="begin"/>
        </w:r>
        <w:r w:rsidR="00462AB7">
          <w:rPr>
            <w:noProof/>
            <w:webHidden/>
          </w:rPr>
          <w:instrText xml:space="preserve"> PAGEREF _Toc524003462 \h </w:instrText>
        </w:r>
        <w:r w:rsidR="00462AB7">
          <w:rPr>
            <w:noProof/>
            <w:webHidden/>
          </w:rPr>
        </w:r>
        <w:r w:rsidR="00462AB7">
          <w:rPr>
            <w:noProof/>
            <w:webHidden/>
          </w:rPr>
          <w:fldChar w:fldCharType="separate"/>
        </w:r>
        <w:r w:rsidR="00F24924">
          <w:rPr>
            <w:noProof/>
            <w:webHidden/>
          </w:rPr>
          <w:t>19</w:t>
        </w:r>
        <w:r w:rsidR="00462AB7">
          <w:rPr>
            <w:noProof/>
            <w:webHidden/>
          </w:rPr>
          <w:fldChar w:fldCharType="end"/>
        </w:r>
      </w:hyperlink>
    </w:p>
    <w:p w:rsidR="00462AB7" w:rsidRDefault="003929C9">
      <w:pPr>
        <w:pStyle w:val="TOC3"/>
        <w:rPr>
          <w:rFonts w:asciiTheme="minorHAnsi" w:eastAsiaTheme="minorEastAsia" w:hAnsiTheme="minorHAnsi" w:cstheme="minorBidi"/>
          <w:noProof/>
          <w:kern w:val="0"/>
          <w:sz w:val="22"/>
          <w:szCs w:val="22"/>
          <w:lang w:eastAsia="en-NZ"/>
        </w:rPr>
      </w:pPr>
      <w:hyperlink w:anchor="_Toc524003463" w:history="1">
        <w:r w:rsidR="00462AB7" w:rsidRPr="00621508">
          <w:rPr>
            <w:rStyle w:val="Hyperlink"/>
            <w:noProof/>
          </w:rPr>
          <w:t>Any offence</w:t>
        </w:r>
        <w:r w:rsidR="00462AB7">
          <w:rPr>
            <w:noProof/>
            <w:webHidden/>
          </w:rPr>
          <w:tab/>
        </w:r>
        <w:r w:rsidR="00462AB7">
          <w:rPr>
            <w:noProof/>
            <w:webHidden/>
          </w:rPr>
          <w:fldChar w:fldCharType="begin"/>
        </w:r>
        <w:r w:rsidR="00462AB7">
          <w:rPr>
            <w:noProof/>
            <w:webHidden/>
          </w:rPr>
          <w:instrText xml:space="preserve"> PAGEREF _Toc524003463 \h </w:instrText>
        </w:r>
        <w:r w:rsidR="00462AB7">
          <w:rPr>
            <w:noProof/>
            <w:webHidden/>
          </w:rPr>
        </w:r>
        <w:r w:rsidR="00462AB7">
          <w:rPr>
            <w:noProof/>
            <w:webHidden/>
          </w:rPr>
          <w:fldChar w:fldCharType="separate"/>
        </w:r>
        <w:r w:rsidR="00F24924">
          <w:rPr>
            <w:noProof/>
            <w:webHidden/>
          </w:rPr>
          <w:t>20</w:t>
        </w:r>
        <w:r w:rsidR="00462AB7">
          <w:rPr>
            <w:noProof/>
            <w:webHidden/>
          </w:rPr>
          <w:fldChar w:fldCharType="end"/>
        </w:r>
      </w:hyperlink>
    </w:p>
    <w:p w:rsidR="00462AB7" w:rsidRDefault="003929C9">
      <w:pPr>
        <w:pStyle w:val="TOC3"/>
        <w:rPr>
          <w:rFonts w:asciiTheme="minorHAnsi" w:eastAsiaTheme="minorEastAsia" w:hAnsiTheme="minorHAnsi" w:cstheme="minorBidi"/>
          <w:noProof/>
          <w:kern w:val="0"/>
          <w:sz w:val="22"/>
          <w:szCs w:val="22"/>
          <w:lang w:eastAsia="en-NZ"/>
        </w:rPr>
      </w:pPr>
      <w:hyperlink w:anchor="_Toc524003464" w:history="1">
        <w:r w:rsidR="00462AB7" w:rsidRPr="00621508">
          <w:rPr>
            <w:rStyle w:val="Hyperlink"/>
            <w:noProof/>
          </w:rPr>
          <w:t>Time spent in any corrections spell</w:t>
        </w:r>
        <w:r w:rsidR="00462AB7">
          <w:rPr>
            <w:noProof/>
            <w:webHidden/>
          </w:rPr>
          <w:tab/>
        </w:r>
        <w:r w:rsidR="00462AB7">
          <w:rPr>
            <w:noProof/>
            <w:webHidden/>
          </w:rPr>
          <w:fldChar w:fldCharType="begin"/>
        </w:r>
        <w:r w:rsidR="00462AB7">
          <w:rPr>
            <w:noProof/>
            <w:webHidden/>
          </w:rPr>
          <w:instrText xml:space="preserve"> PAGEREF _Toc524003464 \h </w:instrText>
        </w:r>
        <w:r w:rsidR="00462AB7">
          <w:rPr>
            <w:noProof/>
            <w:webHidden/>
          </w:rPr>
        </w:r>
        <w:r w:rsidR="00462AB7">
          <w:rPr>
            <w:noProof/>
            <w:webHidden/>
          </w:rPr>
          <w:fldChar w:fldCharType="separate"/>
        </w:r>
        <w:r w:rsidR="00F24924">
          <w:rPr>
            <w:noProof/>
            <w:webHidden/>
          </w:rPr>
          <w:t>20</w:t>
        </w:r>
        <w:r w:rsidR="00462AB7">
          <w:rPr>
            <w:noProof/>
            <w:webHidden/>
          </w:rPr>
          <w:fldChar w:fldCharType="end"/>
        </w:r>
      </w:hyperlink>
    </w:p>
    <w:p w:rsidR="00462AB7" w:rsidRDefault="003929C9">
      <w:pPr>
        <w:pStyle w:val="TOC3"/>
        <w:rPr>
          <w:rFonts w:asciiTheme="minorHAnsi" w:eastAsiaTheme="minorEastAsia" w:hAnsiTheme="minorHAnsi" w:cstheme="minorBidi"/>
          <w:noProof/>
          <w:kern w:val="0"/>
          <w:sz w:val="22"/>
          <w:szCs w:val="22"/>
          <w:lang w:eastAsia="en-NZ"/>
        </w:rPr>
      </w:pPr>
      <w:hyperlink w:anchor="_Toc524003465" w:history="1">
        <w:r w:rsidR="00462AB7" w:rsidRPr="00621508">
          <w:rPr>
            <w:rStyle w:val="Hyperlink"/>
            <w:noProof/>
          </w:rPr>
          <w:t>Time spent in prison</w:t>
        </w:r>
        <w:r w:rsidR="00462AB7">
          <w:rPr>
            <w:noProof/>
            <w:webHidden/>
          </w:rPr>
          <w:tab/>
        </w:r>
        <w:r w:rsidR="00462AB7">
          <w:rPr>
            <w:noProof/>
            <w:webHidden/>
          </w:rPr>
          <w:fldChar w:fldCharType="begin"/>
        </w:r>
        <w:r w:rsidR="00462AB7">
          <w:rPr>
            <w:noProof/>
            <w:webHidden/>
          </w:rPr>
          <w:instrText xml:space="preserve"> PAGEREF _Toc524003465 \h </w:instrText>
        </w:r>
        <w:r w:rsidR="00462AB7">
          <w:rPr>
            <w:noProof/>
            <w:webHidden/>
          </w:rPr>
        </w:r>
        <w:r w:rsidR="00462AB7">
          <w:rPr>
            <w:noProof/>
            <w:webHidden/>
          </w:rPr>
          <w:fldChar w:fldCharType="separate"/>
        </w:r>
        <w:r w:rsidR="00F24924">
          <w:rPr>
            <w:noProof/>
            <w:webHidden/>
          </w:rPr>
          <w:t>20</w:t>
        </w:r>
        <w:r w:rsidR="00462AB7">
          <w:rPr>
            <w:noProof/>
            <w:webHidden/>
          </w:rPr>
          <w:fldChar w:fldCharType="end"/>
        </w:r>
      </w:hyperlink>
    </w:p>
    <w:p w:rsidR="00462AB7" w:rsidRDefault="003929C9">
      <w:pPr>
        <w:pStyle w:val="TOC2"/>
        <w:tabs>
          <w:tab w:val="right" w:leader="dot" w:pos="9016"/>
        </w:tabs>
        <w:rPr>
          <w:rFonts w:asciiTheme="minorHAnsi" w:eastAsiaTheme="minorEastAsia" w:hAnsiTheme="minorHAnsi" w:cstheme="minorBidi"/>
          <w:noProof/>
          <w:kern w:val="0"/>
          <w:sz w:val="22"/>
          <w:szCs w:val="22"/>
          <w:lang w:eastAsia="en-NZ"/>
        </w:rPr>
      </w:pPr>
      <w:hyperlink w:anchor="_Toc524003466" w:history="1">
        <w:r w:rsidR="00462AB7" w:rsidRPr="00621508">
          <w:rPr>
            <w:rStyle w:val="Hyperlink"/>
            <w:noProof/>
          </w:rPr>
          <w:t>Education qualifications</w:t>
        </w:r>
        <w:r w:rsidR="00462AB7">
          <w:rPr>
            <w:noProof/>
            <w:webHidden/>
          </w:rPr>
          <w:tab/>
        </w:r>
        <w:r w:rsidR="00462AB7">
          <w:rPr>
            <w:noProof/>
            <w:webHidden/>
          </w:rPr>
          <w:fldChar w:fldCharType="begin"/>
        </w:r>
        <w:r w:rsidR="00462AB7">
          <w:rPr>
            <w:noProof/>
            <w:webHidden/>
          </w:rPr>
          <w:instrText xml:space="preserve"> PAGEREF _Toc524003466 \h </w:instrText>
        </w:r>
        <w:r w:rsidR="00462AB7">
          <w:rPr>
            <w:noProof/>
            <w:webHidden/>
          </w:rPr>
        </w:r>
        <w:r w:rsidR="00462AB7">
          <w:rPr>
            <w:noProof/>
            <w:webHidden/>
          </w:rPr>
          <w:fldChar w:fldCharType="separate"/>
        </w:r>
        <w:r w:rsidR="00F24924">
          <w:rPr>
            <w:noProof/>
            <w:webHidden/>
          </w:rPr>
          <w:t>20</w:t>
        </w:r>
        <w:r w:rsidR="00462AB7">
          <w:rPr>
            <w:noProof/>
            <w:webHidden/>
          </w:rPr>
          <w:fldChar w:fldCharType="end"/>
        </w:r>
      </w:hyperlink>
    </w:p>
    <w:p w:rsidR="00462AB7" w:rsidRDefault="003929C9">
      <w:pPr>
        <w:pStyle w:val="TOC3"/>
        <w:rPr>
          <w:rFonts w:asciiTheme="minorHAnsi" w:eastAsiaTheme="minorEastAsia" w:hAnsiTheme="minorHAnsi" w:cstheme="minorBidi"/>
          <w:noProof/>
          <w:kern w:val="0"/>
          <w:sz w:val="22"/>
          <w:szCs w:val="22"/>
          <w:lang w:eastAsia="en-NZ"/>
        </w:rPr>
      </w:pPr>
      <w:hyperlink w:anchor="_Toc524003467" w:history="1">
        <w:r w:rsidR="00462AB7" w:rsidRPr="00621508">
          <w:rPr>
            <w:rStyle w:val="Hyperlink"/>
            <w:noProof/>
          </w:rPr>
          <w:t>Qualifications achieved at NQF level 2, 3, 4</w:t>
        </w:r>
        <w:r w:rsidR="00462AB7">
          <w:rPr>
            <w:noProof/>
            <w:webHidden/>
          </w:rPr>
          <w:tab/>
        </w:r>
        <w:r w:rsidR="00462AB7">
          <w:rPr>
            <w:noProof/>
            <w:webHidden/>
          </w:rPr>
          <w:fldChar w:fldCharType="begin"/>
        </w:r>
        <w:r w:rsidR="00462AB7">
          <w:rPr>
            <w:noProof/>
            <w:webHidden/>
          </w:rPr>
          <w:instrText xml:space="preserve"> PAGEREF _Toc524003467 \h </w:instrText>
        </w:r>
        <w:r w:rsidR="00462AB7">
          <w:rPr>
            <w:noProof/>
            <w:webHidden/>
          </w:rPr>
        </w:r>
        <w:r w:rsidR="00462AB7">
          <w:rPr>
            <w:noProof/>
            <w:webHidden/>
          </w:rPr>
          <w:fldChar w:fldCharType="separate"/>
        </w:r>
        <w:r w:rsidR="00F24924">
          <w:rPr>
            <w:noProof/>
            <w:webHidden/>
          </w:rPr>
          <w:t>20</w:t>
        </w:r>
        <w:r w:rsidR="00462AB7">
          <w:rPr>
            <w:noProof/>
            <w:webHidden/>
          </w:rPr>
          <w:fldChar w:fldCharType="end"/>
        </w:r>
      </w:hyperlink>
    </w:p>
    <w:p w:rsidR="00462AB7" w:rsidRDefault="003929C9">
      <w:pPr>
        <w:pStyle w:val="TOC3"/>
        <w:rPr>
          <w:rFonts w:asciiTheme="minorHAnsi" w:eastAsiaTheme="minorEastAsia" w:hAnsiTheme="minorHAnsi" w:cstheme="minorBidi"/>
          <w:noProof/>
          <w:kern w:val="0"/>
          <w:sz w:val="22"/>
          <w:szCs w:val="22"/>
          <w:lang w:eastAsia="en-NZ"/>
        </w:rPr>
      </w:pPr>
      <w:hyperlink w:anchor="_Toc524003468" w:history="1">
        <w:r w:rsidR="00462AB7" w:rsidRPr="00621508">
          <w:rPr>
            <w:rStyle w:val="Hyperlink"/>
            <w:noProof/>
          </w:rPr>
          <w:t>Highest NQF level</w:t>
        </w:r>
        <w:r w:rsidR="00462AB7">
          <w:rPr>
            <w:noProof/>
            <w:webHidden/>
          </w:rPr>
          <w:tab/>
        </w:r>
        <w:r w:rsidR="00462AB7">
          <w:rPr>
            <w:noProof/>
            <w:webHidden/>
          </w:rPr>
          <w:fldChar w:fldCharType="begin"/>
        </w:r>
        <w:r w:rsidR="00462AB7">
          <w:rPr>
            <w:noProof/>
            <w:webHidden/>
          </w:rPr>
          <w:instrText xml:space="preserve"> PAGEREF _Toc524003468 \h </w:instrText>
        </w:r>
        <w:r w:rsidR="00462AB7">
          <w:rPr>
            <w:noProof/>
            <w:webHidden/>
          </w:rPr>
        </w:r>
        <w:r w:rsidR="00462AB7">
          <w:rPr>
            <w:noProof/>
            <w:webHidden/>
          </w:rPr>
          <w:fldChar w:fldCharType="separate"/>
        </w:r>
        <w:r w:rsidR="00F24924">
          <w:rPr>
            <w:noProof/>
            <w:webHidden/>
          </w:rPr>
          <w:t>20</w:t>
        </w:r>
        <w:r w:rsidR="00462AB7">
          <w:rPr>
            <w:noProof/>
            <w:webHidden/>
          </w:rPr>
          <w:fldChar w:fldCharType="end"/>
        </w:r>
      </w:hyperlink>
    </w:p>
    <w:p w:rsidR="00462AB7" w:rsidRDefault="003929C9">
      <w:pPr>
        <w:pStyle w:val="TOC2"/>
        <w:tabs>
          <w:tab w:val="right" w:leader="dot" w:pos="9016"/>
        </w:tabs>
        <w:rPr>
          <w:rFonts w:asciiTheme="minorHAnsi" w:eastAsiaTheme="minorEastAsia" w:hAnsiTheme="minorHAnsi" w:cstheme="minorBidi"/>
          <w:noProof/>
          <w:kern w:val="0"/>
          <w:sz w:val="22"/>
          <w:szCs w:val="22"/>
          <w:lang w:eastAsia="en-NZ"/>
        </w:rPr>
      </w:pPr>
      <w:hyperlink w:anchor="_Toc524003469" w:history="1">
        <w:r w:rsidR="00462AB7" w:rsidRPr="00621508">
          <w:rPr>
            <w:rStyle w:val="Hyperlink"/>
            <w:noProof/>
          </w:rPr>
          <w:t>Education participation</w:t>
        </w:r>
        <w:r w:rsidR="00462AB7">
          <w:rPr>
            <w:noProof/>
            <w:webHidden/>
          </w:rPr>
          <w:tab/>
        </w:r>
        <w:r w:rsidR="00462AB7">
          <w:rPr>
            <w:noProof/>
            <w:webHidden/>
          </w:rPr>
          <w:fldChar w:fldCharType="begin"/>
        </w:r>
        <w:r w:rsidR="00462AB7">
          <w:rPr>
            <w:noProof/>
            <w:webHidden/>
          </w:rPr>
          <w:instrText xml:space="preserve"> PAGEREF _Toc524003469 \h </w:instrText>
        </w:r>
        <w:r w:rsidR="00462AB7">
          <w:rPr>
            <w:noProof/>
            <w:webHidden/>
          </w:rPr>
        </w:r>
        <w:r w:rsidR="00462AB7">
          <w:rPr>
            <w:noProof/>
            <w:webHidden/>
          </w:rPr>
          <w:fldChar w:fldCharType="separate"/>
        </w:r>
        <w:r w:rsidR="00F24924">
          <w:rPr>
            <w:noProof/>
            <w:webHidden/>
          </w:rPr>
          <w:t>20</w:t>
        </w:r>
        <w:r w:rsidR="00462AB7">
          <w:rPr>
            <w:noProof/>
            <w:webHidden/>
          </w:rPr>
          <w:fldChar w:fldCharType="end"/>
        </w:r>
      </w:hyperlink>
    </w:p>
    <w:p w:rsidR="00462AB7" w:rsidRDefault="003929C9">
      <w:pPr>
        <w:pStyle w:val="TOC3"/>
        <w:rPr>
          <w:rFonts w:asciiTheme="minorHAnsi" w:eastAsiaTheme="minorEastAsia" w:hAnsiTheme="minorHAnsi" w:cstheme="minorBidi"/>
          <w:noProof/>
          <w:kern w:val="0"/>
          <w:sz w:val="22"/>
          <w:szCs w:val="22"/>
          <w:lang w:eastAsia="en-NZ"/>
        </w:rPr>
      </w:pPr>
      <w:hyperlink w:anchor="_Toc524003470" w:history="1">
        <w:r w:rsidR="00462AB7" w:rsidRPr="00621508">
          <w:rPr>
            <w:rStyle w:val="Hyperlink"/>
            <w:noProof/>
          </w:rPr>
          <w:t>Time spent in any education participation</w:t>
        </w:r>
        <w:r w:rsidR="00462AB7">
          <w:rPr>
            <w:noProof/>
            <w:webHidden/>
          </w:rPr>
          <w:tab/>
        </w:r>
        <w:r w:rsidR="00462AB7">
          <w:rPr>
            <w:noProof/>
            <w:webHidden/>
          </w:rPr>
          <w:fldChar w:fldCharType="begin"/>
        </w:r>
        <w:r w:rsidR="00462AB7">
          <w:rPr>
            <w:noProof/>
            <w:webHidden/>
          </w:rPr>
          <w:instrText xml:space="preserve"> PAGEREF _Toc524003470 \h </w:instrText>
        </w:r>
        <w:r w:rsidR="00462AB7">
          <w:rPr>
            <w:noProof/>
            <w:webHidden/>
          </w:rPr>
        </w:r>
        <w:r w:rsidR="00462AB7">
          <w:rPr>
            <w:noProof/>
            <w:webHidden/>
          </w:rPr>
          <w:fldChar w:fldCharType="separate"/>
        </w:r>
        <w:r w:rsidR="00F24924">
          <w:rPr>
            <w:noProof/>
            <w:webHidden/>
          </w:rPr>
          <w:t>21</w:t>
        </w:r>
        <w:r w:rsidR="00462AB7">
          <w:rPr>
            <w:noProof/>
            <w:webHidden/>
          </w:rPr>
          <w:fldChar w:fldCharType="end"/>
        </w:r>
      </w:hyperlink>
    </w:p>
    <w:p w:rsidR="00462AB7" w:rsidRDefault="003929C9">
      <w:pPr>
        <w:pStyle w:val="TOC3"/>
        <w:rPr>
          <w:rFonts w:asciiTheme="minorHAnsi" w:eastAsiaTheme="minorEastAsia" w:hAnsiTheme="minorHAnsi" w:cstheme="minorBidi"/>
          <w:noProof/>
          <w:kern w:val="0"/>
          <w:sz w:val="22"/>
          <w:szCs w:val="22"/>
          <w:lang w:eastAsia="en-NZ"/>
        </w:rPr>
      </w:pPr>
      <w:hyperlink w:anchor="_Toc524003471" w:history="1">
        <w:r w:rsidR="00462AB7" w:rsidRPr="00621508">
          <w:rPr>
            <w:rStyle w:val="Hyperlink"/>
            <w:noProof/>
          </w:rPr>
          <w:t>Time spent in education while off benefit</w:t>
        </w:r>
        <w:r w:rsidR="00462AB7">
          <w:rPr>
            <w:noProof/>
            <w:webHidden/>
          </w:rPr>
          <w:tab/>
        </w:r>
        <w:r w:rsidR="00462AB7">
          <w:rPr>
            <w:noProof/>
            <w:webHidden/>
          </w:rPr>
          <w:fldChar w:fldCharType="begin"/>
        </w:r>
        <w:r w:rsidR="00462AB7">
          <w:rPr>
            <w:noProof/>
            <w:webHidden/>
          </w:rPr>
          <w:instrText xml:space="preserve"> PAGEREF _Toc524003471 \h </w:instrText>
        </w:r>
        <w:r w:rsidR="00462AB7">
          <w:rPr>
            <w:noProof/>
            <w:webHidden/>
          </w:rPr>
        </w:r>
        <w:r w:rsidR="00462AB7">
          <w:rPr>
            <w:noProof/>
            <w:webHidden/>
          </w:rPr>
          <w:fldChar w:fldCharType="separate"/>
        </w:r>
        <w:r w:rsidR="00F24924">
          <w:rPr>
            <w:noProof/>
            <w:webHidden/>
          </w:rPr>
          <w:t>21</w:t>
        </w:r>
        <w:r w:rsidR="00462AB7">
          <w:rPr>
            <w:noProof/>
            <w:webHidden/>
          </w:rPr>
          <w:fldChar w:fldCharType="end"/>
        </w:r>
      </w:hyperlink>
    </w:p>
    <w:p w:rsidR="00462AB7" w:rsidRDefault="003929C9">
      <w:pPr>
        <w:pStyle w:val="TOC3"/>
        <w:rPr>
          <w:rFonts w:asciiTheme="minorHAnsi" w:eastAsiaTheme="minorEastAsia" w:hAnsiTheme="minorHAnsi" w:cstheme="minorBidi"/>
          <w:noProof/>
          <w:kern w:val="0"/>
          <w:sz w:val="22"/>
          <w:szCs w:val="22"/>
          <w:lang w:eastAsia="en-NZ"/>
        </w:rPr>
      </w:pPr>
      <w:hyperlink w:anchor="_Toc524003472" w:history="1">
        <w:r w:rsidR="00462AB7" w:rsidRPr="00621508">
          <w:rPr>
            <w:rStyle w:val="Hyperlink"/>
            <w:noProof/>
          </w:rPr>
          <w:t>Education participation NQF4</w:t>
        </w:r>
        <w:r w:rsidR="00462AB7">
          <w:rPr>
            <w:noProof/>
            <w:webHidden/>
          </w:rPr>
          <w:tab/>
        </w:r>
        <w:r w:rsidR="00462AB7">
          <w:rPr>
            <w:noProof/>
            <w:webHidden/>
          </w:rPr>
          <w:fldChar w:fldCharType="begin"/>
        </w:r>
        <w:r w:rsidR="00462AB7">
          <w:rPr>
            <w:noProof/>
            <w:webHidden/>
          </w:rPr>
          <w:instrText xml:space="preserve"> PAGEREF _Toc524003472 \h </w:instrText>
        </w:r>
        <w:r w:rsidR="00462AB7">
          <w:rPr>
            <w:noProof/>
            <w:webHidden/>
          </w:rPr>
        </w:r>
        <w:r w:rsidR="00462AB7">
          <w:rPr>
            <w:noProof/>
            <w:webHidden/>
          </w:rPr>
          <w:fldChar w:fldCharType="separate"/>
        </w:r>
        <w:r w:rsidR="00F24924">
          <w:rPr>
            <w:noProof/>
            <w:webHidden/>
          </w:rPr>
          <w:t>21</w:t>
        </w:r>
        <w:r w:rsidR="00462AB7">
          <w:rPr>
            <w:noProof/>
            <w:webHidden/>
          </w:rPr>
          <w:fldChar w:fldCharType="end"/>
        </w:r>
      </w:hyperlink>
    </w:p>
    <w:p w:rsidR="00462AB7" w:rsidRDefault="003929C9">
      <w:pPr>
        <w:pStyle w:val="TOC2"/>
        <w:tabs>
          <w:tab w:val="right" w:leader="dot" w:pos="9016"/>
        </w:tabs>
        <w:rPr>
          <w:rFonts w:asciiTheme="minorHAnsi" w:eastAsiaTheme="minorEastAsia" w:hAnsiTheme="minorHAnsi" w:cstheme="minorBidi"/>
          <w:noProof/>
          <w:kern w:val="0"/>
          <w:sz w:val="22"/>
          <w:szCs w:val="22"/>
          <w:lang w:eastAsia="en-NZ"/>
        </w:rPr>
      </w:pPr>
      <w:hyperlink w:anchor="_Toc524003473" w:history="1">
        <w:r w:rsidR="00462AB7" w:rsidRPr="00621508">
          <w:rPr>
            <w:rStyle w:val="Hyperlink"/>
            <w:noProof/>
          </w:rPr>
          <w:t>Driver licence status</w:t>
        </w:r>
        <w:r w:rsidR="00462AB7">
          <w:rPr>
            <w:noProof/>
            <w:webHidden/>
          </w:rPr>
          <w:tab/>
        </w:r>
        <w:r w:rsidR="00462AB7">
          <w:rPr>
            <w:noProof/>
            <w:webHidden/>
          </w:rPr>
          <w:fldChar w:fldCharType="begin"/>
        </w:r>
        <w:r w:rsidR="00462AB7">
          <w:rPr>
            <w:noProof/>
            <w:webHidden/>
          </w:rPr>
          <w:instrText xml:space="preserve"> PAGEREF _Toc524003473 \h </w:instrText>
        </w:r>
        <w:r w:rsidR="00462AB7">
          <w:rPr>
            <w:noProof/>
            <w:webHidden/>
          </w:rPr>
        </w:r>
        <w:r w:rsidR="00462AB7">
          <w:rPr>
            <w:noProof/>
            <w:webHidden/>
          </w:rPr>
          <w:fldChar w:fldCharType="separate"/>
        </w:r>
        <w:r w:rsidR="00F24924">
          <w:rPr>
            <w:noProof/>
            <w:webHidden/>
          </w:rPr>
          <w:t>21</w:t>
        </w:r>
        <w:r w:rsidR="00462AB7">
          <w:rPr>
            <w:noProof/>
            <w:webHidden/>
          </w:rPr>
          <w:fldChar w:fldCharType="end"/>
        </w:r>
      </w:hyperlink>
    </w:p>
    <w:p w:rsidR="00462AB7" w:rsidRDefault="003929C9">
      <w:pPr>
        <w:pStyle w:val="TOC3"/>
        <w:rPr>
          <w:rFonts w:asciiTheme="minorHAnsi" w:eastAsiaTheme="minorEastAsia" w:hAnsiTheme="minorHAnsi" w:cstheme="minorBidi"/>
          <w:noProof/>
          <w:kern w:val="0"/>
          <w:sz w:val="22"/>
          <w:szCs w:val="22"/>
          <w:lang w:eastAsia="en-NZ"/>
        </w:rPr>
      </w:pPr>
      <w:hyperlink w:anchor="_Toc524003474" w:history="1">
        <w:r w:rsidR="00462AB7" w:rsidRPr="00621508">
          <w:rPr>
            <w:rStyle w:val="Hyperlink"/>
            <w:noProof/>
          </w:rPr>
          <w:t>Time spent while holding a learner’s, restricted and full licence</w:t>
        </w:r>
        <w:r w:rsidR="00462AB7">
          <w:rPr>
            <w:noProof/>
            <w:webHidden/>
          </w:rPr>
          <w:tab/>
        </w:r>
        <w:r w:rsidR="00462AB7">
          <w:rPr>
            <w:noProof/>
            <w:webHidden/>
          </w:rPr>
          <w:fldChar w:fldCharType="begin"/>
        </w:r>
        <w:r w:rsidR="00462AB7">
          <w:rPr>
            <w:noProof/>
            <w:webHidden/>
          </w:rPr>
          <w:instrText xml:space="preserve"> PAGEREF _Toc524003474 \h </w:instrText>
        </w:r>
        <w:r w:rsidR="00462AB7">
          <w:rPr>
            <w:noProof/>
            <w:webHidden/>
          </w:rPr>
        </w:r>
        <w:r w:rsidR="00462AB7">
          <w:rPr>
            <w:noProof/>
            <w:webHidden/>
          </w:rPr>
          <w:fldChar w:fldCharType="separate"/>
        </w:r>
        <w:r w:rsidR="00F24924">
          <w:rPr>
            <w:noProof/>
            <w:webHidden/>
          </w:rPr>
          <w:t>21</w:t>
        </w:r>
        <w:r w:rsidR="00462AB7">
          <w:rPr>
            <w:noProof/>
            <w:webHidden/>
          </w:rPr>
          <w:fldChar w:fldCharType="end"/>
        </w:r>
      </w:hyperlink>
    </w:p>
    <w:p w:rsidR="00462AB7" w:rsidRDefault="003929C9">
      <w:pPr>
        <w:pStyle w:val="TOC2"/>
        <w:tabs>
          <w:tab w:val="right" w:leader="dot" w:pos="9016"/>
        </w:tabs>
        <w:rPr>
          <w:rFonts w:asciiTheme="minorHAnsi" w:eastAsiaTheme="minorEastAsia" w:hAnsiTheme="minorHAnsi" w:cstheme="minorBidi"/>
          <w:noProof/>
          <w:kern w:val="0"/>
          <w:sz w:val="22"/>
          <w:szCs w:val="22"/>
          <w:lang w:eastAsia="en-NZ"/>
        </w:rPr>
      </w:pPr>
      <w:hyperlink w:anchor="_Toc524003475" w:history="1">
        <w:r w:rsidR="00462AB7" w:rsidRPr="00621508">
          <w:rPr>
            <w:rStyle w:val="Hyperlink"/>
            <w:noProof/>
            <w:lang w:eastAsia="en-AU"/>
          </w:rPr>
          <w:t>Tracking outcomes longitudinally</w:t>
        </w:r>
        <w:r w:rsidR="00462AB7">
          <w:rPr>
            <w:noProof/>
            <w:webHidden/>
          </w:rPr>
          <w:tab/>
        </w:r>
        <w:r w:rsidR="00462AB7">
          <w:rPr>
            <w:noProof/>
            <w:webHidden/>
          </w:rPr>
          <w:fldChar w:fldCharType="begin"/>
        </w:r>
        <w:r w:rsidR="00462AB7">
          <w:rPr>
            <w:noProof/>
            <w:webHidden/>
          </w:rPr>
          <w:instrText xml:space="preserve"> PAGEREF _Toc524003475 \h </w:instrText>
        </w:r>
        <w:r w:rsidR="00462AB7">
          <w:rPr>
            <w:noProof/>
            <w:webHidden/>
          </w:rPr>
        </w:r>
        <w:r w:rsidR="00462AB7">
          <w:rPr>
            <w:noProof/>
            <w:webHidden/>
          </w:rPr>
          <w:fldChar w:fldCharType="separate"/>
        </w:r>
        <w:r w:rsidR="00F24924">
          <w:rPr>
            <w:noProof/>
            <w:webHidden/>
          </w:rPr>
          <w:t>21</w:t>
        </w:r>
        <w:r w:rsidR="00462AB7">
          <w:rPr>
            <w:noProof/>
            <w:webHidden/>
          </w:rPr>
          <w:fldChar w:fldCharType="end"/>
        </w:r>
      </w:hyperlink>
    </w:p>
    <w:p w:rsidR="00462AB7" w:rsidRDefault="003929C9">
      <w:pPr>
        <w:pStyle w:val="TOC3"/>
        <w:rPr>
          <w:rFonts w:asciiTheme="minorHAnsi" w:eastAsiaTheme="minorEastAsia" w:hAnsiTheme="minorHAnsi" w:cstheme="minorBidi"/>
          <w:noProof/>
          <w:kern w:val="0"/>
          <w:sz w:val="22"/>
          <w:szCs w:val="22"/>
          <w:lang w:eastAsia="en-NZ"/>
        </w:rPr>
      </w:pPr>
      <w:hyperlink w:anchor="_Toc524003476" w:history="1">
        <w:r w:rsidR="00462AB7" w:rsidRPr="00621508">
          <w:rPr>
            <w:rStyle w:val="Hyperlink"/>
            <w:noProof/>
          </w:rPr>
          <w:t>Why measure outcomes from participation start?</w:t>
        </w:r>
        <w:r w:rsidR="00462AB7">
          <w:rPr>
            <w:noProof/>
            <w:webHidden/>
          </w:rPr>
          <w:tab/>
        </w:r>
        <w:r w:rsidR="00462AB7">
          <w:rPr>
            <w:noProof/>
            <w:webHidden/>
          </w:rPr>
          <w:fldChar w:fldCharType="begin"/>
        </w:r>
        <w:r w:rsidR="00462AB7">
          <w:rPr>
            <w:noProof/>
            <w:webHidden/>
          </w:rPr>
          <w:instrText xml:space="preserve"> PAGEREF _Toc524003476 \h </w:instrText>
        </w:r>
        <w:r w:rsidR="00462AB7">
          <w:rPr>
            <w:noProof/>
            <w:webHidden/>
          </w:rPr>
        </w:r>
        <w:r w:rsidR="00462AB7">
          <w:rPr>
            <w:noProof/>
            <w:webHidden/>
          </w:rPr>
          <w:fldChar w:fldCharType="separate"/>
        </w:r>
        <w:r w:rsidR="00F24924">
          <w:rPr>
            <w:noProof/>
            <w:webHidden/>
          </w:rPr>
          <w:t>24</w:t>
        </w:r>
        <w:r w:rsidR="00462AB7">
          <w:rPr>
            <w:noProof/>
            <w:webHidden/>
          </w:rPr>
          <w:fldChar w:fldCharType="end"/>
        </w:r>
      </w:hyperlink>
    </w:p>
    <w:p w:rsidR="00462AB7" w:rsidRDefault="003929C9">
      <w:pPr>
        <w:pStyle w:val="TOC3"/>
        <w:rPr>
          <w:rFonts w:asciiTheme="minorHAnsi" w:eastAsiaTheme="minorEastAsia" w:hAnsiTheme="minorHAnsi" w:cstheme="minorBidi"/>
          <w:noProof/>
          <w:kern w:val="0"/>
          <w:sz w:val="22"/>
          <w:szCs w:val="22"/>
          <w:lang w:eastAsia="en-NZ"/>
        </w:rPr>
      </w:pPr>
      <w:hyperlink w:anchor="_Toc524003477" w:history="1">
        <w:r w:rsidR="00462AB7" w:rsidRPr="00621508">
          <w:rPr>
            <w:rStyle w:val="Hyperlink"/>
            <w:noProof/>
          </w:rPr>
          <w:t>Migration and mortality</w:t>
        </w:r>
        <w:r w:rsidR="00462AB7">
          <w:rPr>
            <w:noProof/>
            <w:webHidden/>
          </w:rPr>
          <w:tab/>
        </w:r>
        <w:r w:rsidR="00462AB7">
          <w:rPr>
            <w:noProof/>
            <w:webHidden/>
          </w:rPr>
          <w:fldChar w:fldCharType="begin"/>
        </w:r>
        <w:r w:rsidR="00462AB7">
          <w:rPr>
            <w:noProof/>
            <w:webHidden/>
          </w:rPr>
          <w:instrText xml:space="preserve"> PAGEREF _Toc524003477 \h </w:instrText>
        </w:r>
        <w:r w:rsidR="00462AB7">
          <w:rPr>
            <w:noProof/>
            <w:webHidden/>
          </w:rPr>
        </w:r>
        <w:r w:rsidR="00462AB7">
          <w:rPr>
            <w:noProof/>
            <w:webHidden/>
          </w:rPr>
          <w:fldChar w:fldCharType="separate"/>
        </w:r>
        <w:r w:rsidR="00F24924">
          <w:rPr>
            <w:noProof/>
            <w:webHidden/>
          </w:rPr>
          <w:t>24</w:t>
        </w:r>
        <w:r w:rsidR="00462AB7">
          <w:rPr>
            <w:noProof/>
            <w:webHidden/>
          </w:rPr>
          <w:fldChar w:fldCharType="end"/>
        </w:r>
      </w:hyperlink>
    </w:p>
    <w:p w:rsidR="00462AB7" w:rsidRDefault="003929C9">
      <w:pPr>
        <w:pStyle w:val="TOC1"/>
        <w:rPr>
          <w:rFonts w:asciiTheme="minorHAnsi" w:eastAsiaTheme="minorEastAsia" w:hAnsiTheme="minorHAnsi" w:cstheme="minorBidi"/>
          <w:b w:val="0"/>
          <w:kern w:val="0"/>
          <w:sz w:val="22"/>
          <w:szCs w:val="22"/>
          <w:lang w:eastAsia="en-NZ"/>
        </w:rPr>
      </w:pPr>
      <w:hyperlink w:anchor="_Toc524003478" w:history="1">
        <w:r w:rsidR="00462AB7" w:rsidRPr="00621508">
          <w:rPr>
            <w:rStyle w:val="Hyperlink"/>
          </w:rPr>
          <w:t>Estimating the observed impact of EA interventions</w:t>
        </w:r>
        <w:r w:rsidR="00462AB7">
          <w:rPr>
            <w:webHidden/>
          </w:rPr>
          <w:tab/>
        </w:r>
        <w:r w:rsidR="00462AB7">
          <w:rPr>
            <w:webHidden/>
          </w:rPr>
          <w:fldChar w:fldCharType="begin"/>
        </w:r>
        <w:r w:rsidR="00462AB7">
          <w:rPr>
            <w:webHidden/>
          </w:rPr>
          <w:instrText xml:space="preserve"> PAGEREF _Toc524003478 \h </w:instrText>
        </w:r>
        <w:r w:rsidR="00462AB7">
          <w:rPr>
            <w:webHidden/>
          </w:rPr>
        </w:r>
        <w:r w:rsidR="00462AB7">
          <w:rPr>
            <w:webHidden/>
          </w:rPr>
          <w:fldChar w:fldCharType="separate"/>
        </w:r>
        <w:r w:rsidR="00F24924">
          <w:rPr>
            <w:webHidden/>
          </w:rPr>
          <w:t>25</w:t>
        </w:r>
        <w:r w:rsidR="00462AB7">
          <w:rPr>
            <w:webHidden/>
          </w:rPr>
          <w:fldChar w:fldCharType="end"/>
        </w:r>
      </w:hyperlink>
    </w:p>
    <w:p w:rsidR="00462AB7" w:rsidRDefault="003929C9">
      <w:pPr>
        <w:pStyle w:val="TOC2"/>
        <w:tabs>
          <w:tab w:val="right" w:leader="dot" w:pos="9016"/>
        </w:tabs>
        <w:rPr>
          <w:rFonts w:asciiTheme="minorHAnsi" w:eastAsiaTheme="minorEastAsia" w:hAnsiTheme="minorHAnsi" w:cstheme="minorBidi"/>
          <w:noProof/>
          <w:kern w:val="0"/>
          <w:sz w:val="22"/>
          <w:szCs w:val="22"/>
          <w:lang w:eastAsia="en-NZ"/>
        </w:rPr>
      </w:pPr>
      <w:hyperlink w:anchor="_Toc524003479" w:history="1">
        <w:r w:rsidR="00462AB7" w:rsidRPr="00621508">
          <w:rPr>
            <w:rStyle w:val="Hyperlink"/>
            <w:noProof/>
          </w:rPr>
          <w:t>Methods used to estimate the impact of interventions</w:t>
        </w:r>
        <w:r w:rsidR="00462AB7">
          <w:rPr>
            <w:noProof/>
            <w:webHidden/>
          </w:rPr>
          <w:tab/>
        </w:r>
        <w:r w:rsidR="00462AB7">
          <w:rPr>
            <w:noProof/>
            <w:webHidden/>
          </w:rPr>
          <w:fldChar w:fldCharType="begin"/>
        </w:r>
        <w:r w:rsidR="00462AB7">
          <w:rPr>
            <w:noProof/>
            <w:webHidden/>
          </w:rPr>
          <w:instrText xml:space="preserve"> PAGEREF _Toc524003479 \h </w:instrText>
        </w:r>
        <w:r w:rsidR="00462AB7">
          <w:rPr>
            <w:noProof/>
            <w:webHidden/>
          </w:rPr>
        </w:r>
        <w:r w:rsidR="00462AB7">
          <w:rPr>
            <w:noProof/>
            <w:webHidden/>
          </w:rPr>
          <w:fldChar w:fldCharType="separate"/>
        </w:r>
        <w:r w:rsidR="00F24924">
          <w:rPr>
            <w:noProof/>
            <w:webHidden/>
          </w:rPr>
          <w:t>25</w:t>
        </w:r>
        <w:r w:rsidR="00462AB7">
          <w:rPr>
            <w:noProof/>
            <w:webHidden/>
          </w:rPr>
          <w:fldChar w:fldCharType="end"/>
        </w:r>
      </w:hyperlink>
    </w:p>
    <w:p w:rsidR="00462AB7" w:rsidRDefault="003929C9">
      <w:pPr>
        <w:pStyle w:val="TOC3"/>
        <w:rPr>
          <w:rFonts w:asciiTheme="minorHAnsi" w:eastAsiaTheme="minorEastAsia" w:hAnsiTheme="minorHAnsi" w:cstheme="minorBidi"/>
          <w:noProof/>
          <w:kern w:val="0"/>
          <w:sz w:val="22"/>
          <w:szCs w:val="22"/>
          <w:lang w:eastAsia="en-NZ"/>
        </w:rPr>
      </w:pPr>
      <w:hyperlink w:anchor="_Toc524003480" w:history="1">
        <w:r w:rsidR="00462AB7" w:rsidRPr="00621508">
          <w:rPr>
            <w:rStyle w:val="Hyperlink"/>
            <w:noProof/>
          </w:rPr>
          <w:t>Randomised Control Trial designs</w:t>
        </w:r>
        <w:r w:rsidR="00462AB7">
          <w:rPr>
            <w:noProof/>
            <w:webHidden/>
          </w:rPr>
          <w:tab/>
        </w:r>
        <w:r w:rsidR="00462AB7">
          <w:rPr>
            <w:noProof/>
            <w:webHidden/>
          </w:rPr>
          <w:fldChar w:fldCharType="begin"/>
        </w:r>
        <w:r w:rsidR="00462AB7">
          <w:rPr>
            <w:noProof/>
            <w:webHidden/>
          </w:rPr>
          <w:instrText xml:space="preserve"> PAGEREF _Toc524003480 \h </w:instrText>
        </w:r>
        <w:r w:rsidR="00462AB7">
          <w:rPr>
            <w:noProof/>
            <w:webHidden/>
          </w:rPr>
        </w:r>
        <w:r w:rsidR="00462AB7">
          <w:rPr>
            <w:noProof/>
            <w:webHidden/>
          </w:rPr>
          <w:fldChar w:fldCharType="separate"/>
        </w:r>
        <w:r w:rsidR="00F24924">
          <w:rPr>
            <w:noProof/>
            <w:webHidden/>
          </w:rPr>
          <w:t>25</w:t>
        </w:r>
        <w:r w:rsidR="00462AB7">
          <w:rPr>
            <w:noProof/>
            <w:webHidden/>
          </w:rPr>
          <w:fldChar w:fldCharType="end"/>
        </w:r>
      </w:hyperlink>
    </w:p>
    <w:p w:rsidR="00462AB7" w:rsidRDefault="003929C9">
      <w:pPr>
        <w:pStyle w:val="TOC3"/>
        <w:rPr>
          <w:rFonts w:asciiTheme="minorHAnsi" w:eastAsiaTheme="minorEastAsia" w:hAnsiTheme="minorHAnsi" w:cstheme="minorBidi"/>
          <w:noProof/>
          <w:kern w:val="0"/>
          <w:sz w:val="22"/>
          <w:szCs w:val="22"/>
          <w:lang w:eastAsia="en-NZ"/>
        </w:rPr>
      </w:pPr>
      <w:hyperlink w:anchor="_Toc524003481" w:history="1">
        <w:r w:rsidR="00462AB7" w:rsidRPr="00621508">
          <w:rPr>
            <w:rStyle w:val="Hyperlink"/>
            <w:noProof/>
          </w:rPr>
          <w:t>Propensity matching</w:t>
        </w:r>
        <w:r w:rsidR="00462AB7">
          <w:rPr>
            <w:noProof/>
            <w:webHidden/>
          </w:rPr>
          <w:tab/>
        </w:r>
        <w:r w:rsidR="00462AB7">
          <w:rPr>
            <w:noProof/>
            <w:webHidden/>
          </w:rPr>
          <w:fldChar w:fldCharType="begin"/>
        </w:r>
        <w:r w:rsidR="00462AB7">
          <w:rPr>
            <w:noProof/>
            <w:webHidden/>
          </w:rPr>
          <w:instrText xml:space="preserve"> PAGEREF _Toc524003481 \h </w:instrText>
        </w:r>
        <w:r w:rsidR="00462AB7">
          <w:rPr>
            <w:noProof/>
            <w:webHidden/>
          </w:rPr>
        </w:r>
        <w:r w:rsidR="00462AB7">
          <w:rPr>
            <w:noProof/>
            <w:webHidden/>
          </w:rPr>
          <w:fldChar w:fldCharType="separate"/>
        </w:r>
        <w:r w:rsidR="00F24924">
          <w:rPr>
            <w:noProof/>
            <w:webHidden/>
          </w:rPr>
          <w:t>26</w:t>
        </w:r>
        <w:r w:rsidR="00462AB7">
          <w:rPr>
            <w:noProof/>
            <w:webHidden/>
          </w:rPr>
          <w:fldChar w:fldCharType="end"/>
        </w:r>
      </w:hyperlink>
    </w:p>
    <w:p w:rsidR="00462AB7" w:rsidRDefault="003929C9">
      <w:pPr>
        <w:pStyle w:val="TOC3"/>
        <w:rPr>
          <w:rFonts w:asciiTheme="minorHAnsi" w:eastAsiaTheme="minorEastAsia" w:hAnsiTheme="minorHAnsi" w:cstheme="minorBidi"/>
          <w:noProof/>
          <w:kern w:val="0"/>
          <w:sz w:val="22"/>
          <w:szCs w:val="22"/>
          <w:lang w:eastAsia="en-NZ"/>
        </w:rPr>
      </w:pPr>
      <w:hyperlink w:anchor="_Toc524003482" w:history="1">
        <w:r w:rsidR="00462AB7" w:rsidRPr="00621508">
          <w:rPr>
            <w:rStyle w:val="Hyperlink"/>
            <w:noProof/>
          </w:rPr>
          <w:t>Quality of the matched groups</w:t>
        </w:r>
        <w:r w:rsidR="00462AB7">
          <w:rPr>
            <w:noProof/>
            <w:webHidden/>
          </w:rPr>
          <w:tab/>
        </w:r>
        <w:r w:rsidR="00462AB7">
          <w:rPr>
            <w:noProof/>
            <w:webHidden/>
          </w:rPr>
          <w:fldChar w:fldCharType="begin"/>
        </w:r>
        <w:r w:rsidR="00462AB7">
          <w:rPr>
            <w:noProof/>
            <w:webHidden/>
          </w:rPr>
          <w:instrText xml:space="preserve"> PAGEREF _Toc524003482 \h </w:instrText>
        </w:r>
        <w:r w:rsidR="00462AB7">
          <w:rPr>
            <w:noProof/>
            <w:webHidden/>
          </w:rPr>
        </w:r>
        <w:r w:rsidR="00462AB7">
          <w:rPr>
            <w:noProof/>
            <w:webHidden/>
          </w:rPr>
          <w:fldChar w:fldCharType="separate"/>
        </w:r>
        <w:r w:rsidR="00F24924">
          <w:rPr>
            <w:noProof/>
            <w:webHidden/>
          </w:rPr>
          <w:t>27</w:t>
        </w:r>
        <w:r w:rsidR="00462AB7">
          <w:rPr>
            <w:noProof/>
            <w:webHidden/>
          </w:rPr>
          <w:fldChar w:fldCharType="end"/>
        </w:r>
      </w:hyperlink>
    </w:p>
    <w:p w:rsidR="00462AB7" w:rsidRDefault="003929C9">
      <w:pPr>
        <w:pStyle w:val="TOC3"/>
        <w:rPr>
          <w:rFonts w:asciiTheme="minorHAnsi" w:eastAsiaTheme="minorEastAsia" w:hAnsiTheme="minorHAnsi" w:cstheme="minorBidi"/>
          <w:noProof/>
          <w:kern w:val="0"/>
          <w:sz w:val="22"/>
          <w:szCs w:val="22"/>
          <w:lang w:eastAsia="en-NZ"/>
        </w:rPr>
      </w:pPr>
      <w:hyperlink w:anchor="_Toc524003483" w:history="1">
        <w:r w:rsidR="00462AB7" w:rsidRPr="00621508">
          <w:rPr>
            <w:rStyle w:val="Hyperlink"/>
            <w:noProof/>
          </w:rPr>
          <w:t>Propensity score matched historical comparison group</w:t>
        </w:r>
        <w:r w:rsidR="00462AB7">
          <w:rPr>
            <w:noProof/>
            <w:webHidden/>
          </w:rPr>
          <w:tab/>
        </w:r>
        <w:r w:rsidR="00462AB7">
          <w:rPr>
            <w:noProof/>
            <w:webHidden/>
          </w:rPr>
          <w:fldChar w:fldCharType="begin"/>
        </w:r>
        <w:r w:rsidR="00462AB7">
          <w:rPr>
            <w:noProof/>
            <w:webHidden/>
          </w:rPr>
          <w:instrText xml:space="preserve"> PAGEREF _Toc524003483 \h </w:instrText>
        </w:r>
        <w:r w:rsidR="00462AB7">
          <w:rPr>
            <w:noProof/>
            <w:webHidden/>
          </w:rPr>
        </w:r>
        <w:r w:rsidR="00462AB7">
          <w:rPr>
            <w:noProof/>
            <w:webHidden/>
          </w:rPr>
          <w:fldChar w:fldCharType="separate"/>
        </w:r>
        <w:r w:rsidR="00F24924">
          <w:rPr>
            <w:noProof/>
            <w:webHidden/>
          </w:rPr>
          <w:t>28</w:t>
        </w:r>
        <w:r w:rsidR="00462AB7">
          <w:rPr>
            <w:noProof/>
            <w:webHidden/>
          </w:rPr>
          <w:fldChar w:fldCharType="end"/>
        </w:r>
      </w:hyperlink>
    </w:p>
    <w:p w:rsidR="00462AB7" w:rsidRDefault="003929C9">
      <w:pPr>
        <w:pStyle w:val="TOC3"/>
        <w:rPr>
          <w:rFonts w:asciiTheme="minorHAnsi" w:eastAsiaTheme="minorEastAsia" w:hAnsiTheme="minorHAnsi" w:cstheme="minorBidi"/>
          <w:noProof/>
          <w:kern w:val="0"/>
          <w:sz w:val="22"/>
          <w:szCs w:val="22"/>
          <w:lang w:eastAsia="en-NZ"/>
        </w:rPr>
      </w:pPr>
      <w:hyperlink w:anchor="_Toc524003484" w:history="1">
        <w:r w:rsidR="00462AB7" w:rsidRPr="00621508">
          <w:rPr>
            <w:rStyle w:val="Hyperlink"/>
            <w:noProof/>
          </w:rPr>
          <w:t>Natural experiments</w:t>
        </w:r>
        <w:r w:rsidR="00462AB7">
          <w:rPr>
            <w:noProof/>
            <w:webHidden/>
          </w:rPr>
          <w:tab/>
        </w:r>
        <w:r w:rsidR="00462AB7">
          <w:rPr>
            <w:noProof/>
            <w:webHidden/>
          </w:rPr>
          <w:fldChar w:fldCharType="begin"/>
        </w:r>
        <w:r w:rsidR="00462AB7">
          <w:rPr>
            <w:noProof/>
            <w:webHidden/>
          </w:rPr>
          <w:instrText xml:space="preserve"> PAGEREF _Toc524003484 \h </w:instrText>
        </w:r>
        <w:r w:rsidR="00462AB7">
          <w:rPr>
            <w:noProof/>
            <w:webHidden/>
          </w:rPr>
        </w:r>
        <w:r w:rsidR="00462AB7">
          <w:rPr>
            <w:noProof/>
            <w:webHidden/>
          </w:rPr>
          <w:fldChar w:fldCharType="separate"/>
        </w:r>
        <w:r w:rsidR="00F24924">
          <w:rPr>
            <w:noProof/>
            <w:webHidden/>
          </w:rPr>
          <w:t>28</w:t>
        </w:r>
        <w:r w:rsidR="00462AB7">
          <w:rPr>
            <w:noProof/>
            <w:webHidden/>
          </w:rPr>
          <w:fldChar w:fldCharType="end"/>
        </w:r>
      </w:hyperlink>
    </w:p>
    <w:p w:rsidR="00462AB7" w:rsidRDefault="003929C9">
      <w:pPr>
        <w:pStyle w:val="TOC2"/>
        <w:tabs>
          <w:tab w:val="right" w:leader="dot" w:pos="9016"/>
        </w:tabs>
        <w:rPr>
          <w:rFonts w:asciiTheme="minorHAnsi" w:eastAsiaTheme="minorEastAsia" w:hAnsiTheme="minorHAnsi" w:cstheme="minorBidi"/>
          <w:noProof/>
          <w:kern w:val="0"/>
          <w:sz w:val="22"/>
          <w:szCs w:val="22"/>
          <w:lang w:eastAsia="en-NZ"/>
        </w:rPr>
      </w:pPr>
      <w:hyperlink w:anchor="_Toc524003485" w:history="1">
        <w:r w:rsidR="00462AB7" w:rsidRPr="00621508">
          <w:rPr>
            <w:rStyle w:val="Hyperlink"/>
            <w:noProof/>
          </w:rPr>
          <w:t>Other considerations</w:t>
        </w:r>
        <w:r w:rsidR="00462AB7">
          <w:rPr>
            <w:noProof/>
            <w:webHidden/>
          </w:rPr>
          <w:tab/>
        </w:r>
        <w:r w:rsidR="00462AB7">
          <w:rPr>
            <w:noProof/>
            <w:webHidden/>
          </w:rPr>
          <w:fldChar w:fldCharType="begin"/>
        </w:r>
        <w:r w:rsidR="00462AB7">
          <w:rPr>
            <w:noProof/>
            <w:webHidden/>
          </w:rPr>
          <w:instrText xml:space="preserve"> PAGEREF _Toc524003485 \h </w:instrText>
        </w:r>
        <w:r w:rsidR="00462AB7">
          <w:rPr>
            <w:noProof/>
            <w:webHidden/>
          </w:rPr>
        </w:r>
        <w:r w:rsidR="00462AB7">
          <w:rPr>
            <w:noProof/>
            <w:webHidden/>
          </w:rPr>
          <w:fldChar w:fldCharType="separate"/>
        </w:r>
        <w:r w:rsidR="00F24924">
          <w:rPr>
            <w:noProof/>
            <w:webHidden/>
          </w:rPr>
          <w:t>28</w:t>
        </w:r>
        <w:r w:rsidR="00462AB7">
          <w:rPr>
            <w:noProof/>
            <w:webHidden/>
          </w:rPr>
          <w:fldChar w:fldCharType="end"/>
        </w:r>
      </w:hyperlink>
    </w:p>
    <w:p w:rsidR="00462AB7" w:rsidRDefault="003929C9">
      <w:pPr>
        <w:pStyle w:val="TOC3"/>
        <w:rPr>
          <w:rFonts w:asciiTheme="minorHAnsi" w:eastAsiaTheme="minorEastAsia" w:hAnsiTheme="minorHAnsi" w:cstheme="minorBidi"/>
          <w:noProof/>
          <w:kern w:val="0"/>
          <w:sz w:val="22"/>
          <w:szCs w:val="22"/>
          <w:lang w:eastAsia="en-NZ"/>
        </w:rPr>
      </w:pPr>
      <w:hyperlink w:anchor="_Toc524003486" w:history="1">
        <w:r w:rsidR="00462AB7" w:rsidRPr="00621508">
          <w:rPr>
            <w:rStyle w:val="Hyperlink"/>
            <w:noProof/>
          </w:rPr>
          <w:t>Making multiple statistical inferences</w:t>
        </w:r>
        <w:r w:rsidR="00462AB7">
          <w:rPr>
            <w:noProof/>
            <w:webHidden/>
          </w:rPr>
          <w:tab/>
        </w:r>
        <w:r w:rsidR="00462AB7">
          <w:rPr>
            <w:noProof/>
            <w:webHidden/>
          </w:rPr>
          <w:fldChar w:fldCharType="begin"/>
        </w:r>
        <w:r w:rsidR="00462AB7">
          <w:rPr>
            <w:noProof/>
            <w:webHidden/>
          </w:rPr>
          <w:instrText xml:space="preserve"> PAGEREF _Toc524003486 \h </w:instrText>
        </w:r>
        <w:r w:rsidR="00462AB7">
          <w:rPr>
            <w:noProof/>
            <w:webHidden/>
          </w:rPr>
        </w:r>
        <w:r w:rsidR="00462AB7">
          <w:rPr>
            <w:noProof/>
            <w:webHidden/>
          </w:rPr>
          <w:fldChar w:fldCharType="separate"/>
        </w:r>
        <w:r w:rsidR="00F24924">
          <w:rPr>
            <w:noProof/>
            <w:webHidden/>
          </w:rPr>
          <w:t>28</w:t>
        </w:r>
        <w:r w:rsidR="00462AB7">
          <w:rPr>
            <w:noProof/>
            <w:webHidden/>
          </w:rPr>
          <w:fldChar w:fldCharType="end"/>
        </w:r>
      </w:hyperlink>
    </w:p>
    <w:p w:rsidR="00462AB7" w:rsidRDefault="003929C9">
      <w:pPr>
        <w:pStyle w:val="TOC3"/>
        <w:rPr>
          <w:rFonts w:asciiTheme="minorHAnsi" w:eastAsiaTheme="minorEastAsia" w:hAnsiTheme="minorHAnsi" w:cstheme="minorBidi"/>
          <w:noProof/>
          <w:kern w:val="0"/>
          <w:sz w:val="22"/>
          <w:szCs w:val="22"/>
          <w:lang w:eastAsia="en-NZ"/>
        </w:rPr>
      </w:pPr>
      <w:hyperlink w:anchor="_Toc524003487" w:history="1">
        <w:r w:rsidR="00462AB7" w:rsidRPr="00621508">
          <w:rPr>
            <w:rStyle w:val="Hyperlink"/>
            <w:noProof/>
          </w:rPr>
          <w:t>Interpretation of EA impacts in the context of multiple interventions</w:t>
        </w:r>
        <w:r w:rsidR="00462AB7">
          <w:rPr>
            <w:noProof/>
            <w:webHidden/>
          </w:rPr>
          <w:tab/>
        </w:r>
        <w:r w:rsidR="00462AB7">
          <w:rPr>
            <w:noProof/>
            <w:webHidden/>
          </w:rPr>
          <w:fldChar w:fldCharType="begin"/>
        </w:r>
        <w:r w:rsidR="00462AB7">
          <w:rPr>
            <w:noProof/>
            <w:webHidden/>
          </w:rPr>
          <w:instrText xml:space="preserve"> PAGEREF _Toc524003487 \h </w:instrText>
        </w:r>
        <w:r w:rsidR="00462AB7">
          <w:rPr>
            <w:noProof/>
            <w:webHidden/>
          </w:rPr>
        </w:r>
        <w:r w:rsidR="00462AB7">
          <w:rPr>
            <w:noProof/>
            <w:webHidden/>
          </w:rPr>
          <w:fldChar w:fldCharType="separate"/>
        </w:r>
        <w:r w:rsidR="00F24924">
          <w:rPr>
            <w:noProof/>
            <w:webHidden/>
          </w:rPr>
          <w:t>29</w:t>
        </w:r>
        <w:r w:rsidR="00462AB7">
          <w:rPr>
            <w:noProof/>
            <w:webHidden/>
          </w:rPr>
          <w:fldChar w:fldCharType="end"/>
        </w:r>
      </w:hyperlink>
    </w:p>
    <w:p w:rsidR="00462AB7" w:rsidRDefault="003929C9">
      <w:pPr>
        <w:pStyle w:val="TOC1"/>
        <w:rPr>
          <w:rFonts w:asciiTheme="minorHAnsi" w:eastAsiaTheme="minorEastAsia" w:hAnsiTheme="minorHAnsi" w:cstheme="minorBidi"/>
          <w:b w:val="0"/>
          <w:kern w:val="0"/>
          <w:sz w:val="22"/>
          <w:szCs w:val="22"/>
          <w:lang w:eastAsia="en-NZ"/>
        </w:rPr>
      </w:pPr>
      <w:hyperlink w:anchor="_Toc524003488" w:history="1">
        <w:r w:rsidR="00462AB7" w:rsidRPr="00621508">
          <w:rPr>
            <w:rStyle w:val="Hyperlink"/>
          </w:rPr>
          <w:t>Estimating future impact from observed impact</w:t>
        </w:r>
        <w:r w:rsidR="00462AB7">
          <w:rPr>
            <w:webHidden/>
          </w:rPr>
          <w:tab/>
        </w:r>
        <w:r w:rsidR="00462AB7">
          <w:rPr>
            <w:webHidden/>
          </w:rPr>
          <w:fldChar w:fldCharType="begin"/>
        </w:r>
        <w:r w:rsidR="00462AB7">
          <w:rPr>
            <w:webHidden/>
          </w:rPr>
          <w:instrText xml:space="preserve"> PAGEREF _Toc524003488 \h </w:instrText>
        </w:r>
        <w:r w:rsidR="00462AB7">
          <w:rPr>
            <w:webHidden/>
          </w:rPr>
        </w:r>
        <w:r w:rsidR="00462AB7">
          <w:rPr>
            <w:webHidden/>
          </w:rPr>
          <w:fldChar w:fldCharType="separate"/>
        </w:r>
        <w:r w:rsidR="00F24924">
          <w:rPr>
            <w:webHidden/>
          </w:rPr>
          <w:t>30</w:t>
        </w:r>
        <w:r w:rsidR="00462AB7">
          <w:rPr>
            <w:webHidden/>
          </w:rPr>
          <w:fldChar w:fldCharType="end"/>
        </w:r>
      </w:hyperlink>
    </w:p>
    <w:p w:rsidR="00462AB7" w:rsidRDefault="003929C9">
      <w:pPr>
        <w:pStyle w:val="TOC2"/>
        <w:tabs>
          <w:tab w:val="right" w:leader="dot" w:pos="9016"/>
        </w:tabs>
        <w:rPr>
          <w:rFonts w:asciiTheme="minorHAnsi" w:eastAsiaTheme="minorEastAsia" w:hAnsiTheme="minorHAnsi" w:cstheme="minorBidi"/>
          <w:noProof/>
          <w:kern w:val="0"/>
          <w:sz w:val="22"/>
          <w:szCs w:val="22"/>
          <w:lang w:eastAsia="en-NZ"/>
        </w:rPr>
      </w:pPr>
      <w:hyperlink w:anchor="_Toc524003489" w:history="1">
        <w:r w:rsidR="00462AB7" w:rsidRPr="00621508">
          <w:rPr>
            <w:rStyle w:val="Hyperlink"/>
            <w:noProof/>
          </w:rPr>
          <w:t>Step 1: Estimate the expected interval impact</w:t>
        </w:r>
        <w:r w:rsidR="00462AB7">
          <w:rPr>
            <w:noProof/>
            <w:webHidden/>
          </w:rPr>
          <w:tab/>
        </w:r>
        <w:r w:rsidR="00462AB7">
          <w:rPr>
            <w:noProof/>
            <w:webHidden/>
          </w:rPr>
          <w:fldChar w:fldCharType="begin"/>
        </w:r>
        <w:r w:rsidR="00462AB7">
          <w:rPr>
            <w:noProof/>
            <w:webHidden/>
          </w:rPr>
          <w:instrText xml:space="preserve"> PAGEREF _Toc524003489 \h </w:instrText>
        </w:r>
        <w:r w:rsidR="00462AB7">
          <w:rPr>
            <w:noProof/>
            <w:webHidden/>
          </w:rPr>
        </w:r>
        <w:r w:rsidR="00462AB7">
          <w:rPr>
            <w:noProof/>
            <w:webHidden/>
          </w:rPr>
          <w:fldChar w:fldCharType="separate"/>
        </w:r>
        <w:r w:rsidR="00F24924">
          <w:rPr>
            <w:noProof/>
            <w:webHidden/>
          </w:rPr>
          <w:t>31</w:t>
        </w:r>
        <w:r w:rsidR="00462AB7">
          <w:rPr>
            <w:noProof/>
            <w:webHidden/>
          </w:rPr>
          <w:fldChar w:fldCharType="end"/>
        </w:r>
      </w:hyperlink>
    </w:p>
    <w:p w:rsidR="00462AB7" w:rsidRDefault="003929C9">
      <w:pPr>
        <w:pStyle w:val="TOC2"/>
        <w:tabs>
          <w:tab w:val="right" w:leader="dot" w:pos="9016"/>
        </w:tabs>
        <w:rPr>
          <w:rFonts w:asciiTheme="minorHAnsi" w:eastAsiaTheme="minorEastAsia" w:hAnsiTheme="minorHAnsi" w:cstheme="minorBidi"/>
          <w:noProof/>
          <w:kern w:val="0"/>
          <w:sz w:val="22"/>
          <w:szCs w:val="22"/>
          <w:lang w:eastAsia="en-NZ"/>
        </w:rPr>
      </w:pPr>
      <w:hyperlink w:anchor="_Toc524003490" w:history="1">
        <w:r w:rsidR="00462AB7" w:rsidRPr="00621508">
          <w:rPr>
            <w:rStyle w:val="Hyperlink"/>
            <w:noProof/>
          </w:rPr>
          <w:t>Step 2: Calculate the projected cumulative impact</w:t>
        </w:r>
        <w:r w:rsidR="00462AB7">
          <w:rPr>
            <w:noProof/>
            <w:webHidden/>
          </w:rPr>
          <w:tab/>
        </w:r>
        <w:r w:rsidR="00462AB7">
          <w:rPr>
            <w:noProof/>
            <w:webHidden/>
          </w:rPr>
          <w:fldChar w:fldCharType="begin"/>
        </w:r>
        <w:r w:rsidR="00462AB7">
          <w:rPr>
            <w:noProof/>
            <w:webHidden/>
          </w:rPr>
          <w:instrText xml:space="preserve"> PAGEREF _Toc524003490 \h </w:instrText>
        </w:r>
        <w:r w:rsidR="00462AB7">
          <w:rPr>
            <w:noProof/>
            <w:webHidden/>
          </w:rPr>
        </w:r>
        <w:r w:rsidR="00462AB7">
          <w:rPr>
            <w:noProof/>
            <w:webHidden/>
          </w:rPr>
          <w:fldChar w:fldCharType="separate"/>
        </w:r>
        <w:r w:rsidR="00F24924">
          <w:rPr>
            <w:noProof/>
            <w:webHidden/>
          </w:rPr>
          <w:t>31</w:t>
        </w:r>
        <w:r w:rsidR="00462AB7">
          <w:rPr>
            <w:noProof/>
            <w:webHidden/>
          </w:rPr>
          <w:fldChar w:fldCharType="end"/>
        </w:r>
      </w:hyperlink>
    </w:p>
    <w:p w:rsidR="00462AB7" w:rsidRDefault="003929C9">
      <w:pPr>
        <w:pStyle w:val="TOC3"/>
        <w:rPr>
          <w:rFonts w:asciiTheme="minorHAnsi" w:eastAsiaTheme="minorEastAsia" w:hAnsiTheme="minorHAnsi" w:cstheme="minorBidi"/>
          <w:noProof/>
          <w:kern w:val="0"/>
          <w:sz w:val="22"/>
          <w:szCs w:val="22"/>
          <w:lang w:eastAsia="en-NZ"/>
        </w:rPr>
      </w:pPr>
      <w:hyperlink w:anchor="_Toc524003491" w:history="1">
        <w:r w:rsidR="00462AB7" w:rsidRPr="00621508">
          <w:rPr>
            <w:rStyle w:val="Hyperlink"/>
            <w:noProof/>
          </w:rPr>
          <w:t>Interval impacts that do not trend towards zero</w:t>
        </w:r>
        <w:r w:rsidR="00462AB7">
          <w:rPr>
            <w:noProof/>
            <w:webHidden/>
          </w:rPr>
          <w:tab/>
        </w:r>
        <w:r w:rsidR="00462AB7">
          <w:rPr>
            <w:noProof/>
            <w:webHidden/>
          </w:rPr>
          <w:fldChar w:fldCharType="begin"/>
        </w:r>
        <w:r w:rsidR="00462AB7">
          <w:rPr>
            <w:noProof/>
            <w:webHidden/>
          </w:rPr>
          <w:instrText xml:space="preserve"> PAGEREF _Toc524003491 \h </w:instrText>
        </w:r>
        <w:r w:rsidR="00462AB7">
          <w:rPr>
            <w:noProof/>
            <w:webHidden/>
          </w:rPr>
        </w:r>
        <w:r w:rsidR="00462AB7">
          <w:rPr>
            <w:noProof/>
            <w:webHidden/>
          </w:rPr>
          <w:fldChar w:fldCharType="separate"/>
        </w:r>
        <w:r w:rsidR="00F24924">
          <w:rPr>
            <w:noProof/>
            <w:webHidden/>
          </w:rPr>
          <w:t>32</w:t>
        </w:r>
        <w:r w:rsidR="00462AB7">
          <w:rPr>
            <w:noProof/>
            <w:webHidden/>
          </w:rPr>
          <w:fldChar w:fldCharType="end"/>
        </w:r>
      </w:hyperlink>
    </w:p>
    <w:p w:rsidR="00462AB7" w:rsidRDefault="003929C9">
      <w:pPr>
        <w:pStyle w:val="TOC2"/>
        <w:tabs>
          <w:tab w:val="right" w:leader="dot" w:pos="9016"/>
        </w:tabs>
        <w:rPr>
          <w:rFonts w:asciiTheme="minorHAnsi" w:eastAsiaTheme="minorEastAsia" w:hAnsiTheme="minorHAnsi" w:cstheme="minorBidi"/>
          <w:noProof/>
          <w:kern w:val="0"/>
          <w:sz w:val="22"/>
          <w:szCs w:val="22"/>
          <w:lang w:eastAsia="en-NZ"/>
        </w:rPr>
      </w:pPr>
      <w:hyperlink w:anchor="_Toc524003492" w:history="1">
        <w:r w:rsidR="00462AB7" w:rsidRPr="00621508">
          <w:rPr>
            <w:rStyle w:val="Hyperlink"/>
            <w:noProof/>
          </w:rPr>
          <w:t>Step 3: Project cumulative impact from observed cumulative impact</w:t>
        </w:r>
        <w:r w:rsidR="00462AB7">
          <w:rPr>
            <w:noProof/>
            <w:webHidden/>
          </w:rPr>
          <w:tab/>
        </w:r>
        <w:r w:rsidR="00462AB7">
          <w:rPr>
            <w:noProof/>
            <w:webHidden/>
          </w:rPr>
          <w:fldChar w:fldCharType="begin"/>
        </w:r>
        <w:r w:rsidR="00462AB7">
          <w:rPr>
            <w:noProof/>
            <w:webHidden/>
          </w:rPr>
          <w:instrText xml:space="preserve"> PAGEREF _Toc524003492 \h </w:instrText>
        </w:r>
        <w:r w:rsidR="00462AB7">
          <w:rPr>
            <w:noProof/>
            <w:webHidden/>
          </w:rPr>
        </w:r>
        <w:r w:rsidR="00462AB7">
          <w:rPr>
            <w:noProof/>
            <w:webHidden/>
          </w:rPr>
          <w:fldChar w:fldCharType="separate"/>
        </w:r>
        <w:r w:rsidR="00F24924">
          <w:rPr>
            <w:noProof/>
            <w:webHidden/>
          </w:rPr>
          <w:t>32</w:t>
        </w:r>
        <w:r w:rsidR="00462AB7">
          <w:rPr>
            <w:noProof/>
            <w:webHidden/>
          </w:rPr>
          <w:fldChar w:fldCharType="end"/>
        </w:r>
      </w:hyperlink>
    </w:p>
    <w:p w:rsidR="00462AB7" w:rsidRDefault="003929C9">
      <w:pPr>
        <w:pStyle w:val="TOC3"/>
        <w:rPr>
          <w:rFonts w:asciiTheme="minorHAnsi" w:eastAsiaTheme="minorEastAsia" w:hAnsiTheme="minorHAnsi" w:cstheme="minorBidi"/>
          <w:noProof/>
          <w:kern w:val="0"/>
          <w:sz w:val="22"/>
          <w:szCs w:val="22"/>
          <w:lang w:eastAsia="en-NZ"/>
        </w:rPr>
      </w:pPr>
      <w:hyperlink w:anchor="_Toc524003493" w:history="1">
        <w:r w:rsidR="00462AB7" w:rsidRPr="00621508">
          <w:rPr>
            <w:rStyle w:val="Hyperlink"/>
            <w:noProof/>
          </w:rPr>
          <w:t>Scaling interval impacts</w:t>
        </w:r>
        <w:r w:rsidR="00462AB7">
          <w:rPr>
            <w:noProof/>
            <w:webHidden/>
          </w:rPr>
          <w:tab/>
        </w:r>
        <w:r w:rsidR="00462AB7">
          <w:rPr>
            <w:noProof/>
            <w:webHidden/>
          </w:rPr>
          <w:fldChar w:fldCharType="begin"/>
        </w:r>
        <w:r w:rsidR="00462AB7">
          <w:rPr>
            <w:noProof/>
            <w:webHidden/>
          </w:rPr>
          <w:instrText xml:space="preserve"> PAGEREF _Toc524003493 \h </w:instrText>
        </w:r>
        <w:r w:rsidR="00462AB7">
          <w:rPr>
            <w:noProof/>
            <w:webHidden/>
          </w:rPr>
        </w:r>
        <w:r w:rsidR="00462AB7">
          <w:rPr>
            <w:noProof/>
            <w:webHidden/>
          </w:rPr>
          <w:fldChar w:fldCharType="separate"/>
        </w:r>
        <w:r w:rsidR="00F24924">
          <w:rPr>
            <w:noProof/>
            <w:webHidden/>
          </w:rPr>
          <w:t>33</w:t>
        </w:r>
        <w:r w:rsidR="00462AB7">
          <w:rPr>
            <w:noProof/>
            <w:webHidden/>
          </w:rPr>
          <w:fldChar w:fldCharType="end"/>
        </w:r>
      </w:hyperlink>
    </w:p>
    <w:p w:rsidR="00462AB7" w:rsidRDefault="003929C9">
      <w:pPr>
        <w:pStyle w:val="TOC3"/>
        <w:rPr>
          <w:rFonts w:asciiTheme="minorHAnsi" w:eastAsiaTheme="minorEastAsia" w:hAnsiTheme="minorHAnsi" w:cstheme="minorBidi"/>
          <w:noProof/>
          <w:kern w:val="0"/>
          <w:sz w:val="22"/>
          <w:szCs w:val="22"/>
          <w:lang w:eastAsia="en-NZ"/>
        </w:rPr>
      </w:pPr>
      <w:hyperlink w:anchor="_Toc524003494" w:history="1">
        <w:r w:rsidR="00462AB7" w:rsidRPr="00621508">
          <w:rPr>
            <w:rStyle w:val="Hyperlink"/>
            <w:noProof/>
          </w:rPr>
          <w:t>The confidence interval for projected impact</w:t>
        </w:r>
        <w:r w:rsidR="00462AB7">
          <w:rPr>
            <w:noProof/>
            <w:webHidden/>
          </w:rPr>
          <w:tab/>
        </w:r>
        <w:r w:rsidR="00462AB7">
          <w:rPr>
            <w:noProof/>
            <w:webHidden/>
          </w:rPr>
          <w:fldChar w:fldCharType="begin"/>
        </w:r>
        <w:r w:rsidR="00462AB7">
          <w:rPr>
            <w:noProof/>
            <w:webHidden/>
          </w:rPr>
          <w:instrText xml:space="preserve"> PAGEREF _Toc524003494 \h </w:instrText>
        </w:r>
        <w:r w:rsidR="00462AB7">
          <w:rPr>
            <w:noProof/>
            <w:webHidden/>
          </w:rPr>
        </w:r>
        <w:r w:rsidR="00462AB7">
          <w:rPr>
            <w:noProof/>
            <w:webHidden/>
          </w:rPr>
          <w:fldChar w:fldCharType="separate"/>
        </w:r>
        <w:r w:rsidR="00F24924">
          <w:rPr>
            <w:noProof/>
            <w:webHidden/>
          </w:rPr>
          <w:t>33</w:t>
        </w:r>
        <w:r w:rsidR="00462AB7">
          <w:rPr>
            <w:noProof/>
            <w:webHidden/>
          </w:rPr>
          <w:fldChar w:fldCharType="end"/>
        </w:r>
      </w:hyperlink>
    </w:p>
    <w:p w:rsidR="00462AB7" w:rsidRDefault="003929C9">
      <w:pPr>
        <w:pStyle w:val="TOC1"/>
        <w:rPr>
          <w:rFonts w:asciiTheme="minorHAnsi" w:eastAsiaTheme="minorEastAsia" w:hAnsiTheme="minorHAnsi" w:cstheme="minorBidi"/>
          <w:b w:val="0"/>
          <w:kern w:val="0"/>
          <w:sz w:val="22"/>
          <w:szCs w:val="22"/>
          <w:lang w:eastAsia="en-NZ"/>
        </w:rPr>
      </w:pPr>
      <w:hyperlink w:anchor="_Toc524003495" w:history="1">
        <w:r w:rsidR="00462AB7" w:rsidRPr="00621508">
          <w:rPr>
            <w:rStyle w:val="Hyperlink"/>
          </w:rPr>
          <w:t>Rating the effectiveness of interventions</w:t>
        </w:r>
        <w:r w:rsidR="00462AB7">
          <w:rPr>
            <w:webHidden/>
          </w:rPr>
          <w:tab/>
        </w:r>
        <w:r w:rsidR="00462AB7">
          <w:rPr>
            <w:webHidden/>
          </w:rPr>
          <w:fldChar w:fldCharType="begin"/>
        </w:r>
        <w:r w:rsidR="00462AB7">
          <w:rPr>
            <w:webHidden/>
          </w:rPr>
          <w:instrText xml:space="preserve"> PAGEREF _Toc524003495 \h </w:instrText>
        </w:r>
        <w:r w:rsidR="00462AB7">
          <w:rPr>
            <w:webHidden/>
          </w:rPr>
        </w:r>
        <w:r w:rsidR="00462AB7">
          <w:rPr>
            <w:webHidden/>
          </w:rPr>
          <w:fldChar w:fldCharType="separate"/>
        </w:r>
        <w:r w:rsidR="00F24924">
          <w:rPr>
            <w:webHidden/>
          </w:rPr>
          <w:t>33</w:t>
        </w:r>
        <w:r w:rsidR="00462AB7">
          <w:rPr>
            <w:webHidden/>
          </w:rPr>
          <w:fldChar w:fldCharType="end"/>
        </w:r>
      </w:hyperlink>
    </w:p>
    <w:p w:rsidR="00462AB7" w:rsidRDefault="003929C9">
      <w:pPr>
        <w:pStyle w:val="TOC2"/>
        <w:tabs>
          <w:tab w:val="right" w:leader="dot" w:pos="9016"/>
        </w:tabs>
        <w:rPr>
          <w:rFonts w:asciiTheme="minorHAnsi" w:eastAsiaTheme="minorEastAsia" w:hAnsiTheme="minorHAnsi" w:cstheme="minorBidi"/>
          <w:noProof/>
          <w:kern w:val="0"/>
          <w:sz w:val="22"/>
          <w:szCs w:val="22"/>
          <w:lang w:eastAsia="en-NZ"/>
        </w:rPr>
      </w:pPr>
      <w:hyperlink w:anchor="_Toc524003496" w:history="1">
        <w:r w:rsidR="00462AB7" w:rsidRPr="00621508">
          <w:rPr>
            <w:rStyle w:val="Hyperlink"/>
            <w:noProof/>
          </w:rPr>
          <w:t>Rating by outcome domain</w:t>
        </w:r>
        <w:r w:rsidR="00462AB7">
          <w:rPr>
            <w:noProof/>
            <w:webHidden/>
          </w:rPr>
          <w:tab/>
        </w:r>
        <w:r w:rsidR="00462AB7">
          <w:rPr>
            <w:noProof/>
            <w:webHidden/>
          </w:rPr>
          <w:fldChar w:fldCharType="begin"/>
        </w:r>
        <w:r w:rsidR="00462AB7">
          <w:rPr>
            <w:noProof/>
            <w:webHidden/>
          </w:rPr>
          <w:instrText xml:space="preserve"> PAGEREF _Toc524003496 \h </w:instrText>
        </w:r>
        <w:r w:rsidR="00462AB7">
          <w:rPr>
            <w:noProof/>
            <w:webHidden/>
          </w:rPr>
        </w:r>
        <w:r w:rsidR="00462AB7">
          <w:rPr>
            <w:noProof/>
            <w:webHidden/>
          </w:rPr>
          <w:fldChar w:fldCharType="separate"/>
        </w:r>
        <w:r w:rsidR="00F24924">
          <w:rPr>
            <w:noProof/>
            <w:webHidden/>
          </w:rPr>
          <w:t>33</w:t>
        </w:r>
        <w:r w:rsidR="00462AB7">
          <w:rPr>
            <w:noProof/>
            <w:webHidden/>
          </w:rPr>
          <w:fldChar w:fldCharType="end"/>
        </w:r>
      </w:hyperlink>
    </w:p>
    <w:p w:rsidR="00462AB7" w:rsidRDefault="003929C9">
      <w:pPr>
        <w:pStyle w:val="TOC2"/>
        <w:tabs>
          <w:tab w:val="right" w:leader="dot" w:pos="9016"/>
        </w:tabs>
        <w:rPr>
          <w:rFonts w:asciiTheme="minorHAnsi" w:eastAsiaTheme="minorEastAsia" w:hAnsiTheme="minorHAnsi" w:cstheme="minorBidi"/>
          <w:noProof/>
          <w:kern w:val="0"/>
          <w:sz w:val="22"/>
          <w:szCs w:val="22"/>
          <w:lang w:eastAsia="en-NZ"/>
        </w:rPr>
      </w:pPr>
      <w:hyperlink w:anchor="_Toc524003497" w:history="1">
        <w:r w:rsidR="00462AB7" w:rsidRPr="00621508">
          <w:rPr>
            <w:rStyle w:val="Hyperlink"/>
            <w:noProof/>
          </w:rPr>
          <w:t>Translating impact to an effectiveness rating</w:t>
        </w:r>
        <w:r w:rsidR="00462AB7">
          <w:rPr>
            <w:noProof/>
            <w:webHidden/>
          </w:rPr>
          <w:tab/>
        </w:r>
        <w:r w:rsidR="00462AB7">
          <w:rPr>
            <w:noProof/>
            <w:webHidden/>
          </w:rPr>
          <w:fldChar w:fldCharType="begin"/>
        </w:r>
        <w:r w:rsidR="00462AB7">
          <w:rPr>
            <w:noProof/>
            <w:webHidden/>
          </w:rPr>
          <w:instrText xml:space="preserve"> PAGEREF _Toc524003497 \h </w:instrText>
        </w:r>
        <w:r w:rsidR="00462AB7">
          <w:rPr>
            <w:noProof/>
            <w:webHidden/>
          </w:rPr>
        </w:r>
        <w:r w:rsidR="00462AB7">
          <w:rPr>
            <w:noProof/>
            <w:webHidden/>
          </w:rPr>
          <w:fldChar w:fldCharType="separate"/>
        </w:r>
        <w:r w:rsidR="00F24924">
          <w:rPr>
            <w:noProof/>
            <w:webHidden/>
          </w:rPr>
          <w:t>34</w:t>
        </w:r>
        <w:r w:rsidR="00462AB7">
          <w:rPr>
            <w:noProof/>
            <w:webHidden/>
          </w:rPr>
          <w:fldChar w:fldCharType="end"/>
        </w:r>
      </w:hyperlink>
    </w:p>
    <w:p w:rsidR="00462AB7" w:rsidRDefault="003929C9">
      <w:pPr>
        <w:pStyle w:val="TOC2"/>
        <w:tabs>
          <w:tab w:val="right" w:leader="dot" w:pos="9016"/>
        </w:tabs>
        <w:rPr>
          <w:rFonts w:asciiTheme="minorHAnsi" w:eastAsiaTheme="minorEastAsia" w:hAnsiTheme="minorHAnsi" w:cstheme="minorBidi"/>
          <w:noProof/>
          <w:kern w:val="0"/>
          <w:sz w:val="22"/>
          <w:szCs w:val="22"/>
          <w:lang w:eastAsia="en-NZ"/>
        </w:rPr>
      </w:pPr>
      <w:hyperlink w:anchor="_Toc524003498" w:history="1">
        <w:r w:rsidR="00462AB7" w:rsidRPr="00621508">
          <w:rPr>
            <w:rStyle w:val="Hyperlink"/>
            <w:noProof/>
          </w:rPr>
          <w:t>Rating the overall effectiveness of an intervention</w:t>
        </w:r>
        <w:r w:rsidR="00462AB7">
          <w:rPr>
            <w:noProof/>
            <w:webHidden/>
          </w:rPr>
          <w:tab/>
        </w:r>
        <w:r w:rsidR="00462AB7">
          <w:rPr>
            <w:noProof/>
            <w:webHidden/>
          </w:rPr>
          <w:fldChar w:fldCharType="begin"/>
        </w:r>
        <w:r w:rsidR="00462AB7">
          <w:rPr>
            <w:noProof/>
            <w:webHidden/>
          </w:rPr>
          <w:instrText xml:space="preserve"> PAGEREF _Toc524003498 \h </w:instrText>
        </w:r>
        <w:r w:rsidR="00462AB7">
          <w:rPr>
            <w:noProof/>
            <w:webHidden/>
          </w:rPr>
        </w:r>
        <w:r w:rsidR="00462AB7">
          <w:rPr>
            <w:noProof/>
            <w:webHidden/>
          </w:rPr>
          <w:fldChar w:fldCharType="separate"/>
        </w:r>
        <w:r w:rsidR="00F24924">
          <w:rPr>
            <w:noProof/>
            <w:webHidden/>
          </w:rPr>
          <w:t>34</w:t>
        </w:r>
        <w:r w:rsidR="00462AB7">
          <w:rPr>
            <w:noProof/>
            <w:webHidden/>
          </w:rPr>
          <w:fldChar w:fldCharType="end"/>
        </w:r>
      </w:hyperlink>
    </w:p>
    <w:p w:rsidR="00462AB7" w:rsidRDefault="003929C9">
      <w:pPr>
        <w:pStyle w:val="TOC1"/>
        <w:rPr>
          <w:rFonts w:asciiTheme="minorHAnsi" w:eastAsiaTheme="minorEastAsia" w:hAnsiTheme="minorHAnsi" w:cstheme="minorBidi"/>
          <w:b w:val="0"/>
          <w:kern w:val="0"/>
          <w:sz w:val="22"/>
          <w:szCs w:val="22"/>
          <w:lang w:eastAsia="en-NZ"/>
        </w:rPr>
      </w:pPr>
      <w:hyperlink w:anchor="_Toc524003499" w:history="1">
        <w:r w:rsidR="00462AB7" w:rsidRPr="00621508">
          <w:rPr>
            <w:rStyle w:val="Hyperlink"/>
            <w:lang w:eastAsia="en-AU"/>
          </w:rPr>
          <w:t>Cost-benefit analysis</w:t>
        </w:r>
        <w:r w:rsidR="00462AB7">
          <w:rPr>
            <w:webHidden/>
          </w:rPr>
          <w:tab/>
        </w:r>
        <w:r w:rsidR="00462AB7">
          <w:rPr>
            <w:webHidden/>
          </w:rPr>
          <w:fldChar w:fldCharType="begin"/>
        </w:r>
        <w:r w:rsidR="00462AB7">
          <w:rPr>
            <w:webHidden/>
          </w:rPr>
          <w:instrText xml:space="preserve"> PAGEREF _Toc524003499 \h </w:instrText>
        </w:r>
        <w:r w:rsidR="00462AB7">
          <w:rPr>
            <w:webHidden/>
          </w:rPr>
        </w:r>
        <w:r w:rsidR="00462AB7">
          <w:rPr>
            <w:webHidden/>
          </w:rPr>
          <w:fldChar w:fldCharType="separate"/>
        </w:r>
        <w:r w:rsidR="00F24924">
          <w:rPr>
            <w:webHidden/>
          </w:rPr>
          <w:t>35</w:t>
        </w:r>
        <w:r w:rsidR="00462AB7">
          <w:rPr>
            <w:webHidden/>
          </w:rPr>
          <w:fldChar w:fldCharType="end"/>
        </w:r>
      </w:hyperlink>
    </w:p>
    <w:p w:rsidR="00462AB7" w:rsidRDefault="003929C9">
      <w:pPr>
        <w:pStyle w:val="TOC2"/>
        <w:tabs>
          <w:tab w:val="right" w:leader="dot" w:pos="9016"/>
        </w:tabs>
        <w:rPr>
          <w:rFonts w:asciiTheme="minorHAnsi" w:eastAsiaTheme="minorEastAsia" w:hAnsiTheme="minorHAnsi" w:cstheme="minorBidi"/>
          <w:noProof/>
          <w:kern w:val="0"/>
          <w:sz w:val="22"/>
          <w:szCs w:val="22"/>
          <w:lang w:eastAsia="en-NZ"/>
        </w:rPr>
      </w:pPr>
      <w:hyperlink w:anchor="_Toc524003500" w:history="1">
        <w:r w:rsidR="00462AB7" w:rsidRPr="00621508">
          <w:rPr>
            <w:rStyle w:val="Hyperlink"/>
            <w:noProof/>
            <w:lang w:eastAsia="en-AU"/>
          </w:rPr>
          <w:t>What does Welfare Return on Investment consist of?</w:t>
        </w:r>
        <w:r w:rsidR="00462AB7">
          <w:rPr>
            <w:noProof/>
            <w:webHidden/>
          </w:rPr>
          <w:tab/>
        </w:r>
        <w:r w:rsidR="00462AB7">
          <w:rPr>
            <w:noProof/>
            <w:webHidden/>
          </w:rPr>
          <w:fldChar w:fldCharType="begin"/>
        </w:r>
        <w:r w:rsidR="00462AB7">
          <w:rPr>
            <w:noProof/>
            <w:webHidden/>
          </w:rPr>
          <w:instrText xml:space="preserve"> PAGEREF _Toc524003500 \h </w:instrText>
        </w:r>
        <w:r w:rsidR="00462AB7">
          <w:rPr>
            <w:noProof/>
            <w:webHidden/>
          </w:rPr>
        </w:r>
        <w:r w:rsidR="00462AB7">
          <w:rPr>
            <w:noProof/>
            <w:webHidden/>
          </w:rPr>
          <w:fldChar w:fldCharType="separate"/>
        </w:r>
        <w:r w:rsidR="00F24924">
          <w:rPr>
            <w:noProof/>
            <w:webHidden/>
          </w:rPr>
          <w:t>35</w:t>
        </w:r>
        <w:r w:rsidR="00462AB7">
          <w:rPr>
            <w:noProof/>
            <w:webHidden/>
          </w:rPr>
          <w:fldChar w:fldCharType="end"/>
        </w:r>
      </w:hyperlink>
    </w:p>
    <w:p w:rsidR="00462AB7" w:rsidRDefault="003929C9">
      <w:pPr>
        <w:pStyle w:val="TOC2"/>
        <w:tabs>
          <w:tab w:val="right" w:leader="dot" w:pos="9016"/>
        </w:tabs>
        <w:rPr>
          <w:rFonts w:asciiTheme="minorHAnsi" w:eastAsiaTheme="minorEastAsia" w:hAnsiTheme="minorHAnsi" w:cstheme="minorBidi"/>
          <w:noProof/>
          <w:kern w:val="0"/>
          <w:sz w:val="22"/>
          <w:szCs w:val="22"/>
          <w:lang w:eastAsia="en-NZ"/>
        </w:rPr>
      </w:pPr>
      <w:hyperlink w:anchor="_Toc524003501" w:history="1">
        <w:r w:rsidR="00462AB7" w:rsidRPr="00621508">
          <w:rPr>
            <w:rStyle w:val="Hyperlink"/>
            <w:noProof/>
            <w:lang w:eastAsia="en-AU"/>
          </w:rPr>
          <w:t>Welfare ROI for case management services</w:t>
        </w:r>
        <w:r w:rsidR="00462AB7">
          <w:rPr>
            <w:noProof/>
            <w:webHidden/>
          </w:rPr>
          <w:tab/>
        </w:r>
        <w:r w:rsidR="00462AB7">
          <w:rPr>
            <w:noProof/>
            <w:webHidden/>
          </w:rPr>
          <w:fldChar w:fldCharType="begin"/>
        </w:r>
        <w:r w:rsidR="00462AB7">
          <w:rPr>
            <w:noProof/>
            <w:webHidden/>
          </w:rPr>
          <w:instrText xml:space="preserve"> PAGEREF _Toc524003501 \h </w:instrText>
        </w:r>
        <w:r w:rsidR="00462AB7">
          <w:rPr>
            <w:noProof/>
            <w:webHidden/>
          </w:rPr>
        </w:r>
        <w:r w:rsidR="00462AB7">
          <w:rPr>
            <w:noProof/>
            <w:webHidden/>
          </w:rPr>
          <w:fldChar w:fldCharType="separate"/>
        </w:r>
        <w:r w:rsidR="00F24924">
          <w:rPr>
            <w:noProof/>
            <w:webHidden/>
          </w:rPr>
          <w:t>37</w:t>
        </w:r>
        <w:r w:rsidR="00462AB7">
          <w:rPr>
            <w:noProof/>
            <w:webHidden/>
          </w:rPr>
          <w:fldChar w:fldCharType="end"/>
        </w:r>
      </w:hyperlink>
    </w:p>
    <w:p w:rsidR="00462AB7" w:rsidRDefault="003929C9">
      <w:pPr>
        <w:pStyle w:val="TOC1"/>
        <w:rPr>
          <w:rFonts w:asciiTheme="minorHAnsi" w:eastAsiaTheme="minorEastAsia" w:hAnsiTheme="minorHAnsi" w:cstheme="minorBidi"/>
          <w:b w:val="0"/>
          <w:kern w:val="0"/>
          <w:sz w:val="22"/>
          <w:szCs w:val="22"/>
          <w:lang w:eastAsia="en-NZ"/>
        </w:rPr>
      </w:pPr>
      <w:hyperlink w:anchor="_Toc524003502" w:history="1">
        <w:r w:rsidR="00462AB7" w:rsidRPr="00621508">
          <w:rPr>
            <w:rStyle w:val="Hyperlink"/>
            <w:lang w:eastAsia="en-AU"/>
          </w:rPr>
          <w:t>References</w:t>
        </w:r>
        <w:r w:rsidR="00462AB7">
          <w:rPr>
            <w:webHidden/>
          </w:rPr>
          <w:tab/>
        </w:r>
        <w:r w:rsidR="00462AB7">
          <w:rPr>
            <w:webHidden/>
          </w:rPr>
          <w:fldChar w:fldCharType="begin"/>
        </w:r>
        <w:r w:rsidR="00462AB7">
          <w:rPr>
            <w:webHidden/>
          </w:rPr>
          <w:instrText xml:space="preserve"> PAGEREF _Toc524003502 \h </w:instrText>
        </w:r>
        <w:r w:rsidR="00462AB7">
          <w:rPr>
            <w:webHidden/>
          </w:rPr>
        </w:r>
        <w:r w:rsidR="00462AB7">
          <w:rPr>
            <w:webHidden/>
          </w:rPr>
          <w:fldChar w:fldCharType="separate"/>
        </w:r>
        <w:r w:rsidR="00F24924">
          <w:rPr>
            <w:webHidden/>
          </w:rPr>
          <w:t>38</w:t>
        </w:r>
        <w:r w:rsidR="00462AB7">
          <w:rPr>
            <w:webHidden/>
          </w:rPr>
          <w:fldChar w:fldCharType="end"/>
        </w:r>
      </w:hyperlink>
    </w:p>
    <w:p w:rsidR="00343AEC" w:rsidRPr="00343AEC" w:rsidRDefault="0038350A" w:rsidP="0038350A">
      <w:pPr>
        <w:pStyle w:val="TOC1"/>
        <w:rPr>
          <w:b w:val="0"/>
        </w:rPr>
      </w:pPr>
      <w:r>
        <w:rPr>
          <w:b w:val="0"/>
        </w:rPr>
        <w:fldChar w:fldCharType="end"/>
      </w:r>
    </w:p>
    <w:p w:rsidR="000D0B39" w:rsidRDefault="000D0B39">
      <w:pPr>
        <w:spacing w:after="0" w:line="240" w:lineRule="auto"/>
        <w:rPr>
          <w:rFonts w:ascii="Georgia" w:hAnsi="Georgia"/>
          <w:b/>
          <w:sz w:val="32"/>
          <w:szCs w:val="32"/>
          <w:lang w:val="en-US"/>
        </w:rPr>
      </w:pPr>
      <w:r>
        <w:rPr>
          <w:rFonts w:ascii="Georgia" w:hAnsi="Georgia"/>
          <w:b/>
          <w:sz w:val="32"/>
          <w:szCs w:val="32"/>
          <w:lang w:val="en-US"/>
        </w:rPr>
        <w:br w:type="page"/>
      </w:r>
    </w:p>
    <w:p w:rsidR="000874C9" w:rsidRPr="000874C9" w:rsidRDefault="000874C9" w:rsidP="000874C9">
      <w:pPr>
        <w:rPr>
          <w:rFonts w:ascii="Georgia" w:hAnsi="Georgia"/>
          <w:b/>
          <w:sz w:val="32"/>
          <w:szCs w:val="32"/>
          <w:lang w:val="en-US"/>
        </w:rPr>
      </w:pPr>
      <w:r w:rsidRPr="000874C9">
        <w:rPr>
          <w:rFonts w:ascii="Georgia" w:hAnsi="Georgia"/>
          <w:b/>
          <w:sz w:val="32"/>
          <w:szCs w:val="32"/>
          <w:lang w:val="en-US"/>
        </w:rPr>
        <w:lastRenderedPageBreak/>
        <w:t>Table of figures</w:t>
      </w:r>
    </w:p>
    <w:p w:rsidR="00462AB7" w:rsidRDefault="000874C9">
      <w:pPr>
        <w:pStyle w:val="TableofFigures"/>
        <w:tabs>
          <w:tab w:val="right" w:leader="dot" w:pos="9016"/>
        </w:tabs>
        <w:rPr>
          <w:rFonts w:asciiTheme="minorHAnsi" w:eastAsiaTheme="minorEastAsia" w:hAnsiTheme="minorHAnsi" w:cstheme="minorBidi"/>
          <w:noProof/>
          <w:kern w:val="0"/>
          <w:sz w:val="22"/>
          <w:szCs w:val="22"/>
          <w:lang w:eastAsia="en-NZ"/>
        </w:rPr>
      </w:pPr>
      <w:r w:rsidRPr="000874C9">
        <w:rPr>
          <w:sz w:val="22"/>
        </w:rPr>
        <w:fldChar w:fldCharType="begin"/>
      </w:r>
      <w:r w:rsidRPr="000874C9">
        <w:rPr>
          <w:sz w:val="22"/>
        </w:rPr>
        <w:instrText xml:space="preserve"> TOC \h \z \c "Figure" </w:instrText>
      </w:r>
      <w:r w:rsidRPr="000874C9">
        <w:rPr>
          <w:sz w:val="22"/>
        </w:rPr>
        <w:fldChar w:fldCharType="separate"/>
      </w:r>
      <w:hyperlink w:anchor="_Toc524003433" w:history="1">
        <w:r w:rsidR="00462AB7" w:rsidRPr="00643D42">
          <w:rPr>
            <w:rStyle w:val="Hyperlink"/>
            <w:noProof/>
          </w:rPr>
          <w:t>Figure 1: Tracking EA intervention outcomes using administrative data</w:t>
        </w:r>
        <w:r w:rsidR="00462AB7">
          <w:rPr>
            <w:noProof/>
            <w:webHidden/>
          </w:rPr>
          <w:tab/>
        </w:r>
        <w:r w:rsidR="00462AB7">
          <w:rPr>
            <w:noProof/>
            <w:webHidden/>
          </w:rPr>
          <w:fldChar w:fldCharType="begin"/>
        </w:r>
        <w:r w:rsidR="00462AB7">
          <w:rPr>
            <w:noProof/>
            <w:webHidden/>
          </w:rPr>
          <w:instrText xml:space="preserve"> PAGEREF _Toc524003433 \h </w:instrText>
        </w:r>
        <w:r w:rsidR="00462AB7">
          <w:rPr>
            <w:noProof/>
            <w:webHidden/>
          </w:rPr>
        </w:r>
        <w:r w:rsidR="00462AB7">
          <w:rPr>
            <w:noProof/>
            <w:webHidden/>
          </w:rPr>
          <w:fldChar w:fldCharType="separate"/>
        </w:r>
        <w:r w:rsidR="00F24924">
          <w:rPr>
            <w:noProof/>
            <w:webHidden/>
          </w:rPr>
          <w:t>22</w:t>
        </w:r>
        <w:r w:rsidR="00462AB7">
          <w:rPr>
            <w:noProof/>
            <w:webHidden/>
          </w:rPr>
          <w:fldChar w:fldCharType="end"/>
        </w:r>
      </w:hyperlink>
    </w:p>
    <w:p w:rsidR="00462AB7" w:rsidRDefault="003929C9">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524003434" w:history="1">
        <w:r w:rsidR="00462AB7" w:rsidRPr="00643D42">
          <w:rPr>
            <w:rStyle w:val="Hyperlink"/>
            <w:noProof/>
          </w:rPr>
          <w:t>Figure 2: Interval outcomes for an example intervention</w:t>
        </w:r>
        <w:r w:rsidR="00462AB7">
          <w:rPr>
            <w:noProof/>
            <w:webHidden/>
          </w:rPr>
          <w:tab/>
        </w:r>
        <w:r w:rsidR="00462AB7">
          <w:rPr>
            <w:noProof/>
            <w:webHidden/>
          </w:rPr>
          <w:fldChar w:fldCharType="begin"/>
        </w:r>
        <w:r w:rsidR="00462AB7">
          <w:rPr>
            <w:noProof/>
            <w:webHidden/>
          </w:rPr>
          <w:instrText xml:space="preserve"> PAGEREF _Toc524003434 \h </w:instrText>
        </w:r>
        <w:r w:rsidR="00462AB7">
          <w:rPr>
            <w:noProof/>
            <w:webHidden/>
          </w:rPr>
        </w:r>
        <w:r w:rsidR="00462AB7">
          <w:rPr>
            <w:noProof/>
            <w:webHidden/>
          </w:rPr>
          <w:fldChar w:fldCharType="separate"/>
        </w:r>
        <w:r w:rsidR="00F24924">
          <w:rPr>
            <w:noProof/>
            <w:webHidden/>
          </w:rPr>
          <w:t>23</w:t>
        </w:r>
        <w:r w:rsidR="00462AB7">
          <w:rPr>
            <w:noProof/>
            <w:webHidden/>
          </w:rPr>
          <w:fldChar w:fldCharType="end"/>
        </w:r>
      </w:hyperlink>
    </w:p>
    <w:p w:rsidR="00462AB7" w:rsidRDefault="003929C9">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524003435" w:history="1">
        <w:r w:rsidR="00462AB7" w:rsidRPr="00643D42">
          <w:rPr>
            <w:rStyle w:val="Hyperlink"/>
            <w:noProof/>
          </w:rPr>
          <w:t>Figure 3: Cumulative outcomes for an example intervention</w:t>
        </w:r>
        <w:r w:rsidR="00462AB7">
          <w:rPr>
            <w:noProof/>
            <w:webHidden/>
          </w:rPr>
          <w:tab/>
        </w:r>
        <w:r w:rsidR="00462AB7">
          <w:rPr>
            <w:noProof/>
            <w:webHidden/>
          </w:rPr>
          <w:fldChar w:fldCharType="begin"/>
        </w:r>
        <w:r w:rsidR="00462AB7">
          <w:rPr>
            <w:noProof/>
            <w:webHidden/>
          </w:rPr>
          <w:instrText xml:space="preserve"> PAGEREF _Toc524003435 \h </w:instrText>
        </w:r>
        <w:r w:rsidR="00462AB7">
          <w:rPr>
            <w:noProof/>
            <w:webHidden/>
          </w:rPr>
        </w:r>
        <w:r w:rsidR="00462AB7">
          <w:rPr>
            <w:noProof/>
            <w:webHidden/>
          </w:rPr>
          <w:fldChar w:fldCharType="separate"/>
        </w:r>
        <w:r w:rsidR="00F24924">
          <w:rPr>
            <w:noProof/>
            <w:webHidden/>
          </w:rPr>
          <w:t>24</w:t>
        </w:r>
        <w:r w:rsidR="00462AB7">
          <w:rPr>
            <w:noProof/>
            <w:webHidden/>
          </w:rPr>
          <w:fldChar w:fldCharType="end"/>
        </w:r>
      </w:hyperlink>
    </w:p>
    <w:p w:rsidR="00462AB7" w:rsidRDefault="003929C9">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524003436" w:history="1">
        <w:r w:rsidR="00462AB7" w:rsidRPr="00643D42">
          <w:rPr>
            <w:rStyle w:val="Hyperlink"/>
            <w:noProof/>
          </w:rPr>
          <w:t>Figure 4</w:t>
        </w:r>
        <w:r w:rsidR="00462AB7" w:rsidRPr="00643D42">
          <w:rPr>
            <w:rStyle w:val="Hyperlink"/>
            <w:noProof/>
            <w:lang w:eastAsia="en-NZ"/>
          </w:rPr>
          <w:t>: A stylised example of the relationship between interval and cumulative impact on time off benefit</w:t>
        </w:r>
        <w:r w:rsidR="00462AB7">
          <w:rPr>
            <w:noProof/>
            <w:webHidden/>
          </w:rPr>
          <w:tab/>
        </w:r>
        <w:r w:rsidR="00462AB7">
          <w:rPr>
            <w:noProof/>
            <w:webHidden/>
          </w:rPr>
          <w:fldChar w:fldCharType="begin"/>
        </w:r>
        <w:r w:rsidR="00462AB7">
          <w:rPr>
            <w:noProof/>
            <w:webHidden/>
          </w:rPr>
          <w:instrText xml:space="preserve"> PAGEREF _Toc524003436 \h </w:instrText>
        </w:r>
        <w:r w:rsidR="00462AB7">
          <w:rPr>
            <w:noProof/>
            <w:webHidden/>
          </w:rPr>
        </w:r>
        <w:r w:rsidR="00462AB7">
          <w:rPr>
            <w:noProof/>
            <w:webHidden/>
          </w:rPr>
          <w:fldChar w:fldCharType="separate"/>
        </w:r>
        <w:r w:rsidR="00F24924">
          <w:rPr>
            <w:noProof/>
            <w:webHidden/>
          </w:rPr>
          <w:t>30</w:t>
        </w:r>
        <w:r w:rsidR="00462AB7">
          <w:rPr>
            <w:noProof/>
            <w:webHidden/>
          </w:rPr>
          <w:fldChar w:fldCharType="end"/>
        </w:r>
      </w:hyperlink>
    </w:p>
    <w:p w:rsidR="00462AB7" w:rsidRDefault="003929C9">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524003437" w:history="1">
        <w:r w:rsidR="00462AB7" w:rsidRPr="00643D42">
          <w:rPr>
            <w:rStyle w:val="Hyperlink"/>
            <w:noProof/>
          </w:rPr>
          <w:t>Figure 5</w:t>
        </w:r>
        <w:r w:rsidR="00462AB7" w:rsidRPr="00643D42">
          <w:rPr>
            <w:rStyle w:val="Hyperlink"/>
            <w:noProof/>
            <w:lang w:eastAsia="en-NZ"/>
          </w:rPr>
          <w:t>: A stylised example of projecting the interval impact</w:t>
        </w:r>
        <w:r w:rsidR="00462AB7">
          <w:rPr>
            <w:noProof/>
            <w:webHidden/>
          </w:rPr>
          <w:tab/>
        </w:r>
        <w:r w:rsidR="00462AB7">
          <w:rPr>
            <w:noProof/>
            <w:webHidden/>
          </w:rPr>
          <w:fldChar w:fldCharType="begin"/>
        </w:r>
        <w:r w:rsidR="00462AB7">
          <w:rPr>
            <w:noProof/>
            <w:webHidden/>
          </w:rPr>
          <w:instrText xml:space="preserve"> PAGEREF _Toc524003437 \h </w:instrText>
        </w:r>
        <w:r w:rsidR="00462AB7">
          <w:rPr>
            <w:noProof/>
            <w:webHidden/>
          </w:rPr>
        </w:r>
        <w:r w:rsidR="00462AB7">
          <w:rPr>
            <w:noProof/>
            <w:webHidden/>
          </w:rPr>
          <w:fldChar w:fldCharType="separate"/>
        </w:r>
        <w:r w:rsidR="00F24924">
          <w:rPr>
            <w:noProof/>
            <w:webHidden/>
          </w:rPr>
          <w:t>31</w:t>
        </w:r>
        <w:r w:rsidR="00462AB7">
          <w:rPr>
            <w:noProof/>
            <w:webHidden/>
          </w:rPr>
          <w:fldChar w:fldCharType="end"/>
        </w:r>
      </w:hyperlink>
    </w:p>
    <w:p w:rsidR="00462AB7" w:rsidRDefault="003929C9">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524003438" w:history="1">
        <w:r w:rsidR="00462AB7" w:rsidRPr="00643D42">
          <w:rPr>
            <w:rStyle w:val="Hyperlink"/>
            <w:noProof/>
          </w:rPr>
          <w:t>Figure 6: Forced taper in the projected impact of an intervention</w:t>
        </w:r>
        <w:r w:rsidR="00462AB7">
          <w:rPr>
            <w:noProof/>
            <w:webHidden/>
          </w:rPr>
          <w:tab/>
        </w:r>
        <w:r w:rsidR="00462AB7">
          <w:rPr>
            <w:noProof/>
            <w:webHidden/>
          </w:rPr>
          <w:fldChar w:fldCharType="begin"/>
        </w:r>
        <w:r w:rsidR="00462AB7">
          <w:rPr>
            <w:noProof/>
            <w:webHidden/>
          </w:rPr>
          <w:instrText xml:space="preserve"> PAGEREF _Toc524003438 \h </w:instrText>
        </w:r>
        <w:r w:rsidR="00462AB7">
          <w:rPr>
            <w:noProof/>
            <w:webHidden/>
          </w:rPr>
        </w:r>
        <w:r w:rsidR="00462AB7">
          <w:rPr>
            <w:noProof/>
            <w:webHidden/>
          </w:rPr>
          <w:fldChar w:fldCharType="separate"/>
        </w:r>
        <w:r w:rsidR="00F24924">
          <w:rPr>
            <w:noProof/>
            <w:webHidden/>
          </w:rPr>
          <w:t>32</w:t>
        </w:r>
        <w:r w:rsidR="00462AB7">
          <w:rPr>
            <w:noProof/>
            <w:webHidden/>
          </w:rPr>
          <w:fldChar w:fldCharType="end"/>
        </w:r>
      </w:hyperlink>
    </w:p>
    <w:p w:rsidR="000874C9" w:rsidRPr="000874C9" w:rsidRDefault="000874C9" w:rsidP="000874C9">
      <w:pPr>
        <w:spacing w:after="0" w:line="240" w:lineRule="auto"/>
        <w:rPr>
          <w:sz w:val="22"/>
        </w:rPr>
      </w:pPr>
      <w:r w:rsidRPr="000874C9">
        <w:rPr>
          <w:sz w:val="22"/>
        </w:rPr>
        <w:fldChar w:fldCharType="end"/>
      </w:r>
    </w:p>
    <w:p w:rsidR="000874C9" w:rsidRPr="000874C9" w:rsidRDefault="000874C9" w:rsidP="000874C9">
      <w:pPr>
        <w:rPr>
          <w:rFonts w:ascii="Georgia" w:hAnsi="Georgia"/>
          <w:b/>
          <w:sz w:val="32"/>
          <w:szCs w:val="32"/>
          <w:lang w:val="en-US"/>
        </w:rPr>
      </w:pPr>
      <w:r w:rsidRPr="000874C9">
        <w:rPr>
          <w:rFonts w:ascii="Georgia" w:hAnsi="Georgia"/>
          <w:b/>
          <w:sz w:val="32"/>
          <w:szCs w:val="32"/>
          <w:lang w:val="en-US"/>
        </w:rPr>
        <w:t>Table of tables</w:t>
      </w:r>
    </w:p>
    <w:p w:rsidR="00134FBE" w:rsidRDefault="000874C9">
      <w:pPr>
        <w:pStyle w:val="TableofFigures"/>
        <w:tabs>
          <w:tab w:val="right" w:leader="dot" w:pos="9016"/>
        </w:tabs>
        <w:rPr>
          <w:rFonts w:asciiTheme="minorHAnsi" w:eastAsiaTheme="minorEastAsia" w:hAnsiTheme="minorHAnsi" w:cstheme="minorBidi"/>
          <w:noProof/>
          <w:kern w:val="0"/>
          <w:sz w:val="22"/>
          <w:szCs w:val="22"/>
          <w:lang w:eastAsia="en-NZ"/>
        </w:rPr>
      </w:pPr>
      <w:r w:rsidRPr="000874C9">
        <w:rPr>
          <w:sz w:val="22"/>
        </w:rPr>
        <w:fldChar w:fldCharType="begin"/>
      </w:r>
      <w:r w:rsidRPr="000874C9">
        <w:rPr>
          <w:sz w:val="22"/>
        </w:rPr>
        <w:instrText xml:space="preserve"> TOC \h \z \c "Table" </w:instrText>
      </w:r>
      <w:r w:rsidRPr="000874C9">
        <w:rPr>
          <w:sz w:val="22"/>
        </w:rPr>
        <w:fldChar w:fldCharType="separate"/>
      </w:r>
      <w:hyperlink w:anchor="_Toc945097" w:history="1">
        <w:r w:rsidR="00134FBE" w:rsidRPr="00EF5C89">
          <w:rPr>
            <w:rStyle w:val="Hyperlink"/>
            <w:noProof/>
          </w:rPr>
          <w:t>Table 1: Classification of employment assistance interventions</w:t>
        </w:r>
        <w:r w:rsidR="00134FBE">
          <w:rPr>
            <w:noProof/>
            <w:webHidden/>
          </w:rPr>
          <w:tab/>
        </w:r>
        <w:r w:rsidR="00134FBE">
          <w:rPr>
            <w:noProof/>
            <w:webHidden/>
          </w:rPr>
          <w:fldChar w:fldCharType="begin"/>
        </w:r>
        <w:r w:rsidR="00134FBE">
          <w:rPr>
            <w:noProof/>
            <w:webHidden/>
          </w:rPr>
          <w:instrText xml:space="preserve"> PAGEREF _Toc945097 \h </w:instrText>
        </w:r>
        <w:r w:rsidR="00134FBE">
          <w:rPr>
            <w:noProof/>
            <w:webHidden/>
          </w:rPr>
        </w:r>
        <w:r w:rsidR="00134FBE">
          <w:rPr>
            <w:noProof/>
            <w:webHidden/>
          </w:rPr>
          <w:fldChar w:fldCharType="separate"/>
        </w:r>
        <w:r w:rsidR="00134FBE">
          <w:rPr>
            <w:noProof/>
            <w:webHidden/>
          </w:rPr>
          <w:t>7</w:t>
        </w:r>
        <w:r w:rsidR="00134FBE">
          <w:rPr>
            <w:noProof/>
            <w:webHidden/>
          </w:rPr>
          <w:fldChar w:fldCharType="end"/>
        </w:r>
      </w:hyperlink>
    </w:p>
    <w:p w:rsidR="00134FBE" w:rsidRDefault="003929C9">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945098" w:history="1">
        <w:r w:rsidR="00134FBE" w:rsidRPr="00EF5C89">
          <w:rPr>
            <w:rStyle w:val="Hyperlink"/>
            <w:noProof/>
          </w:rPr>
          <w:t>Table 2: Case management services</w:t>
        </w:r>
        <w:r w:rsidR="00134FBE">
          <w:rPr>
            <w:noProof/>
            <w:webHidden/>
          </w:rPr>
          <w:tab/>
        </w:r>
        <w:r w:rsidR="00134FBE">
          <w:rPr>
            <w:noProof/>
            <w:webHidden/>
          </w:rPr>
          <w:fldChar w:fldCharType="begin"/>
        </w:r>
        <w:r w:rsidR="00134FBE">
          <w:rPr>
            <w:noProof/>
            <w:webHidden/>
          </w:rPr>
          <w:instrText xml:space="preserve"> PAGEREF _Toc945098 \h </w:instrText>
        </w:r>
        <w:r w:rsidR="00134FBE">
          <w:rPr>
            <w:noProof/>
            <w:webHidden/>
          </w:rPr>
        </w:r>
        <w:r w:rsidR="00134FBE">
          <w:rPr>
            <w:noProof/>
            <w:webHidden/>
          </w:rPr>
          <w:fldChar w:fldCharType="separate"/>
        </w:r>
        <w:r w:rsidR="00134FBE">
          <w:rPr>
            <w:noProof/>
            <w:webHidden/>
          </w:rPr>
          <w:t>11</w:t>
        </w:r>
        <w:r w:rsidR="00134FBE">
          <w:rPr>
            <w:noProof/>
            <w:webHidden/>
          </w:rPr>
          <w:fldChar w:fldCharType="end"/>
        </w:r>
      </w:hyperlink>
    </w:p>
    <w:p w:rsidR="00134FBE" w:rsidRDefault="003929C9">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945099" w:history="1">
        <w:r w:rsidR="00134FBE" w:rsidRPr="00EF5C89">
          <w:rPr>
            <w:rStyle w:val="Hyperlink"/>
            <w:noProof/>
          </w:rPr>
          <w:t>Table 3: Cost components and their metrics</w:t>
        </w:r>
        <w:r w:rsidR="00134FBE">
          <w:rPr>
            <w:noProof/>
            <w:webHidden/>
          </w:rPr>
          <w:tab/>
        </w:r>
        <w:r w:rsidR="00134FBE">
          <w:rPr>
            <w:noProof/>
            <w:webHidden/>
          </w:rPr>
          <w:fldChar w:fldCharType="begin"/>
        </w:r>
        <w:r w:rsidR="00134FBE">
          <w:rPr>
            <w:noProof/>
            <w:webHidden/>
          </w:rPr>
          <w:instrText xml:space="preserve"> PAGEREF _Toc945099 \h </w:instrText>
        </w:r>
        <w:r w:rsidR="00134FBE">
          <w:rPr>
            <w:noProof/>
            <w:webHidden/>
          </w:rPr>
        </w:r>
        <w:r w:rsidR="00134FBE">
          <w:rPr>
            <w:noProof/>
            <w:webHidden/>
          </w:rPr>
          <w:fldChar w:fldCharType="separate"/>
        </w:r>
        <w:r w:rsidR="00134FBE">
          <w:rPr>
            <w:noProof/>
            <w:webHidden/>
          </w:rPr>
          <w:t>13</w:t>
        </w:r>
        <w:r w:rsidR="00134FBE">
          <w:rPr>
            <w:noProof/>
            <w:webHidden/>
          </w:rPr>
          <w:fldChar w:fldCharType="end"/>
        </w:r>
      </w:hyperlink>
    </w:p>
    <w:p w:rsidR="00134FBE" w:rsidRDefault="003929C9">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945100" w:history="1">
        <w:r w:rsidR="00134FBE" w:rsidRPr="00EF5C89">
          <w:rPr>
            <w:rStyle w:val="Hyperlink"/>
            <w:noProof/>
          </w:rPr>
          <w:t>Table 4: A stylised example of a staff member's transactions in the morning</w:t>
        </w:r>
        <w:r w:rsidR="00134FBE">
          <w:rPr>
            <w:noProof/>
            <w:webHidden/>
          </w:rPr>
          <w:tab/>
        </w:r>
        <w:r w:rsidR="00134FBE">
          <w:rPr>
            <w:noProof/>
            <w:webHidden/>
          </w:rPr>
          <w:fldChar w:fldCharType="begin"/>
        </w:r>
        <w:r w:rsidR="00134FBE">
          <w:rPr>
            <w:noProof/>
            <w:webHidden/>
          </w:rPr>
          <w:instrText xml:space="preserve"> PAGEREF _Toc945100 \h </w:instrText>
        </w:r>
        <w:r w:rsidR="00134FBE">
          <w:rPr>
            <w:noProof/>
            <w:webHidden/>
          </w:rPr>
        </w:r>
        <w:r w:rsidR="00134FBE">
          <w:rPr>
            <w:noProof/>
            <w:webHidden/>
          </w:rPr>
          <w:fldChar w:fldCharType="separate"/>
        </w:r>
        <w:r w:rsidR="00134FBE">
          <w:rPr>
            <w:noProof/>
            <w:webHidden/>
          </w:rPr>
          <w:t>15</w:t>
        </w:r>
        <w:r w:rsidR="00134FBE">
          <w:rPr>
            <w:noProof/>
            <w:webHidden/>
          </w:rPr>
          <w:fldChar w:fldCharType="end"/>
        </w:r>
      </w:hyperlink>
    </w:p>
    <w:p w:rsidR="00134FBE" w:rsidRDefault="003929C9">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945101" w:history="1">
        <w:r w:rsidR="00134FBE" w:rsidRPr="00EF5C89">
          <w:rPr>
            <w:rStyle w:val="Hyperlink"/>
            <w:noProof/>
          </w:rPr>
          <w:t>Table 5: Outcome domains that employment interventions can be expected to have an impact on</w:t>
        </w:r>
        <w:r w:rsidR="00134FBE">
          <w:rPr>
            <w:noProof/>
            <w:webHidden/>
          </w:rPr>
          <w:tab/>
        </w:r>
        <w:r w:rsidR="00134FBE">
          <w:rPr>
            <w:noProof/>
            <w:webHidden/>
          </w:rPr>
          <w:fldChar w:fldCharType="begin"/>
        </w:r>
        <w:r w:rsidR="00134FBE">
          <w:rPr>
            <w:noProof/>
            <w:webHidden/>
          </w:rPr>
          <w:instrText xml:space="preserve"> PAGEREF _Toc945101 \h </w:instrText>
        </w:r>
        <w:r w:rsidR="00134FBE">
          <w:rPr>
            <w:noProof/>
            <w:webHidden/>
          </w:rPr>
        </w:r>
        <w:r w:rsidR="00134FBE">
          <w:rPr>
            <w:noProof/>
            <w:webHidden/>
          </w:rPr>
          <w:fldChar w:fldCharType="separate"/>
        </w:r>
        <w:r w:rsidR="00134FBE">
          <w:rPr>
            <w:noProof/>
            <w:webHidden/>
          </w:rPr>
          <w:t>16</w:t>
        </w:r>
        <w:r w:rsidR="00134FBE">
          <w:rPr>
            <w:noProof/>
            <w:webHidden/>
          </w:rPr>
          <w:fldChar w:fldCharType="end"/>
        </w:r>
      </w:hyperlink>
    </w:p>
    <w:p w:rsidR="00134FBE" w:rsidRDefault="003929C9">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945102" w:history="1">
        <w:r w:rsidR="00134FBE" w:rsidRPr="00EF5C89">
          <w:rPr>
            <w:rStyle w:val="Hyperlink"/>
            <w:noProof/>
          </w:rPr>
          <w:t>Table 6: Rating of outcome domain by the impact on outcomes</w:t>
        </w:r>
        <w:r w:rsidR="00134FBE">
          <w:rPr>
            <w:noProof/>
            <w:webHidden/>
          </w:rPr>
          <w:tab/>
        </w:r>
        <w:r w:rsidR="00134FBE">
          <w:rPr>
            <w:noProof/>
            <w:webHidden/>
          </w:rPr>
          <w:fldChar w:fldCharType="begin"/>
        </w:r>
        <w:r w:rsidR="00134FBE">
          <w:rPr>
            <w:noProof/>
            <w:webHidden/>
          </w:rPr>
          <w:instrText xml:space="preserve"> PAGEREF _Toc945102 \h </w:instrText>
        </w:r>
        <w:r w:rsidR="00134FBE">
          <w:rPr>
            <w:noProof/>
            <w:webHidden/>
          </w:rPr>
        </w:r>
        <w:r w:rsidR="00134FBE">
          <w:rPr>
            <w:noProof/>
            <w:webHidden/>
          </w:rPr>
          <w:fldChar w:fldCharType="separate"/>
        </w:r>
        <w:r w:rsidR="00134FBE">
          <w:rPr>
            <w:noProof/>
            <w:webHidden/>
          </w:rPr>
          <w:t>34</w:t>
        </w:r>
        <w:r w:rsidR="00134FBE">
          <w:rPr>
            <w:noProof/>
            <w:webHidden/>
          </w:rPr>
          <w:fldChar w:fldCharType="end"/>
        </w:r>
      </w:hyperlink>
    </w:p>
    <w:p w:rsidR="0038350A" w:rsidRDefault="000874C9" w:rsidP="00BF421A">
      <w:pPr>
        <w:spacing w:after="0" w:line="240" w:lineRule="auto"/>
        <w:rPr>
          <w:sz w:val="22"/>
        </w:rPr>
        <w:sectPr w:rsidR="0038350A" w:rsidSect="00F0678F">
          <w:footerReference w:type="even" r:id="rId11"/>
          <w:pgSz w:w="11906" w:h="16838"/>
          <w:pgMar w:top="1440" w:right="1440" w:bottom="1440" w:left="1440" w:header="708" w:footer="708" w:gutter="0"/>
          <w:cols w:space="708"/>
          <w:docGrid w:linePitch="360"/>
        </w:sectPr>
      </w:pPr>
      <w:r w:rsidRPr="000874C9">
        <w:rPr>
          <w:sz w:val="22"/>
        </w:rPr>
        <w:fldChar w:fldCharType="end"/>
      </w:r>
      <w:bookmarkEnd w:id="10"/>
      <w:bookmarkEnd w:id="11"/>
    </w:p>
    <w:p w:rsidR="00CE3659" w:rsidRPr="001A0D3A" w:rsidRDefault="00CE3659" w:rsidP="00CE3659">
      <w:pPr>
        <w:pStyle w:val="Heading1"/>
      </w:pPr>
      <w:bookmarkStart w:id="12" w:name="_Toc414365971"/>
      <w:bookmarkStart w:id="13" w:name="_Toc452630487"/>
      <w:bookmarkStart w:id="14" w:name="_Toc514063444"/>
      <w:bookmarkStart w:id="15" w:name="_Toc524003442"/>
      <w:r w:rsidRPr="001A0D3A">
        <w:lastRenderedPageBreak/>
        <w:t>Overview</w:t>
      </w:r>
      <w:bookmarkEnd w:id="12"/>
      <w:bookmarkEnd w:id="13"/>
      <w:bookmarkEnd w:id="14"/>
      <w:bookmarkEnd w:id="15"/>
    </w:p>
    <w:p w:rsidR="00CE3659" w:rsidRDefault="00CE3659" w:rsidP="00CE3659">
      <w:r w:rsidRPr="006539A3">
        <w:t xml:space="preserve">This </w:t>
      </w:r>
      <w:r>
        <w:t>technical</w:t>
      </w:r>
      <w:r w:rsidRPr="006539A3">
        <w:t xml:space="preserve"> report</w:t>
      </w:r>
      <w:r>
        <w:t xml:space="preserve"> explains </w:t>
      </w:r>
      <w:r w:rsidRPr="006539A3">
        <w:t xml:space="preserve">the </w:t>
      </w:r>
      <w:r>
        <w:t>approach taken by MSD to evaluate the cost-</w:t>
      </w:r>
      <w:r w:rsidRPr="006539A3">
        <w:t xml:space="preserve">effectiveness of its employment assistance (EA) </w:t>
      </w:r>
      <w:r>
        <w:t xml:space="preserve">and </w:t>
      </w:r>
      <w:r w:rsidR="00EB3D5A">
        <w:t>case</w:t>
      </w:r>
      <w:r w:rsidR="00134FBE">
        <w:t xml:space="preserve"> </w:t>
      </w:r>
      <w:r>
        <w:t xml:space="preserve">management (CM) service </w:t>
      </w:r>
      <w:r w:rsidRPr="006539A3">
        <w:t>expenditure.</w:t>
      </w:r>
    </w:p>
    <w:p w:rsidR="00CE3659" w:rsidRDefault="00CE3659" w:rsidP="00CE3659">
      <w:r>
        <w:t>In this report, we describe:</w:t>
      </w:r>
    </w:p>
    <w:p w:rsidR="00CE3659" w:rsidRDefault="00CE3659" w:rsidP="00CE3659">
      <w:pPr>
        <w:pStyle w:val="Bullet1"/>
        <w:spacing w:before="60" w:after="60"/>
      </w:pPr>
      <w:r>
        <w:t>what we define as EA and CM services</w:t>
      </w:r>
    </w:p>
    <w:p w:rsidR="00CE3659" w:rsidRDefault="00CE3659" w:rsidP="00CE3659">
      <w:pPr>
        <w:pStyle w:val="Bullet1"/>
        <w:spacing w:before="60" w:after="60"/>
      </w:pPr>
      <w:r>
        <w:t>the outcome measures used to determine the effectiveness of EA</w:t>
      </w:r>
    </w:p>
    <w:p w:rsidR="00CE3659" w:rsidRDefault="00CE3659" w:rsidP="00CE3659">
      <w:pPr>
        <w:pStyle w:val="Bullet1"/>
        <w:spacing w:before="60" w:after="60"/>
      </w:pPr>
      <w:r>
        <w:t>methods used to estimate the impact of interventions</w:t>
      </w:r>
    </w:p>
    <w:p w:rsidR="00CE3659" w:rsidRDefault="00CE3659" w:rsidP="00CE3659">
      <w:pPr>
        <w:pStyle w:val="Bullet1"/>
        <w:spacing w:before="60" w:after="60"/>
      </w:pPr>
      <w:r>
        <w:rPr>
          <w:noProof/>
        </w:rPr>
        <w:t xml:space="preserve">a </w:t>
      </w:r>
      <w:r w:rsidRPr="00F25547">
        <w:rPr>
          <w:noProof/>
        </w:rPr>
        <w:t>method</w:t>
      </w:r>
      <w:r>
        <w:t xml:space="preserve"> for estimating unobserved future impacts </w:t>
      </w:r>
    </w:p>
    <w:p w:rsidR="00CE3659" w:rsidRDefault="00CE3659" w:rsidP="00CE3659">
      <w:pPr>
        <w:pStyle w:val="Bullet1"/>
        <w:spacing w:before="60" w:after="60"/>
      </w:pPr>
      <w:r>
        <w:t>the process used to rate the effectiveness of interventions</w:t>
      </w:r>
    </w:p>
    <w:p w:rsidR="00CE3659" w:rsidRDefault="00CE3659" w:rsidP="00CE3659">
      <w:pPr>
        <w:pStyle w:val="Bullet1"/>
        <w:spacing w:before="60" w:after="60"/>
      </w:pPr>
      <w:proofErr w:type="gramStart"/>
      <w:r>
        <w:t>how</w:t>
      </w:r>
      <w:proofErr w:type="gramEnd"/>
      <w:r>
        <w:t xml:space="preserve"> we determined the cost-effectiveness of programmes</w:t>
      </w:r>
      <w:r w:rsidR="00462AB7">
        <w:t>.</w:t>
      </w:r>
    </w:p>
    <w:p w:rsidR="00CE3659" w:rsidRDefault="00CE3659" w:rsidP="00CE3659">
      <w:pPr>
        <w:pStyle w:val="Heading1"/>
      </w:pPr>
      <w:bookmarkStart w:id="16" w:name="_Toc514063445"/>
      <w:bookmarkStart w:id="17" w:name="_Toc524003443"/>
      <w:bookmarkStart w:id="18" w:name="_Toc452630505"/>
      <w:r>
        <w:t>What are employment assistance interventions?</w:t>
      </w:r>
      <w:bookmarkEnd w:id="16"/>
      <w:bookmarkEnd w:id="17"/>
    </w:p>
    <w:p w:rsidR="00CE3659" w:rsidRDefault="00CE3659" w:rsidP="00CE3659">
      <w:r w:rsidRPr="007E0437">
        <w:t xml:space="preserve">Employment </w:t>
      </w:r>
      <w:r>
        <w:t>assistance</w:t>
      </w:r>
      <w:r w:rsidRPr="007E0437">
        <w:t xml:space="preserve"> covers emp</w:t>
      </w:r>
      <w:r>
        <w:t xml:space="preserve">loyment and training programmes, </w:t>
      </w:r>
      <w:r w:rsidRPr="007E0437">
        <w:t>and services designed to help people prepare, move</w:t>
      </w:r>
      <w:r>
        <w:t>,</w:t>
      </w:r>
      <w:r w:rsidRPr="007E0437">
        <w:t xml:space="preserve"> sustain employment</w:t>
      </w:r>
      <w:r>
        <w:t>,</w:t>
      </w:r>
      <w:r w:rsidRPr="007E0437">
        <w:t xml:space="preserve"> and reduce the tim</w:t>
      </w:r>
      <w:r>
        <w:t xml:space="preserve">e they spend on income support. </w:t>
      </w:r>
      <w:r w:rsidRPr="007E0437">
        <w:t xml:space="preserve">EA </w:t>
      </w:r>
      <w:r>
        <w:t xml:space="preserve">funded by MSD </w:t>
      </w:r>
      <w:r w:rsidRPr="007E0437">
        <w:t>is primarily targeted at people eligible for income support assistance.</w:t>
      </w:r>
      <w:r>
        <w:t xml:space="preserve"> </w:t>
      </w:r>
      <w:r>
        <w:rPr>
          <w:lang w:eastAsia="en-NZ"/>
        </w:rPr>
        <w:fldChar w:fldCharType="begin"/>
      </w:r>
      <w:r>
        <w:rPr>
          <w:lang w:eastAsia="en-NZ"/>
        </w:rPr>
        <w:instrText xml:space="preserve"> REF _Ref513116619 \h </w:instrText>
      </w:r>
      <w:r>
        <w:rPr>
          <w:lang w:eastAsia="en-NZ"/>
        </w:rPr>
      </w:r>
      <w:r>
        <w:rPr>
          <w:lang w:eastAsia="en-NZ"/>
        </w:rPr>
        <w:fldChar w:fldCharType="separate"/>
      </w:r>
      <w:r w:rsidR="00F24924">
        <w:t xml:space="preserve">Table </w:t>
      </w:r>
      <w:r w:rsidR="00F24924">
        <w:rPr>
          <w:noProof/>
        </w:rPr>
        <w:t>1</w:t>
      </w:r>
      <w:r>
        <w:rPr>
          <w:lang w:eastAsia="en-NZ"/>
        </w:rPr>
        <w:fldChar w:fldCharType="end"/>
      </w:r>
      <w:r>
        <w:rPr>
          <w:lang w:eastAsia="en-NZ"/>
        </w:rPr>
        <w:t xml:space="preserve"> </w:t>
      </w:r>
      <w:r w:rsidRPr="00F65123">
        <w:rPr>
          <w:lang w:eastAsia="en-NZ"/>
        </w:rPr>
        <w:t>below provides a broad typology of EA interventions.</w:t>
      </w:r>
    </w:p>
    <w:p w:rsidR="00CE3659" w:rsidRPr="00F65123" w:rsidRDefault="00CE3659" w:rsidP="00CE3659">
      <w:pPr>
        <w:pStyle w:val="Heading4"/>
        <w:rPr>
          <w:lang w:eastAsia="en-NZ"/>
        </w:rPr>
      </w:pPr>
      <w:bookmarkStart w:id="19" w:name="_Ref513116619"/>
      <w:bookmarkStart w:id="20" w:name="_Toc945097"/>
      <w:r>
        <w:t xml:space="preserve">Table </w:t>
      </w:r>
      <w:fldSimple w:instr=" SEQ Table \* ARABIC ">
        <w:r w:rsidR="00F24924">
          <w:rPr>
            <w:noProof/>
          </w:rPr>
          <w:t>1</w:t>
        </w:r>
      </w:fldSimple>
      <w:bookmarkEnd w:id="19"/>
      <w:r>
        <w:t>:</w:t>
      </w:r>
      <w:r w:rsidRPr="00F65123">
        <w:t xml:space="preserve"> Classification of employment assistance interventions</w:t>
      </w:r>
      <w:bookmarkEnd w:id="20"/>
    </w:p>
    <w:tbl>
      <w:tblPr>
        <w:tblStyle w:val="MSDreportstyle"/>
        <w:tblW w:w="9316" w:type="dxa"/>
        <w:tblLook w:val="0420" w:firstRow="1" w:lastRow="0" w:firstColumn="0" w:lastColumn="0" w:noHBand="0" w:noVBand="1"/>
      </w:tblPr>
      <w:tblGrid>
        <w:gridCol w:w="1809"/>
        <w:gridCol w:w="4678"/>
        <w:gridCol w:w="2829"/>
      </w:tblGrid>
      <w:tr w:rsidR="00CE3659" w:rsidRPr="00CE3659" w:rsidTr="00CE3659">
        <w:trPr>
          <w:cnfStyle w:val="100000000000" w:firstRow="1" w:lastRow="0" w:firstColumn="0" w:lastColumn="0" w:oddVBand="0" w:evenVBand="0" w:oddHBand="0" w:evenHBand="0" w:firstRowFirstColumn="0" w:firstRowLastColumn="0" w:lastRowFirstColumn="0" w:lastRowLastColumn="0"/>
          <w:tblHeader/>
        </w:trPr>
        <w:tc>
          <w:tcPr>
            <w:tcW w:w="1809" w:type="dxa"/>
            <w:hideMark/>
          </w:tcPr>
          <w:p w:rsidR="00CE3659" w:rsidRPr="00CE3659" w:rsidRDefault="00CE3659" w:rsidP="00462AB7">
            <w:pPr>
              <w:pStyle w:val="Table"/>
              <w:rPr>
                <w:b/>
                <w:color w:val="FFFFFF" w:themeColor="background1"/>
              </w:rPr>
            </w:pPr>
            <w:r w:rsidRPr="00CE3659">
              <w:rPr>
                <w:b/>
                <w:color w:val="FFFFFF" w:themeColor="background1"/>
              </w:rPr>
              <w:t>Type</w:t>
            </w:r>
          </w:p>
        </w:tc>
        <w:tc>
          <w:tcPr>
            <w:tcW w:w="4678" w:type="dxa"/>
            <w:hideMark/>
          </w:tcPr>
          <w:p w:rsidR="00CE3659" w:rsidRPr="00CE3659" w:rsidRDefault="00CE3659" w:rsidP="00462AB7">
            <w:pPr>
              <w:pStyle w:val="Table"/>
              <w:rPr>
                <w:b/>
                <w:color w:val="FFFFFF" w:themeColor="background1"/>
              </w:rPr>
            </w:pPr>
            <w:r w:rsidRPr="00CE3659">
              <w:rPr>
                <w:b/>
                <w:color w:val="FFFFFF" w:themeColor="background1"/>
              </w:rPr>
              <w:t>Description</w:t>
            </w:r>
          </w:p>
        </w:tc>
        <w:tc>
          <w:tcPr>
            <w:tcW w:w="2829" w:type="dxa"/>
          </w:tcPr>
          <w:p w:rsidR="00CE3659" w:rsidRPr="00CE3659" w:rsidRDefault="00CE3659" w:rsidP="00462AB7">
            <w:pPr>
              <w:pStyle w:val="Table"/>
              <w:rPr>
                <w:b/>
                <w:color w:val="FFFFFF" w:themeColor="background1"/>
              </w:rPr>
            </w:pPr>
            <w:r w:rsidRPr="00CE3659">
              <w:rPr>
                <w:b/>
                <w:color w:val="FFFFFF" w:themeColor="background1"/>
              </w:rPr>
              <w:t xml:space="preserve">Interventions (examples) </w:t>
            </w:r>
          </w:p>
        </w:tc>
      </w:tr>
      <w:tr w:rsidR="00CE3659" w:rsidRPr="00F65123" w:rsidTr="00CE3659">
        <w:trPr>
          <w:cnfStyle w:val="000000100000" w:firstRow="0" w:lastRow="0" w:firstColumn="0" w:lastColumn="0" w:oddVBand="0" w:evenVBand="0" w:oddHBand="1" w:evenHBand="0" w:firstRowFirstColumn="0" w:firstRowLastColumn="0" w:lastRowFirstColumn="0" w:lastRowLastColumn="0"/>
        </w:trPr>
        <w:tc>
          <w:tcPr>
            <w:tcW w:w="1809" w:type="dxa"/>
            <w:hideMark/>
          </w:tcPr>
          <w:p w:rsidR="00CE3659" w:rsidRPr="00F65123" w:rsidRDefault="003929C9" w:rsidP="00462AB7">
            <w:pPr>
              <w:pStyle w:val="Table"/>
            </w:pPr>
            <w:hyperlink r:id="rId12" w:history="1">
              <w:r w:rsidR="00CE3659" w:rsidRPr="00F65123">
                <w:t>Activation measures</w:t>
              </w:r>
            </w:hyperlink>
          </w:p>
        </w:tc>
        <w:tc>
          <w:tcPr>
            <w:tcW w:w="4678" w:type="dxa"/>
            <w:hideMark/>
          </w:tcPr>
          <w:p w:rsidR="00CE3659" w:rsidRPr="00F65123" w:rsidRDefault="00CE3659" w:rsidP="000E7389">
            <w:pPr>
              <w:pStyle w:val="Table"/>
            </w:pPr>
            <w:r w:rsidRPr="00F65123">
              <w:t>Activation measures cover programmes and case</w:t>
            </w:r>
            <w:r w:rsidR="00134FBE">
              <w:t xml:space="preserve"> </w:t>
            </w:r>
            <w:r w:rsidRPr="00F65123">
              <w:t>management techniques designed to maintain job search activities for people expected to move into e</w:t>
            </w:r>
            <w:r>
              <w:t>mployment (eg people receiving u</w:t>
            </w:r>
            <w:r w:rsidRPr="00F65123">
              <w:t>nemployment related benefits). If people are judged not to be sufficiently engaged in job search then they can have their income support payments reduced or even cancelled.</w:t>
            </w:r>
          </w:p>
        </w:tc>
        <w:tc>
          <w:tcPr>
            <w:tcW w:w="2829" w:type="dxa"/>
          </w:tcPr>
          <w:p w:rsidR="00CE3659" w:rsidRDefault="00CE3659" w:rsidP="00462AB7">
            <w:pPr>
              <w:pStyle w:val="Table"/>
            </w:pPr>
            <w:r w:rsidRPr="00E572B3">
              <w:t>Job</w:t>
            </w:r>
            <w:r w:rsidR="000E7389">
              <w:t>s</w:t>
            </w:r>
            <w:r w:rsidRPr="00E572B3">
              <w:t xml:space="preserve">eeker Work Ready </w:t>
            </w:r>
            <w:r w:rsidR="000E7389" w:rsidRPr="00E572B3">
              <w:t>52</w:t>
            </w:r>
            <w:r w:rsidR="000E7389">
              <w:t>-</w:t>
            </w:r>
            <w:r w:rsidRPr="00E572B3">
              <w:t>week benefit reapplication</w:t>
            </w:r>
          </w:p>
          <w:p w:rsidR="00CE3659" w:rsidRDefault="00CE3659" w:rsidP="00462AB7">
            <w:pPr>
              <w:pStyle w:val="Table"/>
            </w:pPr>
            <w:r>
              <w:t>Work Obligations</w:t>
            </w:r>
          </w:p>
          <w:p w:rsidR="00CE3659" w:rsidRPr="00F65123" w:rsidRDefault="00CE3659" w:rsidP="00462AB7">
            <w:pPr>
              <w:pStyle w:val="Table"/>
            </w:pPr>
            <w:r w:rsidRPr="00E572B3">
              <w:t>Pre-Employment Drug Testing</w:t>
            </w:r>
          </w:p>
        </w:tc>
      </w:tr>
      <w:tr w:rsidR="00CE3659" w:rsidRPr="00F65123" w:rsidTr="00CE3659">
        <w:tc>
          <w:tcPr>
            <w:tcW w:w="1809" w:type="dxa"/>
            <w:hideMark/>
          </w:tcPr>
          <w:p w:rsidR="00CE3659" w:rsidRPr="00F65123" w:rsidRDefault="003929C9" w:rsidP="00462AB7">
            <w:pPr>
              <w:pStyle w:val="Table"/>
            </w:pPr>
            <w:hyperlink r:id="rId13" w:anchor="EmploymentAssistance-EA_workconfidence" w:history="1">
              <w:r w:rsidR="00CE3659" w:rsidRPr="00F65123">
                <w:t>Work confidence</w:t>
              </w:r>
            </w:hyperlink>
          </w:p>
        </w:tc>
        <w:tc>
          <w:tcPr>
            <w:tcW w:w="4678" w:type="dxa"/>
            <w:hideMark/>
          </w:tcPr>
          <w:p w:rsidR="00CE3659" w:rsidRPr="00F65123" w:rsidRDefault="00CE3659" w:rsidP="00462AB7">
            <w:pPr>
              <w:pStyle w:val="Table"/>
            </w:pPr>
            <w:r w:rsidRPr="00F65123">
              <w:t>Programmes designed at encouraging and motivating people to have the confidence to begin to move into employment.</w:t>
            </w:r>
          </w:p>
        </w:tc>
        <w:tc>
          <w:tcPr>
            <w:tcW w:w="2829" w:type="dxa"/>
          </w:tcPr>
          <w:p w:rsidR="00CE3659" w:rsidRDefault="00CE3659" w:rsidP="00462AB7">
            <w:pPr>
              <w:pStyle w:val="Table"/>
            </w:pPr>
            <w:r w:rsidRPr="00E572B3">
              <w:t>Limited Services Volunteer</w:t>
            </w:r>
          </w:p>
          <w:p w:rsidR="00CE3659" w:rsidRPr="00F65123" w:rsidRDefault="00CE3659" w:rsidP="00462AB7">
            <w:pPr>
              <w:pStyle w:val="Table"/>
            </w:pPr>
            <w:r w:rsidRPr="00E572B3">
              <w:t>Outward Bound</w:t>
            </w:r>
          </w:p>
        </w:tc>
      </w:tr>
      <w:tr w:rsidR="00CE3659" w:rsidRPr="00F65123" w:rsidTr="00CE3659">
        <w:trPr>
          <w:cnfStyle w:val="000000100000" w:firstRow="0" w:lastRow="0" w:firstColumn="0" w:lastColumn="0" w:oddVBand="0" w:evenVBand="0" w:oddHBand="1" w:evenHBand="0" w:firstRowFirstColumn="0" w:firstRowLastColumn="0" w:lastRowFirstColumn="0" w:lastRowLastColumn="0"/>
        </w:trPr>
        <w:tc>
          <w:tcPr>
            <w:tcW w:w="1809" w:type="dxa"/>
            <w:hideMark/>
          </w:tcPr>
          <w:p w:rsidR="00CE3659" w:rsidRPr="00F65123" w:rsidRDefault="00CE3659" w:rsidP="00462AB7">
            <w:pPr>
              <w:pStyle w:val="Table"/>
            </w:pPr>
            <w:r w:rsidRPr="00F65123">
              <w:t>Case management</w:t>
            </w:r>
          </w:p>
        </w:tc>
        <w:tc>
          <w:tcPr>
            <w:tcW w:w="4678" w:type="dxa"/>
            <w:hideMark/>
          </w:tcPr>
          <w:p w:rsidR="00CE3659" w:rsidRPr="00F65123" w:rsidRDefault="000E7389" w:rsidP="000E7389">
            <w:pPr>
              <w:pStyle w:val="Table"/>
            </w:pPr>
            <w:r w:rsidRPr="00F65123">
              <w:t>One</w:t>
            </w:r>
            <w:r>
              <w:t>-</w:t>
            </w:r>
            <w:r w:rsidRPr="00F65123">
              <w:t>to</w:t>
            </w:r>
            <w:r>
              <w:t>-</w:t>
            </w:r>
            <w:r w:rsidR="00CE3659" w:rsidRPr="00F65123">
              <w:t>one meetings with a case manager to discuss</w:t>
            </w:r>
            <w:r w:rsidR="00CE3659">
              <w:t xml:space="preserve"> and plan </w:t>
            </w:r>
            <w:r w:rsidR="00CE3659" w:rsidRPr="00F65123">
              <w:t>on how they will move back into employment.</w:t>
            </w:r>
            <w:r w:rsidR="00CE3659">
              <w:t xml:space="preserve"> Case management can be either in-house or contracted to an external provider.</w:t>
            </w:r>
          </w:p>
        </w:tc>
        <w:tc>
          <w:tcPr>
            <w:tcW w:w="2829" w:type="dxa"/>
          </w:tcPr>
          <w:p w:rsidR="00CE3659" w:rsidRDefault="00CE3659" w:rsidP="00462AB7">
            <w:pPr>
              <w:pStyle w:val="Table"/>
            </w:pPr>
            <w:r w:rsidRPr="00E572B3">
              <w:t>Work Focused Case Management (General</w:t>
            </w:r>
            <w:r w:rsidR="00ED43CC">
              <w:t>)</w:t>
            </w:r>
          </w:p>
          <w:p w:rsidR="00CE3659" w:rsidRPr="00F65123" w:rsidRDefault="00CE3659" w:rsidP="00462AB7">
            <w:pPr>
              <w:pStyle w:val="Table"/>
            </w:pPr>
            <w:r w:rsidRPr="00E572B3">
              <w:t>Work to Wellness</w:t>
            </w:r>
          </w:p>
        </w:tc>
      </w:tr>
      <w:tr w:rsidR="00CE3659" w:rsidRPr="00F65123" w:rsidTr="00CE3659">
        <w:tc>
          <w:tcPr>
            <w:tcW w:w="1809" w:type="dxa"/>
            <w:hideMark/>
          </w:tcPr>
          <w:p w:rsidR="00CE3659" w:rsidRPr="00F65123" w:rsidRDefault="00CE3659" w:rsidP="00462AB7">
            <w:pPr>
              <w:pStyle w:val="Table"/>
            </w:pPr>
            <w:r w:rsidRPr="00F65123">
              <w:t>Career advice /Information Services</w:t>
            </w:r>
          </w:p>
        </w:tc>
        <w:tc>
          <w:tcPr>
            <w:tcW w:w="4678" w:type="dxa"/>
            <w:hideMark/>
          </w:tcPr>
          <w:p w:rsidR="00CE3659" w:rsidRPr="00F65123" w:rsidRDefault="00CE3659" w:rsidP="00462AB7">
            <w:pPr>
              <w:pStyle w:val="Table"/>
            </w:pPr>
            <w:r w:rsidRPr="00F65123">
              <w:t>Career advice and counselling is a standard service provided by public employment services to help jobseekers make informed decisions about their current and future employment choices.</w:t>
            </w:r>
          </w:p>
        </w:tc>
        <w:tc>
          <w:tcPr>
            <w:tcW w:w="2829" w:type="dxa"/>
          </w:tcPr>
          <w:p w:rsidR="00CE3659" w:rsidRPr="00F65123" w:rsidRDefault="00CE3659" w:rsidP="00462AB7">
            <w:pPr>
              <w:pStyle w:val="Table"/>
            </w:pPr>
            <w:r w:rsidRPr="00E572B3">
              <w:t>Careers Guidance and Counselling</w:t>
            </w:r>
          </w:p>
        </w:tc>
      </w:tr>
      <w:tr w:rsidR="00CE3659" w:rsidRPr="00F65123" w:rsidTr="00CE3659">
        <w:trPr>
          <w:cnfStyle w:val="000000100000" w:firstRow="0" w:lastRow="0" w:firstColumn="0" w:lastColumn="0" w:oddVBand="0" w:evenVBand="0" w:oddHBand="1" w:evenHBand="0" w:firstRowFirstColumn="0" w:firstRowLastColumn="0" w:lastRowFirstColumn="0" w:lastRowLastColumn="0"/>
        </w:trPr>
        <w:tc>
          <w:tcPr>
            <w:tcW w:w="1809" w:type="dxa"/>
            <w:hideMark/>
          </w:tcPr>
          <w:p w:rsidR="00CE3659" w:rsidRPr="00F65123" w:rsidRDefault="00CE3659" w:rsidP="00462AB7">
            <w:pPr>
              <w:pStyle w:val="Table"/>
            </w:pPr>
            <w:r w:rsidRPr="00F65123">
              <w:t>Health Interventions</w:t>
            </w:r>
          </w:p>
        </w:tc>
        <w:tc>
          <w:tcPr>
            <w:tcW w:w="4678" w:type="dxa"/>
            <w:hideMark/>
          </w:tcPr>
          <w:p w:rsidR="00CE3659" w:rsidRPr="00F65123" w:rsidRDefault="00CE3659" w:rsidP="00462AB7">
            <w:pPr>
              <w:pStyle w:val="Table"/>
            </w:pPr>
            <w:r w:rsidRPr="00F65123">
              <w:t xml:space="preserve">Providing medical and related treatment to enable </w:t>
            </w:r>
            <w:r>
              <w:t>people</w:t>
            </w:r>
            <w:r w:rsidRPr="00F65123">
              <w:t xml:space="preserve"> to recover from medical </w:t>
            </w:r>
            <w:r w:rsidRPr="00F65123">
              <w:lastRenderedPageBreak/>
              <w:t>conditions to enable them to move back into work.</w:t>
            </w:r>
          </w:p>
        </w:tc>
        <w:tc>
          <w:tcPr>
            <w:tcW w:w="2829" w:type="dxa"/>
          </w:tcPr>
          <w:p w:rsidR="00CE3659" w:rsidRDefault="00CE3659" w:rsidP="00462AB7">
            <w:pPr>
              <w:pStyle w:val="Table"/>
            </w:pPr>
            <w:r>
              <w:lastRenderedPageBreak/>
              <w:t>PATHS</w:t>
            </w:r>
          </w:p>
          <w:p w:rsidR="00CE3659" w:rsidRPr="00F65123" w:rsidRDefault="00CE3659" w:rsidP="00462AB7">
            <w:pPr>
              <w:pStyle w:val="Table"/>
            </w:pPr>
            <w:r w:rsidRPr="00E572B3">
              <w:t xml:space="preserve">Targeted Health </w:t>
            </w:r>
            <w:r w:rsidRPr="00E572B3">
              <w:lastRenderedPageBreak/>
              <w:t>Interventions</w:t>
            </w:r>
          </w:p>
        </w:tc>
      </w:tr>
      <w:tr w:rsidR="00CE3659" w:rsidRPr="00F65123" w:rsidTr="00CE3659">
        <w:tc>
          <w:tcPr>
            <w:tcW w:w="1809" w:type="dxa"/>
            <w:hideMark/>
          </w:tcPr>
          <w:p w:rsidR="00CE3659" w:rsidRPr="00F65123" w:rsidRDefault="00CE3659" w:rsidP="00462AB7">
            <w:pPr>
              <w:pStyle w:val="Table"/>
            </w:pPr>
            <w:r w:rsidRPr="00F65123">
              <w:lastRenderedPageBreak/>
              <w:t>Training (contracted)</w:t>
            </w:r>
          </w:p>
        </w:tc>
        <w:tc>
          <w:tcPr>
            <w:tcW w:w="4678" w:type="dxa"/>
            <w:hideMark/>
          </w:tcPr>
          <w:p w:rsidR="00CE3659" w:rsidRPr="00F65123" w:rsidRDefault="00CE3659" w:rsidP="00462AB7">
            <w:pPr>
              <w:pStyle w:val="Table"/>
            </w:pPr>
            <w:r w:rsidRPr="00F65123">
              <w:t xml:space="preserve">Contracted training programmes aim to increase the foundational and vocational skills of </w:t>
            </w:r>
            <w:r>
              <w:t>participants</w:t>
            </w:r>
            <w:r w:rsidRPr="00F65123">
              <w:t xml:space="preserve"> to enable them to compete in the labour market.</w:t>
            </w:r>
          </w:p>
        </w:tc>
        <w:tc>
          <w:tcPr>
            <w:tcW w:w="2829" w:type="dxa"/>
          </w:tcPr>
          <w:p w:rsidR="00CE3659" w:rsidRDefault="00CE3659" w:rsidP="00462AB7">
            <w:pPr>
              <w:pStyle w:val="Table"/>
            </w:pPr>
            <w:r w:rsidRPr="00E572B3">
              <w:t>Training for Work</w:t>
            </w:r>
          </w:p>
          <w:p w:rsidR="00CE3659" w:rsidRPr="00F65123" w:rsidRDefault="00CE3659" w:rsidP="00462AB7">
            <w:pPr>
              <w:pStyle w:val="Table"/>
            </w:pPr>
            <w:r w:rsidRPr="00E572B3">
              <w:t>Driver licence programmes</w:t>
            </w:r>
          </w:p>
        </w:tc>
      </w:tr>
      <w:tr w:rsidR="00CE3659" w:rsidRPr="00F65123" w:rsidTr="00CE3659">
        <w:trPr>
          <w:cnfStyle w:val="000000100000" w:firstRow="0" w:lastRow="0" w:firstColumn="0" w:lastColumn="0" w:oddVBand="0" w:evenVBand="0" w:oddHBand="1" w:evenHBand="0" w:firstRowFirstColumn="0" w:firstRowLastColumn="0" w:lastRowFirstColumn="0" w:lastRowLastColumn="0"/>
        </w:trPr>
        <w:tc>
          <w:tcPr>
            <w:tcW w:w="1809" w:type="dxa"/>
            <w:hideMark/>
          </w:tcPr>
          <w:p w:rsidR="00CE3659" w:rsidRPr="00F65123" w:rsidRDefault="00CE3659" w:rsidP="00462AB7">
            <w:pPr>
              <w:pStyle w:val="Table"/>
            </w:pPr>
            <w:r w:rsidRPr="00F65123">
              <w:t>Training (financial)</w:t>
            </w:r>
          </w:p>
        </w:tc>
        <w:tc>
          <w:tcPr>
            <w:tcW w:w="4678" w:type="dxa"/>
            <w:hideMark/>
          </w:tcPr>
          <w:p w:rsidR="00CE3659" w:rsidRPr="00F65123" w:rsidRDefault="00CE3659" w:rsidP="00462AB7">
            <w:pPr>
              <w:pStyle w:val="Table"/>
            </w:pPr>
            <w:r w:rsidRPr="00F65123">
              <w:t>Financial assistance to help people access education and training programmes. </w:t>
            </w:r>
          </w:p>
        </w:tc>
        <w:tc>
          <w:tcPr>
            <w:tcW w:w="2829" w:type="dxa"/>
          </w:tcPr>
          <w:p w:rsidR="00CE3659" w:rsidRPr="00F65123" w:rsidRDefault="00CE3659" w:rsidP="00462AB7">
            <w:pPr>
              <w:pStyle w:val="Table"/>
            </w:pPr>
            <w:r w:rsidRPr="00E572B3">
              <w:t>Training Incentive Allowance</w:t>
            </w:r>
          </w:p>
        </w:tc>
      </w:tr>
      <w:tr w:rsidR="00CE3659" w:rsidRPr="00F65123" w:rsidTr="00CE3659">
        <w:tc>
          <w:tcPr>
            <w:tcW w:w="1809" w:type="dxa"/>
            <w:hideMark/>
          </w:tcPr>
          <w:p w:rsidR="00CE3659" w:rsidRPr="00F65123" w:rsidRDefault="00CE3659" w:rsidP="00462AB7">
            <w:pPr>
              <w:pStyle w:val="Table"/>
            </w:pPr>
            <w:r w:rsidRPr="00F65123">
              <w:t>Work experience</w:t>
            </w:r>
          </w:p>
        </w:tc>
        <w:tc>
          <w:tcPr>
            <w:tcW w:w="4678" w:type="dxa"/>
            <w:hideMark/>
          </w:tcPr>
          <w:p w:rsidR="00CE3659" w:rsidRPr="00F65123" w:rsidRDefault="00CE3659" w:rsidP="000E7389">
            <w:pPr>
              <w:pStyle w:val="Table"/>
            </w:pPr>
            <w:r w:rsidRPr="00F65123">
              <w:t xml:space="preserve">Provide people with work experience either </w:t>
            </w:r>
            <w:r w:rsidR="007471D7">
              <w:t xml:space="preserve">with </w:t>
            </w:r>
            <w:r w:rsidRPr="00F65123">
              <w:t xml:space="preserve">a private sector employer or through placements with not </w:t>
            </w:r>
            <w:r w:rsidR="000E7389">
              <w:t>-</w:t>
            </w:r>
            <w:r w:rsidR="000E7389" w:rsidRPr="00F65123">
              <w:t>for</w:t>
            </w:r>
            <w:r w:rsidR="000E7389">
              <w:t>-</w:t>
            </w:r>
            <w:r w:rsidRPr="00F65123">
              <w:t xml:space="preserve">profit organisations to </w:t>
            </w:r>
            <w:r>
              <w:t>help in social or</w:t>
            </w:r>
            <w:r w:rsidR="000E7389">
              <w:t xml:space="preserve"> </w:t>
            </w:r>
            <w:r>
              <w:t xml:space="preserve">environmental </w:t>
            </w:r>
            <w:r w:rsidRPr="00F65123">
              <w:t>projects.</w:t>
            </w:r>
          </w:p>
        </w:tc>
        <w:tc>
          <w:tcPr>
            <w:tcW w:w="2829" w:type="dxa"/>
          </w:tcPr>
          <w:p w:rsidR="00CE3659" w:rsidRDefault="00CE3659" w:rsidP="00462AB7">
            <w:pPr>
              <w:pStyle w:val="Table"/>
            </w:pPr>
            <w:r w:rsidRPr="00E572B3">
              <w:t>Mainstream Employment Programme</w:t>
            </w:r>
          </w:p>
          <w:p w:rsidR="00CE3659" w:rsidRDefault="00CE3659" w:rsidP="00462AB7">
            <w:pPr>
              <w:pStyle w:val="Table"/>
            </w:pPr>
            <w:r w:rsidRPr="00E572B3">
              <w:t>Activity in the Community</w:t>
            </w:r>
          </w:p>
          <w:p w:rsidR="00CE3659" w:rsidRPr="00F65123" w:rsidRDefault="00CE3659" w:rsidP="00462AB7">
            <w:pPr>
              <w:pStyle w:val="Table"/>
            </w:pPr>
            <w:r w:rsidRPr="00E572B3">
              <w:t>Flexi-wage Project in the Community</w:t>
            </w:r>
          </w:p>
        </w:tc>
      </w:tr>
      <w:tr w:rsidR="00CE3659" w:rsidRPr="00F65123" w:rsidTr="00CE3659">
        <w:trPr>
          <w:cnfStyle w:val="000000100000" w:firstRow="0" w:lastRow="0" w:firstColumn="0" w:lastColumn="0" w:oddVBand="0" w:evenVBand="0" w:oddHBand="1" w:evenHBand="0" w:firstRowFirstColumn="0" w:firstRowLastColumn="0" w:lastRowFirstColumn="0" w:lastRowLastColumn="0"/>
        </w:trPr>
        <w:tc>
          <w:tcPr>
            <w:tcW w:w="1809" w:type="dxa"/>
            <w:hideMark/>
          </w:tcPr>
          <w:p w:rsidR="00CE3659" w:rsidRPr="00F65123" w:rsidRDefault="00CE3659" w:rsidP="00462AB7">
            <w:pPr>
              <w:pStyle w:val="Table"/>
            </w:pPr>
            <w:r w:rsidRPr="00F65123">
              <w:t>Job search assistance</w:t>
            </w:r>
          </w:p>
        </w:tc>
        <w:tc>
          <w:tcPr>
            <w:tcW w:w="4678" w:type="dxa"/>
            <w:hideMark/>
          </w:tcPr>
          <w:p w:rsidR="00CE3659" w:rsidRPr="00F65123" w:rsidRDefault="00CE3659" w:rsidP="00ED43CC">
            <w:pPr>
              <w:pStyle w:val="Table"/>
            </w:pPr>
            <w:r w:rsidRPr="00F65123">
              <w:t xml:space="preserve">Seminars and job clubs designed to provide jobseekers with the skills to look for work (eg searching </w:t>
            </w:r>
            <w:r w:rsidR="00ED43CC">
              <w:t xml:space="preserve">for </w:t>
            </w:r>
            <w:r>
              <w:t xml:space="preserve">job leads, CV and applications </w:t>
            </w:r>
            <w:r w:rsidRPr="00F65123">
              <w:t>and interview skills) and to provide peer support to maintain motivation.</w:t>
            </w:r>
          </w:p>
        </w:tc>
        <w:tc>
          <w:tcPr>
            <w:tcW w:w="2829" w:type="dxa"/>
          </w:tcPr>
          <w:p w:rsidR="00CE3659" w:rsidRPr="00F65123" w:rsidRDefault="00CE3659" w:rsidP="00462AB7">
            <w:pPr>
              <w:pStyle w:val="Table"/>
            </w:pPr>
            <w:r w:rsidRPr="00E572B3">
              <w:t>Work Search Support</w:t>
            </w:r>
          </w:p>
        </w:tc>
      </w:tr>
      <w:tr w:rsidR="00CE3659" w:rsidRPr="00F65123" w:rsidTr="00CE3659">
        <w:tc>
          <w:tcPr>
            <w:tcW w:w="1809" w:type="dxa"/>
            <w:hideMark/>
          </w:tcPr>
          <w:p w:rsidR="00CE3659" w:rsidRPr="00F65123" w:rsidRDefault="00CE3659" w:rsidP="00462AB7">
            <w:pPr>
              <w:pStyle w:val="Table"/>
            </w:pPr>
            <w:r w:rsidRPr="00F65123">
              <w:t>Job placement services</w:t>
            </w:r>
          </w:p>
        </w:tc>
        <w:tc>
          <w:tcPr>
            <w:tcW w:w="4678" w:type="dxa"/>
            <w:hideMark/>
          </w:tcPr>
          <w:p w:rsidR="00CE3659" w:rsidRPr="00F65123" w:rsidRDefault="00CE3659" w:rsidP="00462AB7">
            <w:pPr>
              <w:pStyle w:val="Table"/>
            </w:pPr>
            <w:r w:rsidRPr="00F65123">
              <w:t>In-house or c</w:t>
            </w:r>
            <w:r>
              <w:t>ontracted</w:t>
            </w:r>
            <w:r w:rsidR="00C21D5C">
              <w:t>-</w:t>
            </w:r>
            <w:r>
              <w:t xml:space="preserve">out services to place </w:t>
            </w:r>
            <w:r w:rsidRPr="00F65123">
              <w:t>people into paid employment. For contracted</w:t>
            </w:r>
            <w:r w:rsidR="00C21D5C">
              <w:t>-</w:t>
            </w:r>
            <w:r w:rsidRPr="00F65123">
              <w:t>out services</w:t>
            </w:r>
            <w:r>
              <w:t>, payments</w:t>
            </w:r>
            <w:r w:rsidRPr="00F65123">
              <w:t xml:space="preserve"> are often based on a fee-for-outcome contracting model. </w:t>
            </w:r>
          </w:p>
        </w:tc>
        <w:tc>
          <w:tcPr>
            <w:tcW w:w="2829" w:type="dxa"/>
          </w:tcPr>
          <w:p w:rsidR="00CE3659" w:rsidRDefault="00CE3659" w:rsidP="00462AB7">
            <w:pPr>
              <w:pStyle w:val="Table"/>
            </w:pPr>
            <w:r w:rsidRPr="00E572B3">
              <w:t>Employment Placement or Assistance Initiative</w:t>
            </w:r>
          </w:p>
          <w:p w:rsidR="00CE3659" w:rsidRPr="00F65123" w:rsidRDefault="00CE3659" w:rsidP="00462AB7">
            <w:pPr>
              <w:pStyle w:val="Table"/>
            </w:pPr>
            <w:r w:rsidRPr="00E572B3">
              <w:t>Vacancy Placement</w:t>
            </w:r>
          </w:p>
        </w:tc>
      </w:tr>
      <w:tr w:rsidR="00CE3659" w:rsidRPr="00F65123" w:rsidTr="00CE3659">
        <w:trPr>
          <w:cnfStyle w:val="000000100000" w:firstRow="0" w:lastRow="0" w:firstColumn="0" w:lastColumn="0" w:oddVBand="0" w:evenVBand="0" w:oddHBand="1" w:evenHBand="0" w:firstRowFirstColumn="0" w:firstRowLastColumn="0" w:lastRowFirstColumn="0" w:lastRowLastColumn="0"/>
        </w:trPr>
        <w:tc>
          <w:tcPr>
            <w:tcW w:w="1809" w:type="dxa"/>
            <w:hideMark/>
          </w:tcPr>
          <w:p w:rsidR="00CE3659" w:rsidRPr="00F65123" w:rsidRDefault="00CE3659" w:rsidP="00462AB7">
            <w:pPr>
              <w:pStyle w:val="Table"/>
            </w:pPr>
            <w:r w:rsidRPr="00F65123">
              <w:t>Hiring wage subsidies</w:t>
            </w:r>
          </w:p>
        </w:tc>
        <w:tc>
          <w:tcPr>
            <w:tcW w:w="4678" w:type="dxa"/>
            <w:hideMark/>
          </w:tcPr>
          <w:p w:rsidR="00CE3659" w:rsidRPr="00F65123" w:rsidRDefault="00CE3659" w:rsidP="00ED43CC">
            <w:pPr>
              <w:pStyle w:val="Table"/>
            </w:pPr>
            <w:r w:rsidRPr="00F65123">
              <w:t>A</w:t>
            </w:r>
            <w:r w:rsidR="000E7389">
              <w:t xml:space="preserve"> </w:t>
            </w:r>
            <w:r w:rsidRPr="00F65123">
              <w:t>temporary subsidy to compensate employers who take on disadvantaged jobseekers (ie they would not have been hired by the employer in the absence of the subsidy).</w:t>
            </w:r>
          </w:p>
        </w:tc>
        <w:tc>
          <w:tcPr>
            <w:tcW w:w="2829" w:type="dxa"/>
          </w:tcPr>
          <w:p w:rsidR="00CE3659" w:rsidRPr="00F65123" w:rsidRDefault="00CE3659" w:rsidP="00462AB7">
            <w:pPr>
              <w:pStyle w:val="Table"/>
            </w:pPr>
            <w:r w:rsidRPr="008B2EB6">
              <w:t>Flexi-wage (Basic/Plus)</w:t>
            </w:r>
          </w:p>
        </w:tc>
      </w:tr>
      <w:tr w:rsidR="00CE3659" w:rsidRPr="00F65123" w:rsidTr="00CE3659">
        <w:tc>
          <w:tcPr>
            <w:tcW w:w="1809" w:type="dxa"/>
            <w:hideMark/>
          </w:tcPr>
          <w:p w:rsidR="00CE3659" w:rsidRPr="00F65123" w:rsidRDefault="00CE3659" w:rsidP="00462AB7">
            <w:pPr>
              <w:pStyle w:val="Table"/>
            </w:pPr>
            <w:r w:rsidRPr="00F65123">
              <w:t>On the job training</w:t>
            </w:r>
          </w:p>
        </w:tc>
        <w:tc>
          <w:tcPr>
            <w:tcW w:w="4678" w:type="dxa"/>
            <w:hideMark/>
          </w:tcPr>
          <w:p w:rsidR="00CE3659" w:rsidRPr="00F65123" w:rsidRDefault="00CE3659" w:rsidP="000E7389">
            <w:pPr>
              <w:pStyle w:val="Table"/>
            </w:pPr>
            <w:r w:rsidRPr="00F65123">
              <w:t xml:space="preserve">Assistance to employees to help them gain skills whilst </w:t>
            </w:r>
            <w:r w:rsidR="000E7389" w:rsidRPr="00F65123">
              <w:t>in</w:t>
            </w:r>
            <w:r w:rsidR="000E7389">
              <w:t xml:space="preserve"> </w:t>
            </w:r>
            <w:r w:rsidRPr="00F65123">
              <w:t>work.</w:t>
            </w:r>
          </w:p>
        </w:tc>
        <w:tc>
          <w:tcPr>
            <w:tcW w:w="2829" w:type="dxa"/>
          </w:tcPr>
          <w:p w:rsidR="00CE3659" w:rsidRPr="00F65123" w:rsidRDefault="00CE3659" w:rsidP="00462AB7">
            <w:pPr>
              <w:pStyle w:val="Table"/>
            </w:pPr>
          </w:p>
        </w:tc>
      </w:tr>
      <w:tr w:rsidR="00CE3659" w:rsidRPr="00F65123" w:rsidTr="00CE3659">
        <w:trPr>
          <w:cnfStyle w:val="000000100000" w:firstRow="0" w:lastRow="0" w:firstColumn="0" w:lastColumn="0" w:oddVBand="0" w:evenVBand="0" w:oddHBand="1" w:evenHBand="0" w:firstRowFirstColumn="0" w:firstRowLastColumn="0" w:lastRowFirstColumn="0" w:lastRowLastColumn="0"/>
        </w:trPr>
        <w:tc>
          <w:tcPr>
            <w:tcW w:w="1809" w:type="dxa"/>
            <w:hideMark/>
          </w:tcPr>
          <w:p w:rsidR="00CE3659" w:rsidRPr="00F65123" w:rsidRDefault="00CE3659" w:rsidP="00462AB7">
            <w:pPr>
              <w:pStyle w:val="Table"/>
            </w:pPr>
            <w:r w:rsidRPr="00F65123">
              <w:t>Training for predetermined employment </w:t>
            </w:r>
          </w:p>
        </w:tc>
        <w:tc>
          <w:tcPr>
            <w:tcW w:w="4678" w:type="dxa"/>
            <w:hideMark/>
          </w:tcPr>
          <w:p w:rsidR="00CE3659" w:rsidRPr="00F65123" w:rsidRDefault="00CE3659" w:rsidP="000E7389">
            <w:pPr>
              <w:pStyle w:val="Table"/>
            </w:pPr>
            <w:r w:rsidRPr="00F65123">
              <w:t xml:space="preserve">Programmes </w:t>
            </w:r>
            <w:r w:rsidR="000E7389" w:rsidRPr="00F65123">
              <w:t>that</w:t>
            </w:r>
            <w:r w:rsidR="000E7389">
              <w:t xml:space="preserve"> </w:t>
            </w:r>
            <w:r w:rsidRPr="00F65123">
              <w:t>involve matching jobseekers to vacancies by providing short-term training to meet the specific needs of an employer.</w:t>
            </w:r>
          </w:p>
        </w:tc>
        <w:tc>
          <w:tcPr>
            <w:tcW w:w="2829" w:type="dxa"/>
          </w:tcPr>
          <w:p w:rsidR="00CE3659" w:rsidRPr="00F65123" w:rsidRDefault="00CE3659" w:rsidP="00462AB7">
            <w:pPr>
              <w:pStyle w:val="Table"/>
            </w:pPr>
            <w:r w:rsidRPr="008B2EB6">
              <w:t>Skills for Industry</w:t>
            </w:r>
          </w:p>
        </w:tc>
      </w:tr>
      <w:tr w:rsidR="00CE3659" w:rsidRPr="00F65123" w:rsidTr="00CE3659">
        <w:tc>
          <w:tcPr>
            <w:tcW w:w="1809" w:type="dxa"/>
            <w:hideMark/>
          </w:tcPr>
          <w:p w:rsidR="00CE3659" w:rsidRPr="00F65123" w:rsidRDefault="00CE3659" w:rsidP="00462AB7">
            <w:pPr>
              <w:pStyle w:val="Table"/>
            </w:pPr>
            <w:r w:rsidRPr="00F65123">
              <w:t>Self-employment assistance</w:t>
            </w:r>
          </w:p>
        </w:tc>
        <w:tc>
          <w:tcPr>
            <w:tcW w:w="4678" w:type="dxa"/>
            <w:hideMark/>
          </w:tcPr>
          <w:p w:rsidR="00CE3659" w:rsidRPr="00F65123" w:rsidRDefault="000E7389" w:rsidP="000E7389">
            <w:pPr>
              <w:pStyle w:val="Table"/>
            </w:pPr>
            <w:r w:rsidRPr="00F65123">
              <w:t>Assistance</w:t>
            </w:r>
            <w:r>
              <w:t xml:space="preserve"> </w:t>
            </w:r>
            <w:r w:rsidR="00CE3659" w:rsidRPr="00F65123">
              <w:t>to help peo</w:t>
            </w:r>
            <w:r w:rsidR="00CE3659">
              <w:t xml:space="preserve">ple set up their own business. </w:t>
            </w:r>
            <w:r w:rsidR="00CE3659" w:rsidRPr="00F65123">
              <w:t xml:space="preserve">Self-employment assistance </w:t>
            </w:r>
            <w:r w:rsidRPr="00F65123">
              <w:t>can</w:t>
            </w:r>
            <w:r>
              <w:t xml:space="preserve"> </w:t>
            </w:r>
            <w:r w:rsidR="00CE3659" w:rsidRPr="00F65123">
              <w:t xml:space="preserve">involve a combination </w:t>
            </w:r>
            <w:r w:rsidR="00CE3659" w:rsidRPr="00C34FD3">
              <w:rPr>
                <w:noProof/>
              </w:rPr>
              <w:t>of</w:t>
            </w:r>
            <w:r w:rsidR="00CE3659" w:rsidRPr="00F65123">
              <w:t xml:space="preserve"> training, mentoring, capital</w:t>
            </w:r>
            <w:r w:rsidR="00CE3659">
              <w:t xml:space="preserve"> grants</w:t>
            </w:r>
            <w:r w:rsidR="00CE3659" w:rsidRPr="00F65123">
              <w:t>, and a temporary subsidy to cover living costs until business cash flow is sufficient to support the participant.</w:t>
            </w:r>
          </w:p>
        </w:tc>
        <w:tc>
          <w:tcPr>
            <w:tcW w:w="2829" w:type="dxa"/>
          </w:tcPr>
          <w:p w:rsidR="00CE3659" w:rsidRDefault="00CE3659" w:rsidP="00462AB7">
            <w:pPr>
              <w:pStyle w:val="Table"/>
            </w:pPr>
            <w:r w:rsidRPr="00E572B3">
              <w:t>Be Your Own Bos</w:t>
            </w:r>
            <w:r>
              <w:t>s</w:t>
            </w:r>
          </w:p>
          <w:p w:rsidR="00CE3659" w:rsidRDefault="00CE3659" w:rsidP="00462AB7">
            <w:pPr>
              <w:pStyle w:val="Table"/>
            </w:pPr>
            <w:r w:rsidRPr="008B2EB6">
              <w:t>Business Training And Advice Grant</w:t>
            </w:r>
          </w:p>
          <w:p w:rsidR="00CE3659" w:rsidRPr="00F65123" w:rsidRDefault="00CE3659" w:rsidP="00462AB7">
            <w:pPr>
              <w:pStyle w:val="Table"/>
            </w:pPr>
            <w:r w:rsidRPr="008B2EB6">
              <w:t>Flexi-wage Self Employment (subsidy)</w:t>
            </w:r>
          </w:p>
        </w:tc>
      </w:tr>
      <w:tr w:rsidR="00CE3659" w:rsidRPr="00F65123" w:rsidTr="00CE3659">
        <w:trPr>
          <w:cnfStyle w:val="000000100000" w:firstRow="0" w:lastRow="0" w:firstColumn="0" w:lastColumn="0" w:oddVBand="0" w:evenVBand="0" w:oddHBand="1" w:evenHBand="0" w:firstRowFirstColumn="0" w:firstRowLastColumn="0" w:lastRowFirstColumn="0" w:lastRowLastColumn="0"/>
        </w:trPr>
        <w:tc>
          <w:tcPr>
            <w:tcW w:w="1809" w:type="dxa"/>
            <w:hideMark/>
          </w:tcPr>
          <w:p w:rsidR="00CE3659" w:rsidRPr="00F65123" w:rsidRDefault="00CE3659" w:rsidP="00462AB7">
            <w:pPr>
              <w:pStyle w:val="Table"/>
            </w:pPr>
            <w:r w:rsidRPr="00F65123">
              <w:t>Incentive payments</w:t>
            </w:r>
          </w:p>
        </w:tc>
        <w:tc>
          <w:tcPr>
            <w:tcW w:w="4678" w:type="dxa"/>
            <w:hideMark/>
          </w:tcPr>
          <w:p w:rsidR="00CE3659" w:rsidRPr="00F65123" w:rsidRDefault="00CE3659" w:rsidP="00462AB7">
            <w:pPr>
              <w:pStyle w:val="Table"/>
            </w:pPr>
            <w:r w:rsidRPr="00F65123">
              <w:t xml:space="preserve">Programmes that provide payments to people if they take up employment, in </w:t>
            </w:r>
            <w:r w:rsidRPr="00C34FD3">
              <w:rPr>
                <w:noProof/>
              </w:rPr>
              <w:t>particular</w:t>
            </w:r>
            <w:r w:rsidR="00C34FD3">
              <w:rPr>
                <w:noProof/>
              </w:rPr>
              <w:t>,</w:t>
            </w:r>
            <w:r w:rsidRPr="00F65123">
              <w:t xml:space="preserve"> to take up employment outside their local area.</w:t>
            </w:r>
          </w:p>
        </w:tc>
        <w:tc>
          <w:tcPr>
            <w:tcW w:w="2829" w:type="dxa"/>
          </w:tcPr>
          <w:p w:rsidR="00CE3659" w:rsidRPr="00F65123" w:rsidRDefault="00CE3659" w:rsidP="00462AB7">
            <w:pPr>
              <w:pStyle w:val="Table"/>
            </w:pPr>
            <w:r>
              <w:t>3K to Work</w:t>
            </w:r>
          </w:p>
        </w:tc>
      </w:tr>
      <w:tr w:rsidR="00CE3659" w:rsidRPr="00F65123" w:rsidTr="00CE3659">
        <w:tc>
          <w:tcPr>
            <w:tcW w:w="1809" w:type="dxa"/>
            <w:hideMark/>
          </w:tcPr>
          <w:p w:rsidR="00CE3659" w:rsidRPr="00F65123" w:rsidRDefault="00CE3659" w:rsidP="00462AB7">
            <w:pPr>
              <w:pStyle w:val="Table"/>
            </w:pPr>
            <w:r w:rsidRPr="00F65123">
              <w:t>Transition to work financial support </w:t>
            </w:r>
          </w:p>
        </w:tc>
        <w:tc>
          <w:tcPr>
            <w:tcW w:w="4678" w:type="dxa"/>
            <w:hideMark/>
          </w:tcPr>
          <w:p w:rsidR="00CE3659" w:rsidRPr="00F65123" w:rsidRDefault="00CE3659" w:rsidP="00462AB7">
            <w:pPr>
              <w:pStyle w:val="Table"/>
            </w:pPr>
            <w:r w:rsidRPr="00F65123">
              <w:t>Financial assistance to help cover initial costs of moving into employment (eg work clothes and equipment) or to cover the period until the person is paid by the employer.</w:t>
            </w:r>
          </w:p>
        </w:tc>
        <w:tc>
          <w:tcPr>
            <w:tcW w:w="2829" w:type="dxa"/>
          </w:tcPr>
          <w:p w:rsidR="00CE3659" w:rsidRPr="00F65123" w:rsidRDefault="00CE3659" w:rsidP="00462AB7">
            <w:pPr>
              <w:pStyle w:val="Table"/>
            </w:pPr>
            <w:r>
              <w:t>Transition to Work Payment</w:t>
            </w:r>
          </w:p>
        </w:tc>
      </w:tr>
      <w:tr w:rsidR="00CE3659" w:rsidRPr="00F65123" w:rsidTr="00CE3659">
        <w:trPr>
          <w:cnfStyle w:val="000000100000" w:firstRow="0" w:lastRow="0" w:firstColumn="0" w:lastColumn="0" w:oddVBand="0" w:evenVBand="0" w:oddHBand="1" w:evenHBand="0" w:firstRowFirstColumn="0" w:firstRowLastColumn="0" w:lastRowFirstColumn="0" w:lastRowLastColumn="0"/>
        </w:trPr>
        <w:tc>
          <w:tcPr>
            <w:tcW w:w="1809" w:type="dxa"/>
            <w:hideMark/>
          </w:tcPr>
          <w:p w:rsidR="00CE3659" w:rsidRPr="00F65123" w:rsidRDefault="00CE3659" w:rsidP="000E7389">
            <w:pPr>
              <w:pStyle w:val="Table"/>
            </w:pPr>
            <w:r w:rsidRPr="00F65123">
              <w:lastRenderedPageBreak/>
              <w:t>In-</w:t>
            </w:r>
            <w:r w:rsidR="000E7389" w:rsidRPr="00F65123">
              <w:t>work</w:t>
            </w:r>
            <w:r w:rsidR="000E7389">
              <w:t xml:space="preserve"> </w:t>
            </w:r>
            <w:r w:rsidRPr="00F65123">
              <w:t>support (Financial)</w:t>
            </w:r>
          </w:p>
        </w:tc>
        <w:tc>
          <w:tcPr>
            <w:tcW w:w="4678" w:type="dxa"/>
            <w:hideMark/>
          </w:tcPr>
          <w:p w:rsidR="00CE3659" w:rsidRPr="00F65123" w:rsidRDefault="00CE3659" w:rsidP="00462AB7">
            <w:pPr>
              <w:pStyle w:val="Table"/>
            </w:pPr>
            <w:r w:rsidRPr="00F65123">
              <w:t xml:space="preserve">Financial assistance to help people with disruptions to employment or pay to ensure they can continue in employment and avoid returning to </w:t>
            </w:r>
            <w:r w:rsidRPr="00C34FD3">
              <w:rPr>
                <w:noProof/>
              </w:rPr>
              <w:t>main</w:t>
            </w:r>
            <w:r w:rsidRPr="00F65123">
              <w:t xml:space="preserve"> benefit.</w:t>
            </w:r>
          </w:p>
        </w:tc>
        <w:tc>
          <w:tcPr>
            <w:tcW w:w="2829" w:type="dxa"/>
          </w:tcPr>
          <w:p w:rsidR="00CE3659" w:rsidRDefault="00CE3659" w:rsidP="00462AB7">
            <w:pPr>
              <w:pStyle w:val="Table"/>
            </w:pPr>
            <w:r w:rsidRPr="008B2EB6">
              <w:t>Seasonal Work Assistance</w:t>
            </w:r>
          </w:p>
          <w:p w:rsidR="00CE3659" w:rsidRPr="00F65123" w:rsidRDefault="00CE3659" w:rsidP="00462AB7">
            <w:pPr>
              <w:pStyle w:val="Table"/>
            </w:pPr>
            <w:r w:rsidRPr="008B2EB6">
              <w:t>In-work tax credit</w:t>
            </w:r>
          </w:p>
        </w:tc>
      </w:tr>
      <w:tr w:rsidR="00CE3659" w:rsidRPr="00F65123" w:rsidTr="00CE3659">
        <w:tc>
          <w:tcPr>
            <w:tcW w:w="1809" w:type="dxa"/>
            <w:hideMark/>
          </w:tcPr>
          <w:p w:rsidR="00CE3659" w:rsidRPr="00F65123" w:rsidRDefault="008D4741" w:rsidP="00462AB7">
            <w:pPr>
              <w:pStyle w:val="Table"/>
            </w:pPr>
            <w:r>
              <w:t>In-</w:t>
            </w:r>
            <w:r w:rsidR="00CE3659" w:rsidRPr="00F65123">
              <w:t>work support (Pastoral)</w:t>
            </w:r>
          </w:p>
        </w:tc>
        <w:tc>
          <w:tcPr>
            <w:tcW w:w="4678" w:type="dxa"/>
            <w:hideMark/>
          </w:tcPr>
          <w:p w:rsidR="00CE3659" w:rsidRPr="00F65123" w:rsidRDefault="00CE3659" w:rsidP="00462AB7">
            <w:pPr>
              <w:pStyle w:val="Table"/>
            </w:pPr>
            <w:r w:rsidRPr="00F65123">
              <w:t>Programmes that contact people once they are in work to see how things are progressing and to help with any issues that might arise.</w:t>
            </w:r>
          </w:p>
        </w:tc>
        <w:tc>
          <w:tcPr>
            <w:tcW w:w="2829" w:type="dxa"/>
          </w:tcPr>
          <w:p w:rsidR="00CE3659" w:rsidRPr="00F65123" w:rsidRDefault="00CE3659" w:rsidP="00462AB7">
            <w:pPr>
              <w:pStyle w:val="Table"/>
            </w:pPr>
            <w:r w:rsidRPr="008B2EB6">
              <w:t>In-Work Support</w:t>
            </w:r>
          </w:p>
        </w:tc>
      </w:tr>
      <w:tr w:rsidR="00CE3659" w:rsidRPr="00F65123" w:rsidTr="00CE3659">
        <w:trPr>
          <w:cnfStyle w:val="000000100000" w:firstRow="0" w:lastRow="0" w:firstColumn="0" w:lastColumn="0" w:oddVBand="0" w:evenVBand="0" w:oddHBand="1" w:evenHBand="0" w:firstRowFirstColumn="0" w:firstRowLastColumn="0" w:lastRowFirstColumn="0" w:lastRowLastColumn="0"/>
        </w:trPr>
        <w:tc>
          <w:tcPr>
            <w:tcW w:w="1809" w:type="dxa"/>
            <w:hideMark/>
          </w:tcPr>
          <w:p w:rsidR="00CE3659" w:rsidRPr="00F65123" w:rsidRDefault="00CE3659" w:rsidP="00462AB7">
            <w:pPr>
              <w:pStyle w:val="Table"/>
            </w:pPr>
            <w:r w:rsidRPr="00F65123">
              <w:t>Childcare assistance</w:t>
            </w:r>
          </w:p>
        </w:tc>
        <w:tc>
          <w:tcPr>
            <w:tcW w:w="4678" w:type="dxa"/>
            <w:hideMark/>
          </w:tcPr>
          <w:p w:rsidR="00CE3659" w:rsidRPr="00F65123" w:rsidRDefault="00CE3659" w:rsidP="00462AB7">
            <w:pPr>
              <w:pStyle w:val="Table"/>
            </w:pPr>
            <w:r w:rsidRPr="00F65123">
              <w:t xml:space="preserve">Financial payments to </w:t>
            </w:r>
            <w:r w:rsidRPr="00C34FD3">
              <w:rPr>
                <w:noProof/>
              </w:rPr>
              <w:t>low</w:t>
            </w:r>
            <w:r w:rsidR="00C34FD3">
              <w:rPr>
                <w:noProof/>
              </w:rPr>
              <w:t>-</w:t>
            </w:r>
            <w:r w:rsidRPr="00C34FD3">
              <w:rPr>
                <w:noProof/>
              </w:rPr>
              <w:t>income</w:t>
            </w:r>
            <w:r w:rsidRPr="00F65123">
              <w:t xml:space="preserve"> families to help cover the cost of childcare services. </w:t>
            </w:r>
          </w:p>
        </w:tc>
        <w:tc>
          <w:tcPr>
            <w:tcW w:w="2829" w:type="dxa"/>
          </w:tcPr>
          <w:p w:rsidR="00CE3659" w:rsidRDefault="00CE3659" w:rsidP="00462AB7">
            <w:pPr>
              <w:pStyle w:val="Table"/>
            </w:pPr>
            <w:r w:rsidRPr="008B2EB6">
              <w:t>Flexible Childcare Assistance</w:t>
            </w:r>
          </w:p>
          <w:p w:rsidR="00CE3659" w:rsidRDefault="00CE3659" w:rsidP="00462AB7">
            <w:pPr>
              <w:pStyle w:val="Table"/>
            </w:pPr>
            <w:r w:rsidRPr="008B2EB6">
              <w:t>Childcare Subsidy</w:t>
            </w:r>
          </w:p>
          <w:p w:rsidR="00CE3659" w:rsidRPr="00F65123" w:rsidRDefault="00CE3659" w:rsidP="008D4741">
            <w:pPr>
              <w:pStyle w:val="Table"/>
            </w:pPr>
            <w:r>
              <w:t xml:space="preserve">OSCAR </w:t>
            </w:r>
            <w:r w:rsidR="008D4741">
              <w:t>S</w:t>
            </w:r>
            <w:r>
              <w:t>ubsidy</w:t>
            </w:r>
          </w:p>
        </w:tc>
      </w:tr>
      <w:tr w:rsidR="00CE3659" w:rsidRPr="00F65123" w:rsidTr="00CE3659">
        <w:tc>
          <w:tcPr>
            <w:tcW w:w="1809" w:type="dxa"/>
            <w:hideMark/>
          </w:tcPr>
          <w:p w:rsidR="00CE3659" w:rsidRPr="00F65123" w:rsidRDefault="00CE3659" w:rsidP="00462AB7">
            <w:pPr>
              <w:pStyle w:val="Table"/>
            </w:pPr>
            <w:r w:rsidRPr="00F65123">
              <w:t>Incentive payments</w:t>
            </w:r>
          </w:p>
        </w:tc>
        <w:tc>
          <w:tcPr>
            <w:tcW w:w="4678" w:type="dxa"/>
            <w:hideMark/>
          </w:tcPr>
          <w:p w:rsidR="00CE3659" w:rsidRPr="00F65123" w:rsidRDefault="000E7389" w:rsidP="000E7389">
            <w:pPr>
              <w:pStyle w:val="Table"/>
            </w:pPr>
            <w:r w:rsidRPr="00F65123">
              <w:t>Payments</w:t>
            </w:r>
            <w:r>
              <w:t xml:space="preserve"> </w:t>
            </w:r>
            <w:r w:rsidR="00CE3659" w:rsidRPr="00F65123">
              <w:t>to people who remain in employment for set periods (ie 3, 6 and 12 months)</w:t>
            </w:r>
            <w:r w:rsidR="008D4741">
              <w:t>.</w:t>
            </w:r>
            <w:r w:rsidR="00CE3659" w:rsidRPr="00F65123">
              <w:t> </w:t>
            </w:r>
          </w:p>
        </w:tc>
        <w:tc>
          <w:tcPr>
            <w:tcW w:w="2829" w:type="dxa"/>
          </w:tcPr>
          <w:p w:rsidR="00CE3659" w:rsidRDefault="00CE3659" w:rsidP="00462AB7">
            <w:pPr>
              <w:pStyle w:val="Table"/>
            </w:pPr>
            <w:r w:rsidRPr="008B2EB6">
              <w:t>In Work Paymen</w:t>
            </w:r>
            <w:r>
              <w:t>t</w:t>
            </w:r>
          </w:p>
          <w:p w:rsidR="00CE3659" w:rsidRPr="00F65123" w:rsidRDefault="00CE3659" w:rsidP="00462AB7">
            <w:pPr>
              <w:pStyle w:val="Table"/>
            </w:pPr>
            <w:r>
              <w:t>Work Bonus</w:t>
            </w:r>
          </w:p>
        </w:tc>
      </w:tr>
      <w:tr w:rsidR="00CE3659" w:rsidRPr="00F65123" w:rsidTr="00CE3659">
        <w:trPr>
          <w:cnfStyle w:val="000000100000" w:firstRow="0" w:lastRow="0" w:firstColumn="0" w:lastColumn="0" w:oddVBand="0" w:evenVBand="0" w:oddHBand="1" w:evenHBand="0" w:firstRowFirstColumn="0" w:firstRowLastColumn="0" w:lastRowFirstColumn="0" w:lastRowLastColumn="0"/>
        </w:trPr>
        <w:tc>
          <w:tcPr>
            <w:tcW w:w="1809" w:type="dxa"/>
            <w:hideMark/>
          </w:tcPr>
          <w:p w:rsidR="00CE3659" w:rsidRPr="00F65123" w:rsidRDefault="00CE3659" w:rsidP="00462AB7">
            <w:pPr>
              <w:pStyle w:val="Table"/>
            </w:pPr>
            <w:r w:rsidRPr="00F65123">
              <w:t>Vocational Services</w:t>
            </w:r>
          </w:p>
        </w:tc>
        <w:tc>
          <w:tcPr>
            <w:tcW w:w="4678" w:type="dxa"/>
            <w:hideMark/>
          </w:tcPr>
          <w:p w:rsidR="00CE3659" w:rsidRPr="00F65123" w:rsidRDefault="00CE3659" w:rsidP="00462AB7">
            <w:pPr>
              <w:pStyle w:val="Table"/>
            </w:pPr>
            <w:r w:rsidRPr="00C34FD3">
              <w:rPr>
                <w:noProof/>
              </w:rPr>
              <w:t>Externally</w:t>
            </w:r>
            <w:r w:rsidR="00C34FD3">
              <w:rPr>
                <w:noProof/>
              </w:rPr>
              <w:t>-</w:t>
            </w:r>
            <w:r w:rsidRPr="00C34FD3">
              <w:rPr>
                <w:noProof/>
              </w:rPr>
              <w:t>contracted</w:t>
            </w:r>
            <w:r w:rsidRPr="00F65123">
              <w:t xml:space="preserve"> employment assistance to </w:t>
            </w:r>
            <w:r>
              <w:t>people</w:t>
            </w:r>
            <w:r w:rsidRPr="00F65123">
              <w:t xml:space="preserve"> with ill-health or disabilities.</w:t>
            </w:r>
          </w:p>
        </w:tc>
        <w:tc>
          <w:tcPr>
            <w:tcW w:w="2829" w:type="dxa"/>
          </w:tcPr>
          <w:p w:rsidR="00CE3659" w:rsidRPr="00F65123" w:rsidRDefault="00CE3659" w:rsidP="00462AB7">
            <w:pPr>
              <w:pStyle w:val="Table"/>
            </w:pPr>
            <w:r>
              <w:t>Vocational Services Employment</w:t>
            </w:r>
          </w:p>
        </w:tc>
      </w:tr>
      <w:tr w:rsidR="00CE3659" w:rsidRPr="00F65123" w:rsidTr="00CE3659">
        <w:tc>
          <w:tcPr>
            <w:tcW w:w="1809" w:type="dxa"/>
            <w:hideMark/>
          </w:tcPr>
          <w:p w:rsidR="00CE3659" w:rsidRPr="00F65123" w:rsidRDefault="00CE3659" w:rsidP="00462AB7">
            <w:pPr>
              <w:pStyle w:val="Table"/>
            </w:pPr>
            <w:r w:rsidRPr="00F65123">
              <w:t>Youth Programmes</w:t>
            </w:r>
          </w:p>
        </w:tc>
        <w:tc>
          <w:tcPr>
            <w:tcW w:w="4678" w:type="dxa"/>
            <w:hideMark/>
          </w:tcPr>
          <w:p w:rsidR="00CE3659" w:rsidRPr="00F65123" w:rsidRDefault="00CE3659" w:rsidP="00462AB7">
            <w:pPr>
              <w:pStyle w:val="Table"/>
            </w:pPr>
            <w:r w:rsidRPr="00F65123">
              <w:t>Assistance targeted at teen</w:t>
            </w:r>
            <w:r>
              <w:t>s</w:t>
            </w:r>
            <w:r w:rsidRPr="00F65123">
              <w:t xml:space="preserve"> (usually under the age of 18) to help them remain in education, training or employment.</w:t>
            </w:r>
          </w:p>
        </w:tc>
        <w:tc>
          <w:tcPr>
            <w:tcW w:w="2829" w:type="dxa"/>
          </w:tcPr>
          <w:p w:rsidR="00CE3659" w:rsidRPr="00F65123" w:rsidRDefault="00CE3659" w:rsidP="00462AB7">
            <w:pPr>
              <w:pStyle w:val="Table"/>
            </w:pPr>
            <w:r>
              <w:t>Youth Services</w:t>
            </w:r>
          </w:p>
        </w:tc>
      </w:tr>
      <w:tr w:rsidR="00CE3659" w:rsidRPr="00F65123" w:rsidTr="00CE3659">
        <w:trPr>
          <w:cnfStyle w:val="000000100000" w:firstRow="0" w:lastRow="0" w:firstColumn="0" w:lastColumn="0" w:oddVBand="0" w:evenVBand="0" w:oddHBand="1" w:evenHBand="0" w:firstRowFirstColumn="0" w:firstRowLastColumn="0" w:lastRowFirstColumn="0" w:lastRowLastColumn="0"/>
        </w:trPr>
        <w:tc>
          <w:tcPr>
            <w:tcW w:w="1809" w:type="dxa"/>
            <w:hideMark/>
          </w:tcPr>
          <w:p w:rsidR="00CE3659" w:rsidRPr="00F65123" w:rsidRDefault="00CE3659" w:rsidP="00462AB7">
            <w:pPr>
              <w:pStyle w:val="Table"/>
            </w:pPr>
            <w:r w:rsidRPr="00F65123">
              <w:t>Migrant assistance</w:t>
            </w:r>
          </w:p>
        </w:tc>
        <w:tc>
          <w:tcPr>
            <w:tcW w:w="4678" w:type="dxa"/>
            <w:hideMark/>
          </w:tcPr>
          <w:p w:rsidR="00CE3659" w:rsidRPr="00F65123" w:rsidRDefault="00CE3659" w:rsidP="00462AB7">
            <w:pPr>
              <w:pStyle w:val="Table"/>
            </w:pPr>
            <w:r w:rsidRPr="00F65123">
              <w:t>Assistance target</w:t>
            </w:r>
            <w:r>
              <w:t>ed at new migrants and refugees</w:t>
            </w:r>
            <w:r w:rsidRPr="00F65123">
              <w:t>.</w:t>
            </w:r>
          </w:p>
        </w:tc>
        <w:tc>
          <w:tcPr>
            <w:tcW w:w="2829" w:type="dxa"/>
          </w:tcPr>
          <w:p w:rsidR="00CE3659" w:rsidRPr="00F65123" w:rsidRDefault="00CE3659" w:rsidP="00462AB7">
            <w:pPr>
              <w:pStyle w:val="Table"/>
            </w:pPr>
            <w:r w:rsidRPr="008B2EB6">
              <w:t>Migrant Employment Assistance</w:t>
            </w:r>
          </w:p>
        </w:tc>
      </w:tr>
      <w:tr w:rsidR="00CE3659" w:rsidRPr="00F65123" w:rsidTr="00CE3659">
        <w:tc>
          <w:tcPr>
            <w:tcW w:w="1809" w:type="dxa"/>
            <w:hideMark/>
          </w:tcPr>
          <w:p w:rsidR="00CE3659" w:rsidRPr="00F65123" w:rsidRDefault="00CE3659" w:rsidP="00462AB7">
            <w:pPr>
              <w:pStyle w:val="Table"/>
            </w:pPr>
            <w:r w:rsidRPr="00F65123">
              <w:t>New Initiatives</w:t>
            </w:r>
          </w:p>
        </w:tc>
        <w:tc>
          <w:tcPr>
            <w:tcW w:w="4678" w:type="dxa"/>
            <w:hideMark/>
          </w:tcPr>
          <w:p w:rsidR="00CE3659" w:rsidRPr="00F65123" w:rsidRDefault="00CE3659" w:rsidP="00462AB7">
            <w:pPr>
              <w:pStyle w:val="Table"/>
            </w:pPr>
            <w:r w:rsidRPr="00F65123">
              <w:t>Locally developed initiatives that cannot be easily categorised.</w:t>
            </w:r>
          </w:p>
        </w:tc>
        <w:tc>
          <w:tcPr>
            <w:tcW w:w="2829" w:type="dxa"/>
          </w:tcPr>
          <w:p w:rsidR="00CE3659" w:rsidRPr="00F65123" w:rsidRDefault="00CE3659" w:rsidP="00462AB7">
            <w:pPr>
              <w:pStyle w:val="Table"/>
            </w:pPr>
            <w:r w:rsidRPr="00F65123">
              <w:t>New Initiatives</w:t>
            </w:r>
          </w:p>
        </w:tc>
      </w:tr>
    </w:tbl>
    <w:p w:rsidR="00CE3659" w:rsidRDefault="00CE3659" w:rsidP="00CE3659">
      <w:pPr>
        <w:pStyle w:val="Heading2"/>
      </w:pPr>
      <w:bookmarkStart w:id="21" w:name="_Toc514063446"/>
      <w:bookmarkStart w:id="22" w:name="_Toc524003444"/>
      <w:r>
        <w:t>Definition of an EA intervention spell</w:t>
      </w:r>
      <w:bookmarkEnd w:id="21"/>
      <w:bookmarkEnd w:id="22"/>
    </w:p>
    <w:p w:rsidR="00CE3659" w:rsidRDefault="00CE3659" w:rsidP="00CE3659">
      <w:r>
        <w:t>For the purposes of our analysis we define EA interventions as discrete events that have the following attributes:</w:t>
      </w:r>
    </w:p>
    <w:p w:rsidR="00CE3659" w:rsidRDefault="00CE3659" w:rsidP="00CE3659">
      <w:pPr>
        <w:pStyle w:val="ListParagraph"/>
        <w:numPr>
          <w:ilvl w:val="0"/>
          <w:numId w:val="12"/>
        </w:numPr>
        <w:spacing w:before="60" w:after="60"/>
      </w:pPr>
      <w:r>
        <w:t>Person identifier: system id that determines who received the intervention</w:t>
      </w:r>
    </w:p>
    <w:p w:rsidR="00CE3659" w:rsidRDefault="00CE3659" w:rsidP="00CE3659">
      <w:pPr>
        <w:pStyle w:val="ListParagraph"/>
        <w:numPr>
          <w:ilvl w:val="0"/>
          <w:numId w:val="12"/>
        </w:numPr>
        <w:spacing w:before="60" w:after="60"/>
      </w:pPr>
      <w:r>
        <w:t>Intervention name: name of the intervention</w:t>
      </w:r>
    </w:p>
    <w:p w:rsidR="00CE3659" w:rsidRDefault="00CE3659" w:rsidP="00CE3659">
      <w:pPr>
        <w:pStyle w:val="ListParagraph"/>
        <w:numPr>
          <w:ilvl w:val="0"/>
          <w:numId w:val="12"/>
        </w:numPr>
        <w:spacing w:before="60" w:after="60"/>
      </w:pPr>
      <w:r>
        <w:t>Start date: calendar date the person started the intervention.</w:t>
      </w:r>
    </w:p>
    <w:p w:rsidR="00CE3659" w:rsidRDefault="00CE3659" w:rsidP="00CE3659">
      <w:r>
        <w:t>These elements are the minimum necessary to evaluate the effectiveness of the intervention. Additional attributes that we also try to collect include:</w:t>
      </w:r>
    </w:p>
    <w:p w:rsidR="00CE3659" w:rsidRDefault="00CE3659" w:rsidP="00CE3659">
      <w:pPr>
        <w:pStyle w:val="ListParagraph"/>
        <w:numPr>
          <w:ilvl w:val="0"/>
          <w:numId w:val="13"/>
        </w:numPr>
        <w:spacing w:before="60" w:after="60"/>
      </w:pPr>
      <w:r>
        <w:t>End date: the date the person finished the intervention</w:t>
      </w:r>
    </w:p>
    <w:p w:rsidR="00CE3659" w:rsidRDefault="00CE3659" w:rsidP="00CE3659">
      <w:pPr>
        <w:pStyle w:val="ListParagraph"/>
        <w:numPr>
          <w:ilvl w:val="0"/>
          <w:numId w:val="13"/>
        </w:numPr>
        <w:spacing w:before="60" w:after="60"/>
      </w:pPr>
      <w:r>
        <w:t>Referral date: when they were referred to the intervention</w:t>
      </w:r>
    </w:p>
    <w:p w:rsidR="00CE3659" w:rsidRDefault="00CE3659" w:rsidP="00CE3659">
      <w:pPr>
        <w:pStyle w:val="ListParagraph"/>
        <w:numPr>
          <w:ilvl w:val="0"/>
          <w:numId w:val="13"/>
        </w:numPr>
        <w:spacing w:before="60" w:after="60"/>
      </w:pPr>
      <w:r>
        <w:t>Provider: who delivered the intervention, especially when it is contracted out</w:t>
      </w:r>
    </w:p>
    <w:p w:rsidR="00CE3659" w:rsidRDefault="00CE3659" w:rsidP="00CE3659">
      <w:pPr>
        <w:pStyle w:val="ListParagraph"/>
        <w:numPr>
          <w:ilvl w:val="0"/>
          <w:numId w:val="13"/>
        </w:numPr>
        <w:spacing w:before="60" w:after="60"/>
      </w:pPr>
      <w:r>
        <w:t xml:space="preserve">Cost: how much it cost, this is covered in the section on the cost of employment interventions (see page </w:t>
      </w:r>
      <w:r>
        <w:fldChar w:fldCharType="begin"/>
      </w:r>
      <w:r>
        <w:instrText xml:space="preserve"> PAGEREF _Ref512253680 \h </w:instrText>
      </w:r>
      <w:r>
        <w:fldChar w:fldCharType="separate"/>
      </w:r>
      <w:r w:rsidR="00F24924">
        <w:rPr>
          <w:noProof/>
        </w:rPr>
        <w:t>12</w:t>
      </w:r>
      <w:r>
        <w:fldChar w:fldCharType="end"/>
      </w:r>
      <w:r>
        <w:t>).</w:t>
      </w:r>
    </w:p>
    <w:p w:rsidR="00CE3659" w:rsidRDefault="00CE3659" w:rsidP="00CE3659">
      <w:pPr>
        <w:pStyle w:val="Heading3"/>
      </w:pPr>
      <w:bookmarkStart w:id="23" w:name="_Toc524003445"/>
      <w:r>
        <w:t xml:space="preserve">Do you exclude </w:t>
      </w:r>
      <w:r w:rsidRPr="00C34FD3">
        <w:rPr>
          <w:noProof/>
        </w:rPr>
        <w:t>of</w:t>
      </w:r>
      <w:r>
        <w:t xml:space="preserve"> short duration spells or non-completers?</w:t>
      </w:r>
      <w:bookmarkEnd w:id="23"/>
    </w:p>
    <w:p w:rsidR="00CE3659" w:rsidRDefault="00CE3659" w:rsidP="00CE3659">
      <w:pPr>
        <w:rPr>
          <w:lang w:eastAsia="en-AU"/>
        </w:rPr>
      </w:pPr>
      <w:r>
        <w:rPr>
          <w:lang w:eastAsia="en-AU"/>
        </w:rPr>
        <w:t xml:space="preserve">In the analysis of EA interventions, we include all participant starts and do not exclude any apparently short participation spells or those recorded as not having completed the programme or course. There are two reasons for taking this position. The first is the difficulty in having reliable participation end dates or information on who successfully completed the intervention. As discussed below, this information may or may not be </w:t>
      </w:r>
      <w:r>
        <w:rPr>
          <w:lang w:eastAsia="en-AU"/>
        </w:rPr>
        <w:lastRenderedPageBreak/>
        <w:t>recorded depending on the source system or the diligence of staff in recording these types of outcomes in the administrative system.</w:t>
      </w:r>
    </w:p>
    <w:p w:rsidR="00CE3659" w:rsidRPr="00DA1616" w:rsidRDefault="00CE3659" w:rsidP="00CE3659">
      <w:pPr>
        <w:rPr>
          <w:lang w:eastAsia="en-AU"/>
        </w:rPr>
      </w:pPr>
      <w:r>
        <w:rPr>
          <w:lang w:eastAsia="en-AU"/>
        </w:rPr>
        <w:t>The second reason is that we consider early exits or non-completion is a core feature of the intervention and should be included in its assessment of its effectiveness. Therefore, if an intervention is being poorly run such that many participants either exit soon after starting or fail to complete the programme, then this should be reflected in its performance.</w:t>
      </w:r>
    </w:p>
    <w:p w:rsidR="00CE3659" w:rsidRDefault="00CE3659" w:rsidP="00CE3659">
      <w:pPr>
        <w:pStyle w:val="Heading3"/>
      </w:pPr>
      <w:bookmarkStart w:id="24" w:name="_Toc524003446"/>
      <w:r>
        <w:t>Common issues with EA intervention data</w:t>
      </w:r>
      <w:bookmarkEnd w:id="24"/>
    </w:p>
    <w:p w:rsidR="00CE3659" w:rsidRDefault="007471D7" w:rsidP="00CE3659">
      <w:r>
        <w:t>Because EA information is located in more than seven MSD administrative systems c</w:t>
      </w:r>
      <w:r w:rsidR="00CE3659">
        <w:t xml:space="preserve">ompiling information about EA interventions is not </w:t>
      </w:r>
      <w:r>
        <w:t xml:space="preserve">always </w:t>
      </w:r>
      <w:r w:rsidR="00CE3659">
        <w:t xml:space="preserve">straightforward. As with most administrative </w:t>
      </w:r>
      <w:r w:rsidR="00CE3659" w:rsidRPr="00C34FD3">
        <w:rPr>
          <w:noProof/>
        </w:rPr>
        <w:t>data</w:t>
      </w:r>
      <w:r w:rsidR="00C34FD3">
        <w:rPr>
          <w:noProof/>
        </w:rPr>
        <w:t>,</w:t>
      </w:r>
      <w:r w:rsidR="00CE3659">
        <w:t xml:space="preserve"> there are a number of issues with how well EA intervention data is recorded.</w:t>
      </w:r>
    </w:p>
    <w:p w:rsidR="00CE3659" w:rsidRDefault="00CE3659" w:rsidP="00CE3659">
      <w:pPr>
        <w:pStyle w:val="Heading4"/>
      </w:pPr>
      <w:r>
        <w:t>Duplicate participation events</w:t>
      </w:r>
    </w:p>
    <w:p w:rsidR="00CE3659" w:rsidRDefault="00CE3659" w:rsidP="00CE3659">
      <w:r>
        <w:t xml:space="preserve">Participation events are defined as any recorded participation spell. In some cases, a person may participate in two different interventions </w:t>
      </w:r>
      <w:r w:rsidR="00C34FD3">
        <w:rPr>
          <w:noProof/>
        </w:rPr>
        <w:t>o</w:t>
      </w:r>
      <w:r w:rsidRPr="00C34FD3">
        <w:rPr>
          <w:noProof/>
        </w:rPr>
        <w:t>n</w:t>
      </w:r>
      <w:r>
        <w:t xml:space="preserve"> the same day. This occurs where a person may receive different forms of assistance (eg a Job Plus and Work Start Grant or Enterprise Allowance and Enterprise Capitalisation). However, there are duplicate participation spells for the same person, intervention and start date. When these occur we select only one event.</w:t>
      </w:r>
    </w:p>
    <w:p w:rsidR="00CE3659" w:rsidRDefault="00CE3659" w:rsidP="00CE3659">
      <w:r>
        <w:t xml:space="preserve">In a small number of </w:t>
      </w:r>
      <w:r w:rsidRPr="00C34FD3">
        <w:rPr>
          <w:noProof/>
        </w:rPr>
        <w:t>instances</w:t>
      </w:r>
      <w:r w:rsidR="00C34FD3">
        <w:rPr>
          <w:noProof/>
        </w:rPr>
        <w:t>,</w:t>
      </w:r>
      <w:r>
        <w:t xml:space="preserve"> we also take an intervention’s participation from only one IT application source. These occur where business processes indicate that this is the primary system for recording intervention participation spells. </w:t>
      </w:r>
    </w:p>
    <w:p w:rsidR="00CE3659" w:rsidRDefault="00CE3659" w:rsidP="00CE3659">
      <w:pPr>
        <w:pStyle w:val="Heading4"/>
      </w:pPr>
      <w:r>
        <w:t>Inconsistent system information</w:t>
      </w:r>
    </w:p>
    <w:p w:rsidR="00CE3659" w:rsidRDefault="00CE3659" w:rsidP="00CE3659">
      <w:r>
        <w:t xml:space="preserve">In a substantial number of cases, there is more than one source of information for a variable for a given EA participation record. Important examples </w:t>
      </w:r>
      <w:r w:rsidRPr="00C34FD3">
        <w:rPr>
          <w:noProof/>
        </w:rPr>
        <w:t>include</w:t>
      </w:r>
      <w:r>
        <w:t xml:space="preserve"> the name of the intervention, provider name and participation start and end dates. We identify those records where these inconsistencies occur. The general approach to resolving these inconsistencies has been to favour the source that is most closely associated with </w:t>
      </w:r>
      <w:r w:rsidR="00C34FD3">
        <w:t xml:space="preserve">the </w:t>
      </w:r>
      <w:r w:rsidRPr="00C34FD3">
        <w:rPr>
          <w:noProof/>
        </w:rPr>
        <w:t>event</w:t>
      </w:r>
      <w:r>
        <w:t xml:space="preserve"> itself. For example, if a contract system end date differs from the front line application end date, we take the front line system end date.</w:t>
      </w:r>
    </w:p>
    <w:p w:rsidR="00CE3659" w:rsidRDefault="00CE3659" w:rsidP="00CE3659">
      <w:pPr>
        <w:pStyle w:val="Heading4"/>
      </w:pPr>
      <w:r>
        <w:t>Participation end dates</w:t>
      </w:r>
    </w:p>
    <w:p w:rsidR="00CE3659" w:rsidRDefault="00CE3659" w:rsidP="00CE3659">
      <w:r>
        <w:t xml:space="preserve">One difficult area of EA participation is </w:t>
      </w:r>
      <w:r w:rsidR="00C34FD3">
        <w:t xml:space="preserve">an </w:t>
      </w:r>
      <w:r w:rsidRPr="00C34FD3">
        <w:rPr>
          <w:noProof/>
        </w:rPr>
        <w:t>accurate</w:t>
      </w:r>
      <w:r>
        <w:t xml:space="preserve"> recording of participation end dates. Either end dates are missing or they are miss-keyed, giving either implausibly long participation spells or end dates that are earlier than start dates. In many instances, it is necessary to impute end dates where they are currently null or implausible (eg a seminar lasting </w:t>
      </w:r>
      <w:r w:rsidR="00C21D5C">
        <w:t xml:space="preserve">eight </w:t>
      </w:r>
      <w:r>
        <w:t xml:space="preserve">years). If there is information </w:t>
      </w:r>
      <w:r w:rsidR="00C21D5C">
        <w:t xml:space="preserve">about </w:t>
      </w:r>
      <w:r>
        <w:t>the expected end date, then we use this when the actual end date is missing. If no suitable end date is available, we estimate the end date based on the observed duration that people spend on the intervention or a similar intervention, if required.</w:t>
      </w:r>
    </w:p>
    <w:p w:rsidR="00CE3659" w:rsidRDefault="00CE3659" w:rsidP="00CE3659">
      <w:pPr>
        <w:pStyle w:val="Heading4"/>
      </w:pPr>
      <w:r>
        <w:t>Referrals</w:t>
      </w:r>
    </w:p>
    <w:p w:rsidR="00CE3659" w:rsidRDefault="00CE3659" w:rsidP="00CE3659">
      <w:r>
        <w:t xml:space="preserve">From an evaluation </w:t>
      </w:r>
      <w:r w:rsidRPr="00C34FD3">
        <w:rPr>
          <w:noProof/>
        </w:rPr>
        <w:t>perspective</w:t>
      </w:r>
      <w:r w:rsidR="00C34FD3">
        <w:rPr>
          <w:noProof/>
        </w:rPr>
        <w:t>,</w:t>
      </w:r>
      <w:r>
        <w:t xml:space="preserve"> we are interested in when people are referred to interventions to identify who might have been approached about participating as well as to identify likely effects of being referred to an intervention. For example, do we see a </w:t>
      </w:r>
      <w:r w:rsidRPr="00C34FD3">
        <w:rPr>
          <w:noProof/>
        </w:rPr>
        <w:lastRenderedPageBreak/>
        <w:t>lock</w:t>
      </w:r>
      <w:r w:rsidR="00C34FD3">
        <w:rPr>
          <w:noProof/>
        </w:rPr>
        <w:t>-</w:t>
      </w:r>
      <w:r w:rsidRPr="00C34FD3">
        <w:rPr>
          <w:noProof/>
        </w:rPr>
        <w:t>in</w:t>
      </w:r>
      <w:r>
        <w:t xml:space="preserve"> effect or the reverse, people exiting benefit in the period between referral and intervention start?</w:t>
      </w:r>
    </w:p>
    <w:p w:rsidR="00CE3659" w:rsidRDefault="00CE3659" w:rsidP="00CE3659">
      <w:r>
        <w:t xml:space="preserve">Referral information is generally unreliable for this type of analysis. In many </w:t>
      </w:r>
      <w:r w:rsidRPr="00C34FD3">
        <w:rPr>
          <w:noProof/>
        </w:rPr>
        <w:t>instances</w:t>
      </w:r>
      <w:r w:rsidR="00C34FD3">
        <w:rPr>
          <w:noProof/>
        </w:rPr>
        <w:t>,</w:t>
      </w:r>
      <w:r>
        <w:t xml:space="preserve"> formal recording of referral occurs after an informal discussion and conversation with the intervention providers. Under these </w:t>
      </w:r>
      <w:r w:rsidRPr="00C34FD3">
        <w:rPr>
          <w:noProof/>
        </w:rPr>
        <w:t>conditions</w:t>
      </w:r>
      <w:r w:rsidR="00C34FD3">
        <w:rPr>
          <w:noProof/>
        </w:rPr>
        <w:t>,</w:t>
      </w:r>
      <w:r>
        <w:t xml:space="preserve"> referral captures the point when a person is confirmed as intending to participate in the intervention. What </w:t>
      </w:r>
      <w:r w:rsidR="00C34FD3">
        <w:rPr>
          <w:noProof/>
        </w:rPr>
        <w:t>is</w:t>
      </w:r>
      <w:r>
        <w:t xml:space="preserve"> missed are those people where the case manager may have discussed the opportunity </w:t>
      </w:r>
      <w:r w:rsidR="00465661">
        <w:t xml:space="preserve">with </w:t>
      </w:r>
      <w:r w:rsidR="00C34FD3">
        <w:t xml:space="preserve">the </w:t>
      </w:r>
      <w:r w:rsidRPr="00C34FD3">
        <w:rPr>
          <w:noProof/>
        </w:rPr>
        <w:t>participant</w:t>
      </w:r>
      <w:r>
        <w:t xml:space="preserve"> and the individual turned it down or where a provider had screened potential participants out.</w:t>
      </w:r>
    </w:p>
    <w:p w:rsidR="00CE3659" w:rsidRDefault="00CE3659" w:rsidP="00CE3659">
      <w:pPr>
        <w:pStyle w:val="Heading2"/>
      </w:pPr>
      <w:bookmarkStart w:id="25" w:name="_Toc514063447"/>
      <w:bookmarkStart w:id="26" w:name="_Toc524003447"/>
      <w:r>
        <w:t>Case management services</w:t>
      </w:r>
      <w:bookmarkEnd w:id="25"/>
      <w:bookmarkEnd w:id="26"/>
    </w:p>
    <w:p w:rsidR="00CE3659" w:rsidRDefault="00CE3659" w:rsidP="00CE3659">
      <w:r w:rsidRPr="00F65123">
        <w:t xml:space="preserve">From October 2012 in selected sites, and from July 2013 for all sites, people receiving income support (main benefit or supplementary only) are automatically allocated to a </w:t>
      </w:r>
      <w:r w:rsidR="000C0AA1" w:rsidRPr="00F65123">
        <w:t>case</w:t>
      </w:r>
      <w:r w:rsidR="00465661">
        <w:t xml:space="preserve"> </w:t>
      </w:r>
      <w:r w:rsidRPr="00F65123">
        <w:t xml:space="preserve">management service. The allocation process is managed centrally, with </w:t>
      </w:r>
      <w:r w:rsidR="00C34FD3">
        <w:t xml:space="preserve">the </w:t>
      </w:r>
      <w:r w:rsidRPr="00C34FD3">
        <w:rPr>
          <w:noProof/>
        </w:rPr>
        <w:t>site</w:t>
      </w:r>
      <w:r w:rsidRPr="00F65123">
        <w:t xml:space="preserve"> and case managers sent lists of people in each </w:t>
      </w:r>
      <w:r w:rsidR="000C0AA1" w:rsidRPr="00F65123">
        <w:t>case</w:t>
      </w:r>
      <w:r w:rsidR="00465661">
        <w:t xml:space="preserve"> </w:t>
      </w:r>
      <w:r w:rsidRPr="00F65123">
        <w:t xml:space="preserve">management service. In addition, the service allocation process updates </w:t>
      </w:r>
      <w:r w:rsidRPr="00C34FD3">
        <w:rPr>
          <w:noProof/>
        </w:rPr>
        <w:t>front</w:t>
      </w:r>
      <w:r w:rsidR="00C34FD3">
        <w:rPr>
          <w:noProof/>
        </w:rPr>
        <w:t>-</w:t>
      </w:r>
      <w:r w:rsidRPr="00C34FD3">
        <w:rPr>
          <w:noProof/>
        </w:rPr>
        <w:t>line</w:t>
      </w:r>
      <w:r w:rsidRPr="00F65123">
        <w:t xml:space="preserve"> systems of the individual’s service status.</w:t>
      </w:r>
    </w:p>
    <w:p w:rsidR="00CE3659" w:rsidRDefault="00CE3659" w:rsidP="00CE3659">
      <w:r>
        <w:t xml:space="preserve">The establishment of </w:t>
      </w:r>
      <w:r w:rsidR="000C0AA1">
        <w:t>case</w:t>
      </w:r>
      <w:r w:rsidR="00465661">
        <w:t xml:space="preserve"> </w:t>
      </w:r>
      <w:r>
        <w:t xml:space="preserve">management allocation has enabled MSD to better understand who is receiving different levels of </w:t>
      </w:r>
      <w:r w:rsidR="000C0AA1">
        <w:t>case</w:t>
      </w:r>
      <w:r w:rsidR="00465661">
        <w:t xml:space="preserve"> </w:t>
      </w:r>
      <w:r>
        <w:t xml:space="preserve">management assistance. </w:t>
      </w:r>
      <w:r>
        <w:fldChar w:fldCharType="begin"/>
      </w:r>
      <w:r>
        <w:instrText xml:space="preserve"> REF _Ref513116390 \h </w:instrText>
      </w:r>
      <w:r>
        <w:fldChar w:fldCharType="separate"/>
      </w:r>
      <w:r w:rsidR="00F24924">
        <w:t xml:space="preserve">Table </w:t>
      </w:r>
      <w:r w:rsidR="00F24924">
        <w:rPr>
          <w:noProof/>
        </w:rPr>
        <w:t>2</w:t>
      </w:r>
      <w:r>
        <w:fldChar w:fldCharType="end"/>
      </w:r>
      <w:r>
        <w:t xml:space="preserve"> summarises the </w:t>
      </w:r>
      <w:r w:rsidR="000C0AA1">
        <w:t>case</w:t>
      </w:r>
      <w:r w:rsidR="00134FBE">
        <w:t xml:space="preserve"> </w:t>
      </w:r>
      <w:r>
        <w:t xml:space="preserve">management services included in the </w:t>
      </w:r>
      <w:r w:rsidR="000C0AA1">
        <w:t>case</w:t>
      </w:r>
      <w:r w:rsidR="00465661">
        <w:t xml:space="preserve"> </w:t>
      </w:r>
      <w:r>
        <w:t>management allocation process.</w:t>
      </w:r>
    </w:p>
    <w:p w:rsidR="00CE3659" w:rsidRPr="00F65123" w:rsidRDefault="00CE3659" w:rsidP="00CE3659">
      <w:pPr>
        <w:pStyle w:val="Heading4"/>
        <w:rPr>
          <w:rFonts w:ascii="Segoe UI" w:eastAsia="Times New Roman" w:hAnsi="Segoe UI" w:cs="Segoe UI"/>
          <w:color w:val="333333"/>
          <w:sz w:val="21"/>
          <w:szCs w:val="21"/>
          <w:lang w:eastAsia="en-NZ"/>
        </w:rPr>
      </w:pPr>
      <w:bookmarkStart w:id="27" w:name="_Ref513116390"/>
      <w:bookmarkStart w:id="28" w:name="_Toc945098"/>
      <w:r>
        <w:t xml:space="preserve">Table </w:t>
      </w:r>
      <w:fldSimple w:instr=" SEQ Table \* ARABIC ">
        <w:r w:rsidR="00F24924">
          <w:rPr>
            <w:noProof/>
          </w:rPr>
          <w:t>2</w:t>
        </w:r>
      </w:fldSimple>
      <w:bookmarkEnd w:id="27"/>
      <w:r>
        <w:t xml:space="preserve">: </w:t>
      </w:r>
      <w:r w:rsidR="000C0AA1">
        <w:t>Case</w:t>
      </w:r>
      <w:r w:rsidR="00465661">
        <w:t xml:space="preserve"> </w:t>
      </w:r>
      <w:r>
        <w:t>management services</w:t>
      </w:r>
      <w:bookmarkEnd w:id="28"/>
    </w:p>
    <w:tbl>
      <w:tblPr>
        <w:tblStyle w:val="MSDreportstyle"/>
        <w:tblW w:w="0" w:type="auto"/>
        <w:tblLook w:val="0420" w:firstRow="1" w:lastRow="0" w:firstColumn="0" w:lastColumn="0" w:noHBand="0" w:noVBand="1"/>
      </w:tblPr>
      <w:tblGrid>
        <w:gridCol w:w="3252"/>
        <w:gridCol w:w="4512"/>
        <w:gridCol w:w="1478"/>
      </w:tblGrid>
      <w:tr w:rsidR="00CE3659" w:rsidRPr="00CE3659" w:rsidTr="00462AB7">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CE3659" w:rsidRPr="00CE3659" w:rsidRDefault="00CE3659" w:rsidP="00462AB7">
            <w:pPr>
              <w:pStyle w:val="Table"/>
              <w:rPr>
                <w:b/>
                <w:color w:val="FFFFFF" w:themeColor="background1"/>
              </w:rPr>
            </w:pPr>
            <w:r w:rsidRPr="00CE3659">
              <w:rPr>
                <w:b/>
                <w:color w:val="FFFFFF" w:themeColor="background1"/>
              </w:rPr>
              <w:t>Name</w:t>
            </w:r>
          </w:p>
        </w:tc>
        <w:tc>
          <w:tcPr>
            <w:tcW w:w="0" w:type="auto"/>
            <w:hideMark/>
          </w:tcPr>
          <w:p w:rsidR="00CE3659" w:rsidRPr="00CE3659" w:rsidRDefault="00CE3659" w:rsidP="00462AB7">
            <w:pPr>
              <w:pStyle w:val="Table"/>
              <w:rPr>
                <w:b/>
                <w:color w:val="FFFFFF" w:themeColor="background1"/>
              </w:rPr>
            </w:pPr>
            <w:r w:rsidRPr="00CE3659">
              <w:rPr>
                <w:b/>
                <w:color w:val="FFFFFF" w:themeColor="background1"/>
              </w:rPr>
              <w:t>Description</w:t>
            </w:r>
          </w:p>
        </w:tc>
        <w:tc>
          <w:tcPr>
            <w:tcW w:w="0" w:type="auto"/>
            <w:hideMark/>
          </w:tcPr>
          <w:p w:rsidR="00CE3659" w:rsidRPr="00CE3659" w:rsidRDefault="00CE3659" w:rsidP="00462AB7">
            <w:pPr>
              <w:pStyle w:val="Table"/>
              <w:rPr>
                <w:b/>
                <w:color w:val="FFFFFF" w:themeColor="background1"/>
              </w:rPr>
            </w:pPr>
            <w:r w:rsidRPr="00CE3659">
              <w:rPr>
                <w:b/>
                <w:color w:val="FFFFFF" w:themeColor="background1"/>
              </w:rPr>
              <w:t>Start Date</w:t>
            </w:r>
          </w:p>
        </w:tc>
      </w:tr>
      <w:tr w:rsidR="00CE3659" w:rsidRPr="00F65123" w:rsidTr="00CE3659">
        <w:trPr>
          <w:cnfStyle w:val="000000100000" w:firstRow="0" w:lastRow="0" w:firstColumn="0" w:lastColumn="0" w:oddVBand="0" w:evenVBand="0" w:oddHBand="1" w:evenHBand="0" w:firstRowFirstColumn="0" w:firstRowLastColumn="0" w:lastRowFirstColumn="0" w:lastRowLastColumn="0"/>
        </w:trPr>
        <w:tc>
          <w:tcPr>
            <w:tcW w:w="0" w:type="auto"/>
            <w:hideMark/>
          </w:tcPr>
          <w:p w:rsidR="00CE3659" w:rsidRPr="00F65123" w:rsidRDefault="00CE3659" w:rsidP="00462AB7">
            <w:pPr>
              <w:pStyle w:val="Table"/>
            </w:pPr>
            <w:r w:rsidRPr="00F65123">
              <w:t> General Case Management</w:t>
            </w:r>
          </w:p>
        </w:tc>
        <w:tc>
          <w:tcPr>
            <w:tcW w:w="0" w:type="auto"/>
            <w:hideMark/>
          </w:tcPr>
          <w:p w:rsidR="00CE3659" w:rsidRPr="00F65123" w:rsidRDefault="00CE3659" w:rsidP="00462AB7">
            <w:pPr>
              <w:pStyle w:val="Table"/>
            </w:pPr>
            <w:r>
              <w:t>People</w:t>
            </w:r>
            <w:r w:rsidRPr="00F65123">
              <w:t xml:space="preserve"> NOT assigned to any other service are allocated to GCM. For GCM there is no caseload restriction.</w:t>
            </w:r>
          </w:p>
        </w:tc>
        <w:tc>
          <w:tcPr>
            <w:tcW w:w="0" w:type="auto"/>
            <w:hideMark/>
          </w:tcPr>
          <w:p w:rsidR="00CE3659" w:rsidRPr="00F65123" w:rsidRDefault="00CE3659" w:rsidP="00462AB7">
            <w:pPr>
              <w:pStyle w:val="Table"/>
            </w:pPr>
            <w:r w:rsidRPr="00F65123">
              <w:t>September 2012</w:t>
            </w:r>
          </w:p>
        </w:tc>
      </w:tr>
      <w:tr w:rsidR="00CE3659" w:rsidRPr="00F65123" w:rsidTr="00CE3659">
        <w:tc>
          <w:tcPr>
            <w:tcW w:w="0" w:type="auto"/>
            <w:hideMark/>
          </w:tcPr>
          <w:p w:rsidR="00CE3659" w:rsidRPr="00F65123" w:rsidRDefault="00CE3659" w:rsidP="00462AB7">
            <w:pPr>
              <w:pStyle w:val="Table"/>
            </w:pPr>
            <w:r w:rsidRPr="00F65123">
              <w:t>Mental Health Employment Service</w:t>
            </w:r>
          </w:p>
        </w:tc>
        <w:tc>
          <w:tcPr>
            <w:tcW w:w="0" w:type="auto"/>
            <w:hideMark/>
          </w:tcPr>
          <w:p w:rsidR="00CE3659" w:rsidRPr="00F65123" w:rsidRDefault="00CE3659" w:rsidP="00462AB7">
            <w:pPr>
              <w:pStyle w:val="Table"/>
            </w:pPr>
            <w:r>
              <w:t xml:space="preserve">A </w:t>
            </w:r>
            <w:r w:rsidRPr="00BD1397">
              <w:t>voluntary contracted</w:t>
            </w:r>
            <w:r w:rsidR="00C21D5C">
              <w:t>-</w:t>
            </w:r>
            <w:r w:rsidRPr="00BD1397">
              <w:t>out job placement service targeted to people on Jobseeker Support with mild to moderate mental health issues (</w:t>
            </w:r>
            <w:r>
              <w:t>stress, depression or anxiety).</w:t>
            </w:r>
          </w:p>
        </w:tc>
        <w:tc>
          <w:tcPr>
            <w:tcW w:w="0" w:type="auto"/>
            <w:hideMark/>
          </w:tcPr>
          <w:p w:rsidR="00CE3659" w:rsidRPr="00F65123" w:rsidRDefault="00CE3659" w:rsidP="00462AB7">
            <w:pPr>
              <w:pStyle w:val="Table"/>
            </w:pPr>
            <w:r>
              <w:t>September 2013 to July 2016</w:t>
            </w:r>
          </w:p>
        </w:tc>
      </w:tr>
      <w:tr w:rsidR="00CE3659" w:rsidRPr="00F65123" w:rsidTr="00CE3659">
        <w:trPr>
          <w:cnfStyle w:val="000000100000" w:firstRow="0" w:lastRow="0" w:firstColumn="0" w:lastColumn="0" w:oddVBand="0" w:evenVBand="0" w:oddHBand="1" w:evenHBand="0" w:firstRowFirstColumn="0" w:firstRowLastColumn="0" w:lastRowFirstColumn="0" w:lastRowLastColumn="0"/>
        </w:trPr>
        <w:tc>
          <w:tcPr>
            <w:tcW w:w="0" w:type="auto"/>
            <w:hideMark/>
          </w:tcPr>
          <w:p w:rsidR="00CE3659" w:rsidRPr="00F65123" w:rsidRDefault="00CE3659" w:rsidP="00462AB7">
            <w:pPr>
              <w:pStyle w:val="Table"/>
            </w:pPr>
            <w:r w:rsidRPr="00F65123">
              <w:t>Sole Parent Employment Service</w:t>
            </w:r>
          </w:p>
        </w:tc>
        <w:tc>
          <w:tcPr>
            <w:tcW w:w="0" w:type="auto"/>
            <w:hideMark/>
          </w:tcPr>
          <w:p w:rsidR="00CE3659" w:rsidRPr="00F65123" w:rsidRDefault="00CE3659" w:rsidP="00462AB7">
            <w:pPr>
              <w:pStyle w:val="Table"/>
            </w:pPr>
            <w:r>
              <w:t xml:space="preserve">A </w:t>
            </w:r>
            <w:r w:rsidRPr="00BD1397">
              <w:t>voluntary contracted</w:t>
            </w:r>
            <w:r w:rsidR="00C21D5C">
              <w:t>-</w:t>
            </w:r>
            <w:r w:rsidRPr="00BD1397">
              <w:t>out job placement service targeted to</w:t>
            </w:r>
            <w:r>
              <w:t xml:space="preserve"> sole parents </w:t>
            </w:r>
            <w:r w:rsidRPr="00BD1397">
              <w:t>with full or part-time work obligations.</w:t>
            </w:r>
          </w:p>
        </w:tc>
        <w:tc>
          <w:tcPr>
            <w:tcW w:w="0" w:type="auto"/>
            <w:hideMark/>
          </w:tcPr>
          <w:p w:rsidR="00CE3659" w:rsidRPr="00F65123" w:rsidRDefault="00CE3659" w:rsidP="00462AB7">
            <w:pPr>
              <w:pStyle w:val="Table"/>
            </w:pPr>
            <w:r>
              <w:t>July 2013 to July 2016</w:t>
            </w:r>
          </w:p>
        </w:tc>
      </w:tr>
      <w:tr w:rsidR="00CE3659" w:rsidRPr="00F65123" w:rsidTr="00CE3659">
        <w:tc>
          <w:tcPr>
            <w:tcW w:w="0" w:type="auto"/>
            <w:hideMark/>
          </w:tcPr>
          <w:p w:rsidR="00CE3659" w:rsidRPr="00F65123" w:rsidRDefault="00CE3659" w:rsidP="00462AB7">
            <w:pPr>
              <w:pStyle w:val="Table"/>
            </w:pPr>
            <w:r w:rsidRPr="00F65123">
              <w:t>Work Focused Case Management (pilot)</w:t>
            </w:r>
          </w:p>
        </w:tc>
        <w:tc>
          <w:tcPr>
            <w:tcW w:w="0" w:type="auto"/>
            <w:hideMark/>
          </w:tcPr>
          <w:p w:rsidR="00CE3659" w:rsidRPr="00F65123" w:rsidRDefault="000C0AA1" w:rsidP="000C0AA1">
            <w:pPr>
              <w:pStyle w:val="Table"/>
            </w:pPr>
            <w:r w:rsidRPr="00F65123">
              <w:t>One</w:t>
            </w:r>
            <w:r>
              <w:t>-</w:t>
            </w:r>
            <w:r w:rsidRPr="00F65123">
              <w:t>to</w:t>
            </w:r>
            <w:r>
              <w:t>-</w:t>
            </w:r>
            <w:r w:rsidR="00CE3659" w:rsidRPr="00F65123">
              <w:t xml:space="preserve">one case management, with </w:t>
            </w:r>
            <w:r w:rsidR="00CE3659" w:rsidRPr="00C34FD3">
              <w:rPr>
                <w:noProof/>
              </w:rPr>
              <w:t>caseloads</w:t>
            </w:r>
            <w:r w:rsidR="00C34FD3">
              <w:rPr>
                <w:noProof/>
              </w:rPr>
              <w:t>,</w:t>
            </w:r>
            <w:r w:rsidR="00CE3659" w:rsidRPr="00F65123">
              <w:t xml:space="preserve"> capped at 108 </w:t>
            </w:r>
            <w:r w:rsidR="00CE3659">
              <w:t>participants</w:t>
            </w:r>
            <w:r w:rsidR="00CE3659" w:rsidRPr="00F65123">
              <w:t xml:space="preserve"> for every case manager. WFCM case managers provided both income support and employment assistance.</w:t>
            </w:r>
          </w:p>
        </w:tc>
        <w:tc>
          <w:tcPr>
            <w:tcW w:w="0" w:type="auto"/>
            <w:hideMark/>
          </w:tcPr>
          <w:p w:rsidR="00CE3659" w:rsidRPr="00F65123" w:rsidRDefault="00CE3659" w:rsidP="00462AB7">
            <w:pPr>
              <w:pStyle w:val="Table"/>
            </w:pPr>
            <w:r w:rsidRPr="00F65123">
              <w:t>September 2012</w:t>
            </w:r>
            <w:r>
              <w:t xml:space="preserve"> to July 2013</w:t>
            </w:r>
          </w:p>
        </w:tc>
      </w:tr>
      <w:tr w:rsidR="00CE3659" w:rsidRPr="00F65123" w:rsidTr="00CE3659">
        <w:trPr>
          <w:cnfStyle w:val="000000100000" w:firstRow="0" w:lastRow="0" w:firstColumn="0" w:lastColumn="0" w:oddVBand="0" w:evenVBand="0" w:oddHBand="1" w:evenHBand="0" w:firstRowFirstColumn="0" w:firstRowLastColumn="0" w:lastRowFirstColumn="0" w:lastRowLastColumn="0"/>
        </w:trPr>
        <w:tc>
          <w:tcPr>
            <w:tcW w:w="0" w:type="auto"/>
            <w:hideMark/>
          </w:tcPr>
          <w:p w:rsidR="00CE3659" w:rsidRPr="00F65123" w:rsidRDefault="00CE3659" w:rsidP="00462AB7">
            <w:pPr>
              <w:pStyle w:val="Table"/>
            </w:pPr>
            <w:r w:rsidRPr="00F65123">
              <w:t>Work Focused Case Management General</w:t>
            </w:r>
          </w:p>
        </w:tc>
        <w:tc>
          <w:tcPr>
            <w:tcW w:w="0" w:type="auto"/>
            <w:hideMark/>
          </w:tcPr>
          <w:p w:rsidR="00CE3659" w:rsidRPr="00F65123" w:rsidRDefault="000C0AA1" w:rsidP="000C0AA1">
            <w:pPr>
              <w:pStyle w:val="Table"/>
            </w:pPr>
            <w:r w:rsidRPr="00F65123">
              <w:t>One</w:t>
            </w:r>
            <w:r>
              <w:t>-</w:t>
            </w:r>
            <w:r w:rsidRPr="00F65123">
              <w:t>to</w:t>
            </w:r>
            <w:r>
              <w:t>-</w:t>
            </w:r>
            <w:r w:rsidR="00CE3659" w:rsidRPr="00F65123">
              <w:t xml:space="preserve">one case management with a caseload cap of 121 </w:t>
            </w:r>
            <w:r w:rsidR="00CE3659">
              <w:t>participants</w:t>
            </w:r>
            <w:r w:rsidR="00CE3659" w:rsidRPr="00F65123">
              <w:t xml:space="preserve"> (excluding </w:t>
            </w:r>
            <w:r w:rsidR="00CE3659">
              <w:t>partners) for each case manager</w:t>
            </w:r>
            <w:r w:rsidR="00CE3659" w:rsidRPr="00F65123">
              <w:t>. WFCM Gen clients are mainly made up of sole parents, jobseekers and a small proportion of jobseekers with a health condition or disability (with part-time work obligations).</w:t>
            </w:r>
          </w:p>
        </w:tc>
        <w:tc>
          <w:tcPr>
            <w:tcW w:w="0" w:type="auto"/>
            <w:hideMark/>
          </w:tcPr>
          <w:p w:rsidR="00CE3659" w:rsidRPr="00F65123" w:rsidRDefault="00CE3659" w:rsidP="00462AB7">
            <w:pPr>
              <w:pStyle w:val="Table"/>
            </w:pPr>
            <w:r w:rsidRPr="00F65123">
              <w:t>July 2013</w:t>
            </w:r>
          </w:p>
        </w:tc>
      </w:tr>
      <w:tr w:rsidR="00CE3659" w:rsidRPr="00F65123" w:rsidTr="00CE3659">
        <w:tc>
          <w:tcPr>
            <w:tcW w:w="0" w:type="auto"/>
            <w:hideMark/>
          </w:tcPr>
          <w:p w:rsidR="00CE3659" w:rsidRPr="00F65123" w:rsidRDefault="00CE3659" w:rsidP="00462AB7">
            <w:pPr>
              <w:pStyle w:val="Table"/>
            </w:pPr>
            <w:r w:rsidRPr="00F65123">
              <w:t>Work Focused Case Management Health Condition and Disability </w:t>
            </w:r>
          </w:p>
        </w:tc>
        <w:tc>
          <w:tcPr>
            <w:tcW w:w="0" w:type="auto"/>
            <w:hideMark/>
          </w:tcPr>
          <w:p w:rsidR="00CE3659" w:rsidRPr="00F65123" w:rsidRDefault="000C0AA1" w:rsidP="000C0AA1">
            <w:pPr>
              <w:pStyle w:val="Table"/>
            </w:pPr>
            <w:r w:rsidRPr="00F65123">
              <w:t>One</w:t>
            </w:r>
            <w:r>
              <w:t>-</w:t>
            </w:r>
            <w:r w:rsidRPr="00F65123">
              <w:t>to</w:t>
            </w:r>
            <w:r>
              <w:t>-</w:t>
            </w:r>
            <w:r w:rsidR="00CE3659" w:rsidRPr="00F65123">
              <w:t xml:space="preserve">one case management with a caseload of 100 </w:t>
            </w:r>
            <w:r w:rsidR="00CE3659">
              <w:t>participants</w:t>
            </w:r>
            <w:r w:rsidR="00CE3659" w:rsidRPr="00F65123">
              <w:t xml:space="preserve"> who were exclusively jobseekers with a health condition or disability and had deferred </w:t>
            </w:r>
            <w:r w:rsidR="00CE3659" w:rsidRPr="00F65123">
              <w:lastRenderedPageBreak/>
              <w:t>work obligations (predominantly work preparation obligations).</w:t>
            </w:r>
          </w:p>
        </w:tc>
        <w:tc>
          <w:tcPr>
            <w:tcW w:w="0" w:type="auto"/>
            <w:hideMark/>
          </w:tcPr>
          <w:p w:rsidR="00CE3659" w:rsidRPr="00F65123" w:rsidRDefault="00CE3659" w:rsidP="00462AB7">
            <w:pPr>
              <w:pStyle w:val="Table"/>
            </w:pPr>
            <w:r w:rsidRPr="00F65123">
              <w:lastRenderedPageBreak/>
              <w:t>July 2013</w:t>
            </w:r>
          </w:p>
        </w:tc>
      </w:tr>
      <w:tr w:rsidR="00CE3659" w:rsidRPr="00F65123" w:rsidTr="00CE3659">
        <w:trPr>
          <w:cnfStyle w:val="000000100000" w:firstRow="0" w:lastRow="0" w:firstColumn="0" w:lastColumn="0" w:oddVBand="0" w:evenVBand="0" w:oddHBand="1" w:evenHBand="0" w:firstRowFirstColumn="0" w:firstRowLastColumn="0" w:lastRowFirstColumn="0" w:lastRowLastColumn="0"/>
        </w:trPr>
        <w:tc>
          <w:tcPr>
            <w:tcW w:w="0" w:type="auto"/>
            <w:hideMark/>
          </w:tcPr>
          <w:p w:rsidR="00CE3659" w:rsidRPr="00F65123" w:rsidRDefault="00CE3659" w:rsidP="00462AB7">
            <w:pPr>
              <w:pStyle w:val="Table"/>
            </w:pPr>
            <w:r w:rsidRPr="00F65123">
              <w:lastRenderedPageBreak/>
              <w:t>Work Focused Case Management Integrated Service</w:t>
            </w:r>
          </w:p>
        </w:tc>
        <w:tc>
          <w:tcPr>
            <w:tcW w:w="0" w:type="auto"/>
            <w:hideMark/>
          </w:tcPr>
          <w:p w:rsidR="00CE3659" w:rsidRPr="00F65123" w:rsidRDefault="000C0AA1" w:rsidP="00305883">
            <w:pPr>
              <w:pStyle w:val="Table"/>
            </w:pPr>
            <w:r w:rsidRPr="00F65123">
              <w:t>One</w:t>
            </w:r>
            <w:r>
              <w:t>-</w:t>
            </w:r>
            <w:r w:rsidRPr="00F65123">
              <w:t>to</w:t>
            </w:r>
            <w:r>
              <w:t>-</w:t>
            </w:r>
            <w:r w:rsidR="00CE3659" w:rsidRPr="00F65123">
              <w:t xml:space="preserve">one case management that began with a caseload of 50 but was later increased to 80, working with </w:t>
            </w:r>
            <w:r w:rsidR="00CE3659">
              <w:t>people</w:t>
            </w:r>
            <w:r w:rsidR="00CE3659" w:rsidRPr="00F65123">
              <w:t xml:space="preserve"> under 25 years of age at </w:t>
            </w:r>
            <w:r w:rsidR="00CE3659" w:rsidRPr="00C34FD3">
              <w:rPr>
                <w:noProof/>
              </w:rPr>
              <w:t>selection</w:t>
            </w:r>
            <w:r w:rsidR="00CE3659" w:rsidRPr="00F65123">
              <w:t xml:space="preserve">, with priority given to </w:t>
            </w:r>
            <w:r w:rsidR="00CE3659">
              <w:t>people</w:t>
            </w:r>
            <w:r w:rsidR="00CE3659" w:rsidRPr="00F65123">
              <w:t xml:space="preserve"> exiting from YP and YPP. In addition, these case managers could choose to work with up to 20 other </w:t>
            </w:r>
            <w:r w:rsidR="00CE3659">
              <w:t>people</w:t>
            </w:r>
            <w:r w:rsidR="00CE3659" w:rsidRPr="00F65123">
              <w:t>, nominated by either themselves or other case managers. </w:t>
            </w:r>
          </w:p>
        </w:tc>
        <w:tc>
          <w:tcPr>
            <w:tcW w:w="0" w:type="auto"/>
            <w:hideMark/>
          </w:tcPr>
          <w:p w:rsidR="00CE3659" w:rsidRPr="00F65123" w:rsidRDefault="00CE3659" w:rsidP="00462AB7">
            <w:pPr>
              <w:pStyle w:val="Table"/>
            </w:pPr>
            <w:r w:rsidRPr="00F65123">
              <w:t>July 2013</w:t>
            </w:r>
          </w:p>
        </w:tc>
      </w:tr>
      <w:tr w:rsidR="00CE3659" w:rsidRPr="00F65123" w:rsidTr="00CE3659">
        <w:tc>
          <w:tcPr>
            <w:tcW w:w="0" w:type="auto"/>
            <w:hideMark/>
          </w:tcPr>
          <w:p w:rsidR="00CE3659" w:rsidRPr="00F65123" w:rsidRDefault="00CE3659" w:rsidP="00462AB7">
            <w:pPr>
              <w:pStyle w:val="Table"/>
            </w:pPr>
            <w:r w:rsidRPr="00F65123">
              <w:t xml:space="preserve">Work Focused Case Management Integrated Service </w:t>
            </w:r>
            <w:r w:rsidRPr="00C34FD3">
              <w:rPr>
                <w:noProof/>
              </w:rPr>
              <w:t>ex</w:t>
            </w:r>
            <w:r w:rsidR="00C34FD3">
              <w:rPr>
                <w:noProof/>
              </w:rPr>
              <w:t>-</w:t>
            </w:r>
            <w:r w:rsidRPr="00C34FD3">
              <w:rPr>
                <w:noProof/>
              </w:rPr>
              <w:t>Youth</w:t>
            </w:r>
            <w:r w:rsidRPr="00F65123">
              <w:t xml:space="preserve"> Payment Young Parent Payment </w:t>
            </w:r>
          </w:p>
        </w:tc>
        <w:tc>
          <w:tcPr>
            <w:tcW w:w="0" w:type="auto"/>
            <w:hideMark/>
          </w:tcPr>
          <w:p w:rsidR="00CE3659" w:rsidRPr="00F65123" w:rsidRDefault="00CE3659" w:rsidP="00465661">
            <w:pPr>
              <w:pStyle w:val="Table"/>
            </w:pPr>
            <w:r>
              <w:t>People</w:t>
            </w:r>
            <w:r w:rsidRPr="00F65123">
              <w:t xml:space="preserve"> who came onto </w:t>
            </w:r>
            <w:r w:rsidRPr="00C34FD3">
              <w:rPr>
                <w:noProof/>
              </w:rPr>
              <w:t>a main</w:t>
            </w:r>
            <w:r w:rsidRPr="00F65123">
              <w:t xml:space="preserve"> benefit from Youth Payment or Young Parent Payment were prioritised for the WFCM IS service, but may have received the WFCM Gen service if WFCM IS</w:t>
            </w:r>
            <w:r w:rsidR="00465661">
              <w:t xml:space="preserve"> wa</w:t>
            </w:r>
            <w:r w:rsidR="00465661" w:rsidRPr="00F65123">
              <w:t xml:space="preserve">s </w:t>
            </w:r>
            <w:r w:rsidRPr="00F65123">
              <w:t>unavailable. </w:t>
            </w:r>
          </w:p>
        </w:tc>
        <w:tc>
          <w:tcPr>
            <w:tcW w:w="0" w:type="auto"/>
            <w:hideMark/>
          </w:tcPr>
          <w:p w:rsidR="00CE3659" w:rsidRPr="00F65123" w:rsidRDefault="00CE3659" w:rsidP="00462AB7">
            <w:pPr>
              <w:pStyle w:val="Table"/>
            </w:pPr>
            <w:r w:rsidRPr="00F65123">
              <w:t>July 2013 </w:t>
            </w:r>
          </w:p>
        </w:tc>
      </w:tr>
      <w:tr w:rsidR="00CE3659" w:rsidRPr="00F65123" w:rsidTr="00CE3659">
        <w:trPr>
          <w:cnfStyle w:val="000000100000" w:firstRow="0" w:lastRow="0" w:firstColumn="0" w:lastColumn="0" w:oddVBand="0" w:evenVBand="0" w:oddHBand="1" w:evenHBand="0" w:firstRowFirstColumn="0" w:firstRowLastColumn="0" w:lastRowFirstColumn="0" w:lastRowLastColumn="0"/>
        </w:trPr>
        <w:tc>
          <w:tcPr>
            <w:tcW w:w="0" w:type="auto"/>
            <w:hideMark/>
          </w:tcPr>
          <w:p w:rsidR="00CE3659" w:rsidRPr="00F65123" w:rsidRDefault="00CE3659" w:rsidP="00462AB7">
            <w:pPr>
              <w:pStyle w:val="Table"/>
            </w:pPr>
            <w:r w:rsidRPr="00F65123">
              <w:t>Work Focused Case Mana</w:t>
            </w:r>
            <w:r>
              <w:t>gement Intensive Client Support (ICS)</w:t>
            </w:r>
          </w:p>
        </w:tc>
        <w:tc>
          <w:tcPr>
            <w:tcW w:w="0" w:type="auto"/>
            <w:hideMark/>
          </w:tcPr>
          <w:p w:rsidR="00CE3659" w:rsidRPr="00F65123" w:rsidRDefault="00CE3659" w:rsidP="00261263">
            <w:pPr>
              <w:pStyle w:val="Table"/>
            </w:pPr>
            <w:r>
              <w:t>An</w:t>
            </w:r>
            <w:r w:rsidRPr="00F65123">
              <w:t> </w:t>
            </w:r>
            <w:r w:rsidRPr="00BD1397">
              <w:t xml:space="preserve">internal </w:t>
            </w:r>
            <w:r w:rsidR="00261263" w:rsidRPr="00BD1397">
              <w:t>case</w:t>
            </w:r>
            <w:r w:rsidR="00134FBE">
              <w:t xml:space="preserve"> </w:t>
            </w:r>
            <w:r w:rsidRPr="00BD1397">
              <w:t xml:space="preserve">management service with a </w:t>
            </w:r>
            <w:r w:rsidRPr="00C34FD3">
              <w:rPr>
                <w:noProof/>
              </w:rPr>
              <w:t>caseload</w:t>
            </w:r>
            <w:r w:rsidRPr="00BD1397">
              <w:t xml:space="preserve"> of no more than 40 people for each case manager. WFCM ICS case managers work with high needs clients who have complex issues or barriers to employment.</w:t>
            </w:r>
          </w:p>
        </w:tc>
        <w:tc>
          <w:tcPr>
            <w:tcW w:w="0" w:type="auto"/>
            <w:hideMark/>
          </w:tcPr>
          <w:p w:rsidR="00CE3659" w:rsidRPr="00F65123" w:rsidRDefault="00CE3659" w:rsidP="00462AB7">
            <w:pPr>
              <w:pStyle w:val="Table"/>
            </w:pPr>
            <w:r w:rsidRPr="00F65123">
              <w:t> </w:t>
            </w:r>
            <w:r>
              <w:t>March 2015</w:t>
            </w:r>
          </w:p>
        </w:tc>
      </w:tr>
      <w:tr w:rsidR="00CE3659" w:rsidRPr="00F65123" w:rsidTr="00CE3659">
        <w:tc>
          <w:tcPr>
            <w:tcW w:w="0" w:type="auto"/>
            <w:hideMark/>
          </w:tcPr>
          <w:p w:rsidR="00CE3659" w:rsidRPr="00F65123" w:rsidRDefault="00CE3659" w:rsidP="00462AB7">
            <w:pPr>
              <w:pStyle w:val="Table"/>
            </w:pPr>
            <w:r w:rsidRPr="00F65123">
              <w:t>Work Search Support (pilot)</w:t>
            </w:r>
          </w:p>
        </w:tc>
        <w:tc>
          <w:tcPr>
            <w:tcW w:w="0" w:type="auto"/>
            <w:hideMark/>
          </w:tcPr>
          <w:p w:rsidR="00CE3659" w:rsidRPr="00F65123" w:rsidRDefault="00CE3659" w:rsidP="00305883">
            <w:pPr>
              <w:pStyle w:val="Table"/>
            </w:pPr>
            <w:r w:rsidRPr="00F65123">
              <w:t>A one</w:t>
            </w:r>
            <w:r w:rsidR="00465661">
              <w:t>-</w:t>
            </w:r>
            <w:r w:rsidRPr="00F65123">
              <w:t>to</w:t>
            </w:r>
            <w:r w:rsidR="00465661">
              <w:t>-</w:t>
            </w:r>
            <w:r w:rsidRPr="00F65123">
              <w:t xml:space="preserve">many </w:t>
            </w:r>
            <w:r w:rsidR="00261263" w:rsidRPr="00F65123">
              <w:t>case</w:t>
            </w:r>
            <w:r w:rsidR="00134FBE">
              <w:t xml:space="preserve"> </w:t>
            </w:r>
            <w:r w:rsidRPr="00F65123">
              <w:t xml:space="preserve">management service, with </w:t>
            </w:r>
            <w:r w:rsidRPr="00C34FD3">
              <w:rPr>
                <w:noProof/>
              </w:rPr>
              <w:t>caseloads</w:t>
            </w:r>
            <w:r w:rsidRPr="00F65123">
              <w:t xml:space="preserve"> capped at 215 </w:t>
            </w:r>
            <w:r>
              <w:t>participants</w:t>
            </w:r>
            <w:r w:rsidRPr="00F65123">
              <w:t xml:space="preserve"> for every case manager. Alongside administering income support, WSS involved a structured sequence of job search seminars. In addition to job search assistance, WSS clients also participated in employment programmes and services. </w:t>
            </w:r>
            <w:r>
              <w:t>People</w:t>
            </w:r>
            <w:r w:rsidRPr="00F65123">
              <w:t xml:space="preserve"> on </w:t>
            </w:r>
            <w:r w:rsidRPr="00C34FD3">
              <w:rPr>
                <w:noProof/>
              </w:rPr>
              <w:t>main</w:t>
            </w:r>
            <w:r w:rsidRPr="00F65123">
              <w:t xml:space="preserve"> benefit for less than </w:t>
            </w:r>
            <w:r w:rsidR="00305883">
              <w:t>seven</w:t>
            </w:r>
            <w:r w:rsidR="00305883" w:rsidRPr="00F65123">
              <w:t xml:space="preserve"> </w:t>
            </w:r>
            <w:r w:rsidRPr="00F65123">
              <w:t>weeks were left to manage their own job search.</w:t>
            </w:r>
          </w:p>
        </w:tc>
        <w:tc>
          <w:tcPr>
            <w:tcW w:w="0" w:type="auto"/>
            <w:hideMark/>
          </w:tcPr>
          <w:p w:rsidR="00CE3659" w:rsidRPr="00F65123" w:rsidRDefault="00CE3659" w:rsidP="00462AB7">
            <w:pPr>
              <w:pStyle w:val="Table"/>
            </w:pPr>
            <w:r w:rsidRPr="00F65123">
              <w:t>September 2012</w:t>
            </w:r>
            <w:r>
              <w:t xml:space="preserve"> to July 2013</w:t>
            </w:r>
          </w:p>
        </w:tc>
      </w:tr>
    </w:tbl>
    <w:p w:rsidR="00CE3659" w:rsidRDefault="00CE3659" w:rsidP="00CE3659">
      <w:pPr>
        <w:pStyle w:val="Heading1"/>
        <w:rPr>
          <w:lang w:eastAsia="en-AU"/>
        </w:rPr>
      </w:pPr>
      <w:bookmarkStart w:id="29" w:name="_Ref512253680"/>
      <w:bookmarkStart w:id="30" w:name="_Toc514063448"/>
      <w:bookmarkStart w:id="31" w:name="_Toc524003448"/>
      <w:r>
        <w:rPr>
          <w:lang w:eastAsia="en-AU"/>
        </w:rPr>
        <w:t>Estimating the cost of EA interventions</w:t>
      </w:r>
      <w:bookmarkEnd w:id="29"/>
      <w:bookmarkEnd w:id="30"/>
      <w:bookmarkEnd w:id="31"/>
    </w:p>
    <w:p w:rsidR="00CE3659" w:rsidRDefault="00CE3659" w:rsidP="00CE3659">
      <w:pPr>
        <w:rPr>
          <w:lang w:eastAsia="en-AU"/>
        </w:rPr>
      </w:pPr>
      <w:r>
        <w:rPr>
          <w:lang w:eastAsia="en-AU"/>
        </w:rPr>
        <w:t xml:space="preserve">We use the individual Cost Allocation Model (iCAM) to estimate the cost of EA interventions for each financial year </w:t>
      </w:r>
      <w:r>
        <w:rPr>
          <w:lang w:eastAsia="en-AU"/>
        </w:rPr>
        <w:fldChar w:fldCharType="begin" w:fldLock="1"/>
      </w:r>
      <w:r>
        <w:rPr>
          <w:lang w:eastAsia="en-AU"/>
        </w:rPr>
        <w:instrText>ADDIN CSL_CITATION { "citationItems" : [ { "id" : "ITEM-1", "itemData" : { "abstract" : "This report is a technical description of the approach taken by Insights MSD (iMSD) to allocate financial expenditure to the outputs delivered by Service Delivery (SD) down to the level of individual events \u2013 for example, a seminar on how to prepare resumes delivered to an individual participant on the 1st of July 2012. The purpose of the cost allocation model is to support decisions in the following areas: \u2022 Cost-effectiveness - provide the ability to accurately estimate the cost of programmes and services. \u2022 Targeting of assistance - enable SD to identify which clients they are investing in. \u2022 Efficiency - provide the capability to track and assess the efficiency of delivering individual outputs.", "author" : [ { "dropping-particle" : "", "family" : "MSD", "given" : "", "non-dropping-particle" : "", "parse-names" : false, "suffix" : "" } ], "id" : "ITEM-1", "issued" : { "date-parts" : [ [ "2017" ] ] }, "number-of-pages" : "53", "publisher" : "Ministry of Social Development (EDRMS id: A9317887 )", "publisher-place" : "Wellington", "title" : "Service Delivery Cost Allocation Model for Individual Outputs: 2017 version", "type" : "report" }, "uris" : [ "http://www.mendeley.com/documents/?uuid=0656a2be-d40b-43da-a20b-5768f3716f27" ] } ], "mendeley" : { "formattedCitation" : "(MSD, 2017)", "plainTextFormattedCitation" : "(MSD, 2017)", "previouslyFormattedCitation" : "(MSD, 2017)" }, "properties" : {  }, "schema" : "https://github.com/citation-style-language/schema/raw/master/csl-citation.json" }</w:instrText>
      </w:r>
      <w:r>
        <w:rPr>
          <w:lang w:eastAsia="en-AU"/>
        </w:rPr>
        <w:fldChar w:fldCharType="separate"/>
      </w:r>
      <w:r w:rsidRPr="00DC53C5">
        <w:rPr>
          <w:noProof/>
          <w:lang w:eastAsia="en-AU"/>
        </w:rPr>
        <w:t>(MSD, 2017)</w:t>
      </w:r>
      <w:r>
        <w:rPr>
          <w:lang w:eastAsia="en-AU"/>
        </w:rPr>
        <w:fldChar w:fldCharType="end"/>
      </w:r>
      <w:r>
        <w:rPr>
          <w:lang w:eastAsia="en-AU"/>
        </w:rPr>
        <w:t>. Insights MSD created iCAM</w:t>
      </w:r>
      <w:r w:rsidRPr="003A31FC">
        <w:rPr>
          <w:lang w:eastAsia="en-AU"/>
        </w:rPr>
        <w:t xml:space="preserve"> to provide a view of how spending to date has been allocated to outputs at the individual level. </w:t>
      </w:r>
      <w:r>
        <w:rPr>
          <w:lang w:eastAsia="en-AU"/>
        </w:rPr>
        <w:t>Here we define outputs as activities that MSD does to assist people. Outputs can include activities</w:t>
      </w:r>
      <w:r w:rsidR="00261263">
        <w:rPr>
          <w:lang w:eastAsia="en-AU"/>
        </w:rPr>
        <w:t>,</w:t>
      </w:r>
      <w:r>
        <w:rPr>
          <w:lang w:eastAsia="en-AU"/>
        </w:rPr>
        <w:t xml:space="preserve"> such as a face-to-face meeting, </w:t>
      </w:r>
      <w:r w:rsidRPr="00C34FD3">
        <w:rPr>
          <w:noProof/>
          <w:lang w:eastAsia="en-AU"/>
        </w:rPr>
        <w:t>a main</w:t>
      </w:r>
      <w:r>
        <w:rPr>
          <w:lang w:eastAsia="en-AU"/>
        </w:rPr>
        <w:t xml:space="preserve"> benefit application, or an EA intervention.</w:t>
      </w:r>
    </w:p>
    <w:p w:rsidR="003B0EA0" w:rsidRDefault="003B0EA0">
      <w:pPr>
        <w:spacing w:after="0" w:line="240" w:lineRule="auto"/>
        <w:rPr>
          <w:b/>
          <w:sz w:val="28"/>
          <w:szCs w:val="28"/>
          <w:lang w:eastAsia="en-AU"/>
        </w:rPr>
      </w:pPr>
      <w:bookmarkStart w:id="32" w:name="_Toc514063449"/>
      <w:bookmarkStart w:id="33" w:name="_Toc524003449"/>
      <w:r>
        <w:rPr>
          <w:lang w:eastAsia="en-AU"/>
        </w:rPr>
        <w:br w:type="page"/>
      </w:r>
    </w:p>
    <w:p w:rsidR="00CE3659" w:rsidRDefault="00CE3659" w:rsidP="00CE3659">
      <w:pPr>
        <w:pStyle w:val="Heading2"/>
        <w:rPr>
          <w:lang w:eastAsia="en-AU"/>
        </w:rPr>
      </w:pPr>
      <w:r>
        <w:rPr>
          <w:lang w:eastAsia="en-AU"/>
        </w:rPr>
        <w:lastRenderedPageBreak/>
        <w:t>Principles behind the cost allocation model</w:t>
      </w:r>
      <w:bookmarkEnd w:id="32"/>
      <w:bookmarkEnd w:id="33"/>
    </w:p>
    <w:p w:rsidR="00CE3659" w:rsidRDefault="00CE3659" w:rsidP="00CE3659">
      <w:pPr>
        <w:rPr>
          <w:lang w:eastAsia="en-AU"/>
        </w:rPr>
      </w:pPr>
      <w:r>
        <w:rPr>
          <w:lang w:eastAsia="en-AU"/>
        </w:rPr>
        <w:t>The cost allocation model works on the following principles:</w:t>
      </w:r>
    </w:p>
    <w:p w:rsidR="00CE3659" w:rsidRPr="00F65123" w:rsidRDefault="00CE3659" w:rsidP="00CE3659">
      <w:pPr>
        <w:pStyle w:val="ListParagraph"/>
        <w:numPr>
          <w:ilvl w:val="0"/>
          <w:numId w:val="10"/>
        </w:numPr>
        <w:spacing w:before="60" w:after="60"/>
        <w:rPr>
          <w:lang w:eastAsia="en-AU"/>
        </w:rPr>
      </w:pPr>
      <w:r w:rsidRPr="00F65123">
        <w:rPr>
          <w:lang w:eastAsia="en-AU"/>
        </w:rPr>
        <w:t xml:space="preserve">Include all financial costs for Service Delivery (the operational arm of MSD): the </w:t>
      </w:r>
      <w:r w:rsidR="007471D7">
        <w:rPr>
          <w:lang w:eastAsia="en-AU"/>
        </w:rPr>
        <w:t>model starts with appropriation</w:t>
      </w:r>
      <w:r w:rsidRPr="00F65123">
        <w:rPr>
          <w:rStyle w:val="FootnoteReference"/>
        </w:rPr>
        <w:footnoteReference w:id="1"/>
      </w:r>
      <w:r w:rsidR="007471D7">
        <w:rPr>
          <w:lang w:eastAsia="en-AU"/>
        </w:rPr>
        <w:t xml:space="preserve"> </w:t>
      </w:r>
      <w:r w:rsidRPr="00F65123">
        <w:rPr>
          <w:lang w:eastAsia="en-AU"/>
        </w:rPr>
        <w:t xml:space="preserve">expenditure for all outputs delivered by Service Delivery. Excluded at this time are income support payments designed to reduce income inadequacy. The reason behind this principle is to make sure we do not exclude any costs that are already recorded in the </w:t>
      </w:r>
      <w:r w:rsidR="00261263">
        <w:rPr>
          <w:lang w:eastAsia="en-AU"/>
        </w:rPr>
        <w:t>M</w:t>
      </w:r>
      <w:r w:rsidR="00261263" w:rsidRPr="00F65123">
        <w:rPr>
          <w:lang w:eastAsia="en-AU"/>
        </w:rPr>
        <w:t xml:space="preserve">inistry’s </w:t>
      </w:r>
      <w:r w:rsidRPr="00F65123">
        <w:rPr>
          <w:lang w:eastAsia="en-AU"/>
        </w:rPr>
        <w:t>financial systems.</w:t>
      </w:r>
    </w:p>
    <w:p w:rsidR="00CE3659" w:rsidRPr="00F65123" w:rsidRDefault="00CE3659" w:rsidP="00CE3659">
      <w:pPr>
        <w:pStyle w:val="ListParagraph"/>
        <w:numPr>
          <w:ilvl w:val="0"/>
          <w:numId w:val="10"/>
        </w:numPr>
        <w:spacing w:before="60" w:after="60"/>
        <w:rPr>
          <w:lang w:eastAsia="en-AU"/>
        </w:rPr>
      </w:pPr>
      <w:r w:rsidRPr="00F65123">
        <w:rPr>
          <w:lang w:eastAsia="en-AU"/>
        </w:rPr>
        <w:t xml:space="preserve">Reconcile allocated expenditure to financial totals: for each appropriation, the model reconciles (as far as it is possible) the allocated expenditure back to the appropriation amount in each financial year. At the very least, the sum of the allocated expenditure in each financial year should not exceed the appropriation amount. </w:t>
      </w:r>
    </w:p>
    <w:p w:rsidR="00CE3659" w:rsidRDefault="00CE3659" w:rsidP="00CE3659">
      <w:pPr>
        <w:pStyle w:val="ListParagraph"/>
        <w:numPr>
          <w:ilvl w:val="0"/>
          <w:numId w:val="10"/>
        </w:numPr>
        <w:spacing w:before="60" w:after="60"/>
        <w:rPr>
          <w:lang w:eastAsia="en-AU"/>
        </w:rPr>
      </w:pPr>
      <w:r>
        <w:rPr>
          <w:lang w:eastAsia="en-AU"/>
        </w:rPr>
        <w:t>Disaggregate costs down to the individual output level: to provide the highest level of accuracy and flexibility, the model disaggregates costs down to outputs (see the Cost allocation framework section below) at the person-event level. By doing so, we can accurately assess the amount of expenditure for individuals as well as have the flexibility to summarise costs for any group of people. By building the model this way, we can estimate the variability in output costs.</w:t>
      </w:r>
    </w:p>
    <w:p w:rsidR="00CE3659" w:rsidRDefault="00CE3659" w:rsidP="00CE3659">
      <w:pPr>
        <w:pStyle w:val="ListParagraph"/>
        <w:numPr>
          <w:ilvl w:val="0"/>
          <w:numId w:val="10"/>
        </w:numPr>
        <w:spacing w:before="60" w:after="60"/>
        <w:rPr>
          <w:lang w:eastAsia="en-AU"/>
        </w:rPr>
      </w:pPr>
      <w:r>
        <w:rPr>
          <w:lang w:eastAsia="en-AU"/>
        </w:rPr>
        <w:t xml:space="preserve">Apply the same approach </w:t>
      </w:r>
      <w:r w:rsidRPr="00C34FD3">
        <w:rPr>
          <w:noProof/>
          <w:lang w:eastAsia="en-AU"/>
        </w:rPr>
        <w:t>over</w:t>
      </w:r>
      <w:r w:rsidR="00C34FD3" w:rsidRPr="00C34FD3">
        <w:rPr>
          <w:noProof/>
          <w:lang w:eastAsia="en-AU"/>
        </w:rPr>
        <w:t xml:space="preserve"> </w:t>
      </w:r>
      <w:r w:rsidRPr="00C34FD3">
        <w:rPr>
          <w:noProof/>
          <w:lang w:eastAsia="en-AU"/>
        </w:rPr>
        <w:t>all</w:t>
      </w:r>
      <w:r>
        <w:rPr>
          <w:lang w:eastAsia="en-AU"/>
        </w:rPr>
        <w:t xml:space="preserve"> financial years: </w:t>
      </w:r>
      <w:r w:rsidR="00305883">
        <w:rPr>
          <w:lang w:eastAsia="en-AU"/>
        </w:rPr>
        <w:t xml:space="preserve">by </w:t>
      </w:r>
      <w:r>
        <w:rPr>
          <w:lang w:eastAsia="en-AU"/>
        </w:rPr>
        <w:t xml:space="preserve">applying the same approach across financial years (from 2001/2002 onwards) it is possible to identify trends in the cost of Service Delivery outputs across groups of people. </w:t>
      </w:r>
      <w:r w:rsidRPr="00C34FD3">
        <w:rPr>
          <w:noProof/>
          <w:lang w:eastAsia="en-AU"/>
        </w:rPr>
        <w:t>However</w:t>
      </w:r>
      <w:r w:rsidR="00C34FD3">
        <w:rPr>
          <w:noProof/>
          <w:lang w:eastAsia="en-AU"/>
        </w:rPr>
        <w:t>,</w:t>
      </w:r>
      <w:r>
        <w:rPr>
          <w:lang w:eastAsia="en-AU"/>
        </w:rPr>
        <w:t xml:space="preserve"> this also means it is not possible to compare results across different versions of reports or cost models.</w:t>
      </w:r>
    </w:p>
    <w:p w:rsidR="00CE3659" w:rsidRDefault="00CE3659" w:rsidP="00CE3659">
      <w:pPr>
        <w:pStyle w:val="Heading2"/>
        <w:rPr>
          <w:lang w:eastAsia="en-AU"/>
        </w:rPr>
      </w:pPr>
      <w:bookmarkStart w:id="34" w:name="_Toc514063450"/>
      <w:bookmarkStart w:id="35" w:name="_Toc524003450"/>
      <w:r>
        <w:rPr>
          <w:lang w:eastAsia="en-AU"/>
        </w:rPr>
        <w:t>Cost allocation framework</w:t>
      </w:r>
      <w:bookmarkEnd w:id="34"/>
      <w:bookmarkEnd w:id="35"/>
    </w:p>
    <w:p w:rsidR="00CE3659" w:rsidRDefault="00CE3659" w:rsidP="00CE3659">
      <w:pPr>
        <w:rPr>
          <w:lang w:eastAsia="en-AU"/>
        </w:rPr>
      </w:pPr>
      <w:r>
        <w:rPr>
          <w:lang w:eastAsia="en-AU"/>
        </w:rPr>
        <w:t xml:space="preserve">In this report, we will briefly describe how the cost model works by using an example of an in-house seminar delivered by MSD. For a more detailed description, please refer to the iCAM technical report </w:t>
      </w:r>
      <w:r>
        <w:rPr>
          <w:lang w:eastAsia="en-AU"/>
        </w:rPr>
        <w:fldChar w:fldCharType="begin" w:fldLock="1"/>
      </w:r>
      <w:r>
        <w:rPr>
          <w:lang w:eastAsia="en-AU"/>
        </w:rPr>
        <w:instrText>ADDIN CSL_CITATION { "citationItems" : [ { "id" : "ITEM-1", "itemData" : { "abstract" : "This report is a technical description of the approach taken by Insights MSD (iMSD) to allocate financial expenditure to the outputs delivered by Service Delivery (SD) down to the level of individual events \u2013 for example, a seminar on how to prepare resumes delivered to an individual participant on the 1st of July 2012. The purpose of the cost allocation model is to support decisions in the following areas: \u2022 Cost-effectiveness - provide the ability to accurately estimate the cost of programmes and services. \u2022 Targeting of assistance - enable SD to identify which clients they are investing in. \u2022 Efficiency - provide the capability to track and assess the efficiency of delivering individual outputs.", "author" : [ { "dropping-particle" : "", "family" : "MSD", "given" : "", "non-dropping-particle" : "", "parse-names" : false, "suffix" : "" } ], "id" : "ITEM-1", "issued" : { "date-parts" : [ [ "2017" ] ] }, "number-of-pages" : "53", "publisher" : "Ministry of Social Development (EDRMS id: A9317887 )", "publisher-place" : "Wellington", "title" : "Service Delivery Cost Allocation Model for Individual Outputs: 2017 version", "type" : "report" }, "uris" : [ "http://www.mendeley.com/documents/?uuid=0656a2be-d40b-43da-a20b-5768f3716f27" ] } ], "mendeley" : { "formattedCitation" : "(MSD, 2017)", "plainTextFormattedCitation" : "(MSD, 2017)", "previouslyFormattedCitation" : "(MSD, 2017)" }, "properties" : {  }, "schema" : "https://github.com/citation-style-language/schema/raw/master/csl-citation.json" }</w:instrText>
      </w:r>
      <w:r>
        <w:rPr>
          <w:lang w:eastAsia="en-AU"/>
        </w:rPr>
        <w:fldChar w:fldCharType="separate"/>
      </w:r>
      <w:r w:rsidRPr="00DC53C5">
        <w:rPr>
          <w:noProof/>
          <w:lang w:eastAsia="en-AU"/>
        </w:rPr>
        <w:t>(MSD, 2017)</w:t>
      </w:r>
      <w:r>
        <w:rPr>
          <w:lang w:eastAsia="en-AU"/>
        </w:rPr>
        <w:fldChar w:fldCharType="end"/>
      </w:r>
      <w:r>
        <w:rPr>
          <w:lang w:eastAsia="en-AU"/>
        </w:rPr>
        <w:t>.</w:t>
      </w:r>
    </w:p>
    <w:p w:rsidR="00CE3659" w:rsidRDefault="00CE3659" w:rsidP="00CE3659">
      <w:pPr>
        <w:rPr>
          <w:lang w:eastAsia="en-AU"/>
        </w:rPr>
      </w:pPr>
      <w:r>
        <w:rPr>
          <w:lang w:eastAsia="en-AU"/>
        </w:rPr>
        <w:t>The process of delivering a seminar can be broken down into several components</w:t>
      </w:r>
      <w:r w:rsidR="00D7384F">
        <w:rPr>
          <w:lang w:eastAsia="en-AU"/>
        </w:rPr>
        <w:t xml:space="preserve"> as listed in </w:t>
      </w:r>
      <w:r w:rsidR="00D7384F">
        <w:rPr>
          <w:lang w:eastAsia="en-AU"/>
        </w:rPr>
        <w:fldChar w:fldCharType="begin"/>
      </w:r>
      <w:r w:rsidR="00D7384F">
        <w:rPr>
          <w:lang w:eastAsia="en-AU"/>
        </w:rPr>
        <w:instrText xml:space="preserve"> REF _Ref512242377 \h </w:instrText>
      </w:r>
      <w:r w:rsidR="00D7384F">
        <w:rPr>
          <w:lang w:eastAsia="en-AU"/>
        </w:rPr>
      </w:r>
      <w:r w:rsidR="00D7384F">
        <w:rPr>
          <w:lang w:eastAsia="en-AU"/>
        </w:rPr>
        <w:fldChar w:fldCharType="separate"/>
      </w:r>
      <w:r w:rsidR="00F24924">
        <w:t xml:space="preserve">Table </w:t>
      </w:r>
      <w:r w:rsidR="00F24924">
        <w:rPr>
          <w:noProof/>
        </w:rPr>
        <w:t>3</w:t>
      </w:r>
      <w:r w:rsidR="00D7384F">
        <w:rPr>
          <w:lang w:eastAsia="en-AU"/>
        </w:rPr>
        <w:fldChar w:fldCharType="end"/>
      </w:r>
      <w:r>
        <w:rPr>
          <w:lang w:eastAsia="en-AU"/>
        </w:rPr>
        <w:t xml:space="preserve">. We can think of components as the activities that are involved in delivering the EA. For example, </w:t>
      </w:r>
      <w:r w:rsidR="00C34FD3">
        <w:rPr>
          <w:lang w:eastAsia="en-AU"/>
        </w:rPr>
        <w:t xml:space="preserve">the time </w:t>
      </w:r>
      <w:r>
        <w:rPr>
          <w:lang w:eastAsia="en-AU"/>
        </w:rPr>
        <w:t xml:space="preserve">staff spend </w:t>
      </w:r>
      <w:r w:rsidR="00C34FD3">
        <w:rPr>
          <w:lang w:eastAsia="en-AU"/>
        </w:rPr>
        <w:t xml:space="preserve">the </w:t>
      </w:r>
      <w:r>
        <w:rPr>
          <w:lang w:eastAsia="en-AU"/>
        </w:rPr>
        <w:t>book</w:t>
      </w:r>
      <w:r w:rsidR="00C34FD3">
        <w:rPr>
          <w:lang w:eastAsia="en-AU"/>
        </w:rPr>
        <w:t>ing</w:t>
      </w:r>
      <w:r>
        <w:rPr>
          <w:lang w:eastAsia="en-AU"/>
        </w:rPr>
        <w:t xml:space="preserve"> an appointment for a participant to attend the seminar. Also, if the seminar is run internally, </w:t>
      </w:r>
      <w:proofErr w:type="gramStart"/>
      <w:r>
        <w:rPr>
          <w:lang w:eastAsia="en-AU"/>
        </w:rPr>
        <w:t>staff have</w:t>
      </w:r>
      <w:proofErr w:type="gramEnd"/>
      <w:r>
        <w:rPr>
          <w:lang w:eastAsia="en-AU"/>
        </w:rPr>
        <w:t xml:space="preserve"> to spend time administering and running the seminar. We first determine the total expenditure (see the </w:t>
      </w:r>
      <w:r>
        <w:rPr>
          <w:lang w:eastAsia="en-AU"/>
        </w:rPr>
        <w:fldChar w:fldCharType="begin"/>
      </w:r>
      <w:r>
        <w:rPr>
          <w:lang w:eastAsia="en-AU"/>
        </w:rPr>
        <w:instrText xml:space="preserve"> REF _Ref512253402 \h </w:instrText>
      </w:r>
      <w:r>
        <w:rPr>
          <w:lang w:eastAsia="en-AU"/>
        </w:rPr>
      </w:r>
      <w:r>
        <w:rPr>
          <w:lang w:eastAsia="en-AU"/>
        </w:rPr>
        <w:fldChar w:fldCharType="separate"/>
      </w:r>
      <w:proofErr w:type="gramStart"/>
      <w:r w:rsidR="00F24924">
        <w:rPr>
          <w:lang w:eastAsia="en-AU"/>
        </w:rPr>
        <w:t>Financial</w:t>
      </w:r>
      <w:proofErr w:type="gramEnd"/>
      <w:r w:rsidR="00F24924">
        <w:rPr>
          <w:lang w:eastAsia="en-AU"/>
        </w:rPr>
        <w:t xml:space="preserve"> inputs</w:t>
      </w:r>
      <w:r>
        <w:rPr>
          <w:lang w:eastAsia="en-AU"/>
        </w:rPr>
        <w:fldChar w:fldCharType="end"/>
      </w:r>
      <w:r>
        <w:rPr>
          <w:lang w:eastAsia="en-AU"/>
        </w:rPr>
        <w:t xml:space="preserve"> section below) for each of these components for that seminar in a financial year. See the table below for a list of components in the iCAM.</w:t>
      </w:r>
    </w:p>
    <w:p w:rsidR="00CE3659" w:rsidRDefault="00CE3659" w:rsidP="00CE3659">
      <w:pPr>
        <w:pStyle w:val="Heading4"/>
      </w:pPr>
      <w:bookmarkStart w:id="36" w:name="_Ref512242377"/>
      <w:bookmarkStart w:id="37" w:name="_Toc512251025"/>
      <w:bookmarkStart w:id="38" w:name="_Toc945099"/>
      <w:r>
        <w:t xml:space="preserve">Table </w:t>
      </w:r>
      <w:fldSimple w:instr=" SEQ Table \* ARABIC ">
        <w:r w:rsidR="00F24924">
          <w:rPr>
            <w:noProof/>
          </w:rPr>
          <w:t>3</w:t>
        </w:r>
      </w:fldSimple>
      <w:bookmarkEnd w:id="36"/>
      <w:r>
        <w:t>:</w:t>
      </w:r>
      <w:r w:rsidRPr="00A97083">
        <w:t xml:space="preserve"> Cost components and their metrics</w:t>
      </w:r>
      <w:bookmarkEnd w:id="37"/>
      <w:bookmarkEnd w:id="38"/>
    </w:p>
    <w:tbl>
      <w:tblPr>
        <w:tblStyle w:val="MSDreportstyle"/>
        <w:tblW w:w="0" w:type="auto"/>
        <w:tblLook w:val="0420" w:firstRow="1" w:lastRow="0" w:firstColumn="0" w:lastColumn="0" w:noHBand="0" w:noVBand="1"/>
      </w:tblPr>
      <w:tblGrid>
        <w:gridCol w:w="1951"/>
        <w:gridCol w:w="5103"/>
        <w:gridCol w:w="2126"/>
      </w:tblGrid>
      <w:tr w:rsidR="00CE3659" w:rsidRPr="00CE3659" w:rsidTr="00CE3659">
        <w:trPr>
          <w:cnfStyle w:val="100000000000" w:firstRow="1" w:lastRow="0" w:firstColumn="0" w:lastColumn="0" w:oddVBand="0" w:evenVBand="0" w:oddHBand="0" w:evenHBand="0" w:firstRowFirstColumn="0" w:firstRowLastColumn="0" w:lastRowFirstColumn="0" w:lastRowLastColumn="0"/>
          <w:tblHeader/>
        </w:trPr>
        <w:tc>
          <w:tcPr>
            <w:tcW w:w="1951" w:type="dxa"/>
          </w:tcPr>
          <w:p w:rsidR="00CE3659" w:rsidRPr="00CE3659" w:rsidRDefault="00CE3659" w:rsidP="00462AB7">
            <w:pPr>
              <w:pStyle w:val="Table"/>
              <w:rPr>
                <w:b/>
                <w:color w:val="FFFFFF" w:themeColor="background1"/>
              </w:rPr>
            </w:pPr>
            <w:r w:rsidRPr="00CE3659">
              <w:rPr>
                <w:b/>
                <w:color w:val="FFFFFF" w:themeColor="background1"/>
              </w:rPr>
              <w:t>Component</w:t>
            </w:r>
          </w:p>
        </w:tc>
        <w:tc>
          <w:tcPr>
            <w:tcW w:w="5103" w:type="dxa"/>
          </w:tcPr>
          <w:p w:rsidR="00CE3659" w:rsidRPr="00CE3659" w:rsidRDefault="00CE3659" w:rsidP="00462AB7">
            <w:pPr>
              <w:pStyle w:val="Table"/>
              <w:rPr>
                <w:b/>
                <w:color w:val="FFFFFF" w:themeColor="background1"/>
              </w:rPr>
            </w:pPr>
            <w:r w:rsidRPr="00CE3659">
              <w:rPr>
                <w:b/>
                <w:color w:val="FFFFFF" w:themeColor="background1"/>
              </w:rPr>
              <w:t>Definition</w:t>
            </w:r>
          </w:p>
        </w:tc>
        <w:tc>
          <w:tcPr>
            <w:tcW w:w="2126" w:type="dxa"/>
          </w:tcPr>
          <w:p w:rsidR="00CE3659" w:rsidRPr="00CE3659" w:rsidRDefault="00CE3659" w:rsidP="00462AB7">
            <w:pPr>
              <w:pStyle w:val="Table"/>
              <w:rPr>
                <w:b/>
                <w:color w:val="FFFFFF" w:themeColor="background1"/>
              </w:rPr>
            </w:pPr>
            <w:r w:rsidRPr="00CE3659">
              <w:rPr>
                <w:b/>
                <w:color w:val="FFFFFF" w:themeColor="background1"/>
              </w:rPr>
              <w:t>Metric</w:t>
            </w:r>
          </w:p>
        </w:tc>
      </w:tr>
      <w:tr w:rsidR="00CE3659" w:rsidRPr="00D34C3F" w:rsidTr="00CE3659">
        <w:trPr>
          <w:cnfStyle w:val="000000100000" w:firstRow="0" w:lastRow="0" w:firstColumn="0" w:lastColumn="0" w:oddVBand="0" w:evenVBand="0" w:oddHBand="1" w:evenHBand="0" w:firstRowFirstColumn="0" w:firstRowLastColumn="0" w:lastRowFirstColumn="0" w:lastRowLastColumn="0"/>
        </w:trPr>
        <w:tc>
          <w:tcPr>
            <w:tcW w:w="1951" w:type="dxa"/>
          </w:tcPr>
          <w:p w:rsidR="00CE3659" w:rsidRPr="00D34C3F" w:rsidRDefault="00CE3659" w:rsidP="00462AB7">
            <w:pPr>
              <w:pStyle w:val="Table"/>
            </w:pPr>
            <w:r w:rsidRPr="00D34C3F">
              <w:t>Appointment</w:t>
            </w:r>
          </w:p>
        </w:tc>
        <w:tc>
          <w:tcPr>
            <w:tcW w:w="5103" w:type="dxa"/>
          </w:tcPr>
          <w:p w:rsidR="00CE3659" w:rsidRPr="00D34C3F" w:rsidRDefault="00CE3659" w:rsidP="00D7384F">
            <w:pPr>
              <w:pStyle w:val="Table"/>
            </w:pPr>
            <w:r w:rsidRPr="00D34C3F">
              <w:t>S</w:t>
            </w:r>
            <w:r w:rsidR="00D7384F">
              <w:t>cheduling an appointment</w:t>
            </w:r>
          </w:p>
        </w:tc>
        <w:tc>
          <w:tcPr>
            <w:tcW w:w="2126" w:type="dxa"/>
          </w:tcPr>
          <w:p w:rsidR="00CE3659" w:rsidRPr="00D34C3F" w:rsidRDefault="00CE3659" w:rsidP="00462AB7">
            <w:pPr>
              <w:pStyle w:val="Table"/>
            </w:pPr>
            <w:r w:rsidRPr="00D34C3F">
              <w:t>Staff time</w:t>
            </w:r>
          </w:p>
        </w:tc>
      </w:tr>
      <w:tr w:rsidR="00CE3659" w:rsidRPr="00D34C3F" w:rsidTr="00CE3659">
        <w:tc>
          <w:tcPr>
            <w:tcW w:w="1951" w:type="dxa"/>
          </w:tcPr>
          <w:p w:rsidR="00CE3659" w:rsidRPr="00D34C3F" w:rsidRDefault="00CE3659" w:rsidP="00462AB7">
            <w:pPr>
              <w:pStyle w:val="Table"/>
            </w:pPr>
            <w:r w:rsidRPr="00D34C3F">
              <w:t>Benefit administration</w:t>
            </w:r>
          </w:p>
        </w:tc>
        <w:tc>
          <w:tcPr>
            <w:tcW w:w="5103" w:type="dxa"/>
          </w:tcPr>
          <w:p w:rsidR="00CE3659" w:rsidRPr="00D34C3F" w:rsidRDefault="00CE3659" w:rsidP="00462AB7">
            <w:pPr>
              <w:pStyle w:val="Table"/>
            </w:pPr>
            <w:r w:rsidRPr="00D34C3F">
              <w:t>Assessing and maintaining entitlement to income support assistance</w:t>
            </w:r>
          </w:p>
        </w:tc>
        <w:tc>
          <w:tcPr>
            <w:tcW w:w="2126" w:type="dxa"/>
          </w:tcPr>
          <w:p w:rsidR="00CE3659" w:rsidRPr="00D34C3F" w:rsidRDefault="00CE3659" w:rsidP="00462AB7">
            <w:pPr>
              <w:pStyle w:val="Table"/>
            </w:pPr>
            <w:r w:rsidRPr="00D34C3F">
              <w:t>Staff time</w:t>
            </w:r>
          </w:p>
        </w:tc>
      </w:tr>
      <w:tr w:rsidR="00CE3659" w:rsidRPr="00D34C3F" w:rsidTr="00CE3659">
        <w:trPr>
          <w:cnfStyle w:val="000000100000" w:firstRow="0" w:lastRow="0" w:firstColumn="0" w:lastColumn="0" w:oddVBand="0" w:evenVBand="0" w:oddHBand="1" w:evenHBand="0" w:firstRowFirstColumn="0" w:firstRowLastColumn="0" w:lastRowFirstColumn="0" w:lastRowLastColumn="0"/>
        </w:trPr>
        <w:tc>
          <w:tcPr>
            <w:tcW w:w="1951" w:type="dxa"/>
          </w:tcPr>
          <w:p w:rsidR="00CE3659" w:rsidRPr="00D34C3F" w:rsidRDefault="00CE3659" w:rsidP="00462AB7">
            <w:pPr>
              <w:pStyle w:val="Table"/>
            </w:pPr>
            <w:r w:rsidRPr="00D34C3F">
              <w:t>Benefit payments</w:t>
            </w:r>
          </w:p>
        </w:tc>
        <w:tc>
          <w:tcPr>
            <w:tcW w:w="5103" w:type="dxa"/>
          </w:tcPr>
          <w:p w:rsidR="00CE3659" w:rsidRPr="00D34C3F" w:rsidRDefault="00CE3659" w:rsidP="00462AB7">
            <w:pPr>
              <w:pStyle w:val="Table"/>
            </w:pPr>
            <w:r w:rsidRPr="00D34C3F">
              <w:t>Bank fees for payment of income support benefits</w:t>
            </w:r>
          </w:p>
        </w:tc>
        <w:tc>
          <w:tcPr>
            <w:tcW w:w="2126" w:type="dxa"/>
          </w:tcPr>
          <w:p w:rsidR="00CE3659" w:rsidRPr="00D34C3F" w:rsidRDefault="00CE3659" w:rsidP="00462AB7">
            <w:pPr>
              <w:pStyle w:val="Table"/>
            </w:pPr>
            <w:r w:rsidRPr="00D34C3F">
              <w:t>Pay weeks</w:t>
            </w:r>
          </w:p>
        </w:tc>
      </w:tr>
      <w:tr w:rsidR="00CE3659" w:rsidRPr="00D34C3F" w:rsidTr="00CE3659">
        <w:tc>
          <w:tcPr>
            <w:tcW w:w="1951" w:type="dxa"/>
          </w:tcPr>
          <w:p w:rsidR="00CE3659" w:rsidRPr="00D34C3F" w:rsidRDefault="00CE3659" w:rsidP="00462AB7">
            <w:pPr>
              <w:pStyle w:val="Table"/>
            </w:pPr>
            <w:r w:rsidRPr="00D34C3F">
              <w:lastRenderedPageBreak/>
              <w:t>Client contact</w:t>
            </w:r>
          </w:p>
        </w:tc>
        <w:tc>
          <w:tcPr>
            <w:tcW w:w="5103" w:type="dxa"/>
          </w:tcPr>
          <w:p w:rsidR="00CE3659" w:rsidRPr="00D34C3F" w:rsidRDefault="00CE3659" w:rsidP="00D7384F">
            <w:pPr>
              <w:pStyle w:val="Table"/>
            </w:pPr>
            <w:r w:rsidRPr="00D34C3F">
              <w:t xml:space="preserve">Contact with </w:t>
            </w:r>
            <w:r w:rsidR="00D7384F">
              <w:t>individuals</w:t>
            </w:r>
            <w:r w:rsidRPr="00D34C3F">
              <w:t xml:space="preserve"> to help them plan and move into employment or updating their records</w:t>
            </w:r>
          </w:p>
        </w:tc>
        <w:tc>
          <w:tcPr>
            <w:tcW w:w="2126" w:type="dxa"/>
          </w:tcPr>
          <w:p w:rsidR="00CE3659" w:rsidRPr="00D34C3F" w:rsidRDefault="00CE3659" w:rsidP="00462AB7">
            <w:pPr>
              <w:pStyle w:val="Table"/>
            </w:pPr>
            <w:r w:rsidRPr="00D34C3F">
              <w:t>Staff time</w:t>
            </w:r>
          </w:p>
        </w:tc>
      </w:tr>
      <w:tr w:rsidR="00CE3659" w:rsidRPr="00D34C3F" w:rsidTr="00CE3659">
        <w:trPr>
          <w:cnfStyle w:val="000000100000" w:firstRow="0" w:lastRow="0" w:firstColumn="0" w:lastColumn="0" w:oddVBand="0" w:evenVBand="0" w:oddHBand="1" w:evenHBand="0" w:firstRowFirstColumn="0" w:firstRowLastColumn="0" w:lastRowFirstColumn="0" w:lastRowLastColumn="0"/>
        </w:trPr>
        <w:tc>
          <w:tcPr>
            <w:tcW w:w="1951" w:type="dxa"/>
          </w:tcPr>
          <w:p w:rsidR="00CE3659" w:rsidRPr="00D34C3F" w:rsidRDefault="00CE3659" w:rsidP="00462AB7">
            <w:pPr>
              <w:pStyle w:val="Table"/>
            </w:pPr>
            <w:r w:rsidRPr="00D34C3F">
              <w:t>Contract Administration</w:t>
            </w:r>
          </w:p>
        </w:tc>
        <w:tc>
          <w:tcPr>
            <w:tcW w:w="5103" w:type="dxa"/>
          </w:tcPr>
          <w:p w:rsidR="00CE3659" w:rsidRPr="00D34C3F" w:rsidRDefault="00CE3659" w:rsidP="00462AB7">
            <w:pPr>
              <w:pStyle w:val="Table"/>
            </w:pPr>
            <w:r w:rsidRPr="00D34C3F">
              <w:t>Administration of contracts</w:t>
            </w:r>
            <w:r w:rsidR="00261263">
              <w:t>,</w:t>
            </w:r>
            <w:r w:rsidRPr="00D34C3F">
              <w:t xml:space="preserve"> including tendering, negotiation, payment and managing the performance of contracted providers</w:t>
            </w:r>
          </w:p>
        </w:tc>
        <w:tc>
          <w:tcPr>
            <w:tcW w:w="2126" w:type="dxa"/>
          </w:tcPr>
          <w:p w:rsidR="00CE3659" w:rsidRPr="00D34C3F" w:rsidRDefault="00CE3659" w:rsidP="00462AB7">
            <w:pPr>
              <w:pStyle w:val="Table"/>
            </w:pPr>
            <w:r w:rsidRPr="00D34C3F">
              <w:t xml:space="preserve">Contract </w:t>
            </w:r>
            <w:r w:rsidRPr="00C34FD3">
              <w:rPr>
                <w:noProof/>
              </w:rPr>
              <w:t>amount</w:t>
            </w:r>
          </w:p>
        </w:tc>
      </w:tr>
      <w:tr w:rsidR="00CE3659" w:rsidRPr="00D34C3F" w:rsidTr="00CE3659">
        <w:tc>
          <w:tcPr>
            <w:tcW w:w="1951" w:type="dxa"/>
          </w:tcPr>
          <w:p w:rsidR="00CE3659" w:rsidRPr="00D34C3F" w:rsidRDefault="00CE3659" w:rsidP="00462AB7">
            <w:pPr>
              <w:pStyle w:val="Table"/>
            </w:pPr>
            <w:r w:rsidRPr="00D34C3F">
              <w:t>Contract payment</w:t>
            </w:r>
          </w:p>
        </w:tc>
        <w:tc>
          <w:tcPr>
            <w:tcW w:w="5103" w:type="dxa"/>
          </w:tcPr>
          <w:p w:rsidR="00CE3659" w:rsidRPr="00D34C3F" w:rsidRDefault="00CE3659" w:rsidP="00462AB7">
            <w:pPr>
              <w:pStyle w:val="Table"/>
            </w:pPr>
            <w:r w:rsidRPr="00D34C3F">
              <w:t>Payment of contracts</w:t>
            </w:r>
          </w:p>
        </w:tc>
        <w:tc>
          <w:tcPr>
            <w:tcW w:w="2126" w:type="dxa"/>
          </w:tcPr>
          <w:p w:rsidR="00CE3659" w:rsidRPr="00D34C3F" w:rsidRDefault="00CE3659" w:rsidP="00462AB7">
            <w:pPr>
              <w:pStyle w:val="Table"/>
            </w:pPr>
            <w:r w:rsidRPr="00D34C3F">
              <w:t xml:space="preserve">Contract </w:t>
            </w:r>
            <w:r w:rsidRPr="00C34FD3">
              <w:rPr>
                <w:noProof/>
              </w:rPr>
              <w:t>amount</w:t>
            </w:r>
          </w:p>
        </w:tc>
      </w:tr>
      <w:tr w:rsidR="00CE3659" w:rsidRPr="00D34C3F" w:rsidTr="00CE3659">
        <w:trPr>
          <w:cnfStyle w:val="000000100000" w:firstRow="0" w:lastRow="0" w:firstColumn="0" w:lastColumn="0" w:oddVBand="0" w:evenVBand="0" w:oddHBand="1" w:evenHBand="0" w:firstRowFirstColumn="0" w:firstRowLastColumn="0" w:lastRowFirstColumn="0" w:lastRowLastColumn="0"/>
        </w:trPr>
        <w:tc>
          <w:tcPr>
            <w:tcW w:w="1951" w:type="dxa"/>
          </w:tcPr>
          <w:p w:rsidR="00CE3659" w:rsidRPr="00D34C3F" w:rsidRDefault="00CE3659" w:rsidP="00462AB7">
            <w:pPr>
              <w:pStyle w:val="Table"/>
            </w:pPr>
            <w:r w:rsidRPr="00D34C3F">
              <w:t>Grant</w:t>
            </w:r>
          </w:p>
        </w:tc>
        <w:tc>
          <w:tcPr>
            <w:tcW w:w="5103" w:type="dxa"/>
          </w:tcPr>
          <w:p w:rsidR="00CE3659" w:rsidRPr="00D34C3F" w:rsidRDefault="00CE3659" w:rsidP="00D7384F">
            <w:pPr>
              <w:pStyle w:val="Table"/>
            </w:pPr>
            <w:r w:rsidRPr="00D34C3F">
              <w:t xml:space="preserve">Financial transfer to </w:t>
            </w:r>
            <w:r w:rsidR="00D7384F">
              <w:t>people</w:t>
            </w:r>
            <w:r w:rsidRPr="00D34C3F">
              <w:t xml:space="preserve"> to assist them with undertaking further training or with transitioning into employment</w:t>
            </w:r>
          </w:p>
        </w:tc>
        <w:tc>
          <w:tcPr>
            <w:tcW w:w="2126" w:type="dxa"/>
          </w:tcPr>
          <w:p w:rsidR="00CE3659" w:rsidRPr="00D34C3F" w:rsidRDefault="00CE3659" w:rsidP="00462AB7">
            <w:pPr>
              <w:pStyle w:val="Table"/>
            </w:pPr>
            <w:r w:rsidRPr="00D34C3F">
              <w:t>Grant amount</w:t>
            </w:r>
          </w:p>
        </w:tc>
      </w:tr>
      <w:tr w:rsidR="00CE3659" w:rsidRPr="00D34C3F" w:rsidTr="00CE3659">
        <w:tc>
          <w:tcPr>
            <w:tcW w:w="1951" w:type="dxa"/>
          </w:tcPr>
          <w:p w:rsidR="00CE3659" w:rsidRPr="00D34C3F" w:rsidRDefault="00CE3659" w:rsidP="00462AB7">
            <w:pPr>
              <w:pStyle w:val="Table"/>
            </w:pPr>
            <w:r w:rsidRPr="00D34C3F">
              <w:t>Grant Administration</w:t>
            </w:r>
          </w:p>
        </w:tc>
        <w:tc>
          <w:tcPr>
            <w:tcW w:w="5103" w:type="dxa"/>
          </w:tcPr>
          <w:p w:rsidR="00CE3659" w:rsidRPr="00D34C3F" w:rsidRDefault="00CE3659" w:rsidP="00462AB7">
            <w:pPr>
              <w:pStyle w:val="Table"/>
            </w:pPr>
            <w:r w:rsidRPr="00D34C3F">
              <w:t>Assessing and administering grant applications</w:t>
            </w:r>
          </w:p>
        </w:tc>
        <w:tc>
          <w:tcPr>
            <w:tcW w:w="2126" w:type="dxa"/>
          </w:tcPr>
          <w:p w:rsidR="00CE3659" w:rsidRPr="00D34C3F" w:rsidRDefault="00CE3659" w:rsidP="00462AB7">
            <w:pPr>
              <w:pStyle w:val="Table"/>
            </w:pPr>
            <w:r w:rsidRPr="00D34C3F">
              <w:t>Staff time</w:t>
            </w:r>
          </w:p>
        </w:tc>
      </w:tr>
      <w:tr w:rsidR="00CE3659" w:rsidRPr="00D34C3F" w:rsidTr="00CE3659">
        <w:trPr>
          <w:cnfStyle w:val="000000100000" w:firstRow="0" w:lastRow="0" w:firstColumn="0" w:lastColumn="0" w:oddVBand="0" w:evenVBand="0" w:oddHBand="1" w:evenHBand="0" w:firstRowFirstColumn="0" w:firstRowLastColumn="0" w:lastRowFirstColumn="0" w:lastRowLastColumn="0"/>
        </w:trPr>
        <w:tc>
          <w:tcPr>
            <w:tcW w:w="1951" w:type="dxa"/>
          </w:tcPr>
          <w:p w:rsidR="00CE3659" w:rsidRPr="00D34C3F" w:rsidRDefault="00CE3659" w:rsidP="00462AB7">
            <w:pPr>
              <w:pStyle w:val="Table"/>
            </w:pPr>
            <w:r w:rsidRPr="00D34C3F">
              <w:t>Integrity (fraud and debt)</w:t>
            </w:r>
          </w:p>
        </w:tc>
        <w:tc>
          <w:tcPr>
            <w:tcW w:w="5103" w:type="dxa"/>
          </w:tcPr>
          <w:p w:rsidR="00CE3659" w:rsidRPr="00D34C3F" w:rsidRDefault="00CE3659" w:rsidP="00D7384F">
            <w:pPr>
              <w:pStyle w:val="Table"/>
            </w:pPr>
            <w:r w:rsidRPr="00D34C3F">
              <w:t>Identification of benefit fraud and the collection of outstanding debt</w:t>
            </w:r>
          </w:p>
        </w:tc>
        <w:tc>
          <w:tcPr>
            <w:tcW w:w="2126" w:type="dxa"/>
          </w:tcPr>
          <w:p w:rsidR="00CE3659" w:rsidRPr="00D34C3F" w:rsidRDefault="00CE3659" w:rsidP="00462AB7">
            <w:pPr>
              <w:pStyle w:val="Table"/>
            </w:pPr>
            <w:r w:rsidRPr="00D34C3F">
              <w:t>Staff time</w:t>
            </w:r>
          </w:p>
        </w:tc>
      </w:tr>
      <w:tr w:rsidR="00CE3659" w:rsidRPr="00D34C3F" w:rsidTr="00CE3659">
        <w:tc>
          <w:tcPr>
            <w:tcW w:w="1951" w:type="dxa"/>
          </w:tcPr>
          <w:p w:rsidR="00CE3659" w:rsidRPr="00D34C3F" w:rsidRDefault="00CE3659" w:rsidP="00462AB7">
            <w:pPr>
              <w:pStyle w:val="Table"/>
            </w:pPr>
            <w:r w:rsidRPr="00D34C3F">
              <w:t>Placement Opportunity</w:t>
            </w:r>
          </w:p>
        </w:tc>
        <w:tc>
          <w:tcPr>
            <w:tcW w:w="5103" w:type="dxa"/>
          </w:tcPr>
          <w:p w:rsidR="00CE3659" w:rsidRPr="00D34C3F" w:rsidRDefault="00CE3659" w:rsidP="00462AB7">
            <w:pPr>
              <w:pStyle w:val="Table"/>
            </w:pPr>
            <w:r w:rsidRPr="00D34C3F">
              <w:t>Time spent by contact centre staff and work brokers to identify and establish vacancies with employers</w:t>
            </w:r>
          </w:p>
        </w:tc>
        <w:tc>
          <w:tcPr>
            <w:tcW w:w="2126" w:type="dxa"/>
          </w:tcPr>
          <w:p w:rsidR="00CE3659" w:rsidRPr="00D34C3F" w:rsidRDefault="00CE3659" w:rsidP="00462AB7">
            <w:pPr>
              <w:pStyle w:val="Table"/>
            </w:pPr>
            <w:r w:rsidRPr="00D34C3F">
              <w:t>Starts</w:t>
            </w:r>
          </w:p>
        </w:tc>
      </w:tr>
      <w:tr w:rsidR="00CE3659" w:rsidRPr="00D34C3F" w:rsidTr="00CE3659">
        <w:trPr>
          <w:cnfStyle w:val="000000100000" w:firstRow="0" w:lastRow="0" w:firstColumn="0" w:lastColumn="0" w:oddVBand="0" w:evenVBand="0" w:oddHBand="1" w:evenHBand="0" w:firstRowFirstColumn="0" w:firstRowLastColumn="0" w:lastRowFirstColumn="0" w:lastRowLastColumn="0"/>
        </w:trPr>
        <w:tc>
          <w:tcPr>
            <w:tcW w:w="1951" w:type="dxa"/>
          </w:tcPr>
          <w:p w:rsidR="00CE3659" w:rsidRPr="00D34C3F" w:rsidRDefault="00CE3659" w:rsidP="00462AB7">
            <w:pPr>
              <w:pStyle w:val="Table"/>
            </w:pPr>
            <w:r w:rsidRPr="00D34C3F">
              <w:t>Referral</w:t>
            </w:r>
          </w:p>
        </w:tc>
        <w:tc>
          <w:tcPr>
            <w:tcW w:w="5103" w:type="dxa"/>
          </w:tcPr>
          <w:p w:rsidR="00CE3659" w:rsidRPr="00D34C3F" w:rsidRDefault="00CE3659" w:rsidP="00D7384F">
            <w:pPr>
              <w:pStyle w:val="Table"/>
            </w:pPr>
            <w:r w:rsidRPr="00D34C3F">
              <w:t xml:space="preserve">Time spent by case managers in referring </w:t>
            </w:r>
            <w:r w:rsidR="00D7384F">
              <w:t>people</w:t>
            </w:r>
            <w:r w:rsidRPr="00D34C3F">
              <w:t xml:space="preserve"> to employment vacancies, employment programmes, or training programmes</w:t>
            </w:r>
          </w:p>
        </w:tc>
        <w:tc>
          <w:tcPr>
            <w:tcW w:w="2126" w:type="dxa"/>
          </w:tcPr>
          <w:p w:rsidR="00CE3659" w:rsidRPr="00D34C3F" w:rsidRDefault="00CE3659" w:rsidP="00462AB7">
            <w:pPr>
              <w:pStyle w:val="Table"/>
            </w:pPr>
            <w:r w:rsidRPr="00D34C3F">
              <w:t>Staff time</w:t>
            </w:r>
          </w:p>
        </w:tc>
      </w:tr>
      <w:tr w:rsidR="00CE3659" w:rsidRPr="00D34C3F" w:rsidTr="00CE3659">
        <w:tc>
          <w:tcPr>
            <w:tcW w:w="1951" w:type="dxa"/>
          </w:tcPr>
          <w:p w:rsidR="00CE3659" w:rsidRPr="00D34C3F" w:rsidRDefault="00CE3659" w:rsidP="00462AB7">
            <w:pPr>
              <w:pStyle w:val="Table"/>
            </w:pPr>
            <w:r w:rsidRPr="00D34C3F">
              <w:t>Seminar</w:t>
            </w:r>
          </w:p>
        </w:tc>
        <w:tc>
          <w:tcPr>
            <w:tcW w:w="5103" w:type="dxa"/>
          </w:tcPr>
          <w:p w:rsidR="00CE3659" w:rsidRPr="00D34C3F" w:rsidRDefault="00CE3659" w:rsidP="00462AB7">
            <w:pPr>
              <w:pStyle w:val="Table"/>
            </w:pPr>
            <w:r w:rsidRPr="00D34C3F">
              <w:t>Staff time in administering and running seminars</w:t>
            </w:r>
          </w:p>
        </w:tc>
        <w:tc>
          <w:tcPr>
            <w:tcW w:w="2126" w:type="dxa"/>
          </w:tcPr>
          <w:p w:rsidR="00CE3659" w:rsidRPr="00D34C3F" w:rsidRDefault="00CE3659" w:rsidP="00462AB7">
            <w:pPr>
              <w:pStyle w:val="Table"/>
            </w:pPr>
            <w:r w:rsidRPr="00D34C3F">
              <w:t>Staff time</w:t>
            </w:r>
          </w:p>
        </w:tc>
      </w:tr>
      <w:tr w:rsidR="00CE3659" w:rsidRPr="00D34C3F" w:rsidTr="00CE3659">
        <w:trPr>
          <w:cnfStyle w:val="000000100000" w:firstRow="0" w:lastRow="0" w:firstColumn="0" w:lastColumn="0" w:oddVBand="0" w:evenVBand="0" w:oddHBand="1" w:evenHBand="0" w:firstRowFirstColumn="0" w:firstRowLastColumn="0" w:lastRowFirstColumn="0" w:lastRowLastColumn="0"/>
        </w:trPr>
        <w:tc>
          <w:tcPr>
            <w:tcW w:w="1951" w:type="dxa"/>
          </w:tcPr>
          <w:p w:rsidR="00CE3659" w:rsidRPr="00D34C3F" w:rsidRDefault="00CE3659" w:rsidP="00462AB7">
            <w:pPr>
              <w:pStyle w:val="Table"/>
            </w:pPr>
            <w:r w:rsidRPr="00D34C3F">
              <w:t>Study Assistance</w:t>
            </w:r>
          </w:p>
        </w:tc>
        <w:tc>
          <w:tcPr>
            <w:tcW w:w="5103" w:type="dxa"/>
          </w:tcPr>
          <w:p w:rsidR="00CE3659" w:rsidRPr="00D34C3F" w:rsidRDefault="00CE3659" w:rsidP="00462AB7">
            <w:pPr>
              <w:pStyle w:val="Table"/>
            </w:pPr>
            <w:r w:rsidRPr="00D34C3F">
              <w:t>Time in assessing and maintaining entitlement to student loans and allowances</w:t>
            </w:r>
          </w:p>
        </w:tc>
        <w:tc>
          <w:tcPr>
            <w:tcW w:w="2126" w:type="dxa"/>
          </w:tcPr>
          <w:p w:rsidR="00CE3659" w:rsidRPr="00D34C3F" w:rsidRDefault="00CE3659" w:rsidP="00462AB7">
            <w:pPr>
              <w:pStyle w:val="Table"/>
            </w:pPr>
            <w:r w:rsidRPr="00D34C3F">
              <w:t>Staff time</w:t>
            </w:r>
          </w:p>
        </w:tc>
      </w:tr>
      <w:tr w:rsidR="00CE3659" w:rsidRPr="00D34C3F" w:rsidTr="00CE3659">
        <w:tc>
          <w:tcPr>
            <w:tcW w:w="1951" w:type="dxa"/>
          </w:tcPr>
          <w:p w:rsidR="00CE3659" w:rsidRPr="00D34C3F" w:rsidRDefault="00CE3659" w:rsidP="00462AB7">
            <w:pPr>
              <w:pStyle w:val="Table"/>
            </w:pPr>
            <w:r w:rsidRPr="00D34C3F">
              <w:t>Wage Subsidy</w:t>
            </w:r>
          </w:p>
        </w:tc>
        <w:tc>
          <w:tcPr>
            <w:tcW w:w="5103" w:type="dxa"/>
          </w:tcPr>
          <w:p w:rsidR="00CE3659" w:rsidRPr="00D34C3F" w:rsidRDefault="00CE3659" w:rsidP="00462AB7">
            <w:pPr>
              <w:pStyle w:val="Table"/>
            </w:pPr>
            <w:r w:rsidRPr="00D34C3F">
              <w:t xml:space="preserve">Payments made to </w:t>
            </w:r>
            <w:r w:rsidRPr="00B20BAF">
              <w:rPr>
                <w:noProof/>
              </w:rPr>
              <w:t>employers</w:t>
            </w:r>
            <w:r w:rsidRPr="00D34C3F">
              <w:t xml:space="preserve"> or sponsors for hiring wage subsidy, work experience, or self-employment programmes</w:t>
            </w:r>
          </w:p>
        </w:tc>
        <w:tc>
          <w:tcPr>
            <w:tcW w:w="2126" w:type="dxa"/>
          </w:tcPr>
          <w:p w:rsidR="00CE3659" w:rsidRPr="00D34C3F" w:rsidRDefault="00CE3659" w:rsidP="00462AB7">
            <w:pPr>
              <w:pStyle w:val="Table"/>
            </w:pPr>
            <w:r w:rsidRPr="00D34C3F">
              <w:t>Subsidy payments</w:t>
            </w:r>
          </w:p>
        </w:tc>
      </w:tr>
      <w:tr w:rsidR="00CE3659" w:rsidRPr="00D34C3F" w:rsidTr="00CE3659">
        <w:trPr>
          <w:cnfStyle w:val="000000100000" w:firstRow="0" w:lastRow="0" w:firstColumn="0" w:lastColumn="0" w:oddVBand="0" w:evenVBand="0" w:oddHBand="1" w:evenHBand="0" w:firstRowFirstColumn="0" w:firstRowLastColumn="0" w:lastRowFirstColumn="0" w:lastRowLastColumn="0"/>
        </w:trPr>
        <w:tc>
          <w:tcPr>
            <w:tcW w:w="1951" w:type="dxa"/>
          </w:tcPr>
          <w:p w:rsidR="00CE3659" w:rsidRPr="00D34C3F" w:rsidRDefault="00CE3659" w:rsidP="00462AB7">
            <w:pPr>
              <w:pStyle w:val="Table"/>
            </w:pPr>
            <w:r w:rsidRPr="00D34C3F">
              <w:t>Wage Subsidy Administration</w:t>
            </w:r>
          </w:p>
        </w:tc>
        <w:tc>
          <w:tcPr>
            <w:tcW w:w="5103" w:type="dxa"/>
          </w:tcPr>
          <w:p w:rsidR="00CE3659" w:rsidRPr="00D34C3F" w:rsidRDefault="00CE3659" w:rsidP="00462AB7">
            <w:pPr>
              <w:pStyle w:val="Table"/>
            </w:pPr>
            <w:r w:rsidRPr="00D34C3F">
              <w:t>Cost of administering wage subsidy assistance</w:t>
            </w:r>
          </w:p>
        </w:tc>
        <w:tc>
          <w:tcPr>
            <w:tcW w:w="2126" w:type="dxa"/>
          </w:tcPr>
          <w:p w:rsidR="00CE3659" w:rsidRPr="00D34C3F" w:rsidRDefault="00CE3659" w:rsidP="00462AB7">
            <w:pPr>
              <w:pStyle w:val="Table"/>
            </w:pPr>
            <w:r w:rsidRPr="00D34C3F">
              <w:t>Starts</w:t>
            </w:r>
          </w:p>
        </w:tc>
      </w:tr>
      <w:tr w:rsidR="00CE3659" w:rsidRPr="00D34C3F" w:rsidTr="00CE3659">
        <w:tc>
          <w:tcPr>
            <w:tcW w:w="1951" w:type="dxa"/>
          </w:tcPr>
          <w:p w:rsidR="00CE3659" w:rsidRPr="00D34C3F" w:rsidRDefault="00CE3659" w:rsidP="00462AB7">
            <w:pPr>
              <w:pStyle w:val="Table"/>
            </w:pPr>
            <w:r w:rsidRPr="00D34C3F">
              <w:t>Unallocated Service Delivery</w:t>
            </w:r>
          </w:p>
        </w:tc>
        <w:tc>
          <w:tcPr>
            <w:tcW w:w="5103" w:type="dxa"/>
          </w:tcPr>
          <w:p w:rsidR="00CE3659" w:rsidRPr="00D34C3F" w:rsidRDefault="00CE3659" w:rsidP="00462AB7">
            <w:pPr>
              <w:pStyle w:val="Table"/>
            </w:pPr>
            <w:r w:rsidRPr="00D34C3F">
              <w:t>Unallocated frontline staff time costs for Service Delivery</w:t>
            </w:r>
          </w:p>
        </w:tc>
        <w:tc>
          <w:tcPr>
            <w:tcW w:w="2126" w:type="dxa"/>
          </w:tcPr>
          <w:p w:rsidR="00CE3659" w:rsidRPr="00D34C3F" w:rsidRDefault="00CE3659" w:rsidP="00462AB7">
            <w:pPr>
              <w:pStyle w:val="Table"/>
            </w:pPr>
            <w:r w:rsidRPr="00D34C3F">
              <w:t>Duration on income support or student allowance</w:t>
            </w:r>
          </w:p>
        </w:tc>
      </w:tr>
      <w:tr w:rsidR="00CE3659" w:rsidRPr="00D34C3F" w:rsidTr="00CE3659">
        <w:trPr>
          <w:cnfStyle w:val="000000100000" w:firstRow="0" w:lastRow="0" w:firstColumn="0" w:lastColumn="0" w:oddVBand="0" w:evenVBand="0" w:oddHBand="1" w:evenHBand="0" w:firstRowFirstColumn="0" w:firstRowLastColumn="0" w:lastRowFirstColumn="0" w:lastRowLastColumn="0"/>
        </w:trPr>
        <w:tc>
          <w:tcPr>
            <w:tcW w:w="1951" w:type="dxa"/>
          </w:tcPr>
          <w:p w:rsidR="00CE3659" w:rsidRPr="00D34C3F" w:rsidRDefault="00CE3659" w:rsidP="00462AB7">
            <w:pPr>
              <w:pStyle w:val="Table"/>
            </w:pPr>
            <w:r w:rsidRPr="00D34C3F">
              <w:t>Overhead costs</w:t>
            </w:r>
          </w:p>
        </w:tc>
        <w:tc>
          <w:tcPr>
            <w:tcW w:w="5103" w:type="dxa"/>
          </w:tcPr>
          <w:p w:rsidR="00CE3659" w:rsidRPr="00D34C3F" w:rsidRDefault="00CE3659" w:rsidP="00462AB7">
            <w:pPr>
              <w:pStyle w:val="Table"/>
            </w:pPr>
            <w:r w:rsidRPr="00C34FD3">
              <w:rPr>
                <w:noProof/>
              </w:rPr>
              <w:t>IT</w:t>
            </w:r>
            <w:r w:rsidRPr="00D34C3F">
              <w:t>, corporate services, property, and support staff costs</w:t>
            </w:r>
          </w:p>
        </w:tc>
        <w:tc>
          <w:tcPr>
            <w:tcW w:w="2126" w:type="dxa"/>
          </w:tcPr>
          <w:p w:rsidR="00CE3659" w:rsidRPr="00D34C3F" w:rsidRDefault="00CE3659" w:rsidP="00462AB7">
            <w:pPr>
              <w:pStyle w:val="Table"/>
            </w:pPr>
            <w:r w:rsidRPr="00D34C3F">
              <w:t>Departmental cost of each output</w:t>
            </w:r>
          </w:p>
        </w:tc>
      </w:tr>
    </w:tbl>
    <w:p w:rsidR="00CE3659" w:rsidRDefault="00CE3659" w:rsidP="00CE3659">
      <w:pPr>
        <w:rPr>
          <w:lang w:eastAsia="en-AU"/>
        </w:rPr>
      </w:pPr>
    </w:p>
    <w:p w:rsidR="00CE3659" w:rsidRDefault="00CE3659" w:rsidP="00CE3659">
      <w:pPr>
        <w:rPr>
          <w:lang w:eastAsia="en-AU"/>
        </w:rPr>
      </w:pPr>
      <w:r>
        <w:rPr>
          <w:lang w:eastAsia="en-AU"/>
        </w:rPr>
        <w:t xml:space="preserve">The next step is to find a metric related to each </w:t>
      </w:r>
      <w:r w:rsidRPr="00C34FD3">
        <w:rPr>
          <w:noProof/>
          <w:lang w:eastAsia="en-AU"/>
        </w:rPr>
        <w:t>component</w:t>
      </w:r>
      <w:r>
        <w:rPr>
          <w:lang w:eastAsia="en-AU"/>
        </w:rPr>
        <w:t xml:space="preserve"> so that we can assign a dollar value to that component. We define metrics as quantitative information about an output’s component. For example, for the appointment component, we can use the number of minutes that </w:t>
      </w:r>
      <w:proofErr w:type="gramStart"/>
      <w:r w:rsidRPr="00C34FD3">
        <w:rPr>
          <w:noProof/>
          <w:lang w:eastAsia="en-AU"/>
        </w:rPr>
        <w:t>staff</w:t>
      </w:r>
      <w:r>
        <w:rPr>
          <w:lang w:eastAsia="en-AU"/>
        </w:rPr>
        <w:t xml:space="preserve"> spend</w:t>
      </w:r>
      <w:proofErr w:type="gramEnd"/>
      <w:r>
        <w:rPr>
          <w:lang w:eastAsia="en-AU"/>
        </w:rPr>
        <w:t xml:space="preserve"> to book participants for each seminar. Multiplying the number of minutes spent by staff by a per-minute staff rate will give us the appointment cost</w:t>
      </w:r>
      <w:r w:rsidRPr="002622F6">
        <w:rPr>
          <w:lang w:eastAsia="en-AU"/>
        </w:rPr>
        <w:t xml:space="preserve"> </w:t>
      </w:r>
      <w:r>
        <w:rPr>
          <w:lang w:eastAsia="en-AU"/>
        </w:rPr>
        <w:t>for each seminar attendee.</w:t>
      </w:r>
    </w:p>
    <w:p w:rsidR="00CE3659" w:rsidRDefault="00CE3659" w:rsidP="00CE3659">
      <w:pPr>
        <w:rPr>
          <w:lang w:eastAsia="en-AU"/>
        </w:rPr>
      </w:pPr>
      <w:r>
        <w:rPr>
          <w:lang w:eastAsia="en-AU"/>
        </w:rPr>
        <w:t>Finally, we add the cost of each component to arrive at a total cost for the seminar. The variation in the cost of each seminar output for the financial year will depend on the variability in the cost of its components.</w:t>
      </w:r>
    </w:p>
    <w:p w:rsidR="00CE3659" w:rsidRDefault="00CE3659" w:rsidP="00CE3659">
      <w:pPr>
        <w:pStyle w:val="Heading2"/>
        <w:rPr>
          <w:lang w:eastAsia="en-AU"/>
        </w:rPr>
      </w:pPr>
      <w:bookmarkStart w:id="39" w:name="_Ref512253402"/>
      <w:bookmarkStart w:id="40" w:name="_Toc514063451"/>
      <w:bookmarkStart w:id="41" w:name="_Toc524003451"/>
      <w:r>
        <w:rPr>
          <w:lang w:eastAsia="en-AU"/>
        </w:rPr>
        <w:lastRenderedPageBreak/>
        <w:t>Financial inputs</w:t>
      </w:r>
      <w:bookmarkEnd w:id="39"/>
      <w:bookmarkEnd w:id="40"/>
      <w:bookmarkEnd w:id="41"/>
    </w:p>
    <w:p w:rsidR="00CE3659" w:rsidRPr="007C03BB" w:rsidRDefault="00CE3659" w:rsidP="00CE3659">
      <w:pPr>
        <w:rPr>
          <w:lang w:eastAsia="en-AU"/>
        </w:rPr>
      </w:pPr>
      <w:r>
        <w:rPr>
          <w:lang w:eastAsia="en-AU"/>
        </w:rPr>
        <w:t xml:space="preserve">Having identified the outputs, their cost components, and how to assign costs to them, the next question is where we source the financial costs for Service Delivery. We can access records of Service Delivery expenditure through the Ministry’s financial accounting system called KEA. These records capture expenditure information down to the cost centre and nominal level. Some cost components have a relatively straightforward link to the financial inputs – for </w:t>
      </w:r>
      <w:r w:rsidRPr="00C34FD3">
        <w:rPr>
          <w:noProof/>
          <w:lang w:eastAsia="en-AU"/>
        </w:rPr>
        <w:t>example</w:t>
      </w:r>
      <w:r w:rsidR="00C34FD3">
        <w:rPr>
          <w:noProof/>
          <w:lang w:eastAsia="en-AU"/>
        </w:rPr>
        <w:t>,</w:t>
      </w:r>
      <w:r>
        <w:rPr>
          <w:lang w:eastAsia="en-AU"/>
        </w:rPr>
        <w:t xml:space="preserve"> the wage subsidy payments for a wage subsidy programme. </w:t>
      </w:r>
    </w:p>
    <w:p w:rsidR="00CE3659" w:rsidRDefault="00CE3659" w:rsidP="00CE3659">
      <w:pPr>
        <w:pStyle w:val="Heading2"/>
        <w:rPr>
          <w:lang w:eastAsia="en-AU"/>
        </w:rPr>
      </w:pPr>
      <w:bookmarkStart w:id="42" w:name="_Toc514063452"/>
      <w:bookmarkStart w:id="43" w:name="_Toc524003452"/>
      <w:r>
        <w:rPr>
          <w:lang w:eastAsia="en-AU"/>
        </w:rPr>
        <w:t>How do we estimate staff time?</w:t>
      </w:r>
      <w:bookmarkEnd w:id="42"/>
      <w:bookmarkEnd w:id="43"/>
    </w:p>
    <w:p w:rsidR="00CE3659" w:rsidRDefault="00CE3659" w:rsidP="00CE3659">
      <w:pPr>
        <w:rPr>
          <w:lang w:eastAsia="en-AU"/>
        </w:rPr>
      </w:pPr>
      <w:r>
        <w:rPr>
          <w:lang w:eastAsia="en-AU"/>
        </w:rPr>
        <w:fldChar w:fldCharType="begin"/>
      </w:r>
      <w:r>
        <w:rPr>
          <w:lang w:eastAsia="en-AU"/>
        </w:rPr>
        <w:instrText xml:space="preserve"> REF _Ref512242377 \h </w:instrText>
      </w:r>
      <w:r>
        <w:rPr>
          <w:lang w:eastAsia="en-AU"/>
        </w:rPr>
      </w:r>
      <w:r>
        <w:rPr>
          <w:lang w:eastAsia="en-AU"/>
        </w:rPr>
        <w:fldChar w:fldCharType="separate"/>
      </w:r>
      <w:r w:rsidR="00F24924">
        <w:t xml:space="preserve">Table </w:t>
      </w:r>
      <w:r w:rsidR="00F24924">
        <w:rPr>
          <w:noProof/>
        </w:rPr>
        <w:t>3</w:t>
      </w:r>
      <w:r>
        <w:rPr>
          <w:lang w:eastAsia="en-AU"/>
        </w:rPr>
        <w:fldChar w:fldCharType="end"/>
      </w:r>
      <w:r>
        <w:rPr>
          <w:lang w:eastAsia="en-AU"/>
        </w:rPr>
        <w:t xml:space="preserve"> shows that staff time is a commonly used metric in the model. However, obtaining the data is not straightforward. In this section, we summarise how we collect staff time data. The source of this information </w:t>
      </w:r>
      <w:r w:rsidR="00C34FD3">
        <w:rPr>
          <w:noProof/>
          <w:lang w:eastAsia="en-AU"/>
        </w:rPr>
        <w:t>is</w:t>
      </w:r>
      <w:r>
        <w:rPr>
          <w:lang w:eastAsia="en-AU"/>
        </w:rPr>
        <w:t xml:space="preserve"> staff system transactions on MSD’s various IT admin systems</w:t>
      </w:r>
      <w:r>
        <w:rPr>
          <w:rStyle w:val="FootnoteReference"/>
        </w:rPr>
        <w:footnoteReference w:id="2"/>
      </w:r>
      <w:r>
        <w:rPr>
          <w:lang w:eastAsia="en-AU"/>
        </w:rPr>
        <w:t xml:space="preserve"> to estimate what frontline staff are doing through the </w:t>
      </w:r>
      <w:r w:rsidRPr="00C34FD3">
        <w:rPr>
          <w:noProof/>
          <w:lang w:eastAsia="en-AU"/>
        </w:rPr>
        <w:t>workday</w:t>
      </w:r>
      <w:r>
        <w:rPr>
          <w:lang w:eastAsia="en-AU"/>
        </w:rPr>
        <w:t xml:space="preserve">, and with which individual. The key information for these transactions </w:t>
      </w:r>
      <w:proofErr w:type="gramStart"/>
      <w:r>
        <w:rPr>
          <w:lang w:eastAsia="en-AU"/>
        </w:rPr>
        <w:t>are</w:t>
      </w:r>
      <w:proofErr w:type="gramEnd"/>
      <w:r>
        <w:rPr>
          <w:lang w:eastAsia="en-AU"/>
        </w:rPr>
        <w:t>:</w:t>
      </w:r>
    </w:p>
    <w:p w:rsidR="00CE3659" w:rsidRDefault="00CE3659" w:rsidP="00CE3659">
      <w:pPr>
        <w:pStyle w:val="ListParagraph"/>
        <w:numPr>
          <w:ilvl w:val="0"/>
          <w:numId w:val="11"/>
        </w:numPr>
        <w:spacing w:before="60" w:after="60"/>
        <w:rPr>
          <w:lang w:eastAsia="en-AU"/>
        </w:rPr>
      </w:pPr>
      <w:r>
        <w:rPr>
          <w:lang w:eastAsia="en-AU"/>
        </w:rPr>
        <w:t xml:space="preserve">A unique ID for </w:t>
      </w:r>
      <w:r w:rsidR="00C34FD3">
        <w:rPr>
          <w:lang w:eastAsia="en-AU"/>
        </w:rPr>
        <w:t xml:space="preserve">a </w:t>
      </w:r>
      <w:r w:rsidRPr="00C34FD3">
        <w:rPr>
          <w:noProof/>
          <w:lang w:eastAsia="en-AU"/>
        </w:rPr>
        <w:t>staff</w:t>
      </w:r>
      <w:r>
        <w:rPr>
          <w:lang w:eastAsia="en-AU"/>
        </w:rPr>
        <w:t xml:space="preserve"> member</w:t>
      </w:r>
    </w:p>
    <w:p w:rsidR="00CE3659" w:rsidRDefault="00CE3659" w:rsidP="00CE3659">
      <w:pPr>
        <w:pStyle w:val="ListParagraph"/>
        <w:numPr>
          <w:ilvl w:val="0"/>
          <w:numId w:val="11"/>
        </w:numPr>
        <w:spacing w:before="60" w:after="60"/>
        <w:rPr>
          <w:lang w:eastAsia="en-AU"/>
        </w:rPr>
      </w:pPr>
      <w:r>
        <w:rPr>
          <w:lang w:eastAsia="en-AU"/>
        </w:rPr>
        <w:t>A unique ID for an individual</w:t>
      </w:r>
    </w:p>
    <w:p w:rsidR="00CE3659" w:rsidRDefault="00CE3659" w:rsidP="00CE3659">
      <w:pPr>
        <w:pStyle w:val="ListParagraph"/>
        <w:numPr>
          <w:ilvl w:val="0"/>
          <w:numId w:val="11"/>
        </w:numPr>
        <w:spacing w:before="60" w:after="60"/>
        <w:rPr>
          <w:lang w:eastAsia="en-AU"/>
        </w:rPr>
      </w:pPr>
      <w:r>
        <w:rPr>
          <w:lang w:eastAsia="en-AU"/>
        </w:rPr>
        <w:t>A start time</w:t>
      </w:r>
    </w:p>
    <w:p w:rsidR="00CE3659" w:rsidRDefault="00CE3659" w:rsidP="00CE3659">
      <w:pPr>
        <w:pStyle w:val="ListParagraph"/>
        <w:numPr>
          <w:ilvl w:val="0"/>
          <w:numId w:val="11"/>
        </w:numPr>
        <w:spacing w:before="60" w:after="60"/>
        <w:rPr>
          <w:lang w:eastAsia="en-AU"/>
        </w:rPr>
      </w:pPr>
      <w:r>
        <w:rPr>
          <w:lang w:eastAsia="en-AU"/>
        </w:rPr>
        <w:t>An end time</w:t>
      </w:r>
    </w:p>
    <w:p w:rsidR="00CE3659" w:rsidRPr="004F4709" w:rsidRDefault="00CE3659" w:rsidP="00CE3659">
      <w:pPr>
        <w:pStyle w:val="ListParagraph"/>
        <w:numPr>
          <w:ilvl w:val="0"/>
          <w:numId w:val="11"/>
        </w:numPr>
        <w:spacing w:before="60" w:after="60"/>
        <w:rPr>
          <w:lang w:eastAsia="en-AU"/>
        </w:rPr>
      </w:pPr>
      <w:r>
        <w:rPr>
          <w:lang w:eastAsia="en-AU"/>
        </w:rPr>
        <w:t>What the action was</w:t>
      </w:r>
      <w:r w:rsidR="00261263">
        <w:rPr>
          <w:lang w:eastAsia="en-AU"/>
        </w:rPr>
        <w:t>.</w:t>
      </w:r>
    </w:p>
    <w:p w:rsidR="00CE3659" w:rsidRDefault="00CE3659" w:rsidP="00CE3659">
      <w:pPr>
        <w:rPr>
          <w:lang w:eastAsia="en-AU"/>
        </w:rPr>
      </w:pPr>
      <w:r>
        <w:rPr>
          <w:lang w:eastAsia="en-AU"/>
        </w:rPr>
        <w:t xml:space="preserve">This allows us to construct a transaction-based view of the staff member’s day. </w:t>
      </w:r>
      <w:r>
        <w:rPr>
          <w:lang w:eastAsia="en-AU"/>
        </w:rPr>
        <w:fldChar w:fldCharType="begin"/>
      </w:r>
      <w:r>
        <w:rPr>
          <w:lang w:eastAsia="en-AU"/>
        </w:rPr>
        <w:instrText xml:space="preserve"> REF _Ref512244608 \h </w:instrText>
      </w:r>
      <w:r>
        <w:rPr>
          <w:lang w:eastAsia="en-AU"/>
        </w:rPr>
      </w:r>
      <w:r>
        <w:rPr>
          <w:lang w:eastAsia="en-AU"/>
        </w:rPr>
        <w:fldChar w:fldCharType="separate"/>
      </w:r>
      <w:r w:rsidR="00F24924">
        <w:t xml:space="preserve">Table </w:t>
      </w:r>
      <w:r w:rsidR="00F24924">
        <w:rPr>
          <w:noProof/>
        </w:rPr>
        <w:t>4</w:t>
      </w:r>
      <w:r>
        <w:rPr>
          <w:lang w:eastAsia="en-AU"/>
        </w:rPr>
        <w:fldChar w:fldCharType="end"/>
      </w:r>
      <w:r>
        <w:rPr>
          <w:lang w:eastAsia="en-AU"/>
        </w:rPr>
        <w:t xml:space="preserve"> below shows a stylised example of three consecutive transactions performed by a staff member.</w:t>
      </w:r>
    </w:p>
    <w:p w:rsidR="00CE3659" w:rsidRPr="00D80C77" w:rsidRDefault="00CE3659" w:rsidP="00CE3659">
      <w:pPr>
        <w:pStyle w:val="Heading4"/>
        <w:rPr>
          <w:lang w:eastAsia="en-AU"/>
        </w:rPr>
      </w:pPr>
      <w:bookmarkStart w:id="44" w:name="_Ref512244608"/>
      <w:bookmarkStart w:id="45" w:name="_Ref512245708"/>
      <w:bookmarkStart w:id="46" w:name="_Toc512251026"/>
      <w:bookmarkStart w:id="47" w:name="_Toc945100"/>
      <w:r>
        <w:t xml:space="preserve">Table </w:t>
      </w:r>
      <w:fldSimple w:instr=" SEQ Table \* ARABIC ">
        <w:r w:rsidR="00F24924">
          <w:rPr>
            <w:noProof/>
          </w:rPr>
          <w:t>4</w:t>
        </w:r>
      </w:fldSimple>
      <w:bookmarkEnd w:id="44"/>
      <w:bookmarkEnd w:id="45"/>
      <w:r>
        <w:t>:</w:t>
      </w:r>
      <w:r w:rsidR="00C34FD3">
        <w:t xml:space="preserve"> A </w:t>
      </w:r>
      <w:r w:rsidR="00C34FD3">
        <w:rPr>
          <w:noProof/>
        </w:rPr>
        <w:t>s</w:t>
      </w:r>
      <w:r w:rsidRPr="00C34FD3">
        <w:rPr>
          <w:noProof/>
        </w:rPr>
        <w:t>tylised</w:t>
      </w:r>
      <w:r w:rsidRPr="00D80C77">
        <w:t xml:space="preserve"> example of a staff member's transactions in the morning</w:t>
      </w:r>
      <w:bookmarkEnd w:id="46"/>
      <w:bookmarkEnd w:id="47"/>
    </w:p>
    <w:tbl>
      <w:tblPr>
        <w:tblStyle w:val="MSDreportstyle"/>
        <w:tblW w:w="0" w:type="auto"/>
        <w:tblLook w:val="0420" w:firstRow="1" w:lastRow="0" w:firstColumn="0" w:lastColumn="0" w:noHBand="0" w:noVBand="1"/>
      </w:tblPr>
      <w:tblGrid>
        <w:gridCol w:w="1101"/>
        <w:gridCol w:w="1134"/>
        <w:gridCol w:w="2693"/>
        <w:gridCol w:w="2465"/>
        <w:gridCol w:w="1849"/>
      </w:tblGrid>
      <w:tr w:rsidR="00CE3659" w:rsidRPr="00CE3659" w:rsidTr="00CE3659">
        <w:trPr>
          <w:cnfStyle w:val="100000000000" w:firstRow="1" w:lastRow="0" w:firstColumn="0" w:lastColumn="0" w:oddVBand="0" w:evenVBand="0" w:oddHBand="0" w:evenHBand="0" w:firstRowFirstColumn="0" w:firstRowLastColumn="0" w:lastRowFirstColumn="0" w:lastRowLastColumn="0"/>
        </w:trPr>
        <w:tc>
          <w:tcPr>
            <w:tcW w:w="1101" w:type="dxa"/>
          </w:tcPr>
          <w:p w:rsidR="00CE3659" w:rsidRPr="00CE3659" w:rsidRDefault="00CE3659" w:rsidP="00462AB7">
            <w:pPr>
              <w:rPr>
                <w:b/>
                <w:sz w:val="18"/>
                <w:lang w:eastAsia="en-AU"/>
              </w:rPr>
            </w:pPr>
            <w:r w:rsidRPr="00CE3659">
              <w:rPr>
                <w:b/>
                <w:sz w:val="18"/>
                <w:lang w:eastAsia="en-AU"/>
              </w:rPr>
              <w:t>Staff ID</w:t>
            </w:r>
          </w:p>
        </w:tc>
        <w:tc>
          <w:tcPr>
            <w:tcW w:w="1134" w:type="dxa"/>
          </w:tcPr>
          <w:p w:rsidR="00CE3659" w:rsidRPr="00CE3659" w:rsidRDefault="00CE3659" w:rsidP="00462AB7">
            <w:pPr>
              <w:rPr>
                <w:b/>
                <w:sz w:val="18"/>
                <w:lang w:eastAsia="en-AU"/>
              </w:rPr>
            </w:pPr>
            <w:r w:rsidRPr="00CE3659">
              <w:rPr>
                <w:b/>
                <w:sz w:val="18"/>
                <w:lang w:eastAsia="en-AU"/>
              </w:rPr>
              <w:t>Client ID</w:t>
            </w:r>
          </w:p>
        </w:tc>
        <w:tc>
          <w:tcPr>
            <w:tcW w:w="2693" w:type="dxa"/>
          </w:tcPr>
          <w:p w:rsidR="00CE3659" w:rsidRPr="00CE3659" w:rsidRDefault="00CE3659" w:rsidP="00462AB7">
            <w:pPr>
              <w:rPr>
                <w:b/>
                <w:sz w:val="18"/>
                <w:lang w:eastAsia="en-AU"/>
              </w:rPr>
            </w:pPr>
            <w:r w:rsidRPr="00CE3659">
              <w:rPr>
                <w:b/>
                <w:sz w:val="18"/>
                <w:lang w:eastAsia="en-AU"/>
              </w:rPr>
              <w:t>Start time</w:t>
            </w:r>
          </w:p>
        </w:tc>
        <w:tc>
          <w:tcPr>
            <w:tcW w:w="2465" w:type="dxa"/>
          </w:tcPr>
          <w:p w:rsidR="00CE3659" w:rsidRPr="00CE3659" w:rsidRDefault="00CE3659" w:rsidP="00462AB7">
            <w:pPr>
              <w:rPr>
                <w:b/>
                <w:sz w:val="18"/>
                <w:lang w:eastAsia="en-AU"/>
              </w:rPr>
            </w:pPr>
            <w:r w:rsidRPr="00CE3659">
              <w:rPr>
                <w:b/>
                <w:sz w:val="18"/>
                <w:lang w:eastAsia="en-AU"/>
              </w:rPr>
              <w:t>End time</w:t>
            </w:r>
          </w:p>
        </w:tc>
        <w:tc>
          <w:tcPr>
            <w:tcW w:w="1849" w:type="dxa"/>
          </w:tcPr>
          <w:p w:rsidR="00CE3659" w:rsidRPr="00CE3659" w:rsidRDefault="00CE3659" w:rsidP="00462AB7">
            <w:pPr>
              <w:rPr>
                <w:b/>
                <w:sz w:val="18"/>
                <w:lang w:eastAsia="en-AU"/>
              </w:rPr>
            </w:pPr>
            <w:r w:rsidRPr="00CE3659">
              <w:rPr>
                <w:b/>
                <w:sz w:val="18"/>
                <w:lang w:eastAsia="en-AU"/>
              </w:rPr>
              <w:t>Activity</w:t>
            </w:r>
          </w:p>
        </w:tc>
      </w:tr>
      <w:tr w:rsidR="00CE3659" w:rsidRPr="00B535FE" w:rsidTr="00CE3659">
        <w:trPr>
          <w:cnfStyle w:val="000000100000" w:firstRow="0" w:lastRow="0" w:firstColumn="0" w:lastColumn="0" w:oddVBand="0" w:evenVBand="0" w:oddHBand="1" w:evenHBand="0" w:firstRowFirstColumn="0" w:firstRowLastColumn="0" w:lastRowFirstColumn="0" w:lastRowLastColumn="0"/>
        </w:trPr>
        <w:tc>
          <w:tcPr>
            <w:tcW w:w="1101" w:type="dxa"/>
          </w:tcPr>
          <w:p w:rsidR="00CE3659" w:rsidRPr="00AE2358" w:rsidRDefault="003B0EA0" w:rsidP="00462AB7">
            <w:pPr>
              <w:rPr>
                <w:sz w:val="18"/>
                <w:lang w:eastAsia="en-AU"/>
              </w:rPr>
            </w:pPr>
            <w:r>
              <w:rPr>
                <w:sz w:val="18"/>
                <w:lang w:eastAsia="en-AU"/>
              </w:rPr>
              <w:t>x</w:t>
            </w:r>
            <w:r w:rsidRPr="00AE2358">
              <w:rPr>
                <w:sz w:val="18"/>
                <w:lang w:eastAsia="en-AU"/>
              </w:rPr>
              <w:t>xx</w:t>
            </w:r>
          </w:p>
        </w:tc>
        <w:tc>
          <w:tcPr>
            <w:tcW w:w="1134" w:type="dxa"/>
          </w:tcPr>
          <w:p w:rsidR="00CE3659" w:rsidRPr="00AE2358" w:rsidRDefault="00CE3659" w:rsidP="00462AB7">
            <w:pPr>
              <w:rPr>
                <w:sz w:val="18"/>
                <w:lang w:eastAsia="en-AU"/>
              </w:rPr>
            </w:pPr>
            <w:r w:rsidRPr="00AE2358">
              <w:rPr>
                <w:sz w:val="18"/>
                <w:lang w:eastAsia="en-AU"/>
              </w:rPr>
              <w:t>my</w:t>
            </w:r>
          </w:p>
        </w:tc>
        <w:tc>
          <w:tcPr>
            <w:tcW w:w="2693" w:type="dxa"/>
          </w:tcPr>
          <w:p w:rsidR="00CE3659" w:rsidRPr="00AE2358" w:rsidRDefault="00CE3659" w:rsidP="00462AB7">
            <w:pPr>
              <w:rPr>
                <w:sz w:val="18"/>
                <w:lang w:eastAsia="en-AU"/>
              </w:rPr>
            </w:pPr>
            <w:r w:rsidRPr="00AE2358">
              <w:rPr>
                <w:sz w:val="18"/>
                <w:lang w:eastAsia="en-AU"/>
              </w:rPr>
              <w:t>03/04/2012 8.30 am</w:t>
            </w:r>
          </w:p>
        </w:tc>
        <w:tc>
          <w:tcPr>
            <w:tcW w:w="2465" w:type="dxa"/>
          </w:tcPr>
          <w:p w:rsidR="00CE3659" w:rsidRPr="00AE2358" w:rsidRDefault="00CE3659" w:rsidP="00462AB7">
            <w:pPr>
              <w:rPr>
                <w:sz w:val="18"/>
                <w:lang w:eastAsia="en-AU"/>
              </w:rPr>
            </w:pPr>
            <w:r w:rsidRPr="00AE2358">
              <w:rPr>
                <w:sz w:val="18"/>
                <w:lang w:eastAsia="en-AU"/>
              </w:rPr>
              <w:t>03/04/2012 8.34 am</w:t>
            </w:r>
          </w:p>
        </w:tc>
        <w:tc>
          <w:tcPr>
            <w:tcW w:w="1849" w:type="dxa"/>
          </w:tcPr>
          <w:p w:rsidR="00CE3659" w:rsidRPr="00AE2358" w:rsidRDefault="00CE3659" w:rsidP="00462AB7">
            <w:pPr>
              <w:rPr>
                <w:sz w:val="18"/>
                <w:lang w:eastAsia="en-AU"/>
              </w:rPr>
            </w:pPr>
            <w:r w:rsidRPr="00AE2358">
              <w:rPr>
                <w:sz w:val="18"/>
                <w:lang w:eastAsia="en-AU"/>
              </w:rPr>
              <w:t>Look up client details</w:t>
            </w:r>
          </w:p>
        </w:tc>
      </w:tr>
      <w:tr w:rsidR="00CE3659" w:rsidRPr="00B535FE" w:rsidTr="00CE3659">
        <w:tc>
          <w:tcPr>
            <w:tcW w:w="1101" w:type="dxa"/>
          </w:tcPr>
          <w:p w:rsidR="00CE3659" w:rsidRPr="00AE2358" w:rsidRDefault="003B0EA0" w:rsidP="00462AB7">
            <w:pPr>
              <w:rPr>
                <w:sz w:val="18"/>
                <w:lang w:eastAsia="en-AU"/>
              </w:rPr>
            </w:pPr>
            <w:r>
              <w:rPr>
                <w:sz w:val="18"/>
                <w:lang w:eastAsia="en-AU"/>
              </w:rPr>
              <w:t>x</w:t>
            </w:r>
            <w:r w:rsidRPr="00AE2358">
              <w:rPr>
                <w:sz w:val="18"/>
                <w:lang w:eastAsia="en-AU"/>
              </w:rPr>
              <w:t>xx</w:t>
            </w:r>
          </w:p>
        </w:tc>
        <w:tc>
          <w:tcPr>
            <w:tcW w:w="1134" w:type="dxa"/>
          </w:tcPr>
          <w:p w:rsidR="00CE3659" w:rsidRPr="00AE2358" w:rsidRDefault="003B0EA0" w:rsidP="00462AB7">
            <w:pPr>
              <w:rPr>
                <w:sz w:val="18"/>
                <w:lang w:eastAsia="en-AU"/>
              </w:rPr>
            </w:pPr>
            <w:proofErr w:type="spellStart"/>
            <w:r>
              <w:rPr>
                <w:sz w:val="18"/>
                <w:lang w:eastAsia="en-AU"/>
              </w:rPr>
              <w:t>y</w:t>
            </w:r>
            <w:r w:rsidRPr="00AE2358">
              <w:rPr>
                <w:sz w:val="18"/>
                <w:lang w:eastAsia="en-AU"/>
              </w:rPr>
              <w:t>yy</w:t>
            </w:r>
            <w:proofErr w:type="spellEnd"/>
          </w:p>
        </w:tc>
        <w:tc>
          <w:tcPr>
            <w:tcW w:w="2693" w:type="dxa"/>
          </w:tcPr>
          <w:p w:rsidR="00CE3659" w:rsidRPr="00AE2358" w:rsidRDefault="00CE3659" w:rsidP="00462AB7">
            <w:pPr>
              <w:rPr>
                <w:sz w:val="18"/>
                <w:lang w:eastAsia="en-AU"/>
              </w:rPr>
            </w:pPr>
            <w:r w:rsidRPr="00AE2358">
              <w:rPr>
                <w:sz w:val="18"/>
                <w:lang w:eastAsia="en-AU"/>
              </w:rPr>
              <w:t>03/04/2012 8.35 am</w:t>
            </w:r>
          </w:p>
        </w:tc>
        <w:tc>
          <w:tcPr>
            <w:tcW w:w="2465" w:type="dxa"/>
          </w:tcPr>
          <w:p w:rsidR="00CE3659" w:rsidRPr="00AE2358" w:rsidRDefault="00CE3659" w:rsidP="00462AB7">
            <w:pPr>
              <w:rPr>
                <w:sz w:val="18"/>
                <w:lang w:eastAsia="en-AU"/>
              </w:rPr>
            </w:pPr>
            <w:r w:rsidRPr="00AE2358">
              <w:rPr>
                <w:sz w:val="18"/>
                <w:lang w:eastAsia="en-AU"/>
              </w:rPr>
              <w:t>03/04/2012 8.44 am</w:t>
            </w:r>
          </w:p>
        </w:tc>
        <w:tc>
          <w:tcPr>
            <w:tcW w:w="1849" w:type="dxa"/>
          </w:tcPr>
          <w:p w:rsidR="00CE3659" w:rsidRPr="00AE2358" w:rsidRDefault="00CE3659" w:rsidP="00462AB7">
            <w:pPr>
              <w:rPr>
                <w:sz w:val="18"/>
                <w:lang w:eastAsia="en-AU"/>
              </w:rPr>
            </w:pPr>
            <w:r w:rsidRPr="00AE2358">
              <w:rPr>
                <w:sz w:val="18"/>
                <w:lang w:eastAsia="en-AU"/>
              </w:rPr>
              <w:t>Book appointment</w:t>
            </w:r>
            <w:r>
              <w:rPr>
                <w:sz w:val="18"/>
                <w:lang w:eastAsia="en-AU"/>
              </w:rPr>
              <w:t xml:space="preserve"> for </w:t>
            </w:r>
            <w:r w:rsidR="00C34FD3">
              <w:rPr>
                <w:sz w:val="18"/>
                <w:lang w:eastAsia="en-AU"/>
              </w:rPr>
              <w:t xml:space="preserve">the </w:t>
            </w:r>
            <w:r w:rsidRPr="00C34FD3">
              <w:rPr>
                <w:noProof/>
                <w:sz w:val="18"/>
                <w:lang w:eastAsia="en-AU"/>
              </w:rPr>
              <w:t>seminar</w:t>
            </w:r>
          </w:p>
        </w:tc>
      </w:tr>
      <w:tr w:rsidR="00CE3659" w:rsidRPr="00B535FE" w:rsidTr="00CE3659">
        <w:trPr>
          <w:cnfStyle w:val="000000100000" w:firstRow="0" w:lastRow="0" w:firstColumn="0" w:lastColumn="0" w:oddVBand="0" w:evenVBand="0" w:oddHBand="1" w:evenHBand="0" w:firstRowFirstColumn="0" w:firstRowLastColumn="0" w:lastRowFirstColumn="0" w:lastRowLastColumn="0"/>
        </w:trPr>
        <w:tc>
          <w:tcPr>
            <w:tcW w:w="1101" w:type="dxa"/>
          </w:tcPr>
          <w:p w:rsidR="00CE3659" w:rsidRPr="00AE2358" w:rsidRDefault="003B0EA0" w:rsidP="00462AB7">
            <w:pPr>
              <w:rPr>
                <w:sz w:val="18"/>
                <w:lang w:eastAsia="en-AU"/>
              </w:rPr>
            </w:pPr>
            <w:r>
              <w:rPr>
                <w:sz w:val="18"/>
                <w:lang w:eastAsia="en-AU"/>
              </w:rPr>
              <w:t>x</w:t>
            </w:r>
            <w:r w:rsidRPr="00AE2358">
              <w:rPr>
                <w:sz w:val="18"/>
                <w:lang w:eastAsia="en-AU"/>
              </w:rPr>
              <w:t>xx</w:t>
            </w:r>
          </w:p>
        </w:tc>
        <w:tc>
          <w:tcPr>
            <w:tcW w:w="1134" w:type="dxa"/>
          </w:tcPr>
          <w:p w:rsidR="00CE3659" w:rsidRPr="00AE2358" w:rsidRDefault="00CE3659" w:rsidP="00462AB7">
            <w:pPr>
              <w:rPr>
                <w:sz w:val="18"/>
                <w:lang w:eastAsia="en-AU"/>
              </w:rPr>
            </w:pPr>
            <w:proofErr w:type="spellStart"/>
            <w:r w:rsidRPr="00AE2358">
              <w:rPr>
                <w:sz w:val="18"/>
                <w:lang w:eastAsia="en-AU"/>
              </w:rPr>
              <w:t>zzz</w:t>
            </w:r>
            <w:proofErr w:type="spellEnd"/>
          </w:p>
        </w:tc>
        <w:tc>
          <w:tcPr>
            <w:tcW w:w="2693" w:type="dxa"/>
          </w:tcPr>
          <w:p w:rsidR="00CE3659" w:rsidRPr="00AE2358" w:rsidRDefault="00CE3659" w:rsidP="00462AB7">
            <w:pPr>
              <w:rPr>
                <w:sz w:val="18"/>
                <w:lang w:eastAsia="en-AU"/>
              </w:rPr>
            </w:pPr>
            <w:r w:rsidRPr="00AE2358">
              <w:rPr>
                <w:sz w:val="18"/>
                <w:lang w:eastAsia="en-AU"/>
              </w:rPr>
              <w:t>03/04/2012 8.45 am</w:t>
            </w:r>
          </w:p>
        </w:tc>
        <w:tc>
          <w:tcPr>
            <w:tcW w:w="2465" w:type="dxa"/>
          </w:tcPr>
          <w:p w:rsidR="00CE3659" w:rsidRPr="00AE2358" w:rsidRDefault="00CE3659" w:rsidP="00462AB7">
            <w:pPr>
              <w:rPr>
                <w:sz w:val="18"/>
                <w:lang w:eastAsia="en-AU"/>
              </w:rPr>
            </w:pPr>
            <w:r w:rsidRPr="00F11750">
              <w:rPr>
                <w:sz w:val="18"/>
                <w:lang w:eastAsia="en-AU"/>
              </w:rPr>
              <w:t>03/04/2012 8.</w:t>
            </w:r>
            <w:r>
              <w:rPr>
                <w:sz w:val="18"/>
                <w:lang w:eastAsia="en-AU"/>
              </w:rPr>
              <w:t>57</w:t>
            </w:r>
            <w:r w:rsidRPr="00AE2358">
              <w:rPr>
                <w:sz w:val="18"/>
                <w:lang w:eastAsia="en-AU"/>
              </w:rPr>
              <w:t xml:space="preserve"> am</w:t>
            </w:r>
          </w:p>
        </w:tc>
        <w:tc>
          <w:tcPr>
            <w:tcW w:w="1849" w:type="dxa"/>
          </w:tcPr>
          <w:p w:rsidR="00CE3659" w:rsidRPr="00AE2358" w:rsidRDefault="00CE3659" w:rsidP="00462AB7">
            <w:pPr>
              <w:rPr>
                <w:sz w:val="18"/>
                <w:lang w:eastAsia="en-AU"/>
              </w:rPr>
            </w:pPr>
            <w:r>
              <w:rPr>
                <w:sz w:val="18"/>
                <w:lang w:eastAsia="en-AU"/>
              </w:rPr>
              <w:t>Update client details</w:t>
            </w:r>
          </w:p>
        </w:tc>
      </w:tr>
    </w:tbl>
    <w:p w:rsidR="00CE3659" w:rsidRDefault="00CE3659" w:rsidP="00CE3659">
      <w:pPr>
        <w:pStyle w:val="Table"/>
      </w:pPr>
    </w:p>
    <w:p w:rsidR="00CE3659" w:rsidRPr="004F4709" w:rsidRDefault="00CE3659" w:rsidP="00CE3659">
      <w:pPr>
        <w:rPr>
          <w:lang w:eastAsia="en-AU"/>
        </w:rPr>
      </w:pPr>
      <w:r>
        <w:rPr>
          <w:lang w:eastAsia="en-AU"/>
        </w:rPr>
        <w:t xml:space="preserve">We then link transactions to outputs that have components with staff time as a metric. These transactions should occur around the start date of the output, or within the start date and end date of the output, depending on the type of component. For example, the second transaction related to booking a person for a seminar in </w:t>
      </w:r>
      <w:r>
        <w:rPr>
          <w:lang w:eastAsia="en-AU"/>
        </w:rPr>
        <w:fldChar w:fldCharType="begin"/>
      </w:r>
      <w:r>
        <w:rPr>
          <w:lang w:eastAsia="en-AU"/>
        </w:rPr>
        <w:instrText xml:space="preserve"> REF _Ref512245708 \h </w:instrText>
      </w:r>
      <w:r>
        <w:rPr>
          <w:lang w:eastAsia="en-AU"/>
        </w:rPr>
      </w:r>
      <w:r>
        <w:rPr>
          <w:lang w:eastAsia="en-AU"/>
        </w:rPr>
        <w:fldChar w:fldCharType="separate"/>
      </w:r>
      <w:r w:rsidR="00F24924">
        <w:t xml:space="preserve">Table </w:t>
      </w:r>
      <w:r w:rsidR="00F24924">
        <w:rPr>
          <w:noProof/>
        </w:rPr>
        <w:t>4</w:t>
      </w:r>
      <w:r>
        <w:rPr>
          <w:lang w:eastAsia="en-AU"/>
        </w:rPr>
        <w:fldChar w:fldCharType="end"/>
      </w:r>
      <w:r>
        <w:rPr>
          <w:lang w:eastAsia="en-AU"/>
        </w:rPr>
        <w:t xml:space="preserve"> could be linked to a seminar output that happened a week later for a person with the client ID </w:t>
      </w:r>
      <w:r w:rsidRPr="00C34FD3">
        <w:rPr>
          <w:noProof/>
          <w:lang w:eastAsia="en-AU"/>
        </w:rPr>
        <w:t>yyy</w:t>
      </w:r>
      <w:r>
        <w:rPr>
          <w:lang w:eastAsia="en-AU"/>
        </w:rPr>
        <w:t>.</w:t>
      </w:r>
    </w:p>
    <w:p w:rsidR="00CE3659" w:rsidRDefault="00CE3659" w:rsidP="00CE3659">
      <w:pPr>
        <w:pStyle w:val="Heading1"/>
      </w:pPr>
      <w:bookmarkStart w:id="48" w:name="_Toc514063453"/>
      <w:bookmarkStart w:id="49" w:name="_Toc524003453"/>
      <w:r>
        <w:lastRenderedPageBreak/>
        <w:t>Outcome measures</w:t>
      </w:r>
      <w:bookmarkEnd w:id="18"/>
      <w:bookmarkEnd w:id="48"/>
      <w:bookmarkEnd w:id="49"/>
    </w:p>
    <w:p w:rsidR="00CE3659" w:rsidRDefault="00CE3659" w:rsidP="00CE3659">
      <w:r>
        <w:t xml:space="preserve">When reporting on effectiveness, we measured the impacts of EA interventions across a range of outcome domains. We focus on those domains that we expect employment assistance to have a direct impact on as shown in </w:t>
      </w:r>
      <w:r>
        <w:rPr>
          <w:highlight w:val="yellow"/>
        </w:rPr>
        <w:fldChar w:fldCharType="begin"/>
      </w:r>
      <w:r>
        <w:instrText xml:space="preserve"> REF _Ref523839816 \h </w:instrText>
      </w:r>
      <w:r>
        <w:rPr>
          <w:highlight w:val="yellow"/>
        </w:rPr>
      </w:r>
      <w:r>
        <w:rPr>
          <w:highlight w:val="yellow"/>
        </w:rPr>
        <w:fldChar w:fldCharType="separate"/>
      </w:r>
      <w:r w:rsidR="00F24924">
        <w:t xml:space="preserve">Table </w:t>
      </w:r>
      <w:r w:rsidR="00F24924">
        <w:rPr>
          <w:noProof/>
        </w:rPr>
        <w:t>5</w:t>
      </w:r>
      <w:r>
        <w:rPr>
          <w:highlight w:val="yellow"/>
        </w:rPr>
        <w:fldChar w:fldCharType="end"/>
      </w:r>
      <w:r>
        <w:t xml:space="preserve"> below. However, we acknowledge that we do not have all outcomes that interventions could reasonably be expected to impact (eg </w:t>
      </w:r>
      <w:r w:rsidR="00D7384F">
        <w:t>outcomes</w:t>
      </w:r>
      <w:r w:rsidR="0009559C">
        <w:t>,</w:t>
      </w:r>
      <w:r w:rsidR="00D7384F">
        <w:t xml:space="preserve"> such as </w:t>
      </w:r>
      <w:r>
        <w:t>children’s short</w:t>
      </w:r>
      <w:r w:rsidR="00305883">
        <w:t>-</w:t>
      </w:r>
      <w:r>
        <w:t xml:space="preserve"> and </w:t>
      </w:r>
      <w:r w:rsidRPr="00C34FD3">
        <w:rPr>
          <w:noProof/>
        </w:rPr>
        <w:t>long</w:t>
      </w:r>
      <w:r w:rsidR="00C34FD3">
        <w:rPr>
          <w:noProof/>
        </w:rPr>
        <w:t>-</w:t>
      </w:r>
      <w:r w:rsidRPr="00C34FD3">
        <w:rPr>
          <w:noProof/>
        </w:rPr>
        <w:t>term</w:t>
      </w:r>
      <w:r>
        <w:t xml:space="preserve"> outcomes, health status and household income). The absence of an outcome measure is often because the SNZ IDI either </w:t>
      </w:r>
      <w:r w:rsidRPr="00C34FD3">
        <w:rPr>
          <w:noProof/>
        </w:rPr>
        <w:t>lack</w:t>
      </w:r>
      <w:r w:rsidR="00D7384F">
        <w:rPr>
          <w:noProof/>
        </w:rPr>
        <w:t>s</w:t>
      </w:r>
      <w:r>
        <w:t xml:space="preserve"> this information or there are issues with the data that need to be resolved. Over successive </w:t>
      </w:r>
      <w:r w:rsidRPr="00C34FD3">
        <w:rPr>
          <w:noProof/>
        </w:rPr>
        <w:t>reports</w:t>
      </w:r>
      <w:r w:rsidR="00C34FD3">
        <w:rPr>
          <w:noProof/>
        </w:rPr>
        <w:t>,</w:t>
      </w:r>
      <w:r>
        <w:t xml:space="preserve"> we have expanded the number of outcomes included in the analysis. In this year’s </w:t>
      </w:r>
      <w:r w:rsidRPr="00C34FD3">
        <w:rPr>
          <w:noProof/>
        </w:rPr>
        <w:t>report</w:t>
      </w:r>
      <w:r w:rsidR="00C34FD3">
        <w:rPr>
          <w:noProof/>
        </w:rPr>
        <w:t>,</w:t>
      </w:r>
      <w:r>
        <w:t xml:space="preserve"> we have included education qualifications and participation and justice outcomes to the analysis. In subsequent </w:t>
      </w:r>
      <w:r w:rsidRPr="00C34FD3">
        <w:rPr>
          <w:noProof/>
        </w:rPr>
        <w:t>reports</w:t>
      </w:r>
      <w:r w:rsidR="00C34FD3">
        <w:rPr>
          <w:noProof/>
        </w:rPr>
        <w:t>,</w:t>
      </w:r>
      <w:r>
        <w:t xml:space="preserve"> we plan to further expand the range of outcomes included in the analysis</w:t>
      </w:r>
      <w:r w:rsidR="0009559C">
        <w:t>,</w:t>
      </w:r>
      <w:r w:rsidR="00D7384F">
        <w:t xml:space="preserve"> such as mortality and periods spent overseas</w:t>
      </w:r>
      <w:r>
        <w:t>.</w:t>
      </w:r>
    </w:p>
    <w:p w:rsidR="00CE3659" w:rsidRPr="00A76FB6" w:rsidRDefault="00CE3659" w:rsidP="00CE3659">
      <w:pPr>
        <w:pStyle w:val="Heading4"/>
      </w:pPr>
      <w:bookmarkStart w:id="50" w:name="_Ref523839816"/>
      <w:bookmarkStart w:id="51" w:name="_Toc945101"/>
      <w:r>
        <w:t xml:space="preserve">Table </w:t>
      </w:r>
      <w:fldSimple w:instr=" SEQ Table \* ARABIC ">
        <w:r w:rsidR="00F24924">
          <w:rPr>
            <w:noProof/>
          </w:rPr>
          <w:t>5</w:t>
        </w:r>
      </w:fldSimple>
      <w:bookmarkEnd w:id="50"/>
      <w:r>
        <w:t xml:space="preserve">: </w:t>
      </w:r>
      <w:r w:rsidRPr="00A76FB6">
        <w:t>Outcome domains that employment interventions can be expected to have an impact on</w:t>
      </w:r>
      <w:bookmarkEnd w:id="51"/>
    </w:p>
    <w:tbl>
      <w:tblPr>
        <w:tblStyle w:val="MSDreportstyle"/>
        <w:tblW w:w="0" w:type="auto"/>
        <w:tblLook w:val="04A0" w:firstRow="1" w:lastRow="0" w:firstColumn="1" w:lastColumn="0" w:noHBand="0" w:noVBand="1"/>
      </w:tblPr>
      <w:tblGrid>
        <w:gridCol w:w="2386"/>
        <w:gridCol w:w="1533"/>
        <w:gridCol w:w="4583"/>
      </w:tblGrid>
      <w:tr w:rsidR="00CE3659" w:rsidRPr="00CE3659" w:rsidTr="00CE3659">
        <w:trPr>
          <w:cnfStyle w:val="100000000000" w:firstRow="1" w:lastRow="0" w:firstColumn="0" w:lastColumn="0" w:oddVBand="0" w:evenVBand="0" w:oddHBand="0" w:evenHBand="0" w:firstRowFirstColumn="0" w:firstRowLastColumn="0" w:lastRowFirstColumn="0" w:lastRowLastColumn="0"/>
          <w:tblHeader/>
        </w:trPr>
        <w:tc>
          <w:tcPr>
            <w:tcW w:w="2386" w:type="dxa"/>
          </w:tcPr>
          <w:p w:rsidR="00CE3659" w:rsidRPr="00CE3659" w:rsidRDefault="00CE3659" w:rsidP="00462AB7">
            <w:pPr>
              <w:rPr>
                <w:b/>
              </w:rPr>
            </w:pPr>
            <w:r w:rsidRPr="00CE3659">
              <w:rPr>
                <w:b/>
              </w:rPr>
              <w:t>Outcome domain</w:t>
            </w:r>
          </w:p>
        </w:tc>
        <w:tc>
          <w:tcPr>
            <w:tcW w:w="1266" w:type="dxa"/>
          </w:tcPr>
          <w:p w:rsidR="00CE3659" w:rsidRPr="00CE3659" w:rsidRDefault="00CE3659" w:rsidP="00462AB7">
            <w:pPr>
              <w:rPr>
                <w:b/>
              </w:rPr>
            </w:pPr>
            <w:r w:rsidRPr="00CE3659">
              <w:rPr>
                <w:b/>
              </w:rPr>
              <w:t>Included</w:t>
            </w:r>
          </w:p>
        </w:tc>
        <w:tc>
          <w:tcPr>
            <w:tcW w:w="4583" w:type="dxa"/>
          </w:tcPr>
          <w:p w:rsidR="00CE3659" w:rsidRPr="00CE3659" w:rsidRDefault="00CE3659" w:rsidP="00462AB7">
            <w:pPr>
              <w:rPr>
                <w:b/>
              </w:rPr>
            </w:pPr>
            <w:r w:rsidRPr="00CE3659">
              <w:rPr>
                <w:b/>
              </w:rPr>
              <w:t>Comment</w:t>
            </w:r>
          </w:p>
        </w:tc>
      </w:tr>
      <w:tr w:rsidR="00CE3659" w:rsidTr="00CE3659">
        <w:trPr>
          <w:cnfStyle w:val="000000100000" w:firstRow="0" w:lastRow="0" w:firstColumn="0" w:lastColumn="0" w:oddVBand="0" w:evenVBand="0" w:oddHBand="1" w:evenHBand="0" w:firstRowFirstColumn="0" w:firstRowLastColumn="0" w:lastRowFirstColumn="0" w:lastRowLastColumn="0"/>
        </w:trPr>
        <w:tc>
          <w:tcPr>
            <w:tcW w:w="2386" w:type="dxa"/>
          </w:tcPr>
          <w:p w:rsidR="00CE3659" w:rsidRDefault="00CE3659" w:rsidP="00462AB7">
            <w:r>
              <w:t>Employment</w:t>
            </w:r>
          </w:p>
        </w:tc>
        <w:tc>
          <w:tcPr>
            <w:tcW w:w="1266" w:type="dxa"/>
          </w:tcPr>
          <w:p w:rsidR="00CE3659" w:rsidRDefault="00CE3659" w:rsidP="00462AB7">
            <w:r w:rsidRPr="00D7384F">
              <w:rPr>
                <w:b/>
              </w:rPr>
              <w:t>Yes</w:t>
            </w:r>
            <w:r>
              <w:br/>
              <w:t>Inferred from tax data</w:t>
            </w:r>
          </w:p>
        </w:tc>
        <w:tc>
          <w:tcPr>
            <w:tcW w:w="4583" w:type="dxa"/>
          </w:tcPr>
          <w:p w:rsidR="00CE3659" w:rsidRDefault="00CE3659" w:rsidP="0009559C">
            <w:r>
              <w:t xml:space="preserve">By </w:t>
            </w:r>
            <w:r w:rsidRPr="00C34FD3">
              <w:rPr>
                <w:noProof/>
              </w:rPr>
              <w:t>definition</w:t>
            </w:r>
            <w:r w:rsidR="00C34FD3">
              <w:rPr>
                <w:noProof/>
              </w:rPr>
              <w:t>,</w:t>
            </w:r>
            <w:r>
              <w:t xml:space="preserve"> all employment interventions have either a </w:t>
            </w:r>
            <w:r w:rsidR="0009559C">
              <w:t>long-</w:t>
            </w:r>
            <w:r w:rsidR="00305883">
              <w:t xml:space="preserve"> </w:t>
            </w:r>
            <w:r>
              <w:t xml:space="preserve">to </w:t>
            </w:r>
            <w:r w:rsidR="0009559C">
              <w:t>medium-</w:t>
            </w:r>
            <w:r>
              <w:t xml:space="preserve">term goal of </w:t>
            </w:r>
            <w:r w:rsidR="00D7384F">
              <w:t xml:space="preserve">increasing time in </w:t>
            </w:r>
            <w:r>
              <w:t>employment.</w:t>
            </w:r>
          </w:p>
        </w:tc>
      </w:tr>
      <w:tr w:rsidR="00CE3659" w:rsidTr="00CE3659">
        <w:tc>
          <w:tcPr>
            <w:tcW w:w="2386" w:type="dxa"/>
          </w:tcPr>
          <w:p w:rsidR="00CE3659" w:rsidRDefault="00CE3659" w:rsidP="00462AB7">
            <w:r>
              <w:t>Income</w:t>
            </w:r>
          </w:p>
        </w:tc>
        <w:tc>
          <w:tcPr>
            <w:tcW w:w="1266" w:type="dxa"/>
          </w:tcPr>
          <w:p w:rsidR="00CE3659" w:rsidRDefault="00CE3659" w:rsidP="00462AB7">
            <w:r w:rsidRPr="00D7384F">
              <w:rPr>
                <w:b/>
              </w:rPr>
              <w:t>Yes</w:t>
            </w:r>
            <w:r>
              <w:br/>
              <w:t>Labour market</w:t>
            </w:r>
            <w:r w:rsidR="00D7384F">
              <w:t xml:space="preserve"> income</w:t>
            </w:r>
            <w:r>
              <w:t xml:space="preserve"> and transfers to individuals</w:t>
            </w:r>
          </w:p>
        </w:tc>
        <w:tc>
          <w:tcPr>
            <w:tcW w:w="4583" w:type="dxa"/>
          </w:tcPr>
          <w:p w:rsidR="00CE3659" w:rsidRDefault="00CE3659" w:rsidP="00462AB7">
            <w:r>
              <w:t>While employment is important, interventions should not result in a reduction in overall income.</w:t>
            </w:r>
            <w:r>
              <w:br/>
            </w:r>
            <w:r w:rsidRPr="00C34FD3">
              <w:rPr>
                <w:noProof/>
              </w:rPr>
              <w:t>Currently</w:t>
            </w:r>
            <w:r w:rsidR="00C34FD3">
              <w:rPr>
                <w:noProof/>
              </w:rPr>
              <w:t>,</w:t>
            </w:r>
            <w:r>
              <w:t xml:space="preserve"> we have not developed </w:t>
            </w:r>
            <w:r w:rsidR="00C34FD3">
              <w:t xml:space="preserve">a </w:t>
            </w:r>
            <w:r w:rsidRPr="00C34FD3">
              <w:rPr>
                <w:noProof/>
              </w:rPr>
              <w:t>measure</w:t>
            </w:r>
            <w:r>
              <w:t xml:space="preserve"> of household income because of the difficulty of defining households within the IDI.</w:t>
            </w:r>
          </w:p>
        </w:tc>
      </w:tr>
      <w:tr w:rsidR="00CE3659" w:rsidTr="00CE3659">
        <w:trPr>
          <w:cnfStyle w:val="000000100000" w:firstRow="0" w:lastRow="0" w:firstColumn="0" w:lastColumn="0" w:oddVBand="0" w:evenVBand="0" w:oddHBand="1" w:evenHBand="0" w:firstRowFirstColumn="0" w:firstRowLastColumn="0" w:lastRowFirstColumn="0" w:lastRowLastColumn="0"/>
        </w:trPr>
        <w:tc>
          <w:tcPr>
            <w:tcW w:w="2386" w:type="dxa"/>
          </w:tcPr>
          <w:p w:rsidR="00CE3659" w:rsidRDefault="00CE3659" w:rsidP="00462AB7">
            <w:r>
              <w:t>Education and training</w:t>
            </w:r>
          </w:p>
        </w:tc>
        <w:tc>
          <w:tcPr>
            <w:tcW w:w="1266" w:type="dxa"/>
          </w:tcPr>
          <w:p w:rsidR="00CE3659" w:rsidRDefault="00CE3659" w:rsidP="00462AB7">
            <w:r w:rsidRPr="00D7384F">
              <w:rPr>
                <w:b/>
              </w:rPr>
              <w:t>Yes</w:t>
            </w:r>
            <w:r>
              <w:br/>
              <w:t>Government funded training and education</w:t>
            </w:r>
          </w:p>
        </w:tc>
        <w:tc>
          <w:tcPr>
            <w:tcW w:w="4583" w:type="dxa"/>
          </w:tcPr>
          <w:p w:rsidR="00CE3659" w:rsidRDefault="00CE3659" w:rsidP="00462AB7">
            <w:r>
              <w:t>Many interventions have the goal of helping participants take up further training or education.</w:t>
            </w:r>
          </w:p>
        </w:tc>
      </w:tr>
      <w:tr w:rsidR="00CE3659" w:rsidTr="00CE3659">
        <w:tc>
          <w:tcPr>
            <w:tcW w:w="2386" w:type="dxa"/>
          </w:tcPr>
          <w:p w:rsidR="00CE3659" w:rsidRDefault="00CE3659" w:rsidP="00462AB7">
            <w:r>
              <w:t>Qualifications gained</w:t>
            </w:r>
          </w:p>
        </w:tc>
        <w:tc>
          <w:tcPr>
            <w:tcW w:w="1266" w:type="dxa"/>
          </w:tcPr>
          <w:p w:rsidR="00CE3659" w:rsidRDefault="00CE3659" w:rsidP="00462AB7">
            <w:r w:rsidRPr="00D7384F">
              <w:rPr>
                <w:b/>
              </w:rPr>
              <w:t>Yes</w:t>
            </w:r>
            <w:r>
              <w:br/>
              <w:t>Only includes formal qualifications</w:t>
            </w:r>
          </w:p>
        </w:tc>
        <w:tc>
          <w:tcPr>
            <w:tcW w:w="4583" w:type="dxa"/>
          </w:tcPr>
          <w:p w:rsidR="00CE3659" w:rsidRDefault="00CE3659" w:rsidP="00462AB7">
            <w:r>
              <w:t xml:space="preserve">In general, returns from education and training depend on </w:t>
            </w:r>
            <w:r w:rsidR="00C34FD3">
              <w:t xml:space="preserve">the </w:t>
            </w:r>
            <w:r w:rsidRPr="00C34FD3">
              <w:rPr>
                <w:noProof/>
              </w:rPr>
              <w:t>achievement</w:t>
            </w:r>
            <w:r>
              <w:t xml:space="preserve"> of qualifications, especially higher level qualifications.</w:t>
            </w:r>
            <w:r>
              <w:br/>
              <w:t>The gain in qualifications assumes an increase in human capital.</w:t>
            </w:r>
          </w:p>
        </w:tc>
      </w:tr>
      <w:tr w:rsidR="00CE3659" w:rsidTr="00CE3659">
        <w:trPr>
          <w:cnfStyle w:val="000000100000" w:firstRow="0" w:lastRow="0" w:firstColumn="0" w:lastColumn="0" w:oddVBand="0" w:evenVBand="0" w:oddHBand="1" w:evenHBand="0" w:firstRowFirstColumn="0" w:firstRowLastColumn="0" w:lastRowFirstColumn="0" w:lastRowLastColumn="0"/>
        </w:trPr>
        <w:tc>
          <w:tcPr>
            <w:tcW w:w="2386" w:type="dxa"/>
          </w:tcPr>
          <w:p w:rsidR="00CE3659" w:rsidRDefault="00CE3659" w:rsidP="00462AB7">
            <w:r>
              <w:t>Confidence and motivation</w:t>
            </w:r>
          </w:p>
        </w:tc>
        <w:tc>
          <w:tcPr>
            <w:tcW w:w="1266" w:type="dxa"/>
          </w:tcPr>
          <w:p w:rsidR="00CE3659" w:rsidRDefault="00CE3659" w:rsidP="00F67DDA">
            <w:r w:rsidRPr="00D7384F">
              <w:rPr>
                <w:b/>
              </w:rPr>
              <w:t>No</w:t>
            </w:r>
            <w:r>
              <w:br/>
              <w:t>Difficult to measure from current data sources</w:t>
            </w:r>
          </w:p>
        </w:tc>
        <w:tc>
          <w:tcPr>
            <w:tcW w:w="4583" w:type="dxa"/>
          </w:tcPr>
          <w:p w:rsidR="00CE3659" w:rsidRDefault="00CE3659" w:rsidP="00462AB7">
            <w:r>
              <w:t>A common objective of case management and related programmes is to increase participant’s confidence and motivation.</w:t>
            </w:r>
            <w:r>
              <w:br/>
              <w:t xml:space="preserve">The assumption </w:t>
            </w:r>
            <w:r w:rsidRPr="00C34FD3">
              <w:rPr>
                <w:noProof/>
              </w:rPr>
              <w:t xml:space="preserve">is </w:t>
            </w:r>
            <w:r w:rsidR="00C34FD3" w:rsidRPr="00C34FD3">
              <w:rPr>
                <w:noProof/>
              </w:rPr>
              <w:t>tha</w:t>
            </w:r>
            <w:r w:rsidR="00C34FD3">
              <w:rPr>
                <w:noProof/>
              </w:rPr>
              <w:t xml:space="preserve">t </w:t>
            </w:r>
            <w:r w:rsidRPr="00C34FD3">
              <w:rPr>
                <w:noProof/>
              </w:rPr>
              <w:t>increases</w:t>
            </w:r>
            <w:r>
              <w:t xml:space="preserve"> in confidence and motivation will move </w:t>
            </w:r>
            <w:r>
              <w:lastRenderedPageBreak/>
              <w:t>people towards employment.</w:t>
            </w:r>
          </w:p>
        </w:tc>
      </w:tr>
      <w:tr w:rsidR="00CE3659" w:rsidTr="00CE3659">
        <w:tc>
          <w:tcPr>
            <w:tcW w:w="2386" w:type="dxa"/>
          </w:tcPr>
          <w:p w:rsidR="00CE3659" w:rsidRDefault="00CE3659" w:rsidP="00462AB7">
            <w:r>
              <w:lastRenderedPageBreak/>
              <w:t>Health care use</w:t>
            </w:r>
          </w:p>
        </w:tc>
        <w:tc>
          <w:tcPr>
            <w:tcW w:w="1266" w:type="dxa"/>
          </w:tcPr>
          <w:p w:rsidR="00CE3659" w:rsidRDefault="00CE3659" w:rsidP="00305883">
            <w:r w:rsidRPr="00D7384F">
              <w:rPr>
                <w:b/>
              </w:rPr>
              <w:t>No</w:t>
            </w:r>
            <w:r>
              <w:br/>
              <w:t>Data is available and we plan to include this outcome in later reports</w:t>
            </w:r>
          </w:p>
        </w:tc>
        <w:tc>
          <w:tcPr>
            <w:tcW w:w="4583" w:type="dxa"/>
          </w:tcPr>
          <w:p w:rsidR="00CE3659" w:rsidRDefault="00CE3659" w:rsidP="00D7384F">
            <w:r>
              <w:t>A number of employment interventions involve the purchase of health care or help participants to access health care. The assumption is that resolving health needs will enable participants to move back into employment.</w:t>
            </w:r>
          </w:p>
        </w:tc>
      </w:tr>
      <w:tr w:rsidR="00CE3659" w:rsidTr="00CE3659">
        <w:trPr>
          <w:cnfStyle w:val="000000100000" w:firstRow="0" w:lastRow="0" w:firstColumn="0" w:lastColumn="0" w:oddVBand="0" w:evenVBand="0" w:oddHBand="1" w:evenHBand="0" w:firstRowFirstColumn="0" w:firstRowLastColumn="0" w:lastRowFirstColumn="0" w:lastRowLastColumn="0"/>
        </w:trPr>
        <w:tc>
          <w:tcPr>
            <w:tcW w:w="2386" w:type="dxa"/>
          </w:tcPr>
          <w:p w:rsidR="00CE3659" w:rsidRDefault="00CE3659" w:rsidP="00462AB7">
            <w:r>
              <w:t>Health status</w:t>
            </w:r>
          </w:p>
        </w:tc>
        <w:tc>
          <w:tcPr>
            <w:tcW w:w="1266" w:type="dxa"/>
          </w:tcPr>
          <w:p w:rsidR="00CE3659" w:rsidRDefault="00CE3659" w:rsidP="00F67DDA">
            <w:r w:rsidRPr="00D7384F">
              <w:rPr>
                <w:b/>
              </w:rPr>
              <w:t>No</w:t>
            </w:r>
            <w:r>
              <w:br/>
              <w:t>Limited data that can be used for impact evaluation</w:t>
            </w:r>
          </w:p>
        </w:tc>
        <w:tc>
          <w:tcPr>
            <w:tcW w:w="4583" w:type="dxa"/>
          </w:tcPr>
          <w:p w:rsidR="00CE3659" w:rsidRDefault="00CE3659" w:rsidP="00462AB7">
            <w:r>
              <w:t xml:space="preserve">For </w:t>
            </w:r>
            <w:r w:rsidRPr="00C34FD3">
              <w:rPr>
                <w:noProof/>
              </w:rPr>
              <w:t>health</w:t>
            </w:r>
            <w:r w:rsidR="00C34FD3">
              <w:rPr>
                <w:noProof/>
              </w:rPr>
              <w:t>-</w:t>
            </w:r>
            <w:r w:rsidRPr="00C34FD3">
              <w:rPr>
                <w:noProof/>
              </w:rPr>
              <w:t>focused</w:t>
            </w:r>
            <w:r>
              <w:t xml:space="preserve"> interventions, </w:t>
            </w:r>
            <w:r w:rsidR="00C34FD3">
              <w:t xml:space="preserve">the </w:t>
            </w:r>
            <w:r w:rsidRPr="00C34FD3">
              <w:rPr>
                <w:noProof/>
              </w:rPr>
              <w:t>impact</w:t>
            </w:r>
            <w:r>
              <w:t xml:space="preserve"> of health status would be an important immediate outcome. For other EA interventions, health status is likely to be more of a medium to </w:t>
            </w:r>
            <w:r w:rsidRPr="00C34FD3">
              <w:rPr>
                <w:noProof/>
              </w:rPr>
              <w:t>long</w:t>
            </w:r>
            <w:r w:rsidR="00C34FD3">
              <w:rPr>
                <w:noProof/>
              </w:rPr>
              <w:t>-</w:t>
            </w:r>
            <w:r w:rsidRPr="00C34FD3">
              <w:rPr>
                <w:noProof/>
              </w:rPr>
              <w:t>term</w:t>
            </w:r>
            <w:r>
              <w:t xml:space="preserve"> outcome.</w:t>
            </w:r>
            <w:r>
              <w:br/>
              <w:t>We may be able to look at acute health care as an indicator of poor health.</w:t>
            </w:r>
          </w:p>
        </w:tc>
      </w:tr>
      <w:tr w:rsidR="00CE3659" w:rsidTr="00CE3659">
        <w:tc>
          <w:tcPr>
            <w:tcW w:w="2386" w:type="dxa"/>
          </w:tcPr>
          <w:p w:rsidR="00CE3659" w:rsidRDefault="00CE3659" w:rsidP="00462AB7">
            <w:r>
              <w:t>Justice-offending</w:t>
            </w:r>
          </w:p>
        </w:tc>
        <w:tc>
          <w:tcPr>
            <w:tcW w:w="1266" w:type="dxa"/>
          </w:tcPr>
          <w:p w:rsidR="00CE3659" w:rsidRPr="00D7384F" w:rsidRDefault="00CE3659" w:rsidP="00462AB7">
            <w:pPr>
              <w:rPr>
                <w:b/>
              </w:rPr>
            </w:pPr>
            <w:r w:rsidRPr="00D7384F">
              <w:rPr>
                <w:b/>
              </w:rPr>
              <w:t>Yes</w:t>
            </w:r>
          </w:p>
        </w:tc>
        <w:tc>
          <w:tcPr>
            <w:tcW w:w="4583" w:type="dxa"/>
          </w:tcPr>
          <w:p w:rsidR="00CE3659" w:rsidRDefault="00CE3659" w:rsidP="00462AB7">
            <w:r>
              <w:t>An expected indirect impact of employment is a reduction in criminal behaviour.</w:t>
            </w:r>
          </w:p>
        </w:tc>
      </w:tr>
      <w:tr w:rsidR="00CE3659" w:rsidTr="00CE3659">
        <w:trPr>
          <w:cnfStyle w:val="000000100000" w:firstRow="0" w:lastRow="0" w:firstColumn="0" w:lastColumn="0" w:oddVBand="0" w:evenVBand="0" w:oddHBand="1" w:evenHBand="0" w:firstRowFirstColumn="0" w:firstRowLastColumn="0" w:lastRowFirstColumn="0" w:lastRowLastColumn="0"/>
        </w:trPr>
        <w:tc>
          <w:tcPr>
            <w:tcW w:w="2386" w:type="dxa"/>
          </w:tcPr>
          <w:p w:rsidR="00CE3659" w:rsidRDefault="00CE3659" w:rsidP="00462AB7">
            <w:r>
              <w:t>Children’s immediate outcomes</w:t>
            </w:r>
          </w:p>
        </w:tc>
        <w:tc>
          <w:tcPr>
            <w:tcW w:w="1266" w:type="dxa"/>
          </w:tcPr>
          <w:p w:rsidR="00CE3659" w:rsidRPr="00D7384F" w:rsidRDefault="00CE3659" w:rsidP="00462AB7">
            <w:pPr>
              <w:rPr>
                <w:b/>
              </w:rPr>
            </w:pPr>
            <w:r w:rsidRPr="00D7384F">
              <w:rPr>
                <w:b/>
              </w:rPr>
              <w:t>No</w:t>
            </w:r>
          </w:p>
        </w:tc>
        <w:tc>
          <w:tcPr>
            <w:tcW w:w="4583" w:type="dxa"/>
          </w:tcPr>
          <w:p w:rsidR="00CE3659" w:rsidRDefault="00CE3659" w:rsidP="00462AB7">
            <w:r>
              <w:t xml:space="preserve">EA interventions may have </w:t>
            </w:r>
            <w:r w:rsidRPr="00C34FD3">
              <w:rPr>
                <w:noProof/>
              </w:rPr>
              <w:t>impacts</w:t>
            </w:r>
            <w:r>
              <w:t xml:space="preserve"> on the immediate outcomes of participants</w:t>
            </w:r>
            <w:r w:rsidR="00305883">
              <w:t>’</w:t>
            </w:r>
            <w:r>
              <w:t xml:space="preserve"> children. For example, improvement in income may result in better health. </w:t>
            </w:r>
          </w:p>
        </w:tc>
      </w:tr>
      <w:tr w:rsidR="00CE3659" w:rsidTr="00CE3659">
        <w:tc>
          <w:tcPr>
            <w:tcW w:w="2386" w:type="dxa"/>
          </w:tcPr>
          <w:p w:rsidR="00CE3659" w:rsidRDefault="00CE3659" w:rsidP="00462AB7">
            <w:r>
              <w:t xml:space="preserve">Children’s </w:t>
            </w:r>
            <w:r w:rsidRPr="00C34FD3">
              <w:rPr>
                <w:noProof/>
              </w:rPr>
              <w:t>long</w:t>
            </w:r>
            <w:r w:rsidR="00C34FD3">
              <w:rPr>
                <w:noProof/>
              </w:rPr>
              <w:t>-</w:t>
            </w:r>
            <w:r w:rsidRPr="00C34FD3">
              <w:rPr>
                <w:noProof/>
              </w:rPr>
              <w:t>term</w:t>
            </w:r>
            <w:r>
              <w:t xml:space="preserve"> outcomes</w:t>
            </w:r>
          </w:p>
        </w:tc>
        <w:tc>
          <w:tcPr>
            <w:tcW w:w="1266" w:type="dxa"/>
          </w:tcPr>
          <w:p w:rsidR="00CE3659" w:rsidRPr="00D7384F" w:rsidRDefault="00CE3659" w:rsidP="00462AB7">
            <w:pPr>
              <w:rPr>
                <w:b/>
              </w:rPr>
            </w:pPr>
            <w:r w:rsidRPr="00D7384F">
              <w:rPr>
                <w:b/>
              </w:rPr>
              <w:t>No</w:t>
            </w:r>
          </w:p>
        </w:tc>
        <w:tc>
          <w:tcPr>
            <w:tcW w:w="4583" w:type="dxa"/>
          </w:tcPr>
          <w:p w:rsidR="00CE3659" w:rsidRDefault="00CE3659" w:rsidP="00462AB7">
            <w:r>
              <w:t xml:space="preserve">A </w:t>
            </w:r>
            <w:r w:rsidRPr="00C34FD3">
              <w:rPr>
                <w:noProof/>
              </w:rPr>
              <w:t>long</w:t>
            </w:r>
            <w:r w:rsidR="00C34FD3">
              <w:rPr>
                <w:noProof/>
              </w:rPr>
              <w:t>-</w:t>
            </w:r>
            <w:r w:rsidRPr="00C34FD3">
              <w:rPr>
                <w:noProof/>
              </w:rPr>
              <w:t>term</w:t>
            </w:r>
            <w:r>
              <w:t xml:space="preserve"> impact </w:t>
            </w:r>
            <w:r w:rsidR="00C34FD3">
              <w:rPr>
                <w:noProof/>
              </w:rPr>
              <w:t>of</w:t>
            </w:r>
            <w:r>
              <w:t xml:space="preserve"> EA interventions</w:t>
            </w:r>
            <w:r w:rsidR="00C34FD3" w:rsidRPr="00C34FD3">
              <w:rPr>
                <w:noProof/>
              </w:rPr>
              <w:t xml:space="preserve"> tar</w:t>
            </w:r>
            <w:r w:rsidR="00C34FD3">
              <w:rPr>
                <w:noProof/>
              </w:rPr>
              <w:t>geted at</w:t>
            </w:r>
            <w:r w:rsidRPr="00C34FD3">
              <w:rPr>
                <w:noProof/>
              </w:rPr>
              <w:t xml:space="preserve"> sole</w:t>
            </w:r>
            <w:r>
              <w:t xml:space="preserve"> parents may be seen in the adult outcomes of th</w:t>
            </w:r>
            <w:r w:rsidR="00C34FD3">
              <w:t xml:space="preserve">eir </w:t>
            </w:r>
            <w:r>
              <w:t>children.</w:t>
            </w:r>
            <w:r>
              <w:br/>
              <w:t>We are beginning to reach follow up periods (eg 18 years) w</w:t>
            </w:r>
            <w:r w:rsidR="00F67DDA">
              <w:t>h</w:t>
            </w:r>
            <w:r>
              <w:t>ere this analysis may be feasible.</w:t>
            </w:r>
          </w:p>
        </w:tc>
      </w:tr>
      <w:tr w:rsidR="00CE3659" w:rsidTr="00CE3659">
        <w:trPr>
          <w:cnfStyle w:val="000000100000" w:firstRow="0" w:lastRow="0" w:firstColumn="0" w:lastColumn="0" w:oddVBand="0" w:evenVBand="0" w:oddHBand="1" w:evenHBand="0" w:firstRowFirstColumn="0" w:firstRowLastColumn="0" w:lastRowFirstColumn="0" w:lastRowLastColumn="0"/>
        </w:trPr>
        <w:tc>
          <w:tcPr>
            <w:tcW w:w="2386" w:type="dxa"/>
          </w:tcPr>
          <w:p w:rsidR="00CE3659" w:rsidRDefault="00CE3659" w:rsidP="00462AB7">
            <w:r>
              <w:t>Mortality</w:t>
            </w:r>
          </w:p>
        </w:tc>
        <w:tc>
          <w:tcPr>
            <w:tcW w:w="1266" w:type="dxa"/>
          </w:tcPr>
          <w:p w:rsidR="00CE3659" w:rsidRDefault="00CE3659" w:rsidP="00462AB7">
            <w:r w:rsidRPr="00D7384F">
              <w:rPr>
                <w:b/>
              </w:rPr>
              <w:t>No</w:t>
            </w:r>
            <w:r w:rsidRPr="00D7384F">
              <w:rPr>
                <w:b/>
              </w:rPr>
              <w:br/>
            </w:r>
            <w:r>
              <w:t>Include in next update</w:t>
            </w:r>
          </w:p>
        </w:tc>
        <w:tc>
          <w:tcPr>
            <w:tcW w:w="4583" w:type="dxa"/>
          </w:tcPr>
          <w:p w:rsidR="00CE3659" w:rsidRDefault="00CE3659" w:rsidP="00462AB7">
            <w:r>
              <w:t xml:space="preserve">While most interventions are not intended to impact on mortality directly, this could be a </w:t>
            </w:r>
            <w:r w:rsidRPr="00C34FD3">
              <w:rPr>
                <w:noProof/>
              </w:rPr>
              <w:t>long</w:t>
            </w:r>
            <w:r w:rsidR="00C34FD3">
              <w:rPr>
                <w:noProof/>
              </w:rPr>
              <w:t>-</w:t>
            </w:r>
            <w:r w:rsidRPr="00C34FD3">
              <w:rPr>
                <w:noProof/>
              </w:rPr>
              <w:t>term</w:t>
            </w:r>
            <w:r>
              <w:t xml:space="preserve"> impact.</w:t>
            </w:r>
          </w:p>
        </w:tc>
      </w:tr>
      <w:tr w:rsidR="00CE3659" w:rsidTr="00CE3659">
        <w:tc>
          <w:tcPr>
            <w:tcW w:w="2386" w:type="dxa"/>
          </w:tcPr>
          <w:p w:rsidR="00CE3659" w:rsidRDefault="00CE3659" w:rsidP="00462AB7">
            <w:r>
              <w:t>Time overseas</w:t>
            </w:r>
          </w:p>
        </w:tc>
        <w:tc>
          <w:tcPr>
            <w:tcW w:w="1266" w:type="dxa"/>
          </w:tcPr>
          <w:p w:rsidR="00CE3659" w:rsidRDefault="00CE3659" w:rsidP="00D7384F">
            <w:r w:rsidRPr="00D7384F">
              <w:rPr>
                <w:b/>
              </w:rPr>
              <w:t>No</w:t>
            </w:r>
            <w:r w:rsidR="00D7384F">
              <w:rPr>
                <w:b/>
              </w:rPr>
              <w:br/>
            </w:r>
            <w:r>
              <w:t>Include in next update</w:t>
            </w:r>
          </w:p>
        </w:tc>
        <w:tc>
          <w:tcPr>
            <w:tcW w:w="4583" w:type="dxa"/>
          </w:tcPr>
          <w:p w:rsidR="00CE3659" w:rsidRDefault="00CE3659" w:rsidP="00F67DDA">
            <w:r>
              <w:t>One consequence of increased employment may be a reduction in the probability of moving overseas (</w:t>
            </w:r>
            <w:r w:rsidR="00F67DDA">
              <w:t xml:space="preserve">eg </w:t>
            </w:r>
            <w:r>
              <w:t>to Australia to find employment)</w:t>
            </w:r>
            <w:r w:rsidR="00F67DDA">
              <w:t>.</w:t>
            </w:r>
          </w:p>
        </w:tc>
      </w:tr>
    </w:tbl>
    <w:p w:rsidR="00CE3659" w:rsidRDefault="00CE3659" w:rsidP="00CE3659"/>
    <w:p w:rsidR="00CE3659" w:rsidRDefault="00CE3659" w:rsidP="00CE3659">
      <w:pPr>
        <w:pStyle w:val="Heading2"/>
      </w:pPr>
      <w:bookmarkStart w:id="52" w:name="_Toc514063454"/>
      <w:bookmarkStart w:id="53" w:name="_Toc524003454"/>
      <w:r>
        <w:t>Income</w:t>
      </w:r>
      <w:bookmarkEnd w:id="52"/>
      <w:bookmarkEnd w:id="53"/>
    </w:p>
    <w:p w:rsidR="00CE3659" w:rsidRPr="006F0A13" w:rsidRDefault="00CE3659" w:rsidP="00CE3659">
      <w:r>
        <w:t xml:space="preserve">Total income is an important measure of </w:t>
      </w:r>
      <w:r w:rsidRPr="00C34FD3">
        <w:rPr>
          <w:noProof/>
        </w:rPr>
        <w:t>famil</w:t>
      </w:r>
      <w:r w:rsidR="00D7384F">
        <w:rPr>
          <w:noProof/>
        </w:rPr>
        <w:t>y’</w:t>
      </w:r>
      <w:r w:rsidRPr="00C34FD3">
        <w:rPr>
          <w:noProof/>
        </w:rPr>
        <w:t>s</w:t>
      </w:r>
      <w:r>
        <w:t xml:space="preserve"> overall wellbeing. In the current </w:t>
      </w:r>
      <w:r w:rsidRPr="00C34FD3">
        <w:rPr>
          <w:noProof/>
        </w:rPr>
        <w:t>analysis</w:t>
      </w:r>
      <w:r w:rsidR="00C34FD3">
        <w:rPr>
          <w:noProof/>
        </w:rPr>
        <w:t>,</w:t>
      </w:r>
      <w:r>
        <w:t xml:space="preserve"> we are restricted in looking at the income </w:t>
      </w:r>
      <w:r w:rsidR="00C34FD3">
        <w:rPr>
          <w:noProof/>
        </w:rPr>
        <w:t>of</w:t>
      </w:r>
      <w:r>
        <w:t xml:space="preserve"> individuals only. </w:t>
      </w:r>
      <w:r w:rsidRPr="00C34FD3">
        <w:rPr>
          <w:noProof/>
        </w:rPr>
        <w:t>Ideally</w:t>
      </w:r>
      <w:r w:rsidR="00C34FD3">
        <w:rPr>
          <w:noProof/>
        </w:rPr>
        <w:t>,</w:t>
      </w:r>
      <w:r>
        <w:t xml:space="preserve"> we would like to measure the household income to better account for the overall material </w:t>
      </w:r>
      <w:r>
        <w:lastRenderedPageBreak/>
        <w:t xml:space="preserve">wellbeing of individuals (eg supporting children or non-working household members). However, we have not yet developed a suitable measure of household income that can be used for the evaluation of EA interventions. </w:t>
      </w:r>
    </w:p>
    <w:p w:rsidR="00CE3659" w:rsidRDefault="00CE3659" w:rsidP="00CE3659">
      <w:pPr>
        <w:pStyle w:val="Heading3"/>
      </w:pPr>
      <w:bookmarkStart w:id="54" w:name="_Toc524003455"/>
      <w:r w:rsidRPr="004F51E6">
        <w:t>Net income from all sources</w:t>
      </w:r>
      <w:bookmarkEnd w:id="54"/>
    </w:p>
    <w:p w:rsidR="00CE3659" w:rsidRDefault="00CE3659" w:rsidP="00CE3659">
      <w:r>
        <w:t xml:space="preserve">Net income from all sources is the main outcome measure. It includes all sources of </w:t>
      </w:r>
      <w:r w:rsidRPr="00C34FD3">
        <w:rPr>
          <w:noProof/>
        </w:rPr>
        <w:t>income</w:t>
      </w:r>
      <w:r>
        <w:t xml:space="preserve"> but excludes the drawdown of student loans. Income is net of tax. The measure was based on Inland Revenue (IR) and MSD data provided to the Statistics New Zealand Integrated Data Infrastructure (SNZ IDI). </w:t>
      </w:r>
    </w:p>
    <w:p w:rsidR="00CE3659" w:rsidRDefault="00CE3659" w:rsidP="00CE3659">
      <w:r>
        <w:t>The current income measures include:</w:t>
      </w:r>
    </w:p>
    <w:p w:rsidR="00CE3659" w:rsidRDefault="00CE3659" w:rsidP="00CE3659">
      <w:pPr>
        <w:pStyle w:val="ListParagraph"/>
        <w:numPr>
          <w:ilvl w:val="0"/>
          <w:numId w:val="15"/>
        </w:numPr>
        <w:spacing w:before="60" w:after="60"/>
      </w:pPr>
      <w:r w:rsidRPr="00D80C77">
        <w:rPr>
          <w:b/>
        </w:rPr>
        <w:t>Employer Month Schedule (EMS)</w:t>
      </w:r>
      <w:r>
        <w:t xml:space="preserve">: New Zealand operates a Pay </w:t>
      </w:r>
      <w:proofErr w:type="gramStart"/>
      <w:r>
        <w:t>As</w:t>
      </w:r>
      <w:proofErr w:type="gramEnd"/>
      <w:r>
        <w:t xml:space="preserve"> You Earn tax system. Accordingly, all employers provide IR with monthly schedules of the earnings of all their employees. In addition to employee earnings, the EMS also includes taxable income support (main benefit), Accident Compensation Corporation (ACC) and pension payments.</w:t>
      </w:r>
    </w:p>
    <w:p w:rsidR="00CE3659" w:rsidRPr="0007716D" w:rsidRDefault="00CE3659" w:rsidP="00CE3659">
      <w:pPr>
        <w:pStyle w:val="ListParagraph"/>
        <w:numPr>
          <w:ilvl w:val="0"/>
          <w:numId w:val="15"/>
        </w:numPr>
        <w:spacing w:before="60" w:after="60"/>
      </w:pPr>
      <w:r w:rsidRPr="00D80C77">
        <w:rPr>
          <w:b/>
        </w:rPr>
        <w:t>Self-employment and company earnings</w:t>
      </w:r>
      <w:r>
        <w:t xml:space="preserve">: people who run their own business or company are also required to file annual tax returns. In the </w:t>
      </w:r>
      <w:r w:rsidRPr="00F25547">
        <w:rPr>
          <w:noProof/>
        </w:rPr>
        <w:t>analysis</w:t>
      </w:r>
      <w:r>
        <w:rPr>
          <w:noProof/>
        </w:rPr>
        <w:t>,</w:t>
      </w:r>
      <w:r>
        <w:t xml:space="preserve"> these annual returns are converted into monthly spells with annual total</w:t>
      </w:r>
      <w:r w:rsidR="003B5106">
        <w:t>s</w:t>
      </w:r>
      <w:r>
        <w:t xml:space="preserve"> split equally across the 12 </w:t>
      </w:r>
      <w:r w:rsidRPr="0007716D">
        <w:t>months</w:t>
      </w:r>
      <w:r>
        <w:t xml:space="preserve"> of the tax year</w:t>
      </w:r>
      <w:r w:rsidRPr="0007716D">
        <w:t xml:space="preserve">. There can be considerable lags in the lodging of self-employment earnings that can mean measures of income for the most recent periods underestimate actual income. </w:t>
      </w:r>
      <w:r w:rsidRPr="00F25547">
        <w:rPr>
          <w:noProof/>
        </w:rPr>
        <w:t>Note</w:t>
      </w:r>
      <w:r>
        <w:rPr>
          <w:noProof/>
        </w:rPr>
        <w:t>,</w:t>
      </w:r>
      <w:r w:rsidRPr="0007716D">
        <w:t xml:space="preserve"> however, because we update the analysis on a regular basis the results incorporate these lags in reported earnings in subsequent updates.</w:t>
      </w:r>
    </w:p>
    <w:p w:rsidR="00CE3659" w:rsidRDefault="00CE3659" w:rsidP="00CE3659">
      <w:pPr>
        <w:pStyle w:val="ListParagraph"/>
        <w:numPr>
          <w:ilvl w:val="0"/>
          <w:numId w:val="15"/>
        </w:numPr>
        <w:spacing w:before="60" w:after="60"/>
      </w:pPr>
      <w:r w:rsidRPr="00D80C77">
        <w:rPr>
          <w:b/>
        </w:rPr>
        <w:t>Non-taxable income support payments</w:t>
      </w:r>
      <w:r>
        <w:t xml:space="preserve">: not all income support payments are subject to tax. In particular, </w:t>
      </w:r>
      <w:r w:rsidRPr="00C34FD3">
        <w:rPr>
          <w:noProof/>
        </w:rPr>
        <w:t>second</w:t>
      </w:r>
      <w:r w:rsidR="00C34FD3">
        <w:rPr>
          <w:noProof/>
        </w:rPr>
        <w:t>-</w:t>
      </w:r>
      <w:r w:rsidRPr="00C34FD3">
        <w:rPr>
          <w:noProof/>
        </w:rPr>
        <w:t>tier</w:t>
      </w:r>
      <w:r>
        <w:t xml:space="preserve"> assistance</w:t>
      </w:r>
      <w:r w:rsidR="003E2DAD">
        <w:t>,</w:t>
      </w:r>
      <w:r>
        <w:t xml:space="preserve"> such as the Accommodation Supplement and a </w:t>
      </w:r>
      <w:r w:rsidRPr="00F25547">
        <w:rPr>
          <w:noProof/>
        </w:rPr>
        <w:t>third</w:t>
      </w:r>
      <w:r>
        <w:t xml:space="preserve"> tier or hardship assistance such as Emergency Food Grants are not taxed. For hardship payments, we exclude recoverable assistance, as these are advances on main benefits. Recoverable payments will either be reflected in lower main benefit </w:t>
      </w:r>
      <w:r w:rsidRPr="00C34FD3">
        <w:rPr>
          <w:noProof/>
        </w:rPr>
        <w:t>payments</w:t>
      </w:r>
      <w:r>
        <w:t xml:space="preserve"> or, if the person moves off </w:t>
      </w:r>
      <w:r w:rsidRPr="00C34FD3">
        <w:rPr>
          <w:noProof/>
        </w:rPr>
        <w:t>main</w:t>
      </w:r>
      <w:r>
        <w:t xml:space="preserve"> benefit, in the form of an income support debt. At present, we do not have reliable data on income support debt.</w:t>
      </w:r>
    </w:p>
    <w:p w:rsidR="00CE3659" w:rsidRDefault="00CE3659" w:rsidP="00CE3659">
      <w:r>
        <w:t>Income sources not covered by the current measure:</w:t>
      </w:r>
    </w:p>
    <w:p w:rsidR="00CE3659" w:rsidRPr="00EF5CDB" w:rsidRDefault="00CE3659" w:rsidP="00CE3659">
      <w:pPr>
        <w:pStyle w:val="ListParagraph"/>
        <w:numPr>
          <w:ilvl w:val="0"/>
          <w:numId w:val="16"/>
        </w:numPr>
        <w:spacing w:before="60" w:after="60"/>
        <w:rPr>
          <w:b/>
        </w:rPr>
      </w:pPr>
      <w:r w:rsidRPr="00D80C77">
        <w:rPr>
          <w:b/>
        </w:rPr>
        <w:t>Tax credits</w:t>
      </w:r>
      <w:r w:rsidRPr="003E2DAD">
        <w:t>:</w:t>
      </w:r>
      <w:r w:rsidRPr="00A97083">
        <w:t xml:space="preserve"> in the </w:t>
      </w:r>
      <w:r>
        <w:t xml:space="preserve">current analysis we have not included tax credits. </w:t>
      </w:r>
      <w:r w:rsidRPr="00C34FD3">
        <w:rPr>
          <w:noProof/>
        </w:rPr>
        <w:t>IR</w:t>
      </w:r>
      <w:r>
        <w:t xml:space="preserve"> </w:t>
      </w:r>
      <w:r w:rsidRPr="00C34FD3">
        <w:rPr>
          <w:noProof/>
        </w:rPr>
        <w:t>ha</w:t>
      </w:r>
      <w:r w:rsidR="00C34FD3">
        <w:rPr>
          <w:noProof/>
        </w:rPr>
        <w:t>s</w:t>
      </w:r>
      <w:r>
        <w:t xml:space="preserve"> recently supplied </w:t>
      </w:r>
      <w:r w:rsidR="00D7384F">
        <w:t>tax-credit</w:t>
      </w:r>
      <w:r>
        <w:t xml:space="preserve"> dataset</w:t>
      </w:r>
      <w:r w:rsidR="00D7384F">
        <w:t>s</w:t>
      </w:r>
      <w:r>
        <w:t xml:space="preserve"> to the IDI and we are in the process of developing business rules to extract this information.</w:t>
      </w:r>
    </w:p>
    <w:p w:rsidR="00CE3659" w:rsidRPr="00D80C77" w:rsidRDefault="00CE3659" w:rsidP="00CE3659">
      <w:pPr>
        <w:pStyle w:val="ListParagraph"/>
        <w:numPr>
          <w:ilvl w:val="0"/>
          <w:numId w:val="16"/>
        </w:numPr>
        <w:spacing w:before="60" w:after="60"/>
        <w:rPr>
          <w:b/>
        </w:rPr>
      </w:pPr>
      <w:r>
        <w:rPr>
          <w:b/>
        </w:rPr>
        <w:t>Child Support</w:t>
      </w:r>
      <w:r>
        <w:t xml:space="preserve">: transfer payments between custodial and non-custodial parents that </w:t>
      </w:r>
      <w:r w:rsidR="00C34FD3">
        <w:rPr>
          <w:noProof/>
        </w:rPr>
        <w:t>are</w:t>
      </w:r>
      <w:r>
        <w:t xml:space="preserve"> administered by IR.</w:t>
      </w:r>
    </w:p>
    <w:p w:rsidR="00CE3659" w:rsidRDefault="00CE3659" w:rsidP="00CE3659">
      <w:pPr>
        <w:pStyle w:val="ListParagraph"/>
        <w:numPr>
          <w:ilvl w:val="0"/>
          <w:numId w:val="16"/>
        </w:numPr>
        <w:spacing w:before="60" w:after="60"/>
      </w:pPr>
      <w:r w:rsidRPr="00D80C77">
        <w:rPr>
          <w:b/>
        </w:rPr>
        <w:t xml:space="preserve">Non-taxable income support payments to people over 65: </w:t>
      </w:r>
      <w:r>
        <w:t>current income support data supplied by MSD to the IDI exclude payments to people on New Zealand Superannuation or Veteran</w:t>
      </w:r>
      <w:r w:rsidR="0072413D">
        <w:t>’</w:t>
      </w:r>
      <w:r>
        <w:t>s benefit.</w:t>
      </w:r>
    </w:p>
    <w:p w:rsidR="00CE3659" w:rsidRPr="00D80C77" w:rsidRDefault="00CE3659" w:rsidP="00CE3659">
      <w:pPr>
        <w:pStyle w:val="ListParagraph"/>
        <w:numPr>
          <w:ilvl w:val="0"/>
          <w:numId w:val="16"/>
        </w:numPr>
        <w:spacing w:before="60" w:after="60"/>
      </w:pPr>
      <w:r>
        <w:rPr>
          <w:b/>
        </w:rPr>
        <w:t xml:space="preserve">Illegal and undeclared income: </w:t>
      </w:r>
      <w:r>
        <w:t>the IDI data doesn’t cover income from informal or illegal activities</w:t>
      </w:r>
      <w:r w:rsidR="003B5106">
        <w:t>,</w:t>
      </w:r>
      <w:r>
        <w:t xml:space="preserve"> including tax evasion.</w:t>
      </w:r>
    </w:p>
    <w:p w:rsidR="00CE3659" w:rsidRDefault="00CE3659" w:rsidP="00CE3659">
      <w:pPr>
        <w:pStyle w:val="Heading3"/>
      </w:pPr>
      <w:bookmarkStart w:id="55" w:name="_Toc524003456"/>
      <w:r>
        <w:t>Income support received after tax</w:t>
      </w:r>
      <w:bookmarkEnd w:id="55"/>
    </w:p>
    <w:p w:rsidR="00CE3659" w:rsidRPr="00A97083" w:rsidRDefault="00CE3659" w:rsidP="00CE3659">
      <w:pPr>
        <w:rPr>
          <w:lang w:eastAsia="en-AU"/>
        </w:rPr>
      </w:pPr>
      <w:r>
        <w:rPr>
          <w:lang w:eastAsia="en-AU"/>
        </w:rPr>
        <w:t xml:space="preserve">Income support payments are both taxable and non-taxable. For </w:t>
      </w:r>
      <w:r w:rsidRPr="00C34FD3">
        <w:rPr>
          <w:noProof/>
          <w:lang w:eastAsia="en-AU"/>
        </w:rPr>
        <w:t>consistency</w:t>
      </w:r>
      <w:r w:rsidR="00C34FD3">
        <w:rPr>
          <w:noProof/>
          <w:lang w:eastAsia="en-AU"/>
        </w:rPr>
        <w:t>,</w:t>
      </w:r>
      <w:r>
        <w:rPr>
          <w:lang w:eastAsia="en-AU"/>
        </w:rPr>
        <w:t xml:space="preserve"> we calculate the total amount of income support a person receives after tax. Because of </w:t>
      </w:r>
      <w:r>
        <w:rPr>
          <w:lang w:eastAsia="en-AU"/>
        </w:rPr>
        <w:lastRenderedPageBreak/>
        <w:t>data limitations, income support only includes second and third tier income support payments for working age people. By using IR data we can include income support payments for people receiving New Zealand Superannuation payments. As noted above, we have not yet included tax credits into this measure.</w:t>
      </w:r>
    </w:p>
    <w:p w:rsidR="00CE3659" w:rsidRDefault="00CE3659" w:rsidP="00CE3659">
      <w:pPr>
        <w:pStyle w:val="Heading2"/>
      </w:pPr>
      <w:bookmarkStart w:id="56" w:name="_Toc452630507"/>
      <w:bookmarkStart w:id="57" w:name="_Toc514063455"/>
      <w:bookmarkStart w:id="58" w:name="_Toc524003457"/>
      <w:r>
        <w:t>Employment</w:t>
      </w:r>
      <w:bookmarkEnd w:id="56"/>
      <w:bookmarkEnd w:id="57"/>
      <w:bookmarkEnd w:id="58"/>
    </w:p>
    <w:p w:rsidR="00CE3659" w:rsidRPr="007756E6" w:rsidRDefault="00CE3659" w:rsidP="00CE3659">
      <w:pPr>
        <w:pStyle w:val="Heading3"/>
      </w:pPr>
      <w:bookmarkStart w:id="59" w:name="_Toc524003458"/>
      <w:r w:rsidRPr="00F25547">
        <w:rPr>
          <w:noProof/>
        </w:rPr>
        <w:t>Any time</w:t>
      </w:r>
      <w:r>
        <w:t xml:space="preserve"> in employment</w:t>
      </w:r>
      <w:bookmarkEnd w:id="59"/>
    </w:p>
    <w:p w:rsidR="00CE3659" w:rsidRDefault="00CE3659" w:rsidP="00CE3659">
      <w:r>
        <w:t>Employment is based on the period that people declare income from employment or from self-employment.</w:t>
      </w:r>
      <w:r w:rsidRPr="00CB57A6">
        <w:t xml:space="preserve"> </w:t>
      </w:r>
      <w:r>
        <w:t>Note that employment spells are based on either monthly or annual periods so we may be over or understating the actual time a person is in employment depending on where in the month or tax year they started or ended employment. At present, we have not attempted to adjust for this (eg</w:t>
      </w:r>
      <w:r w:rsidR="0072413D">
        <w:t xml:space="preserve"> by</w:t>
      </w:r>
      <w:r>
        <w:t xml:space="preserve"> looking at the following or subsequent month to identify the </w:t>
      </w:r>
      <w:r w:rsidRPr="00F25547">
        <w:rPr>
          <w:noProof/>
        </w:rPr>
        <w:t>likely</w:t>
      </w:r>
      <w:r>
        <w:t xml:space="preserve"> start and end periods).</w:t>
      </w:r>
    </w:p>
    <w:p w:rsidR="00CE3659" w:rsidRDefault="00CE3659" w:rsidP="00CE3659">
      <w:r w:rsidRPr="0007716D">
        <w:t xml:space="preserve">There are also lags in lodging tax returns, with these most pronounced for annual returns. We choose not to censor our analysis period to accommodate these </w:t>
      </w:r>
      <w:r w:rsidRPr="00F25547">
        <w:rPr>
          <w:noProof/>
        </w:rPr>
        <w:t>lags</w:t>
      </w:r>
      <w:r w:rsidRPr="0007716D">
        <w:t xml:space="preserve"> and instead rely on regular updates to the analysis to incorporate delayed tax data into the results.</w:t>
      </w:r>
    </w:p>
    <w:p w:rsidR="00CE3659" w:rsidRDefault="00CE3659" w:rsidP="00CE3659">
      <w:pPr>
        <w:pStyle w:val="Heading3"/>
      </w:pPr>
      <w:bookmarkStart w:id="60" w:name="_Toc524003459"/>
      <w:r>
        <w:t xml:space="preserve">Time in employment while on </w:t>
      </w:r>
      <w:r w:rsidRPr="00C34FD3">
        <w:rPr>
          <w:noProof/>
        </w:rPr>
        <w:t>main</w:t>
      </w:r>
      <w:r>
        <w:t xml:space="preserve"> benefit</w:t>
      </w:r>
      <w:bookmarkEnd w:id="60"/>
    </w:p>
    <w:p w:rsidR="00CE3659" w:rsidRPr="004E38A8" w:rsidRDefault="00CE3659" w:rsidP="00CE3659">
      <w:pPr>
        <w:rPr>
          <w:lang w:eastAsia="en-AU"/>
        </w:rPr>
      </w:pPr>
      <w:r>
        <w:rPr>
          <w:lang w:eastAsia="en-AU"/>
        </w:rPr>
        <w:t xml:space="preserve">Here we include periods where a person is both on </w:t>
      </w:r>
      <w:r w:rsidRPr="00C34FD3">
        <w:rPr>
          <w:noProof/>
          <w:lang w:eastAsia="en-AU"/>
        </w:rPr>
        <w:t>main</w:t>
      </w:r>
      <w:r>
        <w:rPr>
          <w:lang w:eastAsia="en-AU"/>
        </w:rPr>
        <w:t xml:space="preserve"> benefit and receiving employment income. Sole parent benefits</w:t>
      </w:r>
      <w:r w:rsidR="00C34FD3">
        <w:rPr>
          <w:lang w:eastAsia="en-AU"/>
        </w:rPr>
        <w:t>, in particular,</w:t>
      </w:r>
      <w:r>
        <w:rPr>
          <w:lang w:eastAsia="en-AU"/>
        </w:rPr>
        <w:t xml:space="preserve"> are designed to allow people to remain entitled while earning relatively high levels of income from employment. Similarly, people on health and </w:t>
      </w:r>
      <w:r w:rsidRPr="00C34FD3">
        <w:rPr>
          <w:noProof/>
          <w:lang w:eastAsia="en-AU"/>
        </w:rPr>
        <w:t>disability</w:t>
      </w:r>
      <w:r w:rsidR="00C34FD3">
        <w:rPr>
          <w:noProof/>
          <w:lang w:eastAsia="en-AU"/>
        </w:rPr>
        <w:t>-</w:t>
      </w:r>
      <w:r w:rsidRPr="00C34FD3">
        <w:rPr>
          <w:noProof/>
          <w:lang w:eastAsia="en-AU"/>
        </w:rPr>
        <w:t>related</w:t>
      </w:r>
      <w:r>
        <w:rPr>
          <w:lang w:eastAsia="en-AU"/>
        </w:rPr>
        <w:t xml:space="preserve"> benefits may only be able to work </w:t>
      </w:r>
      <w:r w:rsidRPr="00C34FD3">
        <w:rPr>
          <w:noProof/>
          <w:lang w:eastAsia="en-AU"/>
        </w:rPr>
        <w:t>part</w:t>
      </w:r>
      <w:r w:rsidR="00C34FD3">
        <w:rPr>
          <w:noProof/>
          <w:lang w:eastAsia="en-AU"/>
        </w:rPr>
        <w:t>-</w:t>
      </w:r>
      <w:r w:rsidRPr="00C34FD3">
        <w:rPr>
          <w:noProof/>
          <w:lang w:eastAsia="en-AU"/>
        </w:rPr>
        <w:t>time</w:t>
      </w:r>
      <w:r>
        <w:rPr>
          <w:lang w:eastAsia="en-AU"/>
        </w:rPr>
        <w:t>.</w:t>
      </w:r>
    </w:p>
    <w:p w:rsidR="00CE3659" w:rsidRDefault="00CE3659" w:rsidP="00CE3659">
      <w:pPr>
        <w:pStyle w:val="Heading3"/>
      </w:pPr>
      <w:bookmarkStart w:id="61" w:name="_Toc524003460"/>
      <w:r>
        <w:t>Time in employment and independent of Work and Income</w:t>
      </w:r>
      <w:bookmarkEnd w:id="61"/>
    </w:p>
    <w:p w:rsidR="00CE3659" w:rsidRPr="004E38A8" w:rsidRDefault="00CE3659" w:rsidP="00CE3659">
      <w:pPr>
        <w:rPr>
          <w:lang w:eastAsia="en-AU"/>
        </w:rPr>
      </w:pPr>
      <w:r>
        <w:rPr>
          <w:lang w:eastAsia="en-AU"/>
        </w:rPr>
        <w:t xml:space="preserve">Here we are interested </w:t>
      </w:r>
      <w:r w:rsidR="00C34FD3">
        <w:rPr>
          <w:noProof/>
          <w:lang w:eastAsia="en-AU"/>
        </w:rPr>
        <w:t>i</w:t>
      </w:r>
      <w:r w:rsidRPr="00C34FD3">
        <w:rPr>
          <w:noProof/>
          <w:lang w:eastAsia="en-AU"/>
        </w:rPr>
        <w:t>n</w:t>
      </w:r>
      <w:r>
        <w:rPr>
          <w:lang w:eastAsia="en-AU"/>
        </w:rPr>
        <w:t xml:space="preserve"> employment without support from main benefits or employment assistance. This measure is particularly useful when looking at subsidy</w:t>
      </w:r>
      <w:r w:rsidR="003B5106">
        <w:rPr>
          <w:lang w:eastAsia="en-AU"/>
        </w:rPr>
        <w:t>-</w:t>
      </w:r>
      <w:r>
        <w:rPr>
          <w:lang w:eastAsia="en-AU"/>
        </w:rPr>
        <w:t xml:space="preserve">based interventions that mean participants are in </w:t>
      </w:r>
      <w:r w:rsidRPr="00C34FD3">
        <w:rPr>
          <w:noProof/>
          <w:lang w:eastAsia="en-AU"/>
        </w:rPr>
        <w:t>employment</w:t>
      </w:r>
      <w:r>
        <w:rPr>
          <w:lang w:eastAsia="en-AU"/>
        </w:rPr>
        <w:t xml:space="preserve"> but are supported indirectly through a subsidy.</w:t>
      </w:r>
    </w:p>
    <w:p w:rsidR="00CE3659" w:rsidRDefault="00CE3659" w:rsidP="00CE3659">
      <w:pPr>
        <w:pStyle w:val="Heading2"/>
      </w:pPr>
      <w:bookmarkStart w:id="62" w:name="_Toc452630508"/>
      <w:bookmarkStart w:id="63" w:name="_Toc514063456"/>
      <w:bookmarkStart w:id="64" w:name="_Toc524003461"/>
      <w:r>
        <w:t>Independent from Welfare</w:t>
      </w:r>
      <w:bookmarkEnd w:id="62"/>
      <w:bookmarkEnd w:id="63"/>
      <w:bookmarkEnd w:id="64"/>
    </w:p>
    <w:p w:rsidR="00CE3659" w:rsidRDefault="00CE3659" w:rsidP="00CE3659">
      <w:r>
        <w:t xml:space="preserve">We measured the time people are dependent on welfare assistance by the period they were entitled to </w:t>
      </w:r>
      <w:r w:rsidR="00C34FD3" w:rsidRPr="00C34FD3">
        <w:rPr>
          <w:noProof/>
        </w:rPr>
        <w:t>a</w:t>
      </w:r>
      <w:r w:rsidRPr="00C34FD3">
        <w:rPr>
          <w:noProof/>
        </w:rPr>
        <w:t xml:space="preserve"> main</w:t>
      </w:r>
      <w:r>
        <w:t xml:space="preserve"> benefit and whether they were participating in EA interventions. The inclusion of the latter is to cover instances where people are receiving employment assistance while off main benefit (eg a wage subsidy).</w:t>
      </w:r>
    </w:p>
    <w:p w:rsidR="00CE3659" w:rsidRDefault="00CE3659" w:rsidP="00CE3659">
      <w:r>
        <w:t xml:space="preserve">A limitation of this measure is that it fails to account for negative destinations. For example, people who move from </w:t>
      </w:r>
      <w:r w:rsidRPr="00C34FD3">
        <w:rPr>
          <w:noProof/>
        </w:rPr>
        <w:t>main</w:t>
      </w:r>
      <w:r>
        <w:t xml:space="preserve"> benefit into prison would appear to be </w:t>
      </w:r>
      <w:r w:rsidRPr="00F25547">
        <w:rPr>
          <w:noProof/>
        </w:rPr>
        <w:t>off</w:t>
      </w:r>
      <w:r>
        <w:t xml:space="preserve"> welfare assistance. </w:t>
      </w:r>
    </w:p>
    <w:p w:rsidR="00CE3659" w:rsidRDefault="00CE3659" w:rsidP="00CE3659">
      <w:pPr>
        <w:pStyle w:val="Heading2"/>
      </w:pPr>
      <w:bookmarkStart w:id="65" w:name="_Toc452630509"/>
      <w:bookmarkStart w:id="66" w:name="_Toc514063457"/>
      <w:bookmarkStart w:id="67" w:name="_Toc524003462"/>
      <w:r>
        <w:t>Justice</w:t>
      </w:r>
      <w:bookmarkEnd w:id="65"/>
      <w:bookmarkEnd w:id="66"/>
      <w:bookmarkEnd w:id="67"/>
    </w:p>
    <w:p w:rsidR="00CE3659" w:rsidRDefault="00CE3659" w:rsidP="00CE3659">
      <w:pPr>
        <w:rPr>
          <w:lang w:eastAsia="en-AU"/>
        </w:rPr>
      </w:pPr>
      <w:r>
        <w:rPr>
          <w:lang w:eastAsia="en-AU"/>
        </w:rPr>
        <w:t>We have two sources of information on justice outcomes: police offending and periods under Corrections supervision. These data are also obtained from SNZ IDI.</w:t>
      </w:r>
    </w:p>
    <w:p w:rsidR="00CE3659" w:rsidRDefault="00CE3659" w:rsidP="00CE3659">
      <w:pPr>
        <w:pStyle w:val="Heading3"/>
      </w:pPr>
      <w:bookmarkStart w:id="68" w:name="_Toc524003463"/>
      <w:r>
        <w:lastRenderedPageBreak/>
        <w:t>Any offence</w:t>
      </w:r>
      <w:bookmarkEnd w:id="68"/>
    </w:p>
    <w:p w:rsidR="00CE3659" w:rsidRDefault="00CE3659" w:rsidP="00CE3659">
      <w:r>
        <w:t xml:space="preserve">This measure is based on </w:t>
      </w:r>
      <w:r w:rsidR="0072413D">
        <w:t xml:space="preserve">Police </w:t>
      </w:r>
      <w:r>
        <w:t>data of people who are arrested for an offence (but may not result in a prosecution). Note that offending data is only available from 2009.</w:t>
      </w:r>
    </w:p>
    <w:p w:rsidR="00CE3659" w:rsidRDefault="00CE3659" w:rsidP="00CE3659">
      <w:pPr>
        <w:pStyle w:val="Heading3"/>
      </w:pPr>
      <w:bookmarkStart w:id="69" w:name="_Toc524003464"/>
      <w:r>
        <w:t xml:space="preserve">Time spent in any </w:t>
      </w:r>
      <w:r w:rsidR="0072413D">
        <w:t xml:space="preserve">Corrections </w:t>
      </w:r>
      <w:r>
        <w:t>spell</w:t>
      </w:r>
      <w:bookmarkEnd w:id="69"/>
    </w:p>
    <w:p w:rsidR="00CE3659" w:rsidRDefault="0072413D" w:rsidP="00CE3659">
      <w:r>
        <w:t xml:space="preserve">This includes any </w:t>
      </w:r>
      <w:r w:rsidR="00CE3659">
        <w:t xml:space="preserve">spell under </w:t>
      </w:r>
      <w:r>
        <w:t xml:space="preserve">Corrections </w:t>
      </w:r>
      <w:r w:rsidR="00CE3659">
        <w:t>supervision and covers periods of custodial and non-custodial supervision (such as prison, Community Service, home detention, remand, parole and Periodic Detention).</w:t>
      </w:r>
    </w:p>
    <w:p w:rsidR="00CE3659" w:rsidRDefault="00CE3659" w:rsidP="00CE3659">
      <w:pPr>
        <w:pStyle w:val="Heading3"/>
      </w:pPr>
      <w:bookmarkStart w:id="70" w:name="_Toc524003465"/>
      <w:r>
        <w:t>Time spent in prison</w:t>
      </w:r>
      <w:bookmarkEnd w:id="70"/>
    </w:p>
    <w:p w:rsidR="00CE3659" w:rsidRDefault="00CE3659" w:rsidP="00CE3659">
      <w:r>
        <w:t>An important subset of Corrections supervision spells is time spent in prison. Accordingly, we also include time spent in prison as a separate outcome.</w:t>
      </w:r>
    </w:p>
    <w:p w:rsidR="00CE3659" w:rsidRDefault="00CE3659" w:rsidP="00CE3659">
      <w:pPr>
        <w:pStyle w:val="Heading2"/>
      </w:pPr>
      <w:bookmarkStart w:id="71" w:name="_Toc452630510"/>
      <w:bookmarkStart w:id="72" w:name="_Toc514063458"/>
      <w:bookmarkStart w:id="73" w:name="_Toc524003466"/>
      <w:r>
        <w:t>Education qualifications</w:t>
      </w:r>
      <w:bookmarkEnd w:id="71"/>
      <w:bookmarkEnd w:id="72"/>
      <w:bookmarkEnd w:id="73"/>
    </w:p>
    <w:p w:rsidR="00CE3659" w:rsidRDefault="00CE3659" w:rsidP="00CE3659">
      <w:r>
        <w:t xml:space="preserve">Educational achievement information is based on secondary and tertiary qualifications achieved. We include school, tertiary, industry training and targeted training qualifications data. There is a considerable reporting lag for qualifications data in the SNZ IDI, </w:t>
      </w:r>
      <w:r w:rsidR="003B5106">
        <w:t xml:space="preserve">and </w:t>
      </w:r>
      <w:r>
        <w:t>normally qualifications data are out of date by over 12 months. In addition, qualification data only provides the year the qualification was attained. In our analysis, we make the assumption that the qualification was attained at the end of the year (ie 31 December). For analysis of intervention impacts, we exclude qualifications gain</w:t>
      </w:r>
      <w:r w:rsidR="003960C6">
        <w:t>ed</w:t>
      </w:r>
      <w:r>
        <w:t xml:space="preserve"> in the year the participant started the intervention as we cannot know whether they achieved the qualification before or after starting the intervention.</w:t>
      </w:r>
    </w:p>
    <w:p w:rsidR="00CE3659" w:rsidRDefault="00CE3659" w:rsidP="00CE3659">
      <w:r>
        <w:t xml:space="preserve">Here we make the assumption that gains in education qualifications reflect improvements in human capital. This may not always be the case. For example, analysis by </w:t>
      </w:r>
      <w:r w:rsidRPr="00461375">
        <w:rPr>
          <w:noProof/>
        </w:rPr>
        <w:t>Crichton</w:t>
      </w:r>
      <w:r>
        <w:t xml:space="preserve"> </w:t>
      </w:r>
      <w:r>
        <w:fldChar w:fldCharType="begin" w:fldLock="1"/>
      </w:r>
      <w:r>
        <w:instrText>ADDIN CSL_CITATION { "citationItems" : [ { "id" : "ITEM-1", "itemData" : { "abstract" : "This study examines the impact of undertaking further education on beneficiaries\u2019 labour market outcomes. It focuses on those who had been receiving a benefit for at least 6 months when they newly enrolled at a tertiary institution over the period 2003\u20132005 and their outcomes 5 years later. Some results for those who started studying in 2008\u20132010 and outcomes 1\u20133 years later are also included. Overall, enrolling in tertiary education improved labour market outcomes.", "author" : [ { "dropping-particle" : "", "family" : "Crichton", "given" : "Sarah", "non-dropping-particle" : "", "parse-names" : false, "suffix" : "" } ], "id" : "ITEM-1", "issued" : { "date-parts" : [ [ "2013" ] ] }, "number-of-pages" : "122", "publisher" : "Ministry of Business, Innovation and Employment", "publisher-place" : "Wellington", "title" : "The Impact of Further Education on the Employment Outcomes of Beneficiaries", "type" : "report" }, "suppress-author" : 1, "uris" : [ "http://www.mendeley.com/documents/?uuid=11599f13-68f5-4f52-8062-1c3f230f1045" ] } ], "mendeley" : { "formattedCitation" : "(2013)", "plainTextFormattedCitation" : "(2013)", "previouslyFormattedCitation" : "(2013)" }, "properties" : {  }, "schema" : "https://github.com/citation-style-language/schema/raw/master/csl-citation.json" }</w:instrText>
      </w:r>
      <w:r>
        <w:fldChar w:fldCharType="separate"/>
      </w:r>
      <w:r w:rsidRPr="00461375">
        <w:rPr>
          <w:noProof/>
        </w:rPr>
        <w:t>(2013)</w:t>
      </w:r>
      <w:r>
        <w:fldChar w:fldCharType="end"/>
      </w:r>
      <w:r>
        <w:t xml:space="preserve"> found people on income support who </w:t>
      </w:r>
      <w:r w:rsidR="003505CE">
        <w:t>achieved</w:t>
      </w:r>
      <w:r>
        <w:t xml:space="preserve"> </w:t>
      </w:r>
      <w:r w:rsidRPr="00C34FD3">
        <w:rPr>
          <w:noProof/>
        </w:rPr>
        <w:t>low</w:t>
      </w:r>
      <w:r w:rsidR="00C34FD3">
        <w:rPr>
          <w:noProof/>
        </w:rPr>
        <w:t>-</w:t>
      </w:r>
      <w:r w:rsidRPr="00C34FD3">
        <w:rPr>
          <w:noProof/>
        </w:rPr>
        <w:t>level</w:t>
      </w:r>
      <w:r>
        <w:t xml:space="preserve"> qualifications (NQF3 and below) appeared not to gain any benefit in terms of subsequent employment or income. Similarly, this measure ignores any human capital gain</w:t>
      </w:r>
      <w:r w:rsidR="003505CE">
        <w:t>ed</w:t>
      </w:r>
      <w:r>
        <w:t xml:space="preserve"> through informal means.</w:t>
      </w:r>
    </w:p>
    <w:p w:rsidR="00CE3659" w:rsidRDefault="00CE3659" w:rsidP="00CE3659">
      <w:pPr>
        <w:pStyle w:val="Heading3"/>
      </w:pPr>
      <w:bookmarkStart w:id="74" w:name="_Toc524003467"/>
      <w:r>
        <w:t xml:space="preserve">Qualifications </w:t>
      </w:r>
      <w:r w:rsidRPr="00F2754F">
        <w:t>achieved</w:t>
      </w:r>
      <w:r>
        <w:t xml:space="preserve"> at NQF level 2, 3, 4</w:t>
      </w:r>
      <w:bookmarkEnd w:id="74"/>
    </w:p>
    <w:p w:rsidR="00CE3659" w:rsidRDefault="00CE3659" w:rsidP="00CE3659">
      <w:r>
        <w:t xml:space="preserve">For each person, we construct spells when they have achieved a specified minimum NQF level. NQF levels start at one (first national </w:t>
      </w:r>
      <w:r w:rsidR="003B5106">
        <w:t xml:space="preserve">school </w:t>
      </w:r>
      <w:r>
        <w:t>assessment) through to nine (doctorate). For each individual, we identify the date they first achieved the specific NQF level.</w:t>
      </w:r>
    </w:p>
    <w:p w:rsidR="00CE3659" w:rsidRDefault="00CE3659" w:rsidP="00CE3659">
      <w:pPr>
        <w:pStyle w:val="Heading3"/>
      </w:pPr>
      <w:bookmarkStart w:id="75" w:name="_Toc524003468"/>
      <w:r>
        <w:t>Highest NQF level</w:t>
      </w:r>
      <w:bookmarkEnd w:id="75"/>
    </w:p>
    <w:p w:rsidR="00CE3659" w:rsidRDefault="00CE3659" w:rsidP="00CE3659">
      <w:r>
        <w:t xml:space="preserve">The highest NQF level is the highest NQF level achieved by a person at a specific date. From this measure, we can calculate the average NQF level achieved by the participant and comparison group of an EA intervention. </w:t>
      </w:r>
    </w:p>
    <w:p w:rsidR="00CE3659" w:rsidRDefault="00CE3659" w:rsidP="00CE3659">
      <w:pPr>
        <w:pStyle w:val="Heading2"/>
      </w:pPr>
      <w:bookmarkStart w:id="76" w:name="_Toc452630511"/>
      <w:bookmarkStart w:id="77" w:name="_Toc514063459"/>
      <w:bookmarkStart w:id="78" w:name="_Toc524003469"/>
      <w:r>
        <w:t>Education participation</w:t>
      </w:r>
      <w:bookmarkEnd w:id="76"/>
      <w:bookmarkEnd w:id="77"/>
      <w:bookmarkEnd w:id="78"/>
    </w:p>
    <w:p w:rsidR="00CE3659" w:rsidRDefault="00CE3659" w:rsidP="00CE3659">
      <w:r>
        <w:t xml:space="preserve">Participation in further education and training provides an early indication of whether people are engaged in developing their human capital. The unit of measurement for this </w:t>
      </w:r>
      <w:r>
        <w:lastRenderedPageBreak/>
        <w:t>outcome is the number of days enrolled. However, people may not be attending training even when they are enrolled.</w:t>
      </w:r>
    </w:p>
    <w:p w:rsidR="00CE3659" w:rsidRDefault="00CE3659" w:rsidP="00CE3659">
      <w:pPr>
        <w:pStyle w:val="Heading3"/>
      </w:pPr>
      <w:bookmarkStart w:id="79" w:name="_Toc524003470"/>
      <w:r>
        <w:t>Time spent in any education participation</w:t>
      </w:r>
      <w:bookmarkEnd w:id="79"/>
    </w:p>
    <w:p w:rsidR="00CE3659" w:rsidRDefault="00CE3659" w:rsidP="00CE3659">
      <w:r>
        <w:t>For any education participation, we combine all education spells in school, tertiary, industry training and targeted training.</w:t>
      </w:r>
    </w:p>
    <w:p w:rsidR="00CE3659" w:rsidRDefault="00CE3659" w:rsidP="00CE3659">
      <w:pPr>
        <w:pStyle w:val="Heading3"/>
      </w:pPr>
      <w:bookmarkStart w:id="80" w:name="_Toc524003471"/>
      <w:r>
        <w:t>Time spent in education while off benefit</w:t>
      </w:r>
      <w:bookmarkEnd w:id="80"/>
    </w:p>
    <w:p w:rsidR="00CE3659" w:rsidRDefault="00CE3659" w:rsidP="00CE3659">
      <w:r>
        <w:t xml:space="preserve">Education participation spells where a person is also </w:t>
      </w:r>
      <w:r w:rsidRPr="00C34FD3">
        <w:rPr>
          <w:noProof/>
        </w:rPr>
        <w:t>off</w:t>
      </w:r>
      <w:r>
        <w:t xml:space="preserve"> main benefit (based on benefit entitlement spells).</w:t>
      </w:r>
    </w:p>
    <w:p w:rsidR="00CE3659" w:rsidRDefault="00CE3659" w:rsidP="00CE3659">
      <w:pPr>
        <w:pStyle w:val="Heading3"/>
      </w:pPr>
      <w:bookmarkStart w:id="81" w:name="_Toc524003472"/>
      <w:r>
        <w:t>Education participation NQF4</w:t>
      </w:r>
      <w:bookmarkEnd w:id="81"/>
    </w:p>
    <w:p w:rsidR="00CE3659" w:rsidRDefault="00CE3659" w:rsidP="00CE3659">
      <w:r>
        <w:t>Time spent participating in education courses at NQF level 4 or above (broadly equivalent to University degree level).</w:t>
      </w:r>
    </w:p>
    <w:p w:rsidR="00CE3659" w:rsidRDefault="00CE3659" w:rsidP="00CE3659">
      <w:pPr>
        <w:pStyle w:val="Heading2"/>
      </w:pPr>
      <w:bookmarkStart w:id="82" w:name="_Toc514063460"/>
      <w:bookmarkStart w:id="83" w:name="_Toc524003473"/>
      <w:r>
        <w:t>Driver licence status</w:t>
      </w:r>
      <w:bookmarkEnd w:id="82"/>
      <w:bookmarkEnd w:id="83"/>
    </w:p>
    <w:p w:rsidR="00CE3659" w:rsidRDefault="00CE3659" w:rsidP="00CE3659">
      <w:pPr>
        <w:rPr>
          <w:lang w:eastAsia="en-AU"/>
        </w:rPr>
      </w:pPr>
      <w:r>
        <w:rPr>
          <w:lang w:eastAsia="en-AU"/>
        </w:rPr>
        <w:t xml:space="preserve">We are able to measure progress through the New Zealand driver licence graduation system. The system started in 1984 and has been through several changes. People go through learner and restricted stages before getting a full licence. </w:t>
      </w:r>
    </w:p>
    <w:p w:rsidR="00CE3659" w:rsidRDefault="00CE3659" w:rsidP="00CE3659">
      <w:pPr>
        <w:pStyle w:val="Heading3"/>
      </w:pPr>
      <w:bookmarkStart w:id="84" w:name="_Toc524003474"/>
      <w:r>
        <w:t>Time spent while holding a learner’s, restricted and full licence</w:t>
      </w:r>
      <w:bookmarkEnd w:id="84"/>
    </w:p>
    <w:p w:rsidR="00CE3659" w:rsidRDefault="00CE3659" w:rsidP="00CE3659">
      <w:pPr>
        <w:rPr>
          <w:lang w:eastAsia="en-AU"/>
        </w:rPr>
      </w:pPr>
      <w:r>
        <w:rPr>
          <w:lang w:eastAsia="en-AU"/>
        </w:rPr>
        <w:t>We are able to track the number of days spent at each driver’s licence stage that enables us to accurately track people’s progression towards a full driver’s licence over time.</w:t>
      </w:r>
    </w:p>
    <w:p w:rsidR="00CE3659" w:rsidRDefault="00CE3659" w:rsidP="00CE3659">
      <w:pPr>
        <w:pStyle w:val="Heading2"/>
        <w:rPr>
          <w:lang w:eastAsia="en-AU"/>
        </w:rPr>
      </w:pPr>
      <w:bookmarkStart w:id="85" w:name="_Toc514063461"/>
      <w:bookmarkStart w:id="86" w:name="_Toc524003475"/>
      <w:r>
        <w:rPr>
          <w:lang w:eastAsia="en-AU"/>
        </w:rPr>
        <w:t>Tracking outcomes longitudinally</w:t>
      </w:r>
      <w:bookmarkEnd w:id="85"/>
      <w:bookmarkEnd w:id="86"/>
    </w:p>
    <w:p w:rsidR="00CE3659" w:rsidRDefault="00CE3659" w:rsidP="00CE3659">
      <w:pPr>
        <w:rPr>
          <w:lang w:eastAsia="en-AU"/>
        </w:rPr>
      </w:pPr>
      <w:r>
        <w:rPr>
          <w:lang w:eastAsia="en-AU"/>
        </w:rPr>
        <w:t>It is useful at this point to explain how we analyse the outcomes relative to participation in EA interventions. The outcomes described in the previous section are all longitudinal in nature. Therefore, we have the ability to measure outcomes at multiple points in time rather than being limited to a small number of measurement periods as would be the case for survey-based outcome measures.</w:t>
      </w:r>
    </w:p>
    <w:p w:rsidR="00CE3659" w:rsidRDefault="00CE3659" w:rsidP="00CE3659">
      <w:r>
        <w:rPr>
          <w:lang w:eastAsia="en-AU"/>
        </w:rPr>
        <w:t>This flexibility allows us to track outcomes relative to participation start date</w:t>
      </w:r>
      <w:r w:rsidR="003B5106">
        <w:rPr>
          <w:lang w:eastAsia="en-AU"/>
        </w:rPr>
        <w:t>s</w:t>
      </w:r>
      <w:r>
        <w:rPr>
          <w:lang w:eastAsia="en-AU"/>
        </w:rPr>
        <w:t xml:space="preserve"> as shown in </w:t>
      </w:r>
      <w:r>
        <w:rPr>
          <w:lang w:eastAsia="en-AU"/>
        </w:rPr>
        <w:fldChar w:fldCharType="begin"/>
      </w:r>
      <w:r>
        <w:rPr>
          <w:lang w:eastAsia="en-AU"/>
        </w:rPr>
        <w:instrText xml:space="preserve"> REF _Ref513053673 \h </w:instrText>
      </w:r>
      <w:r>
        <w:rPr>
          <w:lang w:eastAsia="en-AU"/>
        </w:rPr>
      </w:r>
      <w:r>
        <w:rPr>
          <w:lang w:eastAsia="en-AU"/>
        </w:rPr>
        <w:fldChar w:fldCharType="separate"/>
      </w:r>
      <w:r w:rsidR="00F24924">
        <w:t xml:space="preserve">Figure </w:t>
      </w:r>
      <w:r w:rsidR="00F24924">
        <w:rPr>
          <w:noProof/>
        </w:rPr>
        <w:t>1</w:t>
      </w:r>
      <w:r>
        <w:rPr>
          <w:lang w:eastAsia="en-AU"/>
        </w:rPr>
        <w:fldChar w:fldCharType="end"/>
      </w:r>
      <w:r>
        <w:rPr>
          <w:lang w:eastAsia="en-AU"/>
        </w:rPr>
        <w:t xml:space="preserve">. The first point to make is that we measure outcomes from when people start an intervention, and this is defined as zero on our </w:t>
      </w:r>
      <w:r w:rsidRPr="00C34FD3">
        <w:rPr>
          <w:noProof/>
          <w:lang w:eastAsia="en-AU"/>
        </w:rPr>
        <w:t>timeline</w:t>
      </w:r>
      <w:r>
        <w:rPr>
          <w:lang w:eastAsia="en-AU"/>
        </w:rPr>
        <w:t xml:space="preserve">. Why we choose the start date as the zero </w:t>
      </w:r>
      <w:r w:rsidRPr="00C34FD3">
        <w:rPr>
          <w:noProof/>
          <w:lang w:eastAsia="en-AU"/>
        </w:rPr>
        <w:t>point</w:t>
      </w:r>
      <w:r>
        <w:rPr>
          <w:lang w:eastAsia="en-AU"/>
        </w:rPr>
        <w:t xml:space="preserve"> is explained below. From the zero </w:t>
      </w:r>
      <w:r w:rsidRPr="00C34FD3">
        <w:rPr>
          <w:noProof/>
          <w:lang w:eastAsia="en-AU"/>
        </w:rPr>
        <w:t>point</w:t>
      </w:r>
      <w:r w:rsidR="00C34FD3">
        <w:rPr>
          <w:noProof/>
          <w:lang w:eastAsia="en-AU"/>
        </w:rPr>
        <w:t>,</w:t>
      </w:r>
      <w:r w:rsidR="00C34FD3" w:rsidRPr="00C34FD3">
        <w:rPr>
          <w:noProof/>
          <w:lang w:eastAsia="en-AU"/>
        </w:rPr>
        <w:t xml:space="preserve"> </w:t>
      </w:r>
      <w:r>
        <w:rPr>
          <w:lang w:eastAsia="en-AU"/>
        </w:rPr>
        <w:t>we can then create a series of lapse periods that represent the periods before and after the participation start date.</w:t>
      </w:r>
      <w:r w:rsidRPr="00CA2A10">
        <w:t xml:space="preserve"> </w:t>
      </w:r>
      <w:r>
        <w:t xml:space="preserve">Based on this </w:t>
      </w:r>
      <w:r w:rsidRPr="00C34FD3">
        <w:rPr>
          <w:noProof/>
        </w:rPr>
        <w:t>timeline</w:t>
      </w:r>
      <w:r>
        <w:t>, we can measure outcomes in two ways: interval and cumulative.</w:t>
      </w:r>
    </w:p>
    <w:p w:rsidR="00CE3659" w:rsidRDefault="00CE3659" w:rsidP="00CE3659">
      <w:pPr>
        <w:pStyle w:val="Heading4"/>
      </w:pPr>
      <w:bookmarkStart w:id="87" w:name="_Ref513053673"/>
      <w:bookmarkStart w:id="88" w:name="_Toc524003433"/>
      <w:r>
        <w:lastRenderedPageBreak/>
        <w:t xml:space="preserve">Figure </w:t>
      </w:r>
      <w:fldSimple w:instr=" SEQ Figure \* ARABIC ">
        <w:r w:rsidR="00F24924">
          <w:rPr>
            <w:noProof/>
          </w:rPr>
          <w:t>1</w:t>
        </w:r>
      </w:fldSimple>
      <w:bookmarkEnd w:id="87"/>
      <w:r>
        <w:t>: T</w:t>
      </w:r>
      <w:r w:rsidRPr="00FB41A9">
        <w:t>racking EA intervention outcomes using administrative data</w:t>
      </w:r>
      <w:bookmarkEnd w:id="88"/>
    </w:p>
    <w:p w:rsidR="00CE3659" w:rsidRDefault="00CE3659" w:rsidP="00CE3659">
      <w:r>
        <w:rPr>
          <w:noProof/>
          <w:lang w:eastAsia="en-NZ"/>
        </w:rPr>
        <mc:AlternateContent>
          <mc:Choice Requires="wps">
            <w:drawing>
              <wp:anchor distT="0" distB="0" distL="114300" distR="114300" simplePos="0" relativeHeight="251668480" behindDoc="0" locked="0" layoutInCell="1" allowOverlap="1" wp14:anchorId="7CDA2761" wp14:editId="5825B8C9">
                <wp:simplePos x="0" y="0"/>
                <wp:positionH relativeFrom="column">
                  <wp:posOffset>3682773</wp:posOffset>
                </wp:positionH>
                <wp:positionV relativeFrom="paragraph">
                  <wp:posOffset>229580</wp:posOffset>
                </wp:positionV>
                <wp:extent cx="290451" cy="197296"/>
                <wp:effectExtent l="76200" t="0" r="14605" b="50800"/>
                <wp:wrapNone/>
                <wp:docPr id="43" name="Connector: Elbow 17">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V="1">
                          <a:off x="0" y="0"/>
                          <a:ext cx="290451" cy="197296"/>
                        </a:xfrm>
                        <a:prstGeom prst="bentConnector3">
                          <a:avLst>
                            <a:gd name="adj1" fmla="val 10044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D04716A"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7" o:spid="_x0000_s1026" type="#_x0000_t34" style="position:absolute;margin-left:290pt;margin-top:18.1pt;width:22.85pt;height:15.55pt;rotation:18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" adj="21696" strokecolor="#4579b8 [3044]">
                <v:stroke endarrow="block"/>
                <o:lock v:ext="edit" shapetype="f"/>
              </v:shape>
            </w:pict>
          </mc:Fallback>
        </mc:AlternateContent>
      </w:r>
      <w:r>
        <w:rPr>
          <w:noProof/>
          <w:lang w:eastAsia="en-NZ"/>
        </w:rPr>
        <mc:AlternateContent>
          <mc:Choice Requires="wps">
            <w:drawing>
              <wp:anchor distT="0" distB="0" distL="114300" distR="114300" simplePos="0" relativeHeight="251667456" behindDoc="0" locked="0" layoutInCell="1" allowOverlap="1" wp14:anchorId="3A2EDD4C" wp14:editId="32EC8420">
                <wp:simplePos x="0" y="0"/>
                <wp:positionH relativeFrom="column">
                  <wp:posOffset>3900674</wp:posOffset>
                </wp:positionH>
                <wp:positionV relativeFrom="paragraph">
                  <wp:posOffset>98961</wp:posOffset>
                </wp:positionV>
                <wp:extent cx="633068" cy="230443"/>
                <wp:effectExtent l="0" t="0" r="0" b="0"/>
                <wp:wrapNone/>
                <wp:docPr id="42" name="TextBox 31">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633068" cy="230443"/>
                        </a:xfrm>
                        <a:prstGeom prst="rect">
                          <a:avLst/>
                        </a:prstGeom>
                        <a:noFill/>
                      </wps:spPr>
                      <wps:txbx>
                        <w:txbxContent>
                          <w:p w:rsidR="008D4741" w:rsidRDefault="008D4741" w:rsidP="00CE3659">
                            <w:pPr>
                              <w:pStyle w:val="NormalWeb"/>
                              <w:spacing w:after="0"/>
                              <w:jc w:val="right"/>
                            </w:pPr>
                            <w:r>
                              <w:rPr>
                                <w:rFonts w:eastAsia="Verdana" w:cs="Verdana"/>
                                <w:color w:val="000000" w:themeColor="text1"/>
                                <w:kern w:val="24"/>
                                <w:sz w:val="18"/>
                                <w:szCs w:val="18"/>
                              </w:rPr>
                              <w:t>Lapse period</w:t>
                            </w:r>
                          </w:p>
                        </w:txbxContent>
                      </wps:txbx>
                      <wps:bodyPr wrap="none" rtlCol="0">
                        <a:spAutoFit/>
                      </wps:bodyPr>
                    </wps:wsp>
                  </a:graphicData>
                </a:graphic>
              </wp:anchor>
            </w:drawing>
          </mc:Choice>
          <mc:Fallback>
            <w:pict>
              <v:shapetype id="_x0000_t202" coordsize="21600,21600" o:spt="202" path="m,l,21600r21600,l21600,xe">
                <v:stroke joinstyle="miter"/>
                <v:path gradientshapeok="t" o:connecttype="rect"/>
              </v:shapetype>
              <v:shape id="TextBox 31" o:spid="_x0000_s1026" type="#_x0000_t202" style="position:absolute;margin-left:307.15pt;margin-top:7.8pt;width:49.85pt;height:18.15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" filled="f" stroked="f">
                <v:textbox style="mso-fit-shape-to-text:t">
                  <w:txbxContent>
                    <w:p w:rsidR="008D4741" w:rsidRDefault="008D4741" w:rsidP="00CE3659">
                      <w:pPr>
                        <w:pStyle w:val="NormalWeb"/>
                        <w:spacing w:after="0"/>
                        <w:jc w:val="right"/>
                      </w:pPr>
                      <w:r>
                        <w:rPr>
                          <w:rFonts w:eastAsia="Verdana" w:cs="Verdana"/>
                          <w:color w:val="000000" w:themeColor="text1"/>
                          <w:kern w:val="24"/>
                          <w:sz w:val="18"/>
                          <w:szCs w:val="18"/>
                        </w:rPr>
                        <w:t>Lapse period</w:t>
                      </w:r>
                    </w:p>
                  </w:txbxContent>
                </v:textbox>
              </v:shape>
            </w:pict>
          </mc:Fallback>
        </mc:AlternateContent>
      </w:r>
      <w:r w:rsidRPr="00FB41A9">
        <w:rPr>
          <w:noProof/>
          <w:lang w:eastAsia="en-NZ"/>
        </w:rPr>
        <mc:AlternateContent>
          <mc:Choice Requires="wpg">
            <w:drawing>
              <wp:inline distT="0" distB="0" distL="0" distR="0" wp14:anchorId="36959F76" wp14:editId="2513318F">
                <wp:extent cx="5037666" cy="1494852"/>
                <wp:effectExtent l="0" t="0" r="48895" b="0"/>
                <wp:docPr id="4" name="Group 36">
                  <a:extLst xmlns:a="http://schemas.openxmlformats.org/drawingml/2006/main"/>
                </wp:docPr>
                <wp:cNvGraphicFramePr/>
                <a:graphic xmlns:a="http://schemas.openxmlformats.org/drawingml/2006/main">
                  <a:graphicData uri="http://schemas.microsoft.com/office/word/2010/wordprocessingGroup">
                    <wpg:wgp>
                      <wpg:cNvGrpSpPr/>
                      <wpg:grpSpPr>
                        <a:xfrm>
                          <a:off x="0" y="0"/>
                          <a:ext cx="5037666" cy="1494852"/>
                          <a:chOff x="0" y="0"/>
                          <a:chExt cx="5037666" cy="1494852"/>
                        </a:xfrm>
                      </wpg:grpSpPr>
                      <wps:wsp>
                        <wps:cNvPr id="5" name="TextBox 3">
                          <a:extLst/>
                        </wps:cNvPr>
                        <wps:cNvSpPr txBox="1"/>
                        <wps:spPr>
                          <a:xfrm>
                            <a:off x="759258" y="0"/>
                            <a:ext cx="1495425" cy="258445"/>
                          </a:xfrm>
                          <a:prstGeom prst="rect">
                            <a:avLst/>
                          </a:prstGeom>
                          <a:noFill/>
                        </wps:spPr>
                        <wps:txbx>
                          <w:txbxContent>
                            <w:p w:rsidR="008D4741" w:rsidRDefault="008D4741" w:rsidP="00CE3659">
                              <w:pPr>
                                <w:pStyle w:val="NormalWeb"/>
                                <w:spacing w:after="0"/>
                                <w:jc w:val="right"/>
                              </w:pPr>
                              <w:r>
                                <w:rPr>
                                  <w:rFonts w:eastAsia="Verdana" w:cs="Verdana"/>
                                  <w:color w:val="000000" w:themeColor="text1"/>
                                  <w:kern w:val="24"/>
                                  <w:sz w:val="18"/>
                                  <w:szCs w:val="18"/>
                                </w:rPr>
                                <w:t>Participation start date</w:t>
                              </w:r>
                            </w:p>
                          </w:txbxContent>
                        </wps:txbx>
                        <wps:bodyPr wrap="none" rtlCol="0">
                          <a:spAutoFit/>
                        </wps:bodyPr>
                      </wps:wsp>
                      <wps:wsp>
                        <wps:cNvPr id="8" name="Oval 8">
                          <a:extLst/>
                        </wps:cNvPr>
                        <wps:cNvSpPr/>
                        <wps:spPr>
                          <a:xfrm>
                            <a:off x="2389277" y="431149"/>
                            <a:ext cx="84667" cy="84667"/>
                          </a:xfrm>
                          <a:prstGeom prst="ellipse">
                            <a:avLst/>
                          </a:prstGeom>
                        </wps:spPr>
                        <wps:style>
                          <a:lnRef idx="0">
                            <a:schemeClr val="accent1"/>
                          </a:lnRef>
                          <a:fillRef idx="3">
                            <a:schemeClr val="accent1"/>
                          </a:fillRef>
                          <a:effectRef idx="3">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Straight Arrow Connector 9">
                          <a:extLst/>
                        </wps:cNvPr>
                        <wps:cNvCnPr/>
                        <wps:spPr>
                          <a:xfrm>
                            <a:off x="419099" y="473483"/>
                            <a:ext cx="461856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7">
                          <a:extLst/>
                        </wps:cNvPr>
                        <wps:cNvSpPr txBox="1"/>
                        <wps:spPr>
                          <a:xfrm>
                            <a:off x="0" y="315720"/>
                            <a:ext cx="464185" cy="258445"/>
                          </a:xfrm>
                          <a:prstGeom prst="rect">
                            <a:avLst/>
                          </a:prstGeom>
                          <a:noFill/>
                        </wps:spPr>
                        <wps:txbx>
                          <w:txbxContent>
                            <w:p w:rsidR="008D4741" w:rsidRDefault="008D4741" w:rsidP="00CE3659">
                              <w:pPr>
                                <w:pStyle w:val="NormalWeb"/>
                                <w:spacing w:after="0"/>
                              </w:pPr>
                              <w:r>
                                <w:rPr>
                                  <w:rFonts w:eastAsia="Verdana" w:cs="Verdana"/>
                                  <w:color w:val="000000" w:themeColor="text1"/>
                                  <w:kern w:val="24"/>
                                  <w:sz w:val="18"/>
                                  <w:szCs w:val="18"/>
                                </w:rPr>
                                <w:t>Time</w:t>
                              </w:r>
                            </w:p>
                          </w:txbxContent>
                        </wps:txbx>
                        <wps:bodyPr wrap="none" rtlCol="0">
                          <a:spAutoFit/>
                        </wps:bodyPr>
                      </wps:wsp>
                      <wps:wsp>
                        <wps:cNvPr id="11" name="TextBox 8">
                          <a:extLst/>
                        </wps:cNvPr>
                        <wps:cNvSpPr txBox="1"/>
                        <wps:spPr>
                          <a:xfrm>
                            <a:off x="2307360" y="518910"/>
                            <a:ext cx="203200" cy="258445"/>
                          </a:xfrm>
                          <a:prstGeom prst="rect">
                            <a:avLst/>
                          </a:prstGeom>
                          <a:noFill/>
                        </wps:spPr>
                        <wps:txbx>
                          <w:txbxContent>
                            <w:p w:rsidR="008D4741" w:rsidRDefault="008D4741" w:rsidP="00CE3659">
                              <w:pPr>
                                <w:pStyle w:val="NormalWeb"/>
                                <w:spacing w:after="0"/>
                              </w:pPr>
                              <w:r>
                                <w:rPr>
                                  <w:rFonts w:eastAsia="Verdana" w:cs="Verdana"/>
                                  <w:color w:val="000000" w:themeColor="text1"/>
                                  <w:kern w:val="24"/>
                                  <w:sz w:val="18"/>
                                  <w:szCs w:val="18"/>
                                </w:rPr>
                                <w:t>0</w:t>
                              </w:r>
                            </w:p>
                          </w:txbxContent>
                        </wps:txbx>
                        <wps:bodyPr wrap="square" rtlCol="0">
                          <a:spAutoFit/>
                        </wps:bodyPr>
                      </wps:wsp>
                      <wps:wsp>
                        <wps:cNvPr id="12" name="Oval 12">
                          <a:extLst/>
                        </wps:cNvPr>
                        <wps:cNvSpPr/>
                        <wps:spPr>
                          <a:xfrm>
                            <a:off x="1971205" y="425799"/>
                            <a:ext cx="84667" cy="84667"/>
                          </a:xfrm>
                          <a:prstGeom prst="ellipse">
                            <a:avLst/>
                          </a:prstGeom>
                        </wps:spPr>
                        <wps:style>
                          <a:lnRef idx="0">
                            <a:schemeClr val="accent1"/>
                          </a:lnRef>
                          <a:fillRef idx="3">
                            <a:schemeClr val="accent1"/>
                          </a:fillRef>
                          <a:effectRef idx="3">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 name="Oval 27">
                          <a:extLst/>
                        </wps:cNvPr>
                        <wps:cNvSpPr/>
                        <wps:spPr>
                          <a:xfrm>
                            <a:off x="1553133" y="425799"/>
                            <a:ext cx="84667" cy="84667"/>
                          </a:xfrm>
                          <a:prstGeom prst="ellipse">
                            <a:avLst/>
                          </a:prstGeom>
                        </wps:spPr>
                        <wps:style>
                          <a:lnRef idx="0">
                            <a:schemeClr val="accent1"/>
                          </a:lnRef>
                          <a:fillRef idx="3">
                            <a:schemeClr val="accent1"/>
                          </a:fillRef>
                          <a:effectRef idx="3">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Oval 28">
                          <a:extLst/>
                        </wps:cNvPr>
                        <wps:cNvSpPr/>
                        <wps:spPr>
                          <a:xfrm>
                            <a:off x="1135061" y="434265"/>
                            <a:ext cx="84667" cy="84667"/>
                          </a:xfrm>
                          <a:prstGeom prst="ellipse">
                            <a:avLst/>
                          </a:prstGeom>
                        </wps:spPr>
                        <wps:style>
                          <a:lnRef idx="0">
                            <a:schemeClr val="accent1"/>
                          </a:lnRef>
                          <a:fillRef idx="3">
                            <a:schemeClr val="accent1"/>
                          </a:fillRef>
                          <a:effectRef idx="3">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Oval 30">
                          <a:extLst/>
                        </wps:cNvPr>
                        <wps:cNvSpPr/>
                        <wps:spPr>
                          <a:xfrm>
                            <a:off x="716989" y="425799"/>
                            <a:ext cx="84667" cy="84667"/>
                          </a:xfrm>
                          <a:prstGeom prst="ellipse">
                            <a:avLst/>
                          </a:prstGeom>
                        </wps:spPr>
                        <wps:style>
                          <a:lnRef idx="0">
                            <a:schemeClr val="accent1"/>
                          </a:lnRef>
                          <a:fillRef idx="3">
                            <a:schemeClr val="accent1"/>
                          </a:fillRef>
                          <a:effectRef idx="3">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Oval 44">
                          <a:extLst/>
                        </wps:cNvPr>
                        <wps:cNvSpPr/>
                        <wps:spPr>
                          <a:xfrm>
                            <a:off x="4061566" y="425799"/>
                            <a:ext cx="84667" cy="84667"/>
                          </a:xfrm>
                          <a:prstGeom prst="ellipse">
                            <a:avLst/>
                          </a:prstGeom>
                        </wps:spPr>
                        <wps:style>
                          <a:lnRef idx="0">
                            <a:schemeClr val="accent1"/>
                          </a:lnRef>
                          <a:fillRef idx="3">
                            <a:schemeClr val="accent1"/>
                          </a:fillRef>
                          <a:effectRef idx="3">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 name="Oval 64">
                          <a:extLst/>
                        </wps:cNvPr>
                        <wps:cNvSpPr/>
                        <wps:spPr>
                          <a:xfrm>
                            <a:off x="3643493" y="425799"/>
                            <a:ext cx="84667" cy="84667"/>
                          </a:xfrm>
                          <a:prstGeom prst="ellipse">
                            <a:avLst/>
                          </a:prstGeom>
                        </wps:spPr>
                        <wps:style>
                          <a:lnRef idx="0">
                            <a:schemeClr val="accent1"/>
                          </a:lnRef>
                          <a:fillRef idx="3">
                            <a:schemeClr val="accent1"/>
                          </a:fillRef>
                          <a:effectRef idx="3">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5" name="Oval 65">
                          <a:extLst/>
                        </wps:cNvPr>
                        <wps:cNvSpPr/>
                        <wps:spPr>
                          <a:xfrm>
                            <a:off x="3225421" y="434265"/>
                            <a:ext cx="84667" cy="84667"/>
                          </a:xfrm>
                          <a:prstGeom prst="ellipse">
                            <a:avLst/>
                          </a:prstGeom>
                        </wps:spPr>
                        <wps:style>
                          <a:lnRef idx="0">
                            <a:schemeClr val="accent1"/>
                          </a:lnRef>
                          <a:fillRef idx="3">
                            <a:schemeClr val="accent1"/>
                          </a:fillRef>
                          <a:effectRef idx="3">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 name="Oval 66">
                          <a:extLst/>
                        </wps:cNvPr>
                        <wps:cNvSpPr/>
                        <wps:spPr>
                          <a:xfrm>
                            <a:off x="2807349" y="425799"/>
                            <a:ext cx="84667" cy="84667"/>
                          </a:xfrm>
                          <a:prstGeom prst="ellipse">
                            <a:avLst/>
                          </a:prstGeom>
                        </wps:spPr>
                        <wps:style>
                          <a:lnRef idx="0">
                            <a:schemeClr val="accent1"/>
                          </a:lnRef>
                          <a:fillRef idx="3">
                            <a:schemeClr val="accent1"/>
                          </a:fillRef>
                          <a:effectRef idx="3">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 name="Connector: Elbow 17">
                          <a:extLst/>
                        </wps:cNvPr>
                        <wps:cNvCnPr>
                          <a:cxnSpLocks/>
                        </wps:cNvCnPr>
                        <wps:spPr>
                          <a:xfrm>
                            <a:off x="2268068" y="115416"/>
                            <a:ext cx="163543" cy="315733"/>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8" name="Left Brace 68">
                          <a:extLst/>
                        </wps:cNvPr>
                        <wps:cNvSpPr/>
                        <wps:spPr>
                          <a:xfrm rot="16200000">
                            <a:off x="909799" y="583562"/>
                            <a:ext cx="111860" cy="423331"/>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9" name="TextBox 22">
                          <a:extLst/>
                        </wps:cNvPr>
                        <wps:cNvSpPr txBox="1"/>
                        <wps:spPr>
                          <a:xfrm>
                            <a:off x="1843981" y="519936"/>
                            <a:ext cx="370840" cy="258445"/>
                          </a:xfrm>
                          <a:prstGeom prst="rect">
                            <a:avLst/>
                          </a:prstGeom>
                          <a:noFill/>
                        </wps:spPr>
                        <wps:txbx>
                          <w:txbxContent>
                            <w:p w:rsidR="008D4741" w:rsidRDefault="008D4741" w:rsidP="00CE3659">
                              <w:pPr>
                                <w:pStyle w:val="NormalWeb"/>
                                <w:spacing w:after="0"/>
                              </w:pPr>
                              <w:r>
                                <w:rPr>
                                  <w:rFonts w:eastAsia="Verdana" w:cs="Verdana"/>
                                  <w:color w:val="000000" w:themeColor="text1"/>
                                  <w:kern w:val="24"/>
                                  <w:sz w:val="18"/>
                                  <w:szCs w:val="18"/>
                                </w:rPr>
                                <w:t>-1</w:t>
                              </w:r>
                            </w:p>
                          </w:txbxContent>
                        </wps:txbx>
                        <wps:bodyPr wrap="square" rtlCol="0">
                          <a:spAutoFit/>
                        </wps:bodyPr>
                      </wps:wsp>
                      <wps:wsp>
                        <wps:cNvPr id="70" name="TextBox 23">
                          <a:extLst/>
                        </wps:cNvPr>
                        <wps:cNvSpPr txBox="1"/>
                        <wps:spPr>
                          <a:xfrm>
                            <a:off x="1427939" y="515797"/>
                            <a:ext cx="343535" cy="258445"/>
                          </a:xfrm>
                          <a:prstGeom prst="rect">
                            <a:avLst/>
                          </a:prstGeom>
                          <a:noFill/>
                        </wps:spPr>
                        <wps:txbx>
                          <w:txbxContent>
                            <w:p w:rsidR="008D4741" w:rsidRDefault="008D4741" w:rsidP="00CE3659">
                              <w:pPr>
                                <w:pStyle w:val="NormalWeb"/>
                                <w:spacing w:after="0"/>
                              </w:pPr>
                              <w:r>
                                <w:rPr>
                                  <w:rFonts w:eastAsia="Verdana" w:cs="Verdana"/>
                                  <w:color w:val="000000" w:themeColor="text1"/>
                                  <w:kern w:val="24"/>
                                  <w:sz w:val="18"/>
                                  <w:szCs w:val="18"/>
                                </w:rPr>
                                <w:t>-2</w:t>
                              </w:r>
                            </w:p>
                          </w:txbxContent>
                        </wps:txbx>
                        <wps:bodyPr wrap="square" rtlCol="0">
                          <a:spAutoFit/>
                        </wps:bodyPr>
                      </wps:wsp>
                      <wps:wsp>
                        <wps:cNvPr id="71" name="TextBox 24">
                          <a:extLst/>
                        </wps:cNvPr>
                        <wps:cNvSpPr txBox="1"/>
                        <wps:spPr>
                          <a:xfrm>
                            <a:off x="1004908" y="519936"/>
                            <a:ext cx="343535" cy="258445"/>
                          </a:xfrm>
                          <a:prstGeom prst="rect">
                            <a:avLst/>
                          </a:prstGeom>
                          <a:noFill/>
                        </wps:spPr>
                        <wps:txbx>
                          <w:txbxContent>
                            <w:p w:rsidR="008D4741" w:rsidRDefault="008D4741" w:rsidP="00CE3659">
                              <w:pPr>
                                <w:pStyle w:val="NormalWeb"/>
                                <w:spacing w:after="0"/>
                              </w:pPr>
                              <w:r>
                                <w:rPr>
                                  <w:rFonts w:eastAsia="Verdana" w:cs="Verdana"/>
                                  <w:color w:val="000000" w:themeColor="text1"/>
                                  <w:kern w:val="24"/>
                                  <w:sz w:val="18"/>
                                  <w:szCs w:val="18"/>
                                </w:rPr>
                                <w:t>-3</w:t>
                              </w:r>
                            </w:p>
                          </w:txbxContent>
                        </wps:txbx>
                        <wps:bodyPr wrap="square" rtlCol="0">
                          <a:spAutoFit/>
                        </wps:bodyPr>
                      </wps:wsp>
                      <wps:wsp>
                        <wps:cNvPr id="72" name="TextBox 25">
                          <a:extLst/>
                        </wps:cNvPr>
                        <wps:cNvSpPr txBox="1"/>
                        <wps:spPr>
                          <a:xfrm>
                            <a:off x="576279" y="519936"/>
                            <a:ext cx="353060" cy="258445"/>
                          </a:xfrm>
                          <a:prstGeom prst="rect">
                            <a:avLst/>
                          </a:prstGeom>
                          <a:noFill/>
                        </wps:spPr>
                        <wps:txbx>
                          <w:txbxContent>
                            <w:p w:rsidR="008D4741" w:rsidRDefault="008D4741" w:rsidP="00CE3659">
                              <w:pPr>
                                <w:pStyle w:val="NormalWeb"/>
                                <w:spacing w:after="0"/>
                              </w:pPr>
                              <w:r>
                                <w:rPr>
                                  <w:rFonts w:eastAsia="Verdana" w:cs="Verdana"/>
                                  <w:color w:val="000000" w:themeColor="text1"/>
                                  <w:kern w:val="24"/>
                                  <w:sz w:val="18"/>
                                  <w:szCs w:val="18"/>
                                </w:rPr>
                                <w:t>-4</w:t>
                              </w:r>
                            </w:p>
                          </w:txbxContent>
                        </wps:txbx>
                        <wps:bodyPr wrap="square" rtlCol="0">
                          <a:spAutoFit/>
                        </wps:bodyPr>
                      </wps:wsp>
                      <wps:wsp>
                        <wps:cNvPr id="73" name="TextBox 27">
                          <a:extLst/>
                        </wps:cNvPr>
                        <wps:cNvSpPr txBox="1"/>
                        <wps:spPr>
                          <a:xfrm>
                            <a:off x="3973223" y="534330"/>
                            <a:ext cx="370840" cy="258445"/>
                          </a:xfrm>
                          <a:prstGeom prst="rect">
                            <a:avLst/>
                          </a:prstGeom>
                          <a:noFill/>
                        </wps:spPr>
                        <wps:txbx>
                          <w:txbxContent>
                            <w:p w:rsidR="008D4741" w:rsidRDefault="008D4741" w:rsidP="00CE3659">
                              <w:pPr>
                                <w:pStyle w:val="NormalWeb"/>
                                <w:spacing w:after="0"/>
                              </w:pPr>
                              <w:r>
                                <w:rPr>
                                  <w:rFonts w:eastAsia="Verdana" w:cs="Verdana"/>
                                  <w:color w:val="000000" w:themeColor="text1"/>
                                  <w:kern w:val="24"/>
                                  <w:sz w:val="18"/>
                                  <w:szCs w:val="18"/>
                                </w:rPr>
                                <w:t>4</w:t>
                              </w:r>
                            </w:p>
                          </w:txbxContent>
                        </wps:txbx>
                        <wps:bodyPr wrap="square" rtlCol="0">
                          <a:spAutoFit/>
                        </wps:bodyPr>
                      </wps:wsp>
                      <wps:wsp>
                        <wps:cNvPr id="74" name="TextBox 28">
                          <a:extLst/>
                        </wps:cNvPr>
                        <wps:cNvSpPr txBox="1"/>
                        <wps:spPr>
                          <a:xfrm>
                            <a:off x="3554247" y="529698"/>
                            <a:ext cx="344170" cy="258445"/>
                          </a:xfrm>
                          <a:prstGeom prst="rect">
                            <a:avLst/>
                          </a:prstGeom>
                          <a:noFill/>
                        </wps:spPr>
                        <wps:txbx>
                          <w:txbxContent>
                            <w:p w:rsidR="008D4741" w:rsidRDefault="008D4741" w:rsidP="00CE3659">
                              <w:pPr>
                                <w:pStyle w:val="NormalWeb"/>
                                <w:spacing w:after="0"/>
                              </w:pPr>
                              <w:r>
                                <w:rPr>
                                  <w:rFonts w:eastAsia="Verdana" w:cs="Verdana"/>
                                  <w:color w:val="000000" w:themeColor="text1"/>
                                  <w:kern w:val="24"/>
                                  <w:sz w:val="18"/>
                                  <w:szCs w:val="18"/>
                                </w:rPr>
                                <w:t>3</w:t>
                              </w:r>
                            </w:p>
                          </w:txbxContent>
                        </wps:txbx>
                        <wps:bodyPr wrap="square" rtlCol="0">
                          <a:spAutoFit/>
                        </wps:bodyPr>
                      </wps:wsp>
                      <wps:wsp>
                        <wps:cNvPr id="75" name="TextBox 29">
                          <a:extLst/>
                        </wps:cNvPr>
                        <wps:cNvSpPr txBox="1"/>
                        <wps:spPr>
                          <a:xfrm>
                            <a:off x="3135272" y="533045"/>
                            <a:ext cx="344170" cy="258445"/>
                          </a:xfrm>
                          <a:prstGeom prst="rect">
                            <a:avLst/>
                          </a:prstGeom>
                          <a:noFill/>
                        </wps:spPr>
                        <wps:txbx>
                          <w:txbxContent>
                            <w:p w:rsidR="008D4741" w:rsidRDefault="008D4741" w:rsidP="00CE3659">
                              <w:pPr>
                                <w:pStyle w:val="NormalWeb"/>
                                <w:spacing w:after="0"/>
                              </w:pPr>
                              <w:r>
                                <w:rPr>
                                  <w:rFonts w:eastAsia="Verdana" w:cs="Verdana"/>
                                  <w:color w:val="000000" w:themeColor="text1"/>
                                  <w:kern w:val="24"/>
                                  <w:sz w:val="18"/>
                                  <w:szCs w:val="18"/>
                                </w:rPr>
                                <w:t>2</w:t>
                              </w:r>
                            </w:p>
                          </w:txbxContent>
                        </wps:txbx>
                        <wps:bodyPr wrap="square" rtlCol="0">
                          <a:spAutoFit/>
                        </wps:bodyPr>
                      </wps:wsp>
                      <wps:wsp>
                        <wps:cNvPr id="76" name="TextBox 30">
                          <a:extLst/>
                        </wps:cNvPr>
                        <wps:cNvSpPr txBox="1"/>
                        <wps:spPr>
                          <a:xfrm>
                            <a:off x="2716296" y="534330"/>
                            <a:ext cx="353060" cy="258445"/>
                          </a:xfrm>
                          <a:prstGeom prst="rect">
                            <a:avLst/>
                          </a:prstGeom>
                          <a:noFill/>
                        </wps:spPr>
                        <wps:txbx>
                          <w:txbxContent>
                            <w:p w:rsidR="008D4741" w:rsidRDefault="008D4741" w:rsidP="00CE3659">
                              <w:pPr>
                                <w:pStyle w:val="NormalWeb"/>
                                <w:spacing w:after="0"/>
                              </w:pPr>
                              <w:r>
                                <w:rPr>
                                  <w:rFonts w:eastAsia="Verdana" w:cs="Verdana"/>
                                  <w:color w:val="000000" w:themeColor="text1"/>
                                  <w:kern w:val="24"/>
                                  <w:sz w:val="18"/>
                                  <w:szCs w:val="18"/>
                                </w:rPr>
                                <w:t>1</w:t>
                              </w:r>
                            </w:p>
                          </w:txbxContent>
                        </wps:txbx>
                        <wps:bodyPr wrap="square" rtlCol="0">
                          <a:spAutoFit/>
                        </wps:bodyPr>
                      </wps:wsp>
                      <wps:wsp>
                        <wps:cNvPr id="77" name="TextBox 31">
                          <a:extLst/>
                        </wps:cNvPr>
                        <wps:cNvSpPr txBox="1"/>
                        <wps:spPr>
                          <a:xfrm>
                            <a:off x="645715" y="885762"/>
                            <a:ext cx="633095" cy="258445"/>
                          </a:xfrm>
                          <a:prstGeom prst="rect">
                            <a:avLst/>
                          </a:prstGeom>
                          <a:noFill/>
                        </wps:spPr>
                        <wps:txbx>
                          <w:txbxContent>
                            <w:p w:rsidR="008D4741" w:rsidRDefault="008D4741" w:rsidP="00CE3659">
                              <w:pPr>
                                <w:pStyle w:val="NormalWeb"/>
                                <w:spacing w:after="0"/>
                                <w:jc w:val="right"/>
                              </w:pPr>
                              <w:r>
                                <w:rPr>
                                  <w:rFonts w:eastAsia="Verdana" w:cs="Verdana"/>
                                  <w:color w:val="000000" w:themeColor="text1"/>
                                  <w:kern w:val="24"/>
                                  <w:sz w:val="18"/>
                                  <w:szCs w:val="18"/>
                                </w:rPr>
                                <w:t>Interval</w:t>
                              </w:r>
                            </w:p>
                          </w:txbxContent>
                        </wps:txbx>
                        <wps:bodyPr wrap="none" rtlCol="0">
                          <a:spAutoFit/>
                        </wps:bodyPr>
                      </wps:wsp>
                      <wps:wsp>
                        <wps:cNvPr id="78" name="Left Brace 78">
                          <a:extLst/>
                        </wps:cNvPr>
                        <wps:cNvSpPr/>
                        <wps:spPr>
                          <a:xfrm rot="16200000">
                            <a:off x="2804401" y="366508"/>
                            <a:ext cx="90945" cy="8365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9" name="Left Brace 79">
                          <a:extLst/>
                        </wps:cNvPr>
                        <wps:cNvSpPr/>
                        <wps:spPr>
                          <a:xfrm rot="16200000">
                            <a:off x="2986305" y="321671"/>
                            <a:ext cx="141999" cy="1251389"/>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0" name="Left Brace 80">
                          <a:extLst/>
                        </wps:cNvPr>
                        <wps:cNvSpPr/>
                        <wps:spPr>
                          <a:xfrm rot="16200000">
                            <a:off x="3231205" y="264894"/>
                            <a:ext cx="115433" cy="1714623"/>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1" name="TextBox 35">
                          <a:extLst/>
                        </wps:cNvPr>
                        <wps:cNvSpPr txBox="1"/>
                        <wps:spPr>
                          <a:xfrm>
                            <a:off x="2868533" y="1236407"/>
                            <a:ext cx="831215" cy="258445"/>
                          </a:xfrm>
                          <a:prstGeom prst="rect">
                            <a:avLst/>
                          </a:prstGeom>
                          <a:noFill/>
                        </wps:spPr>
                        <wps:txbx>
                          <w:txbxContent>
                            <w:p w:rsidR="008D4741" w:rsidRDefault="008D4741" w:rsidP="00CE3659">
                              <w:pPr>
                                <w:pStyle w:val="NormalWeb"/>
                                <w:spacing w:after="0"/>
                                <w:jc w:val="right"/>
                              </w:pPr>
                              <w:r>
                                <w:rPr>
                                  <w:rFonts w:eastAsia="Verdana" w:cs="Verdana"/>
                                  <w:color w:val="000000" w:themeColor="text1"/>
                                  <w:kern w:val="24"/>
                                  <w:sz w:val="18"/>
                                  <w:szCs w:val="18"/>
                                </w:rPr>
                                <w:t>Cumulative</w:t>
                              </w:r>
                            </w:p>
                          </w:txbxContent>
                        </wps:txbx>
                        <wps:bodyPr wrap="none" rtlCol="0">
                          <a:spAutoFit/>
                        </wps:bodyPr>
                      </wps:wsp>
                    </wpg:wgp>
                  </a:graphicData>
                </a:graphic>
              </wp:inline>
            </w:drawing>
          </mc:Choice>
          <mc:Fallback>
            <w:pict>
              <v:group id="Group 36" o:spid="_x0000_s1027" style="width:396.65pt;height:117.7pt;mso-position-horizontal-relative:char;mso-position-vertical-relative:line" coordsize="50376,14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">
                <v:shape id="TextBox 3" o:spid="_x0000_s1028" type="#_x0000_t202" style="position:absolute;left:7592;width:14954;height:2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jccIA&#10;AADaAAAADwAAAGRycy9kb3ducmV2LnhtbESP3YrCMBSE7wXfIRzBO00VXdyuUcQf8M5ddx/g0Byb&#10;2uakNFGrT28EYS+HmfmGmS9bW4krNb5wrGA0TEAQZ04XnCv4+90NZiB8QNZYOSYFd/KwXHQ7c0y1&#10;u/EPXY8hFxHCPkUFJoQ6ldJnhiz6oauJo3dyjcUQZZNL3eAtwm0lx0nyIS0WHBcM1rQ2lJXHi1Uw&#10;S+yhLD/H395OHqOpWW/ctj4r1e+1qy8QgdrwH36391rBFF5X4g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uNxwgAAANoAAAAPAAAAAAAAAAAAAAAAAJgCAABkcnMvZG93&#10;bnJldi54bWxQSwUGAAAAAAQABAD1AAAAhwMAAAAA&#10;" filled="f" stroked="f">
                  <v:textbox style="mso-fit-shape-to-text:t">
                    <w:txbxContent>
                      <w:p w:rsidR="008D4741" w:rsidRDefault="008D4741" w:rsidP="00CE3659">
                        <w:pPr>
                          <w:pStyle w:val="NormalWeb"/>
                          <w:spacing w:after="0"/>
                          <w:jc w:val="right"/>
                        </w:pPr>
                        <w:r>
                          <w:rPr>
                            <w:rFonts w:eastAsia="Verdana" w:cs="Verdana"/>
                            <w:color w:val="000000" w:themeColor="text1"/>
                            <w:kern w:val="24"/>
                            <w:sz w:val="18"/>
                            <w:szCs w:val="18"/>
                          </w:rPr>
                          <w:t>Participation start date</w:t>
                        </w:r>
                      </w:p>
                    </w:txbxContent>
                  </v:textbox>
                </v:shape>
                <v:oval id="Oval 8" o:spid="_x0000_s1029" style="position:absolute;left:23892;top:4311;width:847;height:8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2PmMAA&#10;AADaAAAADwAAAGRycy9kb3ducmV2LnhtbERPz2vCMBS+D/wfwhN2GZqo0Gk1igjCBl5WRa+P5tkW&#10;m5faRO38681hsOPH93ux6mwt7tT6yrGG0VCBIM6dqbjQcNhvB1MQPiAbrB2Thl/ysFr23haYGvfg&#10;H7pnoRAxhH2KGsoQmlRKn5dk0Q9dQxy5s2sthgjbQpoWHzHc1nKsVCItVhwbSmxoU1J+yW5WQ6Ku&#10;mXRKHY52knzPTh/Pz9Fur/V7v1vPQQTqwr/4z/1lNMSt8Uq8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a2PmMAAAADaAAAADwAAAAAAAAAAAAAAAACYAgAAZHJzL2Rvd25y&#10;ZXYueG1sUEsFBgAAAAAEAAQA9QAAAIUDAAAAAA==&#10;" fillcolor="#254163 [1636]" stroked="f">
                  <v:fill color2="#4477b6 [3012]" rotate="t" angle="180" colors="0 #2c5d98;52429f #3c7bc7;1 #3a7ccb" focus="100%" type="gradient">
                    <o:fill v:ext="view" type="gradientUnscaled"/>
                  </v:fill>
                  <v:shadow on="t" color="black" opacity="22937f" origin=",.5" offset="0,.63889mm"/>
                </v:oval>
                <v:shapetype id="_x0000_t32" coordsize="21600,21600" o:spt="32" o:oned="t" path="m,l21600,21600e" filled="f">
                  <v:path arrowok="t" fillok="f" o:connecttype="none"/>
                  <o:lock v:ext="edit" shapetype="t"/>
                </v:shapetype>
                <v:shape id="Straight Arrow Connector 9" o:spid="_x0000_s1030" type="#_x0000_t32" style="position:absolute;left:4190;top:4734;width:461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ZQ1cUAAADaAAAADwAAAGRycy9kb3ducmV2LnhtbESPT2vCQBTE74V+h+UVvJS6qdZo02xE&#10;BPFfL9oKPT6yr0lo9m3Irhq/vSsIPQ4z8xsmnXamFidqXWVZwWs/AkGcW11xoeD7a/EyAeE8ssba&#10;Mim4kINp9viQYqLtmXd02vtCBAi7BBWU3jeJlC4vyaDr24Y4eL+2NeiDbAupWzwHuKnlIIpiabDi&#10;sFBiQ/OS8r/90SiYD8ebw/P6bRnjJ/stD1br0eZHqd5TN/sA4anz/+F7e6UVvMPtSrgBMr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qZQ1cUAAADaAAAADwAAAAAAAAAA&#10;AAAAAAChAgAAZHJzL2Rvd25yZXYueG1sUEsFBgAAAAAEAAQA+QAAAJMDAAAAAA==&#10;" strokecolor="#4579b8 [3044]">
                  <v:stroke endarrow="block"/>
                </v:shape>
                <v:shape id="TextBox 7" o:spid="_x0000_s1031" type="#_x0000_t202" style="position:absolute;top:3157;width:4641;height:2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628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ev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A+tvEAAAA2wAAAA8AAAAAAAAAAAAAAAAAmAIAAGRycy9k&#10;b3ducmV2LnhtbFBLBQYAAAAABAAEAPUAAACJAwAAAAA=&#10;" filled="f" stroked="f">
                  <v:textbox style="mso-fit-shape-to-text:t">
                    <w:txbxContent>
                      <w:p w:rsidR="008D4741" w:rsidRDefault="008D4741" w:rsidP="00CE3659">
                        <w:pPr>
                          <w:pStyle w:val="NormalWeb"/>
                          <w:spacing w:after="0"/>
                        </w:pPr>
                        <w:r>
                          <w:rPr>
                            <w:rFonts w:eastAsia="Verdana" w:cs="Verdana"/>
                            <w:color w:val="000000" w:themeColor="text1"/>
                            <w:kern w:val="24"/>
                            <w:sz w:val="18"/>
                            <w:szCs w:val="18"/>
                          </w:rPr>
                          <w:t>Time</w:t>
                        </w:r>
                      </w:p>
                    </w:txbxContent>
                  </v:textbox>
                </v:shape>
                <v:shape id="TextBox 8" o:spid="_x0000_s1032" type="#_x0000_t202" style="position:absolute;left:23073;top:5189;width:2032;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filled="f" stroked="f">
                  <v:textbox style="mso-fit-shape-to-text:t">
                    <w:txbxContent>
                      <w:p w:rsidR="008D4741" w:rsidRDefault="008D4741" w:rsidP="00CE3659">
                        <w:pPr>
                          <w:pStyle w:val="NormalWeb"/>
                          <w:spacing w:after="0"/>
                        </w:pPr>
                        <w:r>
                          <w:rPr>
                            <w:rFonts w:eastAsia="Verdana" w:cs="Verdana"/>
                            <w:color w:val="000000" w:themeColor="text1"/>
                            <w:kern w:val="24"/>
                            <w:sz w:val="18"/>
                            <w:szCs w:val="18"/>
                          </w:rPr>
                          <w:t>0</w:t>
                        </w:r>
                      </w:p>
                    </w:txbxContent>
                  </v:textbox>
                </v:shape>
                <v:oval id="Oval 12" o:spid="_x0000_s1033" style="position:absolute;left:19712;top:4257;width:846;height:8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cJosMA&#10;AADbAAAADwAAAGRycy9kb3ducmV2LnhtbERPTWvCQBC9C/0PyxR6Ed1VIa3RTSiFQgUvjVKvQ3ZM&#10;gtnZNLvV1F/vCoXe5vE+Z50PthVn6n3jWMNsqkAQl840XGnY794nLyB8QDbYOiYNv+Qhzx5Ga0yN&#10;u/AnnYtQiRjCPkUNdQhdKqUva7Lop64jjtzR9RZDhH0lTY+XGG5bOVcqkRYbjg01dvRWU3kqfqyG&#10;RH0X0im1/7KLZLM8jK/Ps+1O66fH4XUFItAQ/sV/7g8T58/h/ks8QG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cJosMAAADbAAAADwAAAAAAAAAAAAAAAACYAgAAZHJzL2Rv&#10;d25yZXYueG1sUEsFBgAAAAAEAAQA9QAAAIgDAAAAAA==&#10;" fillcolor="#254163 [1636]" stroked="f">
                  <v:fill color2="#4477b6 [3012]" rotate="t" angle="180" colors="0 #2c5d98;52429f #3c7bc7;1 #3a7ccb" focus="100%" type="gradient">
                    <o:fill v:ext="view" type="gradientUnscaled"/>
                  </v:fill>
                  <v:shadow on="t" color="black" opacity="22937f" origin=",.5" offset="0,.63889mm"/>
                </v:oval>
                <v:oval id="Oval 27" o:spid="_x0000_s1034" style="position:absolute;left:15531;top:4257;width:847;height:8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xgh8QA&#10;AADbAAAADwAAAGRycy9kb3ducmV2LnhtbESPQWvCQBSE74L/YXmFXkR3tRA1uooIhRa8GKVeH9ln&#10;Epp9G7NbTfvrXUHocZiZb5jlurO1uFLrK8caxiMFgjh3puJCw/HwPpyB8AHZYO2YNPySh/Wq31ti&#10;atyN93TNQiEihH2KGsoQmlRKn5dk0Y9cQxy9s2sthijbQpoWbxFuazlRKpEWK44LJTa0LSn/zn6s&#10;hkRdMumUOn7Zt+Rzfhr8Tce7g9avL91mASJQF/7Dz/aH0TCZwuNL/AF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MYIfEAAAA2wAAAA8AAAAAAAAAAAAAAAAAmAIAAGRycy9k&#10;b3ducmV2LnhtbFBLBQYAAAAABAAEAPUAAACJAwAAAAA=&#10;" fillcolor="#254163 [1636]" stroked="f">
                  <v:fill color2="#4477b6 [3012]" rotate="t" angle="180" colors="0 #2c5d98;52429f #3c7bc7;1 #3a7ccb" focus="100%" type="gradient">
                    <o:fill v:ext="view" type="gradientUnscaled"/>
                  </v:fill>
                  <v:shadow on="t" color="black" opacity="22937f" origin=",.5" offset="0,.63889mm"/>
                </v:oval>
                <v:oval id="Oval 28" o:spid="_x0000_s1035" style="position:absolute;left:11350;top:4342;width:847;height:8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09cEA&#10;AADbAAAADwAAAGRycy9kb3ducmV2LnhtbERPz2vCMBS+D/wfwhN2GZqoULUaZQyEDbysil4fzbMt&#10;Ni+1idr515vDwOPH93u57mwtbtT6yrGG0VCBIM6dqbjQsN9tBjMQPiAbrB2Thj/ysF713paYGnfn&#10;X7ploRAxhH2KGsoQmlRKn5dk0Q9dQxy5k2sthgjbQpoW7zHc1nKsVCItVhwbSmzoq6T8nF2thkRd&#10;MumU2h/sJPmZHz8e09F2p/V7v/tcgAjUhZf43/1tNIzj2Pgl/gC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T9PXBAAAA2wAAAA8AAAAAAAAAAAAAAAAAmAIAAGRycy9kb3du&#10;cmV2LnhtbFBLBQYAAAAABAAEAPUAAACGAwAAAAA=&#10;" fillcolor="#254163 [1636]" stroked="f">
                  <v:fill color2="#4477b6 [3012]" rotate="t" angle="180" colors="0 #2c5d98;52429f #3c7bc7;1 #3a7ccb" focus="100%" type="gradient">
                    <o:fill v:ext="view" type="gradientUnscaled"/>
                  </v:fill>
                  <v:shadow on="t" color="black" opacity="22937f" origin=",.5" offset="0,.63889mm"/>
                </v:oval>
                <v:oval id="Oval 30" o:spid="_x0000_s1036" style="position:absolute;left:7169;top:4257;width:847;height:8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uLsIA&#10;AADbAAAADwAAAGRycy9kb3ducmV2LnhtbERPz2vCMBS+D/wfwhvsMmbihDq7pjIGwgZebEWvj+at&#10;LWteahO1219vDoLHj+93thptJ840+NaxhtlUgSCunGm51rAr1y9vIHxANtg5Jg1/5GGVTx4yTI27&#10;8JbORahFDGGfooYmhD6V0lcNWfRT1xNH7scNFkOEQy3NgJcYbjv5qlQiLbYcGxrs6bOh6rc4WQ2J&#10;OhbSKbXb23nyvTw8/y9mm1Lrp8fx4x1EoDHcxTf3l9Ewj+vjl/gDZH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fG4uwgAAANsAAAAPAAAAAAAAAAAAAAAAAJgCAABkcnMvZG93&#10;bnJldi54bWxQSwUGAAAAAAQABAD1AAAAhwMAAAAA&#10;" fillcolor="#254163 [1636]" stroked="f">
                  <v:fill color2="#4477b6 [3012]" rotate="t" angle="180" colors="0 #2c5d98;52429f #3c7bc7;1 #3a7ccb" focus="100%" type="gradient">
                    <o:fill v:ext="view" type="gradientUnscaled"/>
                  </v:fill>
                  <v:shadow on="t" color="black" opacity="22937f" origin=",.5" offset="0,.63889mm"/>
                </v:oval>
                <v:oval id="Oval 44" o:spid="_x0000_s1037" style="position:absolute;left:40615;top:4257;width:847;height:8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EbUMUA&#10;AADbAAAADwAAAGRycy9kb3ducmV2LnhtbESPQWvCQBSE74L/YXlCL1J3rRLb1FWkICh4MUp7fWRf&#10;k9Ds25jdavTXdwuCx2FmvmHmy87W4kytrxxrGI8UCOLcmYoLDcfD+vkVhA/IBmvHpOFKHpaLfm+O&#10;qXEX3tM5C4WIEPYpaihDaFIpfV6SRT9yDXH0vl1rMUTZFtK0eIlwW8sXpRJpseK4UGJDHyXlP9mv&#10;1ZCoUyadUsdPO0m2b1/D22y8O2j9NOhW7yACdeERvrc3RsN0C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QRtQxQAAANsAAAAPAAAAAAAAAAAAAAAAAJgCAABkcnMv&#10;ZG93bnJldi54bWxQSwUGAAAAAAQABAD1AAAAigMAAAAA&#10;" fillcolor="#254163 [1636]" stroked="f">
                  <v:fill color2="#4477b6 [3012]" rotate="t" angle="180" colors="0 #2c5d98;52429f #3c7bc7;1 #3a7ccb" focus="100%" type="gradient">
                    <o:fill v:ext="view" type="gradientUnscaled"/>
                  </v:fill>
                  <v:shadow on="t" color="black" opacity="22937f" origin=",.5" offset="0,.63889mm"/>
                </v:oval>
                <v:oval id="Oval 64" o:spid="_x0000_s1038" style="position:absolute;left:36434;top:4257;width:847;height:8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RHMMUA&#10;AADbAAAADwAAAGRycy9kb3ducmV2LnhtbESPQWvCQBSE70L/w/IKvUjdtZVUo6uUgtCCFxPR6yP7&#10;TEKzb9Psqml/fVcQPA4z3wyzWPW2EWfqfO1Yw3ikQBAXztRcatjl6+cpCB+QDTaOScMveVgtHwYL&#10;TI278JbOWShFLGGfooYqhDaV0hcVWfQj1xJH7+g6iyHKrpSmw0sst418USqRFmuOCxW29FFR8Z2d&#10;rIZE/WTSKbXb29fka3YY/r2NN7nWT4/9+xxEoD7cwzf600RuAtcv8Q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9EcwxQAAANsAAAAPAAAAAAAAAAAAAAAAAJgCAABkcnMv&#10;ZG93bnJldi54bWxQSwUGAAAAAAQABAD1AAAAigMAAAAA&#10;" fillcolor="#254163 [1636]" stroked="f">
                  <v:fill color2="#4477b6 [3012]" rotate="t" angle="180" colors="0 #2c5d98;52429f #3c7bc7;1 #3a7ccb" focus="100%" type="gradient">
                    <o:fill v:ext="view" type="gradientUnscaled"/>
                  </v:fill>
                  <v:shadow on="t" color="black" opacity="22937f" origin=",.5" offset="0,.63889mm"/>
                </v:oval>
                <v:oval id="Oval 65" o:spid="_x0000_s1039" style="position:absolute;left:32254;top:4342;width:846;height:8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iq8UA&#10;AADbAAAADwAAAGRycy9kb3ducmV2LnhtbESPQWvCQBSE70L/w/IKvUjdtcVUo6uUgtCCFxPR6yP7&#10;TEKzb9Psqml/fVcQPA4z3wyzWPW2EWfqfO1Yw3ikQBAXztRcatjl6+cpCB+QDTaOScMveVgtHwYL&#10;TI278JbOWShFLGGfooYqhDaV0hcVWfQj1xJH7+g6iyHKrpSmw0sst418USqRFmuOCxW29FFR8Z2d&#10;rIZE/WTSKbXb29fka3YY/r2NN7nWT4/9+xxEoD7cwzf600RuAtcv8Q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uOKrxQAAANsAAAAPAAAAAAAAAAAAAAAAAJgCAABkcnMv&#10;ZG93bnJldi54bWxQSwUGAAAAAAQABAD1AAAAigMAAAAA&#10;" fillcolor="#254163 [1636]" stroked="f">
                  <v:fill color2="#4477b6 [3012]" rotate="t" angle="180" colors="0 #2c5d98;52429f #3c7bc7;1 #3a7ccb" focus="100%" type="gradient">
                    <o:fill v:ext="view" type="gradientUnscaled"/>
                  </v:fill>
                  <v:shadow on="t" color="black" opacity="22937f" origin=",.5" offset="0,.63889mm"/>
                </v:oval>
                <v:oval id="Oval 66" o:spid="_x0000_s1040" style="position:absolute;left:28073;top:4257;width:847;height:8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p83MQA&#10;AADbAAAADwAAAGRycy9kb3ducmV2LnhtbESPQWvCQBSE7wX/w/IEL0V3VYgaXaUUChV6aRS9PrLP&#10;JJh9G7NbTf31bqHgcZj5ZpjVprO1uFLrK8caxiMFgjh3puJCw373MZyD8AHZYO2YNPySh82697LC&#10;1Lgbf9M1C4WIJexT1FCG0KRS+rwki37kGuLonVxrMUTZFtK0eIvltpYTpRJpseK4UGJD7yXl5+zH&#10;akjUJZNOqf3BTpPt4vh6n42/dloP+t3bEkSgLjzD//SniVwCf1/iD5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qfNzEAAAA2wAAAA8AAAAAAAAAAAAAAAAAmAIAAGRycy9k&#10;b3ducmV2LnhtbFBLBQYAAAAABAAEAPUAAACJAwAAAAA=&#10;" fillcolor="#254163 [1636]" stroked="f">
                  <v:fill color2="#4477b6 [3012]" rotate="t" angle="180" colors="0 #2c5d98;52429f #3c7bc7;1 #3a7ccb" focus="100%" type="gradient">
                    <o:fill v:ext="view" type="gradientUnscaled"/>
                  </v:fill>
                  <v:shadow on="t" color="black" opacity="22937f" origin=",.5" offset="0,.63889mm"/>
                </v:oval>
                <v:shapetype id="_x0000_t33" coordsize="21600,21600" o:spt="33" o:oned="t" path="m,l21600,r,21600e" filled="f">
                  <v:stroke joinstyle="miter"/>
                  <v:path arrowok="t" fillok="f" o:connecttype="none"/>
                  <o:lock v:ext="edit" shapetype="t"/>
                </v:shapetype>
                <v:shape id="Connector: Elbow 17" o:spid="_x0000_s1041" type="#_x0000_t33" style="position:absolute;left:22680;top:1154;width:1636;height:315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gUC8MAAADbAAAADwAAAGRycy9kb3ducmV2LnhtbESPQWvCQBSE74X+h+UVvNVNCzWSuooo&#10;LT1q2ktvj+wzCe6+TbPPGP99VxA8DjPzDbNYjd6pgfrYBjbwMs1AEVfBtlwb+Pn+eJ6DioJs0QUm&#10;AxeKsFo+PiywsOHMexpKqVWCcCzQQCPSFVrHqiGPcRo64uQdQu9RkuxrbXs8J7h3+jXLZtpjy2mh&#10;wY42DVXH8uQNnObHVg/urczl71N2W9flev9rzORpXL+DEhrlHr61v6yBWQ7XL+kH6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YFAvDAAAA2wAAAA8AAAAAAAAAAAAA&#10;AAAAoQIAAGRycy9kb3ducmV2LnhtbFBLBQYAAAAABAAEAPkAAACRAwAAAAA=&#10;" strokecolor="#4579b8 [3044]">
                  <v:stroke endarrow="block"/>
                  <o:lock v:ext="edit" shapetype="f"/>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68" o:spid="_x0000_s1042" type="#_x0000_t87" style="position:absolute;left:9097;top:5835;width:1119;height:423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HuYbwA&#10;AADbAAAADwAAAGRycy9kb3ducmV2LnhtbERPSwrCMBDdC94hjOBGNFXw02oUEURdWj3A0IxtsZmU&#10;Jmr19GYhuHy8/2rTmko8qXGlZQXjUQSCOLO65FzB9bIfLkA4j6yxskwK3uRgs+52Vpho++IzPVOf&#10;ixDCLkEFhfd1IqXLCjLoRrYmDtzNNgZ9gE0udYOvEG4qOYmimTRYcmgosKZdQdk9fRgFu/dBT1sb&#10;H9Py8DnbufOD+BQr1e+12yUIT63/i3/uo1YwC2PDl/AD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vAe5hvAAAANsAAAAPAAAAAAAAAAAAAAAAAJgCAABkcnMvZG93bnJldi54&#10;bWxQSwUGAAAAAAQABAD1AAAAgQMAAAAA&#10;" adj="476" strokecolor="#4579b8 [3044]"/>
                <v:shape id="TextBox 22" o:spid="_x0000_s1043" type="#_x0000_t202" style="position:absolute;left:18439;top:5199;width:3709;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92MEA&#10;AADbAAAADwAAAGRycy9kb3ducmV2LnhtbESPQWvCQBSE7wX/w/IKvdWNgqKpq4hW8OBFjfdH9jUb&#10;mn0bsq8m/vuuUOhxmJlvmNVm8I26UxfrwAYm4wwUcRlszZWB4np4X4CKgmyxCUwGHhRhsx69rDC3&#10;oecz3S9SqQThmKMBJ9LmWsfSkcc4Di1x8r5C51GS7CptO+wT3Dd6mmVz7bHmtOCwpZ2j8vvy4w2I&#10;2O3kUXz6eLwNp33vsnKGhTFvr8P2A5TQIP/hv/bRGpgv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vdjBAAAA2wAAAA8AAAAAAAAAAAAAAAAAmAIAAGRycy9kb3du&#10;cmV2LnhtbFBLBQYAAAAABAAEAPUAAACGAwAAAAA=&#10;" filled="f" stroked="f">
                  <v:textbox style="mso-fit-shape-to-text:t">
                    <w:txbxContent>
                      <w:p w:rsidR="008D4741" w:rsidRDefault="008D4741" w:rsidP="00CE3659">
                        <w:pPr>
                          <w:pStyle w:val="NormalWeb"/>
                          <w:spacing w:after="0"/>
                        </w:pPr>
                        <w:r>
                          <w:rPr>
                            <w:rFonts w:eastAsia="Verdana" w:cs="Verdana"/>
                            <w:color w:val="000000" w:themeColor="text1"/>
                            <w:kern w:val="24"/>
                            <w:sz w:val="18"/>
                            <w:szCs w:val="18"/>
                          </w:rPr>
                          <w:t>-1</w:t>
                        </w:r>
                      </w:p>
                    </w:txbxContent>
                  </v:textbox>
                </v:shape>
                <v:shape id="TextBox 23" o:spid="_x0000_s1044" type="#_x0000_t202" style="position:absolute;left:14279;top:5157;width:3435;height:2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yCmL4A&#10;AADbAAAADwAAAGRycy9kb3ducmV2LnhtbERPTWvCQBC9F/wPywi91Y0FW4muIlbBQy9qvA/ZMRvM&#10;zobsaOK/7x4KHh/ve7kefKMe1MU6sIHpJANFXAZbc2WgOO8/5qCiIFtsApOBJ0VYr0ZvS8xt6PlI&#10;j5NUKoVwzNGAE2lzrWPpyGOchJY4cdfQeZQEu0rbDvsU7hv9mWVf2mPNqcFhS1tH5e109wZE7Gb6&#10;LHY+Hi7D70/vsnKGhTHv42GzACU0yEv87z5YA99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dcgpi+AAAA2wAAAA8AAAAAAAAAAAAAAAAAmAIAAGRycy9kb3ducmV2&#10;LnhtbFBLBQYAAAAABAAEAPUAAACDAwAAAAA=&#10;" filled="f" stroked="f">
                  <v:textbox style="mso-fit-shape-to-text:t">
                    <w:txbxContent>
                      <w:p w:rsidR="008D4741" w:rsidRDefault="008D4741" w:rsidP="00CE3659">
                        <w:pPr>
                          <w:pStyle w:val="NormalWeb"/>
                          <w:spacing w:after="0"/>
                        </w:pPr>
                        <w:r>
                          <w:rPr>
                            <w:rFonts w:eastAsia="Verdana" w:cs="Verdana"/>
                            <w:color w:val="000000" w:themeColor="text1"/>
                            <w:kern w:val="24"/>
                            <w:sz w:val="18"/>
                            <w:szCs w:val="18"/>
                          </w:rPr>
                          <w:t>-2</w:t>
                        </w:r>
                      </w:p>
                    </w:txbxContent>
                  </v:textbox>
                </v:shape>
                <v:shape id="TextBox 24" o:spid="_x0000_s1045" type="#_x0000_t202" style="position:absolute;left:10049;top:5199;width:3435;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AnA8IA&#10;AADbAAAADwAAAGRycy9kb3ducmV2LnhtbESPzWrDMBCE74W+g9hCb43sQJviRAkhP5BDL0md+2Jt&#10;LVNrZaxN7Lx9FCj0OMzMN8xiNfpWXamPTWAD+SQDRVwF23BtoPzev32CioJssQ1MBm4UYbV8flpg&#10;YcPAR7qepFYJwrFAA06kK7SOlSOPcRI64uT9hN6jJNnX2vY4JLhv9TTLPrTHhtOCw442jqrf08Ub&#10;ELHr/FbufDycx6/t4LLqHUtjXl/G9RyU0Cj/4b/2wRqY5f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CcDwgAAANsAAAAPAAAAAAAAAAAAAAAAAJgCAABkcnMvZG93&#10;bnJldi54bWxQSwUGAAAAAAQABAD1AAAAhwMAAAAA&#10;" filled="f" stroked="f">
                  <v:textbox style="mso-fit-shape-to-text:t">
                    <w:txbxContent>
                      <w:p w:rsidR="008D4741" w:rsidRDefault="008D4741" w:rsidP="00CE3659">
                        <w:pPr>
                          <w:pStyle w:val="NormalWeb"/>
                          <w:spacing w:after="0"/>
                        </w:pPr>
                        <w:r>
                          <w:rPr>
                            <w:rFonts w:eastAsia="Verdana" w:cs="Verdana"/>
                            <w:color w:val="000000" w:themeColor="text1"/>
                            <w:kern w:val="24"/>
                            <w:sz w:val="18"/>
                            <w:szCs w:val="18"/>
                          </w:rPr>
                          <w:t>-3</w:t>
                        </w:r>
                      </w:p>
                    </w:txbxContent>
                  </v:textbox>
                </v:shape>
                <v:shape id="TextBox 25" o:spid="_x0000_s1046" type="#_x0000_t202" style="position:absolute;left:5762;top:5199;width:3531;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K5dMIA&#10;AADbAAAADwAAAGRycy9kb3ducmV2LnhtbESPT2vCQBTE7wW/w/IKvdWNQqukriL+AQ+9qPH+yL5m&#10;Q7NvQ/Zp4rd3hUKPw8z8hlmsBt+oG3WxDmxgMs5AEZfB1lwZKM779zmoKMgWm8Bk4E4RVsvRywJz&#10;G3o+0u0klUoQjjkacCJtrnUsHXmM49ASJ+8ndB4lya7StsM+wX2jp1n2qT3WnBYctrRxVP6ert6A&#10;iF1P7sXOx8Nl+N72Lis/sDDm7XVYf4ESGuQ//Nc+WAOz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wrl0wgAAANsAAAAPAAAAAAAAAAAAAAAAAJgCAABkcnMvZG93&#10;bnJldi54bWxQSwUGAAAAAAQABAD1AAAAhwMAAAAA&#10;" filled="f" stroked="f">
                  <v:textbox style="mso-fit-shape-to-text:t">
                    <w:txbxContent>
                      <w:p w:rsidR="008D4741" w:rsidRDefault="008D4741" w:rsidP="00CE3659">
                        <w:pPr>
                          <w:pStyle w:val="NormalWeb"/>
                          <w:spacing w:after="0"/>
                        </w:pPr>
                        <w:r>
                          <w:rPr>
                            <w:rFonts w:eastAsia="Verdana" w:cs="Verdana"/>
                            <w:color w:val="000000" w:themeColor="text1"/>
                            <w:kern w:val="24"/>
                            <w:sz w:val="18"/>
                            <w:szCs w:val="18"/>
                          </w:rPr>
                          <w:t>-4</w:t>
                        </w:r>
                      </w:p>
                    </w:txbxContent>
                  </v:textbox>
                </v:shape>
                <v:shape id="TextBox 27" o:spid="_x0000_s1047" type="#_x0000_t202" style="position:absolute;left:39732;top:5343;width:3708;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4c78IA&#10;AADbAAAADwAAAGRycy9kb3ducmV2LnhtbESPQWvCQBSE7wX/w/KE3upGpbWkriJqwYOXarw/sq/Z&#10;0OzbkH2a+O+7hYLHYWa+YZbrwTfqRl2sAxuYTjJQxGWwNVcGivPnyzuoKMgWm8Bk4E4R1qvR0xJz&#10;G3r+ottJKpUgHHM04ETaXOtYOvIYJ6ElTt536DxKkl2lbYd9gvtGz7LsTXusOS04bGnrqPw5Xb0B&#10;EbuZ3ou9j4fLcNz1LitfsTDmeTxsPkAJDfII/7cP1sBi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hzvwgAAANsAAAAPAAAAAAAAAAAAAAAAAJgCAABkcnMvZG93&#10;bnJldi54bWxQSwUGAAAAAAQABAD1AAAAhwMAAAAA&#10;" filled="f" stroked="f">
                  <v:textbox style="mso-fit-shape-to-text:t">
                    <w:txbxContent>
                      <w:p w:rsidR="008D4741" w:rsidRDefault="008D4741" w:rsidP="00CE3659">
                        <w:pPr>
                          <w:pStyle w:val="NormalWeb"/>
                          <w:spacing w:after="0"/>
                        </w:pPr>
                        <w:r>
                          <w:rPr>
                            <w:rFonts w:eastAsia="Verdana" w:cs="Verdana"/>
                            <w:color w:val="000000" w:themeColor="text1"/>
                            <w:kern w:val="24"/>
                            <w:sz w:val="18"/>
                            <w:szCs w:val="18"/>
                          </w:rPr>
                          <w:t>4</w:t>
                        </w:r>
                      </w:p>
                    </w:txbxContent>
                  </v:textbox>
                </v:shape>
                <v:shape id="TextBox 28" o:spid="_x0000_s1048" type="#_x0000_t202" style="position:absolute;left:35542;top:5296;width:3442;height:2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eEm8IA&#10;AADbAAAADwAAAGRycy9kb3ducmV2LnhtbESPQWvCQBSE7wX/w/KE3upGsbWkriJqwYOXarw/sq/Z&#10;0OzbkH2a+O+7hYLHYWa+YZbrwTfqRl2sAxuYTjJQxGWwNVcGivPnyzuoKMgWm8Bk4E4R1qvR0xJz&#10;G3r+ottJKpUgHHM04ETaXOtYOvIYJ6ElTt536DxKkl2lbYd9gvtGz7LsTXusOS04bGnrqPw5Xb0B&#10;EbuZ3ou9j4fLcNz1LitfsTDmeTxsPkAJDfII/7cP1sBi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4SbwgAAANsAAAAPAAAAAAAAAAAAAAAAAJgCAABkcnMvZG93&#10;bnJldi54bWxQSwUGAAAAAAQABAD1AAAAhwMAAAAA&#10;" filled="f" stroked="f">
                  <v:textbox style="mso-fit-shape-to-text:t">
                    <w:txbxContent>
                      <w:p w:rsidR="008D4741" w:rsidRDefault="008D4741" w:rsidP="00CE3659">
                        <w:pPr>
                          <w:pStyle w:val="NormalWeb"/>
                          <w:spacing w:after="0"/>
                        </w:pPr>
                        <w:r>
                          <w:rPr>
                            <w:rFonts w:eastAsia="Verdana" w:cs="Verdana"/>
                            <w:color w:val="000000" w:themeColor="text1"/>
                            <w:kern w:val="24"/>
                            <w:sz w:val="18"/>
                            <w:szCs w:val="18"/>
                          </w:rPr>
                          <w:t>3</w:t>
                        </w:r>
                      </w:p>
                    </w:txbxContent>
                  </v:textbox>
                </v:shape>
                <v:shape id="TextBox 29" o:spid="_x0000_s1049" type="#_x0000_t202" style="position:absolute;left:31352;top:5330;width:3442;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shAMEA&#10;AADbAAAADwAAAGRycy9kb3ducmV2LnhtbESPQWvCQBSE7wX/w/IK3upGwSqpq4hW8NCLGu+P7Gs2&#10;NPs2ZF9N/PfdguBxmJlvmNVm8I26URfrwAamkwwUcRlszZWB4nJ4W4KKgmyxCUwG7hRhsx69rDC3&#10;oecT3c5SqQThmKMBJ9LmWsfSkcc4CS1x8r5D51GS7CptO+wT3Dd6lmXv2mPNacFhSztH5c/51xsQ&#10;sdvpvfj08Xgdvva9y8o5FsaMX4ftByihQZ7hR/toDSzm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rIQDBAAAA2wAAAA8AAAAAAAAAAAAAAAAAmAIAAGRycy9kb3du&#10;cmV2LnhtbFBLBQYAAAAABAAEAPUAAACGAwAAAAA=&#10;" filled="f" stroked="f">
                  <v:textbox style="mso-fit-shape-to-text:t">
                    <w:txbxContent>
                      <w:p w:rsidR="008D4741" w:rsidRDefault="008D4741" w:rsidP="00CE3659">
                        <w:pPr>
                          <w:pStyle w:val="NormalWeb"/>
                          <w:spacing w:after="0"/>
                        </w:pPr>
                        <w:r>
                          <w:rPr>
                            <w:rFonts w:eastAsia="Verdana" w:cs="Verdana"/>
                            <w:color w:val="000000" w:themeColor="text1"/>
                            <w:kern w:val="24"/>
                            <w:sz w:val="18"/>
                            <w:szCs w:val="18"/>
                          </w:rPr>
                          <w:t>2</w:t>
                        </w:r>
                      </w:p>
                    </w:txbxContent>
                  </v:textbox>
                </v:shape>
                <v:shape id="TextBox 30" o:spid="_x0000_s1050" type="#_x0000_t202" style="position:absolute;left:27162;top:5343;width:3531;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d8IA&#10;AADbAAAADwAAAGRycy9kb3ducmV2LnhtbESPT2vCQBTE7wW/w/IKvdWNgn9IXUW0ggcvarw/sq/Z&#10;0OzbkH018dt3hUKPw8z8hlltBt+oO3WxDmxgMs5AEZfB1lwZKK6H9yWoKMgWm8Bk4EERNuvRywpz&#10;G3o+0/0ilUoQjjkacCJtrnUsHXmM49ASJ+8rdB4lya7StsM+wX2jp1k21x5rTgsOW9o5Kr8vP96A&#10;iN1OHsWnj8fbcNr3LitnWBjz9jpsP0AJDfIf/msfrYHFHJ5f0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b93wgAAANsAAAAPAAAAAAAAAAAAAAAAAJgCAABkcnMvZG93&#10;bnJldi54bWxQSwUGAAAAAAQABAD1AAAAhwMAAAAA&#10;" filled="f" stroked="f">
                  <v:textbox style="mso-fit-shape-to-text:t">
                    <w:txbxContent>
                      <w:p w:rsidR="008D4741" w:rsidRDefault="008D4741" w:rsidP="00CE3659">
                        <w:pPr>
                          <w:pStyle w:val="NormalWeb"/>
                          <w:spacing w:after="0"/>
                        </w:pPr>
                        <w:r>
                          <w:rPr>
                            <w:rFonts w:eastAsia="Verdana" w:cs="Verdana"/>
                            <w:color w:val="000000" w:themeColor="text1"/>
                            <w:kern w:val="24"/>
                            <w:sz w:val="18"/>
                            <w:szCs w:val="18"/>
                          </w:rPr>
                          <w:t>1</w:t>
                        </w:r>
                      </w:p>
                    </w:txbxContent>
                  </v:textbox>
                </v:shape>
                <v:shape id="_x0000_s1051" type="#_x0000_t202" style="position:absolute;left:6457;top:8857;width:6331;height:25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aHD8QA&#10;AADbAAAADwAAAGRycy9kb3ducmV2LnhtbESPzW7CMBCE70h9B2uRuBUHRBsaMKiiVOJWfvoAq3iJ&#10;Q+J1FLsQeHqMVInjaGa+0cyXna3FmVpfOlYwGiYgiHOnSy4U/B6+X6cgfEDWWDsmBVfysFy89OaY&#10;aXfhHZ33oRARwj5DBSaEJpPS54Ys+qFriKN3dK3FEGVbSN3iJcJtLcdJ8i4tlhwXDDa0MpRX+z+r&#10;YJrYn6r6GG+9ndxGb2b15dbNSalBv/ucgQjUhWf4v73RCtIU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2hw/EAAAA2wAAAA8AAAAAAAAAAAAAAAAAmAIAAGRycy9k&#10;b3ducmV2LnhtbFBLBQYAAAAABAAEAPUAAACJAwAAAAA=&#10;" filled="f" stroked="f">
                  <v:textbox style="mso-fit-shape-to-text:t">
                    <w:txbxContent>
                      <w:p w:rsidR="008D4741" w:rsidRDefault="008D4741" w:rsidP="00CE3659">
                        <w:pPr>
                          <w:pStyle w:val="NormalWeb"/>
                          <w:spacing w:after="0"/>
                          <w:jc w:val="right"/>
                        </w:pPr>
                        <w:r>
                          <w:rPr>
                            <w:rFonts w:eastAsia="Verdana" w:cs="Verdana"/>
                            <w:color w:val="000000" w:themeColor="text1"/>
                            <w:kern w:val="24"/>
                            <w:sz w:val="18"/>
                            <w:szCs w:val="18"/>
                          </w:rPr>
                          <w:t>Interval</w:t>
                        </w:r>
                      </w:p>
                    </w:txbxContent>
                  </v:textbox>
                </v:shape>
                <v:shape id="Left Brace 78" o:spid="_x0000_s1052" type="#_x0000_t87" style="position:absolute;left:28044;top:3664;width:910;height:836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SNfsEA&#10;AADbAAAADwAAAGRycy9kb3ducmV2LnhtbERPz2vCMBS+D/wfwhN2m2kF7ahGUYcwcDtYFa+P5tkG&#10;m5fSZFr965fDYMeP7/d82dtG3KjzxrGCdJSAIC6dNlwpOB62b+8gfEDW2DgmBQ/ysFwMXuaYa3fn&#10;Pd2KUIkYwj5HBXUIbS6lL2uy6EeuJY7cxXUWQ4RdJXWH9xhuGzlOkqm0aDg21NjSpqbyWvxYBWcz&#10;/pqku+dH0ZrslKV+H/B7rdTrsF/NQATqw7/4z/2pFWRxbPwSf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kjX7BAAAA2wAAAA8AAAAAAAAAAAAAAAAAmAIAAGRycy9kb3du&#10;cmV2LnhtbFBLBQYAAAAABAAEAPUAAACGAwAAAAA=&#10;" adj="196" strokecolor="#4579b8 [3044]"/>
                <v:shape id="Left Brace 79" o:spid="_x0000_s1053" type="#_x0000_t87" style="position:absolute;left:29863;top:3216;width:1420;height:1251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GP1sUA&#10;AADbAAAADwAAAGRycy9kb3ducmV2LnhtbESPS2vCQBSF90L/w3AL3UgzSRexjY5BFKHdCMY+6O6S&#10;uSZpM3dCZtT47x1BcHk4j48zywfTiiP1rrGsIIliEMSl1Q1XCj536+dXEM4ja2wtk4IzOcjnD6MZ&#10;ZtqeeEvHwlcijLDLUEHtfZdJ6cqaDLrIdsTB29veoA+yr6Tu8RTGTStf4jiVBhsOhBo7WtZU/hcH&#10;E7iTP7f5Xh/GXx/xKv2xSYG/6VKpp8dhMQXhafD38K39rhVM3uD6Jfw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YY/WxQAAANsAAAAPAAAAAAAAAAAAAAAAAJgCAABkcnMv&#10;ZG93bnJldi54bWxQSwUGAAAAAAQABAD1AAAAigMAAAAA&#10;" adj="204" strokecolor="#4579b8 [3044]"/>
                <v:shape id="Left Brace 80" o:spid="_x0000_s1054" type="#_x0000_t87" style="position:absolute;left:32311;top:2649;width:1155;height:1714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CVcEA&#10;AADbAAAADwAAAGRycy9kb3ducmV2LnhtbERPS2rDMBDdB3IHMYFuQiO3Jca4UYIpGFqyKHV6gMEa&#10;f6g1siXVcW8fLQpZPt7/cFrMIGZyvres4GmXgCCure65VfB9KR8zED4gaxwsk4I/8nA6rlcHzLW9&#10;8hfNVWhFDGGfo4IuhDGX0tcdGfQ7OxJHrrHOYIjQtVI7vMZwM8jnJEmlwZ5jQ4cjvXVU/1S/RoFL&#10;m4/yXE3bac9p/VLZT0NFo9TDZileQQRawl38737XCrK4Pn6JP0Ae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glXBAAAA2wAAAA8AAAAAAAAAAAAAAAAAmAIAAGRycy9kb3du&#10;cmV2LnhtbFBLBQYAAAAABAAEAPUAAACGAwAAAAA=&#10;" adj="121" strokecolor="#4579b8 [3044]"/>
                <v:shape id="TextBox 35" o:spid="_x0000_s1055" type="#_x0000_t202" style="position:absolute;left:28685;top:12364;width:8312;height:2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bKx8IA&#10;AADbAAAADwAAAGRycy9kb3ducmV2LnhtbESP3WrCQBSE7wXfYTkF73QTsWKjq4g/0Dv/+gCH7DGb&#10;Jns2ZFdN+/RuoeDlMPPNMItVZ2txp9aXjhWkowQEce50yYWCr8t+OAPhA7LG2jEp+CEPq2W/t8BM&#10;uwef6H4OhYgl7DNUYEJoMil9bsiiH7mGOHpX11oMUbaF1C0+Yrmt5ThJptJiyXHBYEMbQ3l1vlkF&#10;s8QequpjfPR28pu+m83W7ZpvpQZv3XoOIlAXXuF/+lNHLoW/L/EH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BsrHwgAAANsAAAAPAAAAAAAAAAAAAAAAAJgCAABkcnMvZG93&#10;bnJldi54bWxQSwUGAAAAAAQABAD1AAAAhwMAAAAA&#10;" filled="f" stroked="f">
                  <v:textbox style="mso-fit-shape-to-text:t">
                    <w:txbxContent>
                      <w:p w:rsidR="008D4741" w:rsidRDefault="008D4741" w:rsidP="00CE3659">
                        <w:pPr>
                          <w:pStyle w:val="NormalWeb"/>
                          <w:spacing w:after="0"/>
                          <w:jc w:val="right"/>
                        </w:pPr>
                        <w:r>
                          <w:rPr>
                            <w:rFonts w:eastAsia="Verdana" w:cs="Verdana"/>
                            <w:color w:val="000000" w:themeColor="text1"/>
                            <w:kern w:val="24"/>
                            <w:sz w:val="18"/>
                            <w:szCs w:val="18"/>
                          </w:rPr>
                          <w:t>Cumulative</w:t>
                        </w:r>
                      </w:p>
                    </w:txbxContent>
                  </v:textbox>
                </v:shape>
                <w10:anchorlock/>
              </v:group>
            </w:pict>
          </mc:Fallback>
        </mc:AlternateContent>
      </w:r>
    </w:p>
    <w:p w:rsidR="00CE3659" w:rsidRDefault="00CE3659" w:rsidP="00CE3659">
      <w:pPr>
        <w:pStyle w:val="Heading4"/>
      </w:pPr>
      <w:r>
        <w:t>Interval outcomes</w:t>
      </w:r>
    </w:p>
    <w:p w:rsidR="00CE3659" w:rsidRDefault="00CE3659" w:rsidP="00CE3659">
      <w:r>
        <w:t>Interval outcomes are measured within a discrete lapse period, say the amount of income a person earned in the 12</w:t>
      </w:r>
      <w:r w:rsidRPr="00467F77">
        <w:t>th</w:t>
      </w:r>
      <w:r>
        <w:t xml:space="preserve"> month after starting an intervention. These intervals can vary in duration from one day to any period, but for EA interventions we usually use 30-day intervals. </w:t>
      </w:r>
      <w:r>
        <w:rPr>
          <w:highlight w:val="yellow"/>
        </w:rPr>
        <w:fldChar w:fldCharType="begin"/>
      </w:r>
      <w:r>
        <w:instrText xml:space="preserve"> REF _Ref513453977 \h </w:instrText>
      </w:r>
      <w:r>
        <w:rPr>
          <w:highlight w:val="yellow"/>
        </w:rPr>
      </w:r>
      <w:r>
        <w:rPr>
          <w:highlight w:val="yellow"/>
        </w:rPr>
        <w:fldChar w:fldCharType="separate"/>
      </w:r>
      <w:r w:rsidR="00F24924">
        <w:t xml:space="preserve">Figure </w:t>
      </w:r>
      <w:r w:rsidR="00F24924">
        <w:rPr>
          <w:noProof/>
        </w:rPr>
        <w:t>2</w:t>
      </w:r>
      <w:r>
        <w:rPr>
          <w:highlight w:val="yellow"/>
        </w:rPr>
        <w:fldChar w:fldCharType="end"/>
      </w:r>
      <w:r>
        <w:t xml:space="preserve"> below shows the number of days in each lapse interval participant and comparison groups </w:t>
      </w:r>
      <w:r w:rsidRPr="00C34FD3">
        <w:rPr>
          <w:noProof/>
        </w:rPr>
        <w:t>spend</w:t>
      </w:r>
      <w:r>
        <w:t xml:space="preserve"> </w:t>
      </w:r>
      <w:r w:rsidRPr="00C34FD3">
        <w:rPr>
          <w:noProof/>
        </w:rPr>
        <w:t>independent</w:t>
      </w:r>
      <w:r>
        <w:t xml:space="preserve"> of welfare for an illustrative EA intervention. In the example, at one year before starting the intervention, both participants and comparison spent 12 days of the </w:t>
      </w:r>
      <w:r w:rsidRPr="00C34FD3">
        <w:rPr>
          <w:noProof/>
        </w:rPr>
        <w:t>30</w:t>
      </w:r>
      <w:r w:rsidR="00C34FD3">
        <w:rPr>
          <w:noProof/>
        </w:rPr>
        <w:t>-</w:t>
      </w:r>
      <w:r w:rsidRPr="00C34FD3">
        <w:rPr>
          <w:noProof/>
        </w:rPr>
        <w:t>day</w:t>
      </w:r>
      <w:r>
        <w:t xml:space="preserve"> interval independent of welfare assistance (ie not on main benefit or receiving employment assistance).</w:t>
      </w:r>
    </w:p>
    <w:p w:rsidR="00CE3659" w:rsidRDefault="00CE3659" w:rsidP="00CE3659">
      <w:r>
        <w:t xml:space="preserve">Tracking interval outcomes </w:t>
      </w:r>
      <w:r w:rsidRPr="00C34FD3">
        <w:rPr>
          <w:noProof/>
        </w:rPr>
        <w:t>is</w:t>
      </w:r>
      <w:r>
        <w:t xml:space="preserve"> most useful in understanding the dynamic relationship between the intervention and the outcome in question. The purpose of EA interventions is to change the outcome trajectories of participants. </w:t>
      </w:r>
      <w:r w:rsidR="00DA48F9">
        <w:t>L</w:t>
      </w:r>
      <w:r>
        <w:t xml:space="preserve">ooking at how outcomes change in each lapse interval before and after commencing an </w:t>
      </w:r>
      <w:r w:rsidR="00EA53C0">
        <w:t>intervention</w:t>
      </w:r>
      <w:r>
        <w:t xml:space="preserve"> provides important information on the likely behavioural responses to the intervention. To return to the example intervention in </w:t>
      </w:r>
      <w:r>
        <w:rPr>
          <w:highlight w:val="yellow"/>
        </w:rPr>
        <w:fldChar w:fldCharType="begin"/>
      </w:r>
      <w:r>
        <w:instrText xml:space="preserve"> REF _Ref513453977 \h </w:instrText>
      </w:r>
      <w:r>
        <w:rPr>
          <w:highlight w:val="yellow"/>
        </w:rPr>
      </w:r>
      <w:r>
        <w:rPr>
          <w:highlight w:val="yellow"/>
        </w:rPr>
        <w:fldChar w:fldCharType="separate"/>
      </w:r>
      <w:r w:rsidR="00F24924">
        <w:t xml:space="preserve">Figure </w:t>
      </w:r>
      <w:r w:rsidR="00F24924">
        <w:rPr>
          <w:noProof/>
        </w:rPr>
        <w:t>2</w:t>
      </w:r>
      <w:r>
        <w:rPr>
          <w:highlight w:val="yellow"/>
        </w:rPr>
        <w:fldChar w:fldCharType="end"/>
      </w:r>
      <w:r>
        <w:t>, we can see that the independent of welfare assistance outcomes of the participants are less than that of the comparison</w:t>
      </w:r>
      <w:r w:rsidR="00EA53C0">
        <w:t xml:space="preserve"> </w:t>
      </w:r>
      <w:r>
        <w:t>over the initial six months after starting the intervention (</w:t>
      </w:r>
      <w:r w:rsidRPr="00C34FD3">
        <w:rPr>
          <w:noProof/>
        </w:rPr>
        <w:t>lock</w:t>
      </w:r>
      <w:r w:rsidR="00C34FD3">
        <w:rPr>
          <w:noProof/>
        </w:rPr>
        <w:t>-</w:t>
      </w:r>
      <w:r w:rsidRPr="00C34FD3">
        <w:rPr>
          <w:noProof/>
        </w:rPr>
        <w:t>in</w:t>
      </w:r>
      <w:r>
        <w:t xml:space="preserve"> effect). However, over later </w:t>
      </w:r>
      <w:r w:rsidRPr="00C34FD3">
        <w:rPr>
          <w:noProof/>
        </w:rPr>
        <w:t>intervals</w:t>
      </w:r>
      <w:r w:rsidR="00C34FD3">
        <w:rPr>
          <w:noProof/>
        </w:rPr>
        <w:t>,</w:t>
      </w:r>
      <w:r>
        <w:t xml:space="preserve"> the outcomes of the participants exceed that of the comparison group. In other words, after completing the intervention participants are more likely to be independent of welfare assistance than the comparison group.</w:t>
      </w:r>
    </w:p>
    <w:p w:rsidR="00CE3659" w:rsidRPr="005944B9" w:rsidRDefault="00CE3659" w:rsidP="00CE3659">
      <w:pPr>
        <w:pStyle w:val="Heading4"/>
      </w:pPr>
      <w:bookmarkStart w:id="89" w:name="_Ref513453977"/>
      <w:bookmarkStart w:id="90" w:name="_Toc524003434"/>
      <w:r>
        <w:lastRenderedPageBreak/>
        <w:t xml:space="preserve">Figure </w:t>
      </w:r>
      <w:fldSimple w:instr=" SEQ Figure \* ARABIC ">
        <w:r w:rsidR="00F24924">
          <w:rPr>
            <w:noProof/>
          </w:rPr>
          <w:t>2</w:t>
        </w:r>
      </w:fldSimple>
      <w:bookmarkEnd w:id="89"/>
      <w:r>
        <w:t>: I</w:t>
      </w:r>
      <w:r w:rsidRPr="005944B9">
        <w:t xml:space="preserve">nterval outcomes for </w:t>
      </w:r>
      <w:r>
        <w:t xml:space="preserve">an </w:t>
      </w:r>
      <w:r w:rsidRPr="005944B9">
        <w:t>example intervention</w:t>
      </w:r>
      <w:bookmarkEnd w:id="90"/>
    </w:p>
    <w:p w:rsidR="00CE3659" w:rsidRDefault="00CE3659" w:rsidP="00CE3659">
      <w:pPr>
        <w:pStyle w:val="TableText"/>
      </w:pPr>
      <w:r>
        <w:rPr>
          <w:noProof/>
        </w:rPr>
        <w:drawing>
          <wp:inline distT="0" distB="0" distL="0" distR="0" wp14:anchorId="5C038017" wp14:editId="0D55D1D1">
            <wp:extent cx="5731510" cy="3347000"/>
            <wp:effectExtent l="0" t="0" r="2540" b="635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E3659" w:rsidRDefault="00CE3659" w:rsidP="00CE3659">
      <w:pPr>
        <w:pStyle w:val="TableText"/>
      </w:pPr>
      <w:r>
        <w:t xml:space="preserve">Independent of welfare assistance: not on </w:t>
      </w:r>
      <w:r w:rsidRPr="00C34FD3">
        <w:rPr>
          <w:noProof/>
        </w:rPr>
        <w:t>a main</w:t>
      </w:r>
      <w:r>
        <w:t xml:space="preserve"> benefit or receiving employment assistance</w:t>
      </w:r>
      <w:r w:rsidR="00694EEB">
        <w:t>,</w:t>
      </w:r>
      <w:r>
        <w:t xml:space="preserve"> such as a wage subsidy during each </w:t>
      </w:r>
      <w:r w:rsidRPr="00C34FD3">
        <w:rPr>
          <w:noProof/>
        </w:rPr>
        <w:t>30</w:t>
      </w:r>
      <w:r w:rsidR="00C34FD3">
        <w:rPr>
          <w:noProof/>
        </w:rPr>
        <w:t>-</w:t>
      </w:r>
      <w:r w:rsidRPr="00C34FD3">
        <w:rPr>
          <w:noProof/>
        </w:rPr>
        <w:t>day</w:t>
      </w:r>
      <w:r>
        <w:t xml:space="preserve"> interval.</w:t>
      </w:r>
    </w:p>
    <w:p w:rsidR="00CE3659" w:rsidRPr="005944B9" w:rsidRDefault="00CE3659" w:rsidP="00CE3659">
      <w:pPr>
        <w:pStyle w:val="TableText"/>
      </w:pPr>
    </w:p>
    <w:p w:rsidR="00CE3659" w:rsidRDefault="00CE3659" w:rsidP="00CE3659">
      <w:pPr>
        <w:pStyle w:val="Heading4"/>
      </w:pPr>
      <w:r>
        <w:t>Cumulative outcomes</w:t>
      </w:r>
    </w:p>
    <w:p w:rsidR="00CE3659" w:rsidRDefault="00CE3659" w:rsidP="00CE3659">
      <w:pPr>
        <w:rPr>
          <w:lang w:eastAsia="en-AU"/>
        </w:rPr>
      </w:pPr>
      <w:r>
        <w:t xml:space="preserve">While interval outcomes are useful to understand how outcomes </w:t>
      </w:r>
      <w:r w:rsidR="003505CE">
        <w:t xml:space="preserve">and impacts </w:t>
      </w:r>
      <w:r>
        <w:t xml:space="preserve">change relative to when people start an intervention, they do not allow us to quantify the overall impact of an intervention. To make summative judgements we use cumulative outcomes. As </w:t>
      </w:r>
      <w:r>
        <w:rPr>
          <w:lang w:eastAsia="en-AU"/>
        </w:rPr>
        <w:fldChar w:fldCharType="begin"/>
      </w:r>
      <w:r>
        <w:rPr>
          <w:lang w:eastAsia="en-AU"/>
        </w:rPr>
        <w:instrText xml:space="preserve"> REF _Ref513053673 \h </w:instrText>
      </w:r>
      <w:r>
        <w:rPr>
          <w:lang w:eastAsia="en-AU"/>
        </w:rPr>
      </w:r>
      <w:r>
        <w:rPr>
          <w:lang w:eastAsia="en-AU"/>
        </w:rPr>
        <w:fldChar w:fldCharType="separate"/>
      </w:r>
      <w:r w:rsidR="00F24924">
        <w:t xml:space="preserve">Figure </w:t>
      </w:r>
      <w:r w:rsidR="00F24924">
        <w:rPr>
          <w:noProof/>
        </w:rPr>
        <w:t>1</w:t>
      </w:r>
      <w:r>
        <w:rPr>
          <w:lang w:eastAsia="en-AU"/>
        </w:rPr>
        <w:fldChar w:fldCharType="end"/>
      </w:r>
      <w:r>
        <w:rPr>
          <w:lang w:eastAsia="en-AU"/>
        </w:rPr>
        <w:t xml:space="preserve"> (previous page) shows</w:t>
      </w:r>
      <w:r w:rsidR="00EA53C0">
        <w:rPr>
          <w:lang w:eastAsia="en-AU"/>
        </w:rPr>
        <w:t>,</w:t>
      </w:r>
      <w:r>
        <w:rPr>
          <w:lang w:eastAsia="en-AU"/>
        </w:rPr>
        <w:t xml:space="preserve"> cumulative outcomes start from period 0 to each subsequent </w:t>
      </w:r>
      <w:r w:rsidRPr="00C34FD3">
        <w:rPr>
          <w:noProof/>
          <w:lang w:eastAsia="en-AU"/>
        </w:rPr>
        <w:t>follow</w:t>
      </w:r>
      <w:r w:rsidR="00C34FD3">
        <w:rPr>
          <w:noProof/>
          <w:lang w:eastAsia="en-AU"/>
        </w:rPr>
        <w:t>-</w:t>
      </w:r>
      <w:r w:rsidRPr="00C34FD3">
        <w:rPr>
          <w:noProof/>
          <w:lang w:eastAsia="en-AU"/>
        </w:rPr>
        <w:t>up</w:t>
      </w:r>
      <w:r>
        <w:rPr>
          <w:lang w:eastAsia="en-AU"/>
        </w:rPr>
        <w:t xml:space="preserve"> period. For example, how much income did participants receive over the 12 months after starting the </w:t>
      </w:r>
      <w:r w:rsidRPr="00C34FD3">
        <w:rPr>
          <w:noProof/>
          <w:lang w:eastAsia="en-AU"/>
        </w:rPr>
        <w:t>intervention</w:t>
      </w:r>
      <w:r w:rsidR="00C34FD3">
        <w:rPr>
          <w:noProof/>
          <w:lang w:eastAsia="en-AU"/>
        </w:rPr>
        <w:t>?</w:t>
      </w:r>
    </w:p>
    <w:p w:rsidR="00CE3659" w:rsidRDefault="00CE3659" w:rsidP="00CE3659">
      <w:r>
        <w:rPr>
          <w:highlight w:val="yellow"/>
        </w:rPr>
        <w:fldChar w:fldCharType="begin"/>
      </w:r>
      <w:r>
        <w:instrText xml:space="preserve"> REF _Ref513455448 \h </w:instrText>
      </w:r>
      <w:r>
        <w:rPr>
          <w:highlight w:val="yellow"/>
        </w:rPr>
      </w:r>
      <w:r>
        <w:rPr>
          <w:highlight w:val="yellow"/>
        </w:rPr>
        <w:fldChar w:fldCharType="separate"/>
      </w:r>
      <w:r w:rsidR="00F24924">
        <w:t xml:space="preserve">Figure </w:t>
      </w:r>
      <w:r w:rsidR="00F24924">
        <w:rPr>
          <w:noProof/>
        </w:rPr>
        <w:t>3</w:t>
      </w:r>
      <w:r>
        <w:rPr>
          <w:highlight w:val="yellow"/>
        </w:rPr>
        <w:fldChar w:fldCharType="end"/>
      </w:r>
      <w:r>
        <w:t xml:space="preserve"> shows the cumulative outcomes for the same intervention illustrated in </w:t>
      </w:r>
      <w:r>
        <w:rPr>
          <w:highlight w:val="yellow"/>
        </w:rPr>
        <w:fldChar w:fldCharType="begin"/>
      </w:r>
      <w:r>
        <w:instrText xml:space="preserve"> REF _Ref513453977 \h </w:instrText>
      </w:r>
      <w:r>
        <w:rPr>
          <w:highlight w:val="yellow"/>
        </w:rPr>
      </w:r>
      <w:r>
        <w:rPr>
          <w:highlight w:val="yellow"/>
        </w:rPr>
        <w:fldChar w:fldCharType="separate"/>
      </w:r>
      <w:r w:rsidR="00F24924">
        <w:t xml:space="preserve">Figure </w:t>
      </w:r>
      <w:r w:rsidR="00F24924">
        <w:rPr>
          <w:noProof/>
        </w:rPr>
        <w:t>2</w:t>
      </w:r>
      <w:r>
        <w:rPr>
          <w:highlight w:val="yellow"/>
        </w:rPr>
        <w:fldChar w:fldCharType="end"/>
      </w:r>
      <w:r>
        <w:t xml:space="preserve">. By definition cumulative outcome measures only cover the period after participation start and not before. </w:t>
      </w:r>
      <w:r>
        <w:rPr>
          <w:highlight w:val="yellow"/>
        </w:rPr>
        <w:fldChar w:fldCharType="begin"/>
      </w:r>
      <w:r>
        <w:instrText xml:space="preserve"> REF _Ref513455448 \h </w:instrText>
      </w:r>
      <w:r>
        <w:rPr>
          <w:highlight w:val="yellow"/>
        </w:rPr>
      </w:r>
      <w:r>
        <w:rPr>
          <w:highlight w:val="yellow"/>
        </w:rPr>
        <w:fldChar w:fldCharType="separate"/>
      </w:r>
      <w:r w:rsidR="00F24924">
        <w:t xml:space="preserve">Figure </w:t>
      </w:r>
      <w:r w:rsidR="00F24924">
        <w:rPr>
          <w:noProof/>
        </w:rPr>
        <w:t>3</w:t>
      </w:r>
      <w:r>
        <w:rPr>
          <w:highlight w:val="yellow"/>
        </w:rPr>
        <w:fldChar w:fldCharType="end"/>
      </w:r>
      <w:r>
        <w:t xml:space="preserve"> shows the average days over each successive period after starting the intervention that participants and comparison spent </w:t>
      </w:r>
      <w:r w:rsidRPr="00C34FD3">
        <w:rPr>
          <w:noProof/>
        </w:rPr>
        <w:t>independent</w:t>
      </w:r>
      <w:r>
        <w:t xml:space="preserve"> of welfare assistance. At the end of two years, participants spent an average of </w:t>
      </w:r>
      <w:r w:rsidRPr="00D31745">
        <w:t>379</w:t>
      </w:r>
      <w:r>
        <w:t xml:space="preserve"> days, while over five years this increased to </w:t>
      </w:r>
      <w:r w:rsidRPr="00D31745">
        <w:t>1</w:t>
      </w:r>
      <w:r>
        <w:t>,</w:t>
      </w:r>
      <w:r w:rsidRPr="00D31745">
        <w:t>128</w:t>
      </w:r>
      <w:r>
        <w:t xml:space="preserve"> days. In other words, the cumulative outcomes are simply the sum of the outcomes achieved in each successive interval after </w:t>
      </w:r>
      <w:r w:rsidR="00C34FD3">
        <w:t xml:space="preserve">the </w:t>
      </w:r>
      <w:r w:rsidRPr="00C34FD3">
        <w:rPr>
          <w:noProof/>
        </w:rPr>
        <w:t>intervention</w:t>
      </w:r>
      <w:r>
        <w:t xml:space="preserve"> </w:t>
      </w:r>
      <w:r w:rsidRPr="00C34FD3">
        <w:rPr>
          <w:noProof/>
        </w:rPr>
        <w:t>start</w:t>
      </w:r>
      <w:r w:rsidR="00C34FD3">
        <w:rPr>
          <w:noProof/>
        </w:rPr>
        <w:t>ed</w:t>
      </w:r>
      <w:r>
        <w:t xml:space="preserve">. Therefore, after five years there was a difference of </w:t>
      </w:r>
      <w:r w:rsidRPr="00525942">
        <w:t>121</w:t>
      </w:r>
      <w:r>
        <w:t xml:space="preserve"> days between the participant and comparison group.</w:t>
      </w:r>
    </w:p>
    <w:p w:rsidR="00CE3659" w:rsidRPr="005944B9" w:rsidRDefault="00CE3659" w:rsidP="00CE3659">
      <w:pPr>
        <w:pStyle w:val="Heading4"/>
      </w:pPr>
      <w:bookmarkStart w:id="91" w:name="_Ref513455448"/>
      <w:bookmarkStart w:id="92" w:name="_Toc524003435"/>
      <w:r>
        <w:lastRenderedPageBreak/>
        <w:t xml:space="preserve">Figure </w:t>
      </w:r>
      <w:fldSimple w:instr=" SEQ Figure \* ARABIC ">
        <w:r w:rsidR="00F24924">
          <w:rPr>
            <w:noProof/>
          </w:rPr>
          <w:t>3</w:t>
        </w:r>
      </w:fldSimple>
      <w:bookmarkEnd w:id="91"/>
      <w:r>
        <w:t>: Cumulative</w:t>
      </w:r>
      <w:r w:rsidRPr="005944B9">
        <w:t xml:space="preserve"> outcomes for </w:t>
      </w:r>
      <w:r>
        <w:t xml:space="preserve">an </w:t>
      </w:r>
      <w:r w:rsidRPr="005944B9">
        <w:t>example intervention</w:t>
      </w:r>
      <w:bookmarkEnd w:id="92"/>
    </w:p>
    <w:p w:rsidR="00CE3659" w:rsidRDefault="00CE3659" w:rsidP="00CE3659">
      <w:r>
        <w:rPr>
          <w:noProof/>
          <w:lang w:eastAsia="en-NZ"/>
        </w:rPr>
        <w:drawing>
          <wp:inline distT="0" distB="0" distL="0" distR="0" wp14:anchorId="314BA0BF" wp14:editId="3D6294CE">
            <wp:extent cx="5731510" cy="3325089"/>
            <wp:effectExtent l="0" t="0" r="2540" b="889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E3659" w:rsidRDefault="00CE3659" w:rsidP="00CE3659">
      <w:pPr>
        <w:pStyle w:val="TableText"/>
      </w:pPr>
      <w:r>
        <w:t xml:space="preserve">Independent of welfare assistance: not on </w:t>
      </w:r>
      <w:r w:rsidRPr="00C34FD3">
        <w:rPr>
          <w:noProof/>
        </w:rPr>
        <w:t>a main</w:t>
      </w:r>
      <w:r>
        <w:t xml:space="preserve"> benefit or receiving employment assistance</w:t>
      </w:r>
      <w:r w:rsidR="00694EEB">
        <w:t>,</w:t>
      </w:r>
      <w:r>
        <w:t xml:space="preserve"> such as a wage subsidy since participation start.</w:t>
      </w:r>
    </w:p>
    <w:p w:rsidR="00CE3659" w:rsidRDefault="00CE3659" w:rsidP="00CE3659">
      <w:pPr>
        <w:pStyle w:val="Heading3"/>
      </w:pPr>
      <w:bookmarkStart w:id="93" w:name="_Toc524003476"/>
      <w:r>
        <w:t>Why measure outcomes from participation start?</w:t>
      </w:r>
      <w:bookmarkEnd w:id="93"/>
    </w:p>
    <w:p w:rsidR="00CE3659" w:rsidRDefault="00CE3659" w:rsidP="00CE3659">
      <w:pPr>
        <w:rPr>
          <w:lang w:eastAsia="en-AU"/>
        </w:rPr>
      </w:pPr>
      <w:r>
        <w:rPr>
          <w:lang w:eastAsia="en-AU"/>
        </w:rPr>
        <w:t xml:space="preserve">A common question is why we measure outcomes from when people start an intervention, rather than when they finish. There are two reasons. The first is practical, </w:t>
      </w:r>
      <w:r w:rsidR="00EA53C0">
        <w:rPr>
          <w:lang w:eastAsia="en-AU"/>
        </w:rPr>
        <w:t>(</w:t>
      </w:r>
      <w:r>
        <w:rPr>
          <w:lang w:eastAsia="en-AU"/>
        </w:rPr>
        <w:t xml:space="preserve">as discussed </w:t>
      </w:r>
      <w:r w:rsidR="00C34FD3">
        <w:rPr>
          <w:noProof/>
          <w:lang w:eastAsia="en-AU"/>
        </w:rPr>
        <w:t>i</w:t>
      </w:r>
      <w:r w:rsidRPr="00C34FD3">
        <w:rPr>
          <w:noProof/>
          <w:lang w:eastAsia="en-AU"/>
        </w:rPr>
        <w:t>n</w:t>
      </w:r>
      <w:r>
        <w:rPr>
          <w:lang w:eastAsia="en-AU"/>
        </w:rPr>
        <w:t xml:space="preserve"> the section on measuring</w:t>
      </w:r>
      <w:r w:rsidR="00DA48F9">
        <w:rPr>
          <w:lang w:eastAsia="en-AU"/>
        </w:rPr>
        <w:t>,</w:t>
      </w:r>
      <w:r>
        <w:rPr>
          <w:lang w:eastAsia="en-AU"/>
        </w:rPr>
        <w:t xml:space="preserve"> when people participate in EA </w:t>
      </w:r>
      <w:r w:rsidRPr="00C34FD3">
        <w:rPr>
          <w:noProof/>
          <w:lang w:eastAsia="en-AU"/>
        </w:rPr>
        <w:t>interventions</w:t>
      </w:r>
      <w:r w:rsidR="00EA53C0">
        <w:rPr>
          <w:noProof/>
          <w:lang w:eastAsia="en-AU"/>
        </w:rPr>
        <w:t>)</w:t>
      </w:r>
      <w:r>
        <w:rPr>
          <w:lang w:eastAsia="en-AU"/>
        </w:rPr>
        <w:t xml:space="preserve"> </w:t>
      </w:r>
      <w:r w:rsidR="00EA53C0">
        <w:rPr>
          <w:lang w:eastAsia="en-AU"/>
        </w:rPr>
        <w:t xml:space="preserve">as </w:t>
      </w:r>
      <w:r>
        <w:rPr>
          <w:lang w:eastAsia="en-AU"/>
        </w:rPr>
        <w:t xml:space="preserve">when people finish an intervention is often poorly recorded. Therefore, </w:t>
      </w:r>
      <w:r w:rsidR="00EA53C0">
        <w:rPr>
          <w:lang w:eastAsia="en-AU"/>
        </w:rPr>
        <w:t xml:space="preserve">the date when </w:t>
      </w:r>
      <w:r>
        <w:rPr>
          <w:lang w:eastAsia="en-AU"/>
        </w:rPr>
        <w:t>people actually finish participating in an intervention</w:t>
      </w:r>
      <w:r w:rsidR="00DA48F9">
        <w:rPr>
          <w:lang w:eastAsia="en-AU"/>
        </w:rPr>
        <w:t xml:space="preserve"> is much less certain</w:t>
      </w:r>
      <w:r>
        <w:rPr>
          <w:lang w:eastAsia="en-AU"/>
        </w:rPr>
        <w:t xml:space="preserve"> than </w:t>
      </w:r>
      <w:r w:rsidR="00EA53C0">
        <w:rPr>
          <w:lang w:eastAsia="en-AU"/>
        </w:rPr>
        <w:t xml:space="preserve">the date </w:t>
      </w:r>
      <w:r>
        <w:rPr>
          <w:lang w:eastAsia="en-AU"/>
        </w:rPr>
        <w:t>they started.</w:t>
      </w:r>
    </w:p>
    <w:p w:rsidR="00CE3659" w:rsidRDefault="00CE3659" w:rsidP="00CE3659">
      <w:pPr>
        <w:rPr>
          <w:lang w:eastAsia="en-AU"/>
        </w:rPr>
      </w:pPr>
      <w:r>
        <w:rPr>
          <w:lang w:eastAsia="en-AU"/>
        </w:rPr>
        <w:t xml:space="preserve">The second reason is the importance of capturing the full impact of an intervention. As </w:t>
      </w:r>
      <w:r>
        <w:rPr>
          <w:highlight w:val="yellow"/>
        </w:rPr>
        <w:fldChar w:fldCharType="begin"/>
      </w:r>
      <w:r>
        <w:instrText xml:space="preserve"> REF _Ref513453977 \h </w:instrText>
      </w:r>
      <w:r>
        <w:rPr>
          <w:highlight w:val="yellow"/>
        </w:rPr>
      </w:r>
      <w:r>
        <w:rPr>
          <w:highlight w:val="yellow"/>
        </w:rPr>
        <w:fldChar w:fldCharType="separate"/>
      </w:r>
      <w:r w:rsidR="00F24924">
        <w:t xml:space="preserve">Figure </w:t>
      </w:r>
      <w:r w:rsidR="00F24924">
        <w:rPr>
          <w:noProof/>
        </w:rPr>
        <w:t>2</w:t>
      </w:r>
      <w:r>
        <w:rPr>
          <w:highlight w:val="yellow"/>
        </w:rPr>
        <w:fldChar w:fldCharType="end"/>
      </w:r>
      <w:r>
        <w:rPr>
          <w:lang w:eastAsia="en-AU"/>
        </w:rPr>
        <w:t xml:space="preserve"> above shows, the period while a person is on a programme can have an impact on their outcomes. The most common impact is referred to as the lock-in effect. As the name suggests, while people are participating in an intervention they are less likely to achieve an outcome</w:t>
      </w:r>
      <w:r w:rsidR="00694EEB">
        <w:rPr>
          <w:lang w:eastAsia="en-AU"/>
        </w:rPr>
        <w:t>,</w:t>
      </w:r>
      <w:r>
        <w:rPr>
          <w:lang w:eastAsia="en-AU"/>
        </w:rPr>
        <w:t xml:space="preserve"> such as moving into employment. This can occur for a number of reasons. One is simply the reduction in time participants have to look for work. And, for training programmes, the need to complete the course to gain a qualification provides an incentive to turn down job opportunities if they do arise. If we did not include these effects, we run the risk of overstating the positive impact of interventions.</w:t>
      </w:r>
    </w:p>
    <w:p w:rsidR="00CE3659" w:rsidRDefault="00CE3659" w:rsidP="00CE3659">
      <w:pPr>
        <w:pStyle w:val="Heading3"/>
      </w:pPr>
      <w:bookmarkStart w:id="94" w:name="_Toc524003477"/>
      <w:r>
        <w:t>Migration and mortality</w:t>
      </w:r>
      <w:bookmarkEnd w:id="94"/>
    </w:p>
    <w:p w:rsidR="00CE3659" w:rsidRDefault="00CE3659" w:rsidP="00CE3659">
      <w:pPr>
        <w:rPr>
          <w:lang w:eastAsia="en-AU"/>
        </w:rPr>
      </w:pPr>
      <w:r>
        <w:rPr>
          <w:lang w:eastAsia="en-AU"/>
        </w:rPr>
        <w:t xml:space="preserve">In the current </w:t>
      </w:r>
      <w:r w:rsidRPr="00C34FD3">
        <w:rPr>
          <w:noProof/>
          <w:lang w:eastAsia="en-AU"/>
        </w:rPr>
        <w:t>analysis</w:t>
      </w:r>
      <w:r w:rsidR="00C34FD3">
        <w:rPr>
          <w:noProof/>
          <w:lang w:eastAsia="en-AU"/>
        </w:rPr>
        <w:t>,</w:t>
      </w:r>
      <w:r>
        <w:rPr>
          <w:lang w:eastAsia="en-AU"/>
        </w:rPr>
        <w:t xml:space="preserve"> we have not adjusted for people moving out of New Zealand or dying. These events would, over longer </w:t>
      </w:r>
      <w:r w:rsidR="008C39BE">
        <w:rPr>
          <w:lang w:eastAsia="en-AU"/>
        </w:rPr>
        <w:t>follow-</w:t>
      </w:r>
      <w:r>
        <w:rPr>
          <w:lang w:eastAsia="en-AU"/>
        </w:rPr>
        <w:t>up periods, reduce the denominator for each of the above outcome measures (ie right censoring). We plan to adjust for right censoring in subsequent updates to this analysis.</w:t>
      </w:r>
    </w:p>
    <w:p w:rsidR="00CE3659" w:rsidRDefault="00CE3659" w:rsidP="00CE3659">
      <w:pPr>
        <w:pStyle w:val="Heading1"/>
      </w:pPr>
      <w:bookmarkStart w:id="95" w:name="_Toc452630513"/>
      <w:bookmarkStart w:id="96" w:name="_Toc514063462"/>
      <w:bookmarkStart w:id="97" w:name="_Toc524003478"/>
      <w:r>
        <w:lastRenderedPageBreak/>
        <w:t>Estimating the observed impact of EA interventions</w:t>
      </w:r>
      <w:bookmarkEnd w:id="95"/>
      <w:bookmarkEnd w:id="96"/>
      <w:bookmarkEnd w:id="97"/>
    </w:p>
    <w:p w:rsidR="00CE3659" w:rsidRDefault="00CE3659" w:rsidP="00CE3659">
      <w:r>
        <w:t>To rate the effectiveness of EA interventions we need to determine the impact of EA interventions on outcomes to date. In this analysis, we estimate effectiveness using counterfactual designs. The term counterfactual refers to the question: what would have happened in the absence of the intervention?</w:t>
      </w:r>
      <w:r>
        <w:rPr>
          <w:rStyle w:val="FootnoteReference"/>
        </w:rPr>
        <w:footnoteReference w:id="3"/>
      </w:r>
      <w:r>
        <w:t xml:space="preserve"> </w:t>
      </w:r>
      <w:r w:rsidRPr="000E5985">
        <w:t>By definition, it is not possible to observe the counterfactual outcomes of participants.</w:t>
      </w:r>
      <w:r>
        <w:t xml:space="preserve"> </w:t>
      </w:r>
      <w:r w:rsidRPr="000E5985">
        <w:t xml:space="preserve">The solution is to identify a proxy for the counterfactual, usually a group of non-participants whose outcomes </w:t>
      </w:r>
      <w:r>
        <w:t>we use</w:t>
      </w:r>
      <w:r w:rsidRPr="000E5985">
        <w:t xml:space="preserve"> for comparison purposes.</w:t>
      </w:r>
      <w:r>
        <w:t xml:space="preserve"> </w:t>
      </w:r>
      <w:r w:rsidRPr="000E5985">
        <w:t xml:space="preserve">The challenge is to ensure </w:t>
      </w:r>
      <w:r>
        <w:t>that the comparison outcomes are</w:t>
      </w:r>
      <w:r w:rsidRPr="000E5985">
        <w:t xml:space="preserve"> an accurate representation of participants’ counterfactual outcomes.</w:t>
      </w:r>
      <w:r>
        <w:t xml:space="preserve"> </w:t>
      </w:r>
      <w:r w:rsidRPr="000E5985">
        <w:t xml:space="preserve">Specifically, other than programme participation, are there other reasons for any differences </w:t>
      </w:r>
      <w:r>
        <w:t>between</w:t>
      </w:r>
      <w:r w:rsidRPr="000E5985">
        <w:t xml:space="preserve"> the outcomes </w:t>
      </w:r>
      <w:r>
        <w:t>of</w:t>
      </w:r>
      <w:r w:rsidRPr="000E5985">
        <w:t xml:space="preserve"> participants and</w:t>
      </w:r>
      <w:r>
        <w:t xml:space="preserve"> those of</w:t>
      </w:r>
      <w:r w:rsidRPr="000E5985">
        <w:t xml:space="preserve"> the comparison group (</w:t>
      </w:r>
      <w:r>
        <w:t>ie</w:t>
      </w:r>
      <w:r w:rsidRPr="000E5985">
        <w:t xml:space="preserve"> selection bias)?</w:t>
      </w:r>
      <w:r>
        <w:t xml:space="preserve"> </w:t>
      </w:r>
    </w:p>
    <w:p w:rsidR="00CE3659" w:rsidRDefault="00CE3659" w:rsidP="00CE3659">
      <w:r>
        <w:t>Various</w:t>
      </w:r>
      <w:r w:rsidRPr="000E5985">
        <w:t xml:space="preserve"> methods are able to control</w:t>
      </w:r>
      <w:r>
        <w:t xml:space="preserve"> for selection bias</w:t>
      </w:r>
      <w:r w:rsidRPr="000E5985">
        <w:t xml:space="preserve"> to a greater or lesser degree.</w:t>
      </w:r>
      <w:r>
        <w:t xml:space="preserve"> To assist readers </w:t>
      </w:r>
      <w:r>
        <w:rPr>
          <w:noProof/>
        </w:rPr>
        <w:t>i</w:t>
      </w:r>
      <w:r w:rsidRPr="00F25547">
        <w:rPr>
          <w:noProof/>
        </w:rPr>
        <w:t>n</w:t>
      </w:r>
      <w:r>
        <w:t xml:space="preserve"> judging the robustness of a particular counterfactual design, we categorise methods according to the Scientific Maryland Scale (SMS). The SMS scale ranks counterfactual designs from 1 (least robust) to 5 (most robust). Robust in this context refers to the level of confidence we have that the impact estimate of a design accurately quantifies the causal effect of the intervention on the outcome.</w:t>
      </w:r>
    </w:p>
    <w:p w:rsidR="00CE3659" w:rsidRDefault="00CE3659" w:rsidP="00CE3659">
      <w:r>
        <w:t xml:space="preserve">In the current report, we have four designs: randomised control trial (SMS 5), </w:t>
      </w:r>
      <w:r w:rsidRPr="00F25547">
        <w:rPr>
          <w:noProof/>
        </w:rPr>
        <w:t>propensity</w:t>
      </w:r>
      <w:r>
        <w:rPr>
          <w:noProof/>
        </w:rPr>
        <w:t>-</w:t>
      </w:r>
      <w:r w:rsidRPr="00F25547">
        <w:rPr>
          <w:noProof/>
        </w:rPr>
        <w:t>matched</w:t>
      </w:r>
      <w:r>
        <w:t xml:space="preserve"> comparison group (SMS 3), </w:t>
      </w:r>
      <w:r w:rsidRPr="00F25547">
        <w:rPr>
          <w:noProof/>
        </w:rPr>
        <w:t>propensity</w:t>
      </w:r>
      <w:r>
        <w:rPr>
          <w:noProof/>
        </w:rPr>
        <w:t>-</w:t>
      </w:r>
      <w:r w:rsidRPr="00F25547">
        <w:rPr>
          <w:noProof/>
        </w:rPr>
        <w:t>matched</w:t>
      </w:r>
      <w:r>
        <w:t xml:space="preserve"> historical comparison group (SMS 3(-)) and natural experiments (SMS 3)</w:t>
      </w:r>
      <w:r w:rsidRPr="00E36F38">
        <w:t xml:space="preserve"> </w:t>
      </w:r>
      <w:r>
        <w:t>designs. We outline each in turn.</w:t>
      </w:r>
    </w:p>
    <w:p w:rsidR="00CE3659" w:rsidRDefault="00CE3659" w:rsidP="00CE3659">
      <w:pPr>
        <w:pStyle w:val="Heading2"/>
      </w:pPr>
      <w:bookmarkStart w:id="98" w:name="_Toc514063463"/>
      <w:bookmarkStart w:id="99" w:name="_Toc524003479"/>
      <w:r>
        <w:t xml:space="preserve">Methods used to estimate </w:t>
      </w:r>
      <w:r w:rsidR="00C34FD3">
        <w:t xml:space="preserve">the </w:t>
      </w:r>
      <w:r w:rsidRPr="00C34FD3">
        <w:rPr>
          <w:noProof/>
        </w:rPr>
        <w:t>impact</w:t>
      </w:r>
      <w:bookmarkEnd w:id="98"/>
      <w:r w:rsidR="00C34FD3">
        <w:rPr>
          <w:noProof/>
        </w:rPr>
        <w:t xml:space="preserve"> of interventions</w:t>
      </w:r>
      <w:bookmarkEnd w:id="99"/>
    </w:p>
    <w:p w:rsidR="00CE3659" w:rsidRDefault="00CE3659" w:rsidP="00CE3659">
      <w:r>
        <w:t>Rating the effectiveness of EA interventions is a three-step process. The first step is to estimate the observed impact of an intervention on participants’ outcomes to date. The second step is to estimate the long-term impact based on observed short</w:t>
      </w:r>
      <w:r w:rsidR="002220A0">
        <w:t>-</w:t>
      </w:r>
      <w:r>
        <w:t xml:space="preserve"> and </w:t>
      </w:r>
      <w:r w:rsidRPr="00C34FD3">
        <w:rPr>
          <w:noProof/>
        </w:rPr>
        <w:t>medium</w:t>
      </w:r>
      <w:r w:rsidR="00C34FD3">
        <w:rPr>
          <w:noProof/>
        </w:rPr>
        <w:t>-</w:t>
      </w:r>
      <w:r w:rsidRPr="00C34FD3">
        <w:rPr>
          <w:noProof/>
        </w:rPr>
        <w:t>term</w:t>
      </w:r>
      <w:r>
        <w:t xml:space="preserve"> impacts. The final step is to apply standard rules to determine the </w:t>
      </w:r>
      <w:r w:rsidRPr="00C34FD3">
        <w:rPr>
          <w:noProof/>
        </w:rPr>
        <w:t>effectiveness</w:t>
      </w:r>
      <w:r>
        <w:t xml:space="preserve"> rating of each intervention.</w:t>
      </w:r>
    </w:p>
    <w:p w:rsidR="00CE3659" w:rsidRDefault="00CE3659" w:rsidP="00CE3659">
      <w:pPr>
        <w:pStyle w:val="Heading3"/>
      </w:pPr>
      <w:bookmarkStart w:id="100" w:name="_Toc524003480"/>
      <w:r>
        <w:t xml:space="preserve">Randomised </w:t>
      </w:r>
      <w:r w:rsidR="00EA53C0">
        <w:t xml:space="preserve">control trial </w:t>
      </w:r>
      <w:r>
        <w:t>designs</w:t>
      </w:r>
      <w:bookmarkEnd w:id="100"/>
    </w:p>
    <w:p w:rsidR="00CE3659" w:rsidRPr="005F451F" w:rsidRDefault="00CE3659" w:rsidP="00CE3659">
      <w:pPr>
        <w:rPr>
          <w:lang w:eastAsia="en-AU"/>
        </w:rPr>
      </w:pPr>
      <w:r w:rsidRPr="004C071D">
        <w:rPr>
          <w:b/>
          <w:lang w:eastAsia="en-AU"/>
        </w:rPr>
        <w:t>Interventions covered are</w:t>
      </w:r>
      <w:r>
        <w:rPr>
          <w:lang w:eastAsia="en-AU"/>
        </w:rPr>
        <w:t xml:space="preserve">: </w:t>
      </w:r>
      <w:r w:rsidRPr="006416A5">
        <w:rPr>
          <w:lang w:eastAsia="en-AU"/>
        </w:rPr>
        <w:t>Mental Health Employment Service Trial</w:t>
      </w:r>
      <w:r>
        <w:rPr>
          <w:lang w:eastAsia="en-AU"/>
        </w:rPr>
        <w:t xml:space="preserve">, </w:t>
      </w:r>
      <w:r w:rsidRPr="006416A5">
        <w:rPr>
          <w:lang w:eastAsia="en-AU"/>
        </w:rPr>
        <w:t>Sole Parent Employment Service Trial</w:t>
      </w:r>
      <w:r>
        <w:rPr>
          <w:lang w:eastAsia="en-AU"/>
        </w:rPr>
        <w:t>, Work Focused Case Management (General), Work Focused Case Management (pilot), Work Focused Case Management HCD, Work Focused Case Management ICS (Entrenched), Work Focused Case Management Integrated Services (IS), Work Search Support, Work Search Support (pilot)</w:t>
      </w:r>
    </w:p>
    <w:p w:rsidR="00CE3659" w:rsidRDefault="00CE3659" w:rsidP="00CE3659">
      <w:r>
        <w:t xml:space="preserve">Randomised </w:t>
      </w:r>
      <w:r w:rsidR="00EA53C0">
        <w:t xml:space="preserve">control trial </w:t>
      </w:r>
      <w:r>
        <w:t xml:space="preserve">(RCT) designs are the most robust counterfactual designs as they require the fewest assumptions and therefore can make the strongest quantitative </w:t>
      </w:r>
      <w:r>
        <w:lastRenderedPageBreak/>
        <w:t xml:space="preserve">statements about the causal relationship between intervention and outcomes. RCTs in the context of MSD EA interventions have been used most extensively to evaluate the impact of </w:t>
      </w:r>
      <w:r w:rsidR="008C39BE">
        <w:t>case</w:t>
      </w:r>
      <w:r w:rsidR="002220A0">
        <w:t xml:space="preserve"> </w:t>
      </w:r>
      <w:r>
        <w:t>management services</w:t>
      </w:r>
      <w:r w:rsidR="008C39BE">
        <w:t>,</w:t>
      </w:r>
      <w:r>
        <w:t xml:space="preserve"> such as Work Focused Case Management or Investment Approach Trials </w:t>
      </w:r>
      <w:r>
        <w:fldChar w:fldCharType="begin" w:fldLock="1"/>
      </w:r>
      <w:r>
        <w:instrText>ADDIN CSL_CITATION { "citationItems" : [ { "id" : "ITEM-1", "itemData" : { "abstract" : "This report summarises the welfare return on investment (wROI) for a range of intensive case management services targeted at people receiving income support.", "author" : [ { "dropping-particle" : "", "family" : "MSD", "given" : "", "non-dropping-particle" : "", "parse-names" : false, "suffix" : "" } ], "id" : "ITEM-1", "issued" : { "date-parts" : [ [ "2018" ] ] }, "number-of-pages" : "110", "publisher" : "Ministry of Social Development (EDRMS: A9467849)", "publisher-place" : "Wellington", "title" : "Cost-effectiveness of intensive case management services", "type" : "report" }, "uris" : [ "http://www.mendeley.com/documents/?uuid=8c264d3a-dacd-402a-ace2-ec0e3adb50a1" ] } ], "mendeley" : { "formattedCitation" : "(MSD, 2018a)", "plainTextFormattedCitation" : "(MSD, 2018a)", "previouslyFormattedCitation" : "(MSD, 2018a)" }, "properties" : {  }, "schema" : "https://github.com/citation-style-language/schema/raw/master/csl-citation.json" }</w:instrText>
      </w:r>
      <w:r>
        <w:fldChar w:fldCharType="separate"/>
      </w:r>
      <w:r w:rsidRPr="00DC53C5">
        <w:rPr>
          <w:noProof/>
        </w:rPr>
        <w:t>(MSD, 2018a)</w:t>
      </w:r>
      <w:r>
        <w:fldChar w:fldCharType="end"/>
      </w:r>
      <w:r>
        <w:t>.</w:t>
      </w:r>
    </w:p>
    <w:p w:rsidR="00CE3659" w:rsidRPr="00EF6F59" w:rsidRDefault="00CE3659" w:rsidP="00CE3659">
      <w:pPr>
        <w:pStyle w:val="Heading3"/>
      </w:pPr>
      <w:bookmarkStart w:id="101" w:name="_Toc524003481"/>
      <w:r>
        <w:t>Propensity matching</w:t>
      </w:r>
      <w:bookmarkEnd w:id="101"/>
    </w:p>
    <w:p w:rsidR="00CE3659" w:rsidRDefault="00CE3659" w:rsidP="00CE3659">
      <w:r>
        <w:t xml:space="preserve">Propensity matching is the main method we use to estimate the impact of EA interventions. Propensity matching is a common alternative to </w:t>
      </w:r>
      <w:r w:rsidRPr="00F25547">
        <w:rPr>
          <w:noProof/>
        </w:rPr>
        <w:t>randomisation</w:t>
      </w:r>
      <w:r>
        <w:t>. It estimates the counterfactual by</w:t>
      </w:r>
      <w:r w:rsidRPr="000E5985">
        <w:t xml:space="preserve"> construct</w:t>
      </w:r>
      <w:r>
        <w:t>ing</w:t>
      </w:r>
      <w:r w:rsidRPr="000E5985">
        <w:t xml:space="preserve"> a matched group of non-participants who have the same </w:t>
      </w:r>
      <w:r>
        <w:t>(</w:t>
      </w:r>
      <w:r w:rsidRPr="000E5985">
        <w:t>or similar</w:t>
      </w:r>
      <w:r>
        <w:t>)</w:t>
      </w:r>
      <w:r w:rsidRPr="000E5985">
        <w:t xml:space="preserve"> characteristics as the participants.</w:t>
      </w:r>
      <w:r>
        <w:t xml:space="preserve"> These non-participants are drawn from the population who have received income support. Propensity Score Matching is one of a group of methods referred to as quasi-experimental that attempt</w:t>
      </w:r>
      <w:r w:rsidR="002220A0">
        <w:t>s</w:t>
      </w:r>
      <w:r>
        <w:t xml:space="preserve"> to replicate the same conditions as a randomised control trial. However, in all </w:t>
      </w:r>
      <w:r w:rsidRPr="00C34FD3">
        <w:rPr>
          <w:noProof/>
        </w:rPr>
        <w:t>instances</w:t>
      </w:r>
      <w:r w:rsidR="00C34FD3">
        <w:rPr>
          <w:noProof/>
        </w:rPr>
        <w:t>,</w:t>
      </w:r>
      <w:r>
        <w:t xml:space="preserve"> quasi-experimental designs rely on additional assumptions that make them less robust than RCTs. </w:t>
      </w:r>
    </w:p>
    <w:p w:rsidR="00CE3659" w:rsidRPr="000E5985" w:rsidRDefault="00CE3659" w:rsidP="00CE3659">
      <w:r>
        <w:t xml:space="preserve">Before outlining propensity matching, it is useful to think of an intuitively appealing alternative of exact matching. Exact matching, as the term suggests, is </w:t>
      </w:r>
      <w:r w:rsidRPr="000E5985">
        <w:t xml:space="preserve">to </w:t>
      </w:r>
      <w:r>
        <w:t xml:space="preserve">match a participant to a comparison </w:t>
      </w:r>
      <w:r w:rsidR="00EA53C0">
        <w:t>with</w:t>
      </w:r>
      <w:r>
        <w:t xml:space="preserve"> the same characteristics (eg same age, gender, benefit history and so on). </w:t>
      </w:r>
      <w:r w:rsidRPr="000E5985">
        <w:t xml:space="preserve">However, </w:t>
      </w:r>
      <w:r>
        <w:t>exact matching is</w:t>
      </w:r>
      <w:r w:rsidRPr="000E5985">
        <w:t xml:space="preserve"> limited by the probability that two people share the same set of observable characteristics</w:t>
      </w:r>
      <w:r>
        <w:t xml:space="preserve"> (and is also unnecessarily restrictive)</w:t>
      </w:r>
      <w:r w:rsidRPr="000E5985">
        <w:t>.</w:t>
      </w:r>
      <w:r>
        <w:rPr>
          <w:rStyle w:val="FootnoteReference"/>
        </w:rPr>
        <w:footnoteReference w:id="4"/>
      </w:r>
      <w:r>
        <w:t xml:space="preserve"> </w:t>
      </w:r>
      <w:r w:rsidRPr="000E5985">
        <w:t>The more characteristics included in the</w:t>
      </w:r>
      <w:r>
        <w:t xml:space="preserve"> exact </w:t>
      </w:r>
      <w:r w:rsidRPr="000E5985">
        <w:t xml:space="preserve">match, the less likely </w:t>
      </w:r>
      <w:r>
        <w:t xml:space="preserve">it is to find a comparison person with the exact same characteristics for each </w:t>
      </w:r>
      <w:r w:rsidRPr="000E5985">
        <w:t>participant.</w:t>
      </w:r>
      <w:r>
        <w:t xml:space="preserve"> </w:t>
      </w:r>
      <w:r w:rsidRPr="000E5985">
        <w:t>As a result</w:t>
      </w:r>
      <w:r>
        <w:t>,</w:t>
      </w:r>
      <w:r w:rsidRPr="000E5985">
        <w:t xml:space="preserve"> these methods require the arbitrary selection of only a few matching variables.</w:t>
      </w:r>
    </w:p>
    <w:p w:rsidR="00CE3659" w:rsidRDefault="00CE3659" w:rsidP="00CE3659">
      <w:r>
        <w:t xml:space="preserve">Propensity matching overcomes this problem by using </w:t>
      </w:r>
      <w:r w:rsidRPr="000E5985">
        <w:t xml:space="preserve">a logistic regression model to </w:t>
      </w:r>
      <w:r>
        <w:t xml:space="preserve">relate </w:t>
      </w:r>
      <w:r w:rsidRPr="000E5985">
        <w:t xml:space="preserve">observable characteristics </w:t>
      </w:r>
      <w:r>
        <w:t>to</w:t>
      </w:r>
      <w:r w:rsidRPr="000E5985">
        <w:t xml:space="preserve"> programme participation.</w:t>
      </w:r>
      <w:r>
        <w:t xml:space="preserve"> The l</w:t>
      </w:r>
      <w:r w:rsidRPr="000E5985">
        <w:t>ogistic regress</w:t>
      </w:r>
      <w:r w:rsidR="00E81ECB">
        <w:t xml:space="preserve">ion produces an estimate of how likely a </w:t>
      </w:r>
      <w:r w:rsidRPr="000E5985">
        <w:t xml:space="preserve">given </w:t>
      </w:r>
      <w:r>
        <w:t>individual</w:t>
      </w:r>
      <w:r w:rsidRPr="000E5985">
        <w:t xml:space="preserve"> </w:t>
      </w:r>
      <w:r w:rsidR="00E81ECB">
        <w:t>would be a participant in</w:t>
      </w:r>
      <w:r w:rsidRPr="000E5985">
        <w:t xml:space="preserve"> a programme.</w:t>
      </w:r>
      <w:r>
        <w:t xml:space="preserve"> </w:t>
      </w:r>
      <w:r w:rsidRPr="000E5985">
        <w:t xml:space="preserve">It is possible to </w:t>
      </w:r>
      <w:r>
        <w:t>use</w:t>
      </w:r>
      <w:r w:rsidRPr="000E5985">
        <w:t xml:space="preserve"> this </w:t>
      </w:r>
      <w:r w:rsidR="00E81ECB">
        <w:t>likelihood</w:t>
      </w:r>
      <w:r w:rsidRPr="000E5985">
        <w:t xml:space="preserve"> (called </w:t>
      </w:r>
      <w:r>
        <w:t>“</w:t>
      </w:r>
      <w:r w:rsidRPr="000E5985">
        <w:t>the propensity score</w:t>
      </w:r>
      <w:r>
        <w:t>”</w:t>
      </w:r>
      <w:r w:rsidRPr="000E5985">
        <w:t xml:space="preserve">) </w:t>
      </w:r>
      <w:r>
        <w:t xml:space="preserve">to </w:t>
      </w:r>
      <w:r w:rsidRPr="000E5985">
        <w:t>match participants and non-participants based on the similarity of their propensity scores.</w:t>
      </w:r>
      <w:r>
        <w:t xml:space="preserve"> </w:t>
      </w:r>
      <w:r w:rsidRPr="000E5985">
        <w:t>If the propensity score is properly specified</w:t>
      </w:r>
      <w:r>
        <w:t>,</w:t>
      </w:r>
      <w:r w:rsidRPr="000E5985">
        <w:t xml:space="preserve"> the participants and matched comparison groups will have a similar observable characteristic profile (</w:t>
      </w:r>
      <w:r>
        <w:t>eg</w:t>
      </w:r>
      <w:r w:rsidRPr="000E5985">
        <w:t xml:space="preserve"> similar duration, benefit type, age,</w:t>
      </w:r>
      <w:r>
        <w:t xml:space="preserve"> </w:t>
      </w:r>
      <w:r w:rsidRPr="00F25547">
        <w:rPr>
          <w:noProof/>
        </w:rPr>
        <w:t>number</w:t>
      </w:r>
      <w:r w:rsidRPr="000E5985">
        <w:t xml:space="preserve"> of children).</w:t>
      </w:r>
    </w:p>
    <w:p w:rsidR="00CE3659" w:rsidRPr="00D926EF" w:rsidRDefault="00CE3659" w:rsidP="00CE3659">
      <w:pPr>
        <w:pStyle w:val="Heading4"/>
      </w:pPr>
      <w:bookmarkStart w:id="102" w:name="_Toc78713728"/>
      <w:bookmarkStart w:id="103" w:name="_Toc78779246"/>
      <w:bookmarkStart w:id="104" w:name="_Toc78945097"/>
      <w:bookmarkStart w:id="105" w:name="_Toc78956173"/>
      <w:r w:rsidRPr="00D926EF">
        <w:t>Conditional Independence Assumption</w:t>
      </w:r>
    </w:p>
    <w:p w:rsidR="00CE3659" w:rsidRDefault="00CE3659" w:rsidP="00CE3659">
      <w:r>
        <w:t>A key assumption for propensity score matching is the</w:t>
      </w:r>
      <w:r w:rsidRPr="00874EA6">
        <w:t xml:space="preserve"> Conditional Independence Assumption (CIA)</w:t>
      </w:r>
      <w:r w:rsidR="00C92B30">
        <w:t>,</w:t>
      </w:r>
      <w:r>
        <w:t xml:space="preserve"> which</w:t>
      </w:r>
      <w:r w:rsidRPr="00874EA6">
        <w:t xml:space="preserve"> states that controlling for differences in observable characteri</w:t>
      </w:r>
      <w:r w:rsidRPr="00D6208D">
        <w:t>stics between the participant and</w:t>
      </w:r>
      <w:r w:rsidRPr="000E5985">
        <w:t xml:space="preserve"> comparison group</w:t>
      </w:r>
      <w:r>
        <w:t>s</w:t>
      </w:r>
      <w:r w:rsidRPr="000E5985">
        <w:t xml:space="preserve"> also controls for unobserved differences between the two groups.</w:t>
      </w:r>
      <w:r>
        <w:t xml:space="preserve"> </w:t>
      </w:r>
      <w:r w:rsidRPr="000E5985">
        <w:t xml:space="preserve">Estimating </w:t>
      </w:r>
      <w:r>
        <w:t xml:space="preserve">the </w:t>
      </w:r>
      <w:r w:rsidRPr="000E5985">
        <w:t>impact by controlling for observable characteristics requires</w:t>
      </w:r>
      <w:r>
        <w:t xml:space="preserve"> that</w:t>
      </w:r>
      <w:r w:rsidRPr="000E5985">
        <w:t xml:space="preserve"> the CIA hold</w:t>
      </w:r>
      <w:r>
        <w:t>s</w:t>
      </w:r>
      <w:r w:rsidRPr="000E5985">
        <w:t>.</w:t>
      </w:r>
      <w:r>
        <w:t xml:space="preserve"> </w:t>
      </w:r>
      <w:r w:rsidRPr="000E5985">
        <w:t>If</w:t>
      </w:r>
      <w:r>
        <w:t xml:space="preserve"> it holds, </w:t>
      </w:r>
      <w:r w:rsidRPr="000E5985">
        <w:t xml:space="preserve">the only statistically significant difference between </w:t>
      </w:r>
      <w:r>
        <w:t xml:space="preserve">the </w:t>
      </w:r>
      <w:r w:rsidRPr="000E5985">
        <w:t>participant and comparison group</w:t>
      </w:r>
      <w:r>
        <w:t>s</w:t>
      </w:r>
      <w:r w:rsidRPr="000E5985">
        <w:t xml:space="preserve"> </w:t>
      </w:r>
      <w:r>
        <w:t>will be</w:t>
      </w:r>
      <w:r w:rsidRPr="000E5985">
        <w:t xml:space="preserve"> their participation in the programme.</w:t>
      </w:r>
      <w:r>
        <w:t xml:space="preserve"> </w:t>
      </w:r>
      <w:r w:rsidRPr="000E5985">
        <w:t>Any resulting estimates would be unbiased.</w:t>
      </w:r>
      <w:r>
        <w:t xml:space="preserve"> </w:t>
      </w:r>
      <w:r w:rsidRPr="000E5985">
        <w:t>In other words</w:t>
      </w:r>
      <w:r>
        <w:t>,</w:t>
      </w:r>
      <w:r w:rsidRPr="000E5985">
        <w:t xml:space="preserve"> the only explanation </w:t>
      </w:r>
      <w:r>
        <w:t>for</w:t>
      </w:r>
      <w:r w:rsidRPr="000E5985">
        <w:t xml:space="preserve"> differences in outcomes between the two groups would be whether they participated in the programme.</w:t>
      </w:r>
      <w:r>
        <w:t xml:space="preserve"> </w:t>
      </w:r>
      <w:r w:rsidRPr="000E5985">
        <w:t>If the CIA fails, the estimate</w:t>
      </w:r>
      <w:r>
        <w:t>s</w:t>
      </w:r>
      <w:r w:rsidRPr="000E5985">
        <w:t xml:space="preserve"> will be biased.</w:t>
      </w:r>
      <w:r>
        <w:t xml:space="preserve"> </w:t>
      </w:r>
      <w:r w:rsidRPr="000E5985">
        <w:t xml:space="preserve">Here differences in outcomes could be due to unobserved differences between participants and </w:t>
      </w:r>
      <w:r>
        <w:t xml:space="preserve">their </w:t>
      </w:r>
      <w:r w:rsidRPr="000E5985">
        <w:t>comparison</w:t>
      </w:r>
      <w:r>
        <w:t>s,</w:t>
      </w:r>
      <w:r w:rsidRPr="000E5985">
        <w:t xml:space="preserve"> as well as the impact of the programme.</w:t>
      </w:r>
    </w:p>
    <w:p w:rsidR="00CE3659" w:rsidRDefault="00CE3659" w:rsidP="00CE3659">
      <w:r w:rsidRPr="000E5985">
        <w:lastRenderedPageBreak/>
        <w:t>The main limit</w:t>
      </w:r>
      <w:r>
        <w:t>ation</w:t>
      </w:r>
      <w:r w:rsidRPr="000E5985">
        <w:t xml:space="preserve"> of </w:t>
      </w:r>
      <w:r>
        <w:t>the propensity matching</w:t>
      </w:r>
      <w:r w:rsidRPr="000E5985">
        <w:t xml:space="preserve"> method is that it relies on available and measurable infor</w:t>
      </w:r>
      <w:r>
        <w:t>mation about people likely to participate in the EA intervention</w:t>
      </w:r>
      <w:r w:rsidRPr="000E5985">
        <w:t>.</w:t>
      </w:r>
      <w:r>
        <w:t xml:space="preserve"> </w:t>
      </w:r>
      <w:r w:rsidRPr="000E5985">
        <w:t>It is rare that comprehensive information exists about the types of people who participate in the programme or those who could form part of the comparison group.</w:t>
      </w:r>
      <w:r>
        <w:t xml:space="preserve"> </w:t>
      </w:r>
      <w:r w:rsidRPr="000E5985">
        <w:t>The analysis relies on the info</w:t>
      </w:r>
      <w:r>
        <w:t>rmation available on MSD</w:t>
      </w:r>
      <w:r w:rsidRPr="000E5985">
        <w:t>’s administrative databases.</w:t>
      </w:r>
      <w:r>
        <w:t xml:space="preserve"> </w:t>
      </w:r>
      <w:r w:rsidRPr="000E5985">
        <w:t>This increases the risk of biased estimates.</w:t>
      </w:r>
      <w:r>
        <w:t xml:space="preserve"> To address this, we have started to use a wider range of information available in the IDI to match comparison groups. The first test case for this is the evaluation of driver licensing programmes. In the future, we plan to match comparison groups for other programmes in the IDI. </w:t>
      </w:r>
      <w:r w:rsidRPr="000E5985">
        <w:t>The second limitation of the CIA is that it is not possible to determine whether it has been violated or</w:t>
      </w:r>
      <w:r>
        <w:t>,</w:t>
      </w:r>
      <w:r w:rsidRPr="000E5985">
        <w:t xml:space="preserve"> </w:t>
      </w:r>
      <w:r>
        <w:t xml:space="preserve">if it has, </w:t>
      </w:r>
      <w:r w:rsidRPr="000E5985">
        <w:t>to what extent.</w:t>
      </w:r>
    </w:p>
    <w:p w:rsidR="00CE3659" w:rsidRDefault="00CE3659" w:rsidP="00CE3659">
      <w:pPr>
        <w:pStyle w:val="Heading3"/>
      </w:pPr>
      <w:bookmarkStart w:id="106" w:name="_Toc524003482"/>
      <w:bookmarkEnd w:id="102"/>
      <w:bookmarkEnd w:id="103"/>
      <w:bookmarkEnd w:id="104"/>
      <w:bookmarkEnd w:id="105"/>
      <w:r>
        <w:t>Quality of the matched groups</w:t>
      </w:r>
      <w:bookmarkEnd w:id="106"/>
    </w:p>
    <w:p w:rsidR="00CE3659" w:rsidRDefault="00CE3659" w:rsidP="00CE3659">
      <w:pPr>
        <w:rPr>
          <w:lang w:eastAsia="en-AU"/>
        </w:rPr>
      </w:pPr>
      <w:r>
        <w:rPr>
          <w:lang w:eastAsia="en-AU"/>
        </w:rPr>
        <w:t xml:space="preserve">While we cannot test if the CIA has been violated, we can check to see if the comparison group has a similar profile to the participants, on average. This refers to the balancing test. This section of the report summarises our approach and is covered in detail in the technical report on </w:t>
      </w:r>
      <w:r>
        <w:t xml:space="preserve">Propensity Matching MSD Interventions </w:t>
      </w:r>
      <w:r>
        <w:fldChar w:fldCharType="begin" w:fldLock="1"/>
      </w:r>
      <w:r>
        <w:instrText>ADDIN CSL_CITATION { "citationItems" : [ { "id" : "ITEM-1", "itemData" : { "abstract" : "The purpose of this report is to outline how we apply the method of propensity matching to estimate the impact of MSD interventions. Because we use propensity matching to estimate the effectiveness of many of MSD's employment assistance interventions, we considered more economical to have a single technical report outlining the theory and application of the method.", "author" : [ { "dropping-particle" : "", "family" : "MSD", "given" : "", "non-dropping-particle" : "", "parse-names" : false, "suffix" : "" } ], "id" : "ITEM-1", "issued" : { "date-parts" : [ [ "2018" ] ] }, "number-of-pages" : "XX", "publisher" : "Ministry of Social Development (EDRMS id: A6927997)", "publisher-place" : "Wel", "title" : "Propensity matching MSD interventions: technical notes", "type" : "report" }, "uris" : [ "http://www.mendeley.com/documents/?uuid=c5fc6a71-8db6-4089-9fe2-a9c94d6ae2ec" ] } ], "mendeley" : { "formattedCitation" : "(MSD, 2018b)", "plainTextFormattedCitation" : "(MSD, 2018b)", "previouslyFormattedCitation" : "(MSD, 2018b)" }, "properties" : {  }, "schema" : "https://github.com/citation-style-language/schema/raw/master/csl-citation.json" }</w:instrText>
      </w:r>
      <w:r>
        <w:fldChar w:fldCharType="separate"/>
      </w:r>
      <w:r w:rsidRPr="00DC53C5">
        <w:rPr>
          <w:noProof/>
        </w:rPr>
        <w:t>(MSD, 2018b)</w:t>
      </w:r>
      <w:r>
        <w:fldChar w:fldCharType="end"/>
      </w:r>
      <w:r>
        <w:t>.</w:t>
      </w:r>
    </w:p>
    <w:p w:rsidR="00CE3659" w:rsidRDefault="00CE3659" w:rsidP="00CE3659">
      <w:pPr>
        <w:rPr>
          <w:lang w:eastAsia="en-AU"/>
        </w:rPr>
      </w:pPr>
      <w:r>
        <w:rPr>
          <w:lang w:eastAsia="en-AU"/>
        </w:rPr>
        <w:t>A quick way of checking for this is to count the number of variables that show a statistically significant difference between the participant and comparison group. We can then apply a rule of thumb, for example, if more than 5% of significant tests indicate that there is a difference, then we say the matched comparison group is not very similar to the participants.</w:t>
      </w:r>
    </w:p>
    <w:p w:rsidR="00CE3659" w:rsidRDefault="00CE3659" w:rsidP="00CE3659">
      <w:pPr>
        <w:rPr>
          <w:lang w:eastAsia="en-AU"/>
        </w:rPr>
      </w:pPr>
      <w:r>
        <w:rPr>
          <w:lang w:eastAsia="en-AU"/>
        </w:rPr>
        <w:t>The current method that we use is to calculate:</w:t>
      </w:r>
    </w:p>
    <w:p w:rsidR="00CE3659" w:rsidRDefault="00CE3659" w:rsidP="00CE3659">
      <w:pPr>
        <w:pStyle w:val="ListParagraph"/>
        <w:numPr>
          <w:ilvl w:val="0"/>
          <w:numId w:val="8"/>
        </w:numPr>
        <w:spacing w:before="60" w:after="60"/>
        <w:rPr>
          <w:lang w:eastAsia="en-AU"/>
        </w:rPr>
      </w:pPr>
      <w:r>
        <w:rPr>
          <w:lang w:eastAsia="en-AU"/>
        </w:rPr>
        <w:t>Mean differences between participants and comparison group for continuous variables.</w:t>
      </w:r>
    </w:p>
    <w:p w:rsidR="00CE3659" w:rsidRDefault="00CE3659" w:rsidP="00CE3659">
      <w:pPr>
        <w:pStyle w:val="ListParagraph"/>
        <w:numPr>
          <w:ilvl w:val="0"/>
          <w:numId w:val="8"/>
        </w:numPr>
        <w:spacing w:before="60" w:after="60"/>
        <w:rPr>
          <w:lang w:eastAsia="en-AU"/>
        </w:rPr>
      </w:pPr>
      <w:r>
        <w:rPr>
          <w:lang w:eastAsia="en-AU"/>
        </w:rPr>
        <w:t xml:space="preserve">Chi-square goodness-of-fit tests comparing observed counts in the comparison group against expected counts (calculated by multiplying the proportions in the participant group by the size of the comparison group). If the test is significant, this is followed by </w:t>
      </w:r>
      <w:r w:rsidR="00C34FD3">
        <w:rPr>
          <w:lang w:eastAsia="en-AU"/>
        </w:rPr>
        <w:t xml:space="preserve">a </w:t>
      </w:r>
      <w:r w:rsidRPr="00C34FD3">
        <w:rPr>
          <w:noProof/>
          <w:lang w:eastAsia="en-AU"/>
        </w:rPr>
        <w:t>post-hoc</w:t>
      </w:r>
      <w:r>
        <w:rPr>
          <w:lang w:eastAsia="en-AU"/>
        </w:rPr>
        <w:t xml:space="preserve"> comparison of proportions </w:t>
      </w:r>
      <w:r w:rsidR="00C34FD3">
        <w:rPr>
          <w:noProof/>
          <w:lang w:eastAsia="en-AU"/>
        </w:rPr>
        <w:t>at</w:t>
      </w:r>
      <w:r>
        <w:rPr>
          <w:lang w:eastAsia="en-AU"/>
        </w:rPr>
        <w:t xml:space="preserve"> each level of the categorical variable. The purpose of this is to only do additional tests where warranted instead of doing </w:t>
      </w:r>
      <w:r w:rsidR="00C34FD3">
        <w:rPr>
          <w:lang w:eastAsia="en-AU"/>
        </w:rPr>
        <w:t xml:space="preserve">a </w:t>
      </w:r>
      <w:r w:rsidRPr="00C34FD3">
        <w:rPr>
          <w:noProof/>
          <w:lang w:eastAsia="en-AU"/>
        </w:rPr>
        <w:t>comparison</w:t>
      </w:r>
      <w:r>
        <w:rPr>
          <w:lang w:eastAsia="en-AU"/>
        </w:rPr>
        <w:t xml:space="preserve"> of proportions for each level for all categorical variables.</w:t>
      </w:r>
    </w:p>
    <w:p w:rsidR="00CE3659" w:rsidRDefault="00CE3659" w:rsidP="00CE3659">
      <w:pPr>
        <w:pStyle w:val="ListParagraph"/>
        <w:numPr>
          <w:ilvl w:val="0"/>
          <w:numId w:val="8"/>
        </w:numPr>
        <w:spacing w:before="60" w:after="60"/>
        <w:rPr>
          <w:lang w:eastAsia="en-AU"/>
        </w:rPr>
      </w:pPr>
      <w:r>
        <w:rPr>
          <w:lang w:eastAsia="en-AU"/>
        </w:rPr>
        <w:t xml:space="preserve">Adjust the p-values for doing multiple testing by controlling the false discovery rate using the </w:t>
      </w:r>
      <w:proofErr w:type="spellStart"/>
      <w:r>
        <w:rPr>
          <w:lang w:eastAsia="en-AU"/>
        </w:rPr>
        <w:t>Bonferroni</w:t>
      </w:r>
      <w:proofErr w:type="spellEnd"/>
      <w:r>
        <w:rPr>
          <w:lang w:eastAsia="en-AU"/>
        </w:rPr>
        <w:t xml:space="preserve">-Holm method. </w:t>
      </w:r>
      <w:r w:rsidRPr="00C34FD3">
        <w:rPr>
          <w:noProof/>
          <w:lang w:eastAsia="en-AU"/>
        </w:rPr>
        <w:t>Currently</w:t>
      </w:r>
      <w:r w:rsidR="00C34FD3">
        <w:rPr>
          <w:noProof/>
          <w:lang w:eastAsia="en-AU"/>
        </w:rPr>
        <w:t>,</w:t>
      </w:r>
      <w:r>
        <w:rPr>
          <w:lang w:eastAsia="en-AU"/>
        </w:rPr>
        <w:t xml:space="preserve"> we work with accepting that 5% of rejected null hypotheses will </w:t>
      </w:r>
      <w:r w:rsidRPr="00C34FD3">
        <w:rPr>
          <w:noProof/>
          <w:lang w:eastAsia="en-AU"/>
        </w:rPr>
        <w:t>be mistakes</w:t>
      </w:r>
      <w:r>
        <w:rPr>
          <w:lang w:eastAsia="en-AU"/>
        </w:rPr>
        <w:t xml:space="preserve">. </w:t>
      </w:r>
    </w:p>
    <w:p w:rsidR="00CE3659" w:rsidRDefault="00CE3659" w:rsidP="00CE3659">
      <w:pPr>
        <w:rPr>
          <w:lang w:eastAsia="en-AU"/>
        </w:rPr>
      </w:pPr>
      <w:r>
        <w:rPr>
          <w:lang w:eastAsia="en-AU"/>
        </w:rPr>
        <w:t>We can also check the overlap in propensity scores between participants and the potential comparison group. If both groups are similar, then the distribution of the propensity scores for the participants should substantially overlap with the distribution of the scores for the non-participant group.</w:t>
      </w:r>
      <w:r w:rsidRPr="007C5898">
        <w:rPr>
          <w:lang w:eastAsia="en-AU"/>
        </w:rPr>
        <w:t xml:space="preserve"> </w:t>
      </w:r>
      <w:r>
        <w:rPr>
          <w:lang w:eastAsia="en-AU"/>
        </w:rPr>
        <w:t>This overlap is referred to as common support, if common support is poor then the participants are quite unlike the population of non-participants and it is less likely that we can match a suitable comparison (ie one that meets the balance test).</w:t>
      </w:r>
    </w:p>
    <w:p w:rsidR="00CE3659" w:rsidRDefault="00CE3659" w:rsidP="00CE3659">
      <w:pPr>
        <w:rPr>
          <w:lang w:eastAsia="en-AU"/>
        </w:rPr>
      </w:pPr>
      <w:r>
        <w:rPr>
          <w:lang w:eastAsia="en-AU"/>
        </w:rPr>
        <w:t xml:space="preserve">Another way is to look at the impact </w:t>
      </w:r>
      <w:r w:rsidRPr="00C34FD3">
        <w:rPr>
          <w:noProof/>
          <w:lang w:eastAsia="en-AU"/>
        </w:rPr>
        <w:t>in</w:t>
      </w:r>
      <w:r>
        <w:rPr>
          <w:lang w:eastAsia="en-AU"/>
        </w:rPr>
        <w:t xml:space="preserve"> each month before the start of the programme for the different outcomes that we are measuring. For each outcome, there should ideally be no differences between the participant and comparison group before starting on the programme.</w:t>
      </w:r>
    </w:p>
    <w:p w:rsidR="00CE3659" w:rsidRDefault="00CE3659" w:rsidP="00CE3659">
      <w:pPr>
        <w:pStyle w:val="Heading4"/>
        <w:rPr>
          <w:lang w:eastAsia="en-AU"/>
        </w:rPr>
      </w:pPr>
      <w:r>
        <w:rPr>
          <w:lang w:eastAsia="en-AU"/>
        </w:rPr>
        <w:lastRenderedPageBreak/>
        <w:t xml:space="preserve">Non-standard </w:t>
      </w:r>
      <w:r w:rsidRPr="00C34FD3">
        <w:rPr>
          <w:noProof/>
          <w:lang w:eastAsia="en-AU"/>
        </w:rPr>
        <w:t>propensity</w:t>
      </w:r>
      <w:r w:rsidR="00C34FD3">
        <w:rPr>
          <w:noProof/>
          <w:lang w:eastAsia="en-AU"/>
        </w:rPr>
        <w:t>-</w:t>
      </w:r>
      <w:r w:rsidRPr="00C34FD3">
        <w:rPr>
          <w:noProof/>
          <w:lang w:eastAsia="en-AU"/>
        </w:rPr>
        <w:t>matched</w:t>
      </w:r>
      <w:r>
        <w:rPr>
          <w:lang w:eastAsia="en-AU"/>
        </w:rPr>
        <w:t xml:space="preserve"> analysis</w:t>
      </w:r>
    </w:p>
    <w:p w:rsidR="00CE3659" w:rsidRPr="004C071D" w:rsidRDefault="00CE3659" w:rsidP="00CE3659">
      <w:pPr>
        <w:rPr>
          <w:b/>
          <w:lang w:eastAsia="en-AU"/>
        </w:rPr>
      </w:pPr>
      <w:r>
        <w:rPr>
          <w:b/>
          <w:lang w:eastAsia="en-AU"/>
        </w:rPr>
        <w:t xml:space="preserve">Interventions covered </w:t>
      </w:r>
      <w:r w:rsidRPr="00C34FD3">
        <w:rPr>
          <w:b/>
          <w:noProof/>
          <w:lang w:eastAsia="en-AU"/>
        </w:rPr>
        <w:t>are</w:t>
      </w:r>
      <w:r>
        <w:rPr>
          <w:b/>
          <w:lang w:eastAsia="en-AU"/>
        </w:rPr>
        <w:t xml:space="preserve"> </w:t>
      </w:r>
      <w:r>
        <w:rPr>
          <w:lang w:eastAsia="en-AU"/>
        </w:rPr>
        <w:t>Youth Service (NEETS), Youth Transitions Service.</w:t>
      </w:r>
    </w:p>
    <w:p w:rsidR="00CE3659" w:rsidRPr="006416A5" w:rsidRDefault="00CE3659" w:rsidP="00CE3659">
      <w:pPr>
        <w:rPr>
          <w:lang w:eastAsia="en-AU"/>
        </w:rPr>
      </w:pPr>
      <w:r>
        <w:rPr>
          <w:lang w:eastAsia="en-AU"/>
        </w:rPr>
        <w:t xml:space="preserve">In addition to the standard MSD propensity matching </w:t>
      </w:r>
      <w:r w:rsidRPr="00C34FD3">
        <w:rPr>
          <w:noProof/>
          <w:lang w:eastAsia="en-AU"/>
        </w:rPr>
        <w:t>process</w:t>
      </w:r>
      <w:r w:rsidR="00C34FD3">
        <w:rPr>
          <w:noProof/>
          <w:lang w:eastAsia="en-AU"/>
        </w:rPr>
        <w:t>,</w:t>
      </w:r>
      <w:r>
        <w:rPr>
          <w:lang w:eastAsia="en-AU"/>
        </w:rPr>
        <w:t xml:space="preserve"> we have included propensity score matching impact estimates for the two services targeted at young people transitioning from school to employment or education and training. This analysis was undertaken by the New Zealand Treasury </w:t>
      </w:r>
      <w:r>
        <w:rPr>
          <w:lang w:eastAsia="en-AU"/>
        </w:rPr>
        <w:fldChar w:fldCharType="begin" w:fldLock="1"/>
      </w:r>
      <w:r>
        <w:rPr>
          <w:lang w:eastAsia="en-AU"/>
        </w:rPr>
        <w:instrText>ADDIN CSL_CITATION { "citationItems" : [ { "id" : "ITEM-1", "itemData" : { "abstract" : "The evalaution found that YS: NEET raises the educational retention of participants in the first year, by up to 9 percentage points at peak. The proportion who complete a level 2 qualification is slightly raised, by around 2 percentage points. The programme appears to raise rather than lower participants\u2019 subsequent benefit receipt rates, and there is no improvement in their likelihood of being employed. For the YTS impacts were insignificant or slightly negative. Participants were 1\u20133 percentage points less likely to be studying in the follow-up period than matched non-participants, about 2 percentage points more likely to be on a benefit, 1\u20132 percentage points more likely to be NEET, and 1 percentage point less likely to be employed. There was no significant impact on qualification achievement. In addition, there was little change in the estimated impacts from one year after YTS enrolment to five years after: using a longer follow-up window did not materially alter the size or pattern of results.", "author" : [ { "dropping-particle" : "", "family" : "Dixon", "given" : "Sylvia", "non-dropping-particle" : "", "parse-names" : false, "suffix" : "" }, { "dropping-particle" : "", "family" : "Crichton", "given" : "Sarah", "non-dropping-particle" : "", "parse-names" : false, "suffix" : "" } ], "collection-title" : "The Treasury working paper", "id" : "ITEM-1", "issued" : { "date-parts" : [ [ "2016" ] ] }, "number" : "16/08", "number-of-pages" : "69", "publisher-place" : "Wellington", "title" : "Evaluation of the Impact of the Youth Service: NEET programme", "type" : "report" }, "uris" : [ "http://www.mendeley.com/documents/?uuid=ff5f0984-c2d8-4387-a1ae-a4953cc9dbe5" ] } ], "mendeley" : { "formattedCitation" : "(Dixon &amp; Crichton, 2016)", "plainTextFormattedCitation" : "(Dixon &amp; Crichton, 2016)", "previouslyFormattedCitation" : "(Dixon &amp; Crichton, 2016)" }, "properties" : {  }, "schema" : "https://github.com/citation-style-language/schema/raw/master/csl-citation.json" }</w:instrText>
      </w:r>
      <w:r>
        <w:rPr>
          <w:lang w:eastAsia="en-AU"/>
        </w:rPr>
        <w:fldChar w:fldCharType="separate"/>
      </w:r>
      <w:r w:rsidRPr="00534FF8">
        <w:rPr>
          <w:noProof/>
          <w:lang w:eastAsia="en-AU"/>
        </w:rPr>
        <w:t>(Dixon &amp; Crichton, 2016)</w:t>
      </w:r>
      <w:r>
        <w:rPr>
          <w:lang w:eastAsia="en-AU"/>
        </w:rPr>
        <w:fldChar w:fldCharType="end"/>
      </w:r>
      <w:r>
        <w:rPr>
          <w:lang w:eastAsia="en-AU"/>
        </w:rPr>
        <w:t>.</w:t>
      </w:r>
    </w:p>
    <w:p w:rsidR="00CE3659" w:rsidRDefault="00CE3659" w:rsidP="00CE3659">
      <w:pPr>
        <w:pStyle w:val="Heading3"/>
      </w:pPr>
      <w:bookmarkStart w:id="107" w:name="_Toc524003483"/>
      <w:r>
        <w:t>Propensity score matched historical comparison group</w:t>
      </w:r>
      <w:bookmarkEnd w:id="107"/>
    </w:p>
    <w:p w:rsidR="00CE3659" w:rsidRPr="004C071D" w:rsidRDefault="00CE3659" w:rsidP="00CE3659">
      <w:pPr>
        <w:rPr>
          <w:b/>
          <w:lang w:eastAsia="en-AU"/>
        </w:rPr>
      </w:pPr>
      <w:r>
        <w:rPr>
          <w:b/>
          <w:lang w:eastAsia="en-AU"/>
        </w:rPr>
        <w:t xml:space="preserve">Interventions covered </w:t>
      </w:r>
      <w:r w:rsidRPr="00C34FD3">
        <w:rPr>
          <w:b/>
          <w:noProof/>
          <w:lang w:eastAsia="en-AU"/>
        </w:rPr>
        <w:t>are</w:t>
      </w:r>
      <w:r>
        <w:rPr>
          <w:b/>
          <w:lang w:eastAsia="en-AU"/>
        </w:rPr>
        <w:t xml:space="preserve"> </w:t>
      </w:r>
      <w:r>
        <w:rPr>
          <w:lang w:eastAsia="en-AU"/>
        </w:rPr>
        <w:t>Youth Service (YP), Youth Service (YPP).</w:t>
      </w:r>
    </w:p>
    <w:p w:rsidR="00CE3659" w:rsidRPr="006C7745" w:rsidRDefault="00CE3659" w:rsidP="00CE3659">
      <w:pPr>
        <w:rPr>
          <w:noProof/>
        </w:rPr>
      </w:pPr>
      <w:r>
        <w:t xml:space="preserve">For two EA interventions (Youth Service Youth Payment, Youth Service Young Parent Payment) there was no contemporary non-participant population. </w:t>
      </w:r>
      <w:r w:rsidRPr="00F25547">
        <w:rPr>
          <w:noProof/>
        </w:rPr>
        <w:t>Instead</w:t>
      </w:r>
      <w:r>
        <w:rPr>
          <w:noProof/>
        </w:rPr>
        <w:t>,</w:t>
      </w:r>
      <w:r>
        <w:t xml:space="preserve"> the analysis constructed a </w:t>
      </w:r>
      <w:r w:rsidRPr="00F25547">
        <w:rPr>
          <w:noProof/>
        </w:rPr>
        <w:t>propensity</w:t>
      </w:r>
      <w:r>
        <w:rPr>
          <w:noProof/>
        </w:rPr>
        <w:t>-</w:t>
      </w:r>
      <w:r w:rsidRPr="00F25547">
        <w:rPr>
          <w:noProof/>
        </w:rPr>
        <w:t>matched</w:t>
      </w:r>
      <w:r>
        <w:rPr>
          <w:noProof/>
        </w:rPr>
        <w:t xml:space="preserve"> comparison group based on a similar population who received the Independent Youth Benefit in the past. The comparison group resembled the Youth Service participants on </w:t>
      </w:r>
      <w:r w:rsidRPr="00C34FD3">
        <w:rPr>
          <w:noProof/>
        </w:rPr>
        <w:t>average</w:t>
      </w:r>
      <w:r>
        <w:rPr>
          <w:noProof/>
        </w:rPr>
        <w:t xml:space="preserve"> but were exposed to different policies and labour market conditions. The analysis was </w:t>
      </w:r>
      <w:r w:rsidR="003A1ABF">
        <w:rPr>
          <w:noProof/>
        </w:rPr>
        <w:t xml:space="preserve">also </w:t>
      </w:r>
      <w:r>
        <w:rPr>
          <w:noProof/>
        </w:rPr>
        <w:t xml:space="preserve">undertaken by The Treasury </w:t>
      </w:r>
      <w:r>
        <w:rPr>
          <w:noProof/>
        </w:rPr>
        <w:fldChar w:fldCharType="begin" w:fldLock="1"/>
      </w:r>
      <w:r>
        <w:rPr>
          <w:noProof/>
        </w:rPr>
        <w:instrText>ADDIN CSL_CITATION { "citationItems" : [ { "id" : "ITEM-1", "itemData" : { "abstract" : "The evalaution found that the Youth Service raises enrolment in formal education for young beneficiaries, relative to the previous youth beneficiary case management approach, with the effect being largely sustained over a two-year period for young parents, and a shorter period for other youth beneficiaries. The proportion of YP recipients who complete a level 1 or 2 qualification is raised slightly through participation in the programme, while the impact for young parents occurs slightly later, is larger, and occurs at levels 1, 2 and 3. Participation in the programme appears to raise subsequent benefit receipt rates in the short term, but there is some evidence that it encourages a move off benefit and into work in the medium term (24 to 30 months after starting benefit), especially for YPP participants.", "author" : [ { "dropping-particle" : "", "family" : "McLeod", "given" : "Keith", "non-dropping-particle" : "", "parse-names" : false, "suffix" : "" }, { "dropping-particle" : "", "family" : "Dixon", "given" : "Sylvia", "non-dropping-particle" : "", "parse-names" : false, "suffix" : "" }, { "dropping-particle" : "", "family" : "Crichton", "given" : "Sarah", "non-dropping-particle" : "", "parse-names" : false, "suffix" : "" } ], "collection-title" : "The Treasury working paper", "id" : "ITEM-1", "issued" : { "date-parts" : [ [ "2016" ] ] }, "number" : "16/07", "number-of-pages" : "74", "publisher-place" : "Wellington", "title" : "Evaluation of the Impact of the Youth Service: Youth Payment and Young Parent Payment", "type" : "report" }, "uris" : [ "http://www.mendeley.com/documents/?uuid=615ecf83-5332-48a6-ad8f-781f3cd93a15" ] } ], "mendeley" : { "formattedCitation" : "(McLeod, Dixon, &amp; Crichton, 2016)", "plainTextFormattedCitation" : "(McLeod, Dixon, &amp; Crichton, 2016)", "previouslyFormattedCitation" : "(McLeod, Dixon, &amp; Crichton, 2016)" }, "properties" : {  }, "schema" : "https://github.com/citation-style-language/schema/raw/master/csl-citation.json" }</w:instrText>
      </w:r>
      <w:r>
        <w:rPr>
          <w:noProof/>
        </w:rPr>
        <w:fldChar w:fldCharType="separate"/>
      </w:r>
      <w:r w:rsidRPr="006416A5">
        <w:rPr>
          <w:noProof/>
        </w:rPr>
        <w:t>(McLeod, Dixon, &amp; Crichton, 2016)</w:t>
      </w:r>
      <w:r>
        <w:rPr>
          <w:noProof/>
        </w:rPr>
        <w:fldChar w:fldCharType="end"/>
      </w:r>
      <w:r>
        <w:rPr>
          <w:noProof/>
        </w:rPr>
        <w:t>.</w:t>
      </w:r>
    </w:p>
    <w:p w:rsidR="00CE3659" w:rsidRDefault="00CE3659" w:rsidP="00CE3659">
      <w:pPr>
        <w:pStyle w:val="Heading3"/>
      </w:pPr>
      <w:bookmarkStart w:id="108" w:name="_Toc524003484"/>
      <w:r w:rsidRPr="006416A5">
        <w:t>Natural experiments</w:t>
      </w:r>
      <w:bookmarkEnd w:id="108"/>
    </w:p>
    <w:p w:rsidR="00CE3659" w:rsidRPr="004C071D" w:rsidRDefault="00CE3659" w:rsidP="00CE3659">
      <w:pPr>
        <w:rPr>
          <w:b/>
          <w:lang w:eastAsia="en-AU"/>
        </w:rPr>
      </w:pPr>
      <w:r w:rsidRPr="006416A5">
        <w:rPr>
          <w:b/>
          <w:lang w:eastAsia="en-AU"/>
        </w:rPr>
        <w:t xml:space="preserve">Interventions covered </w:t>
      </w:r>
      <w:r w:rsidRPr="00C34FD3">
        <w:rPr>
          <w:b/>
          <w:noProof/>
          <w:lang w:eastAsia="en-AU"/>
        </w:rPr>
        <w:t>are</w:t>
      </w:r>
      <w:r>
        <w:rPr>
          <w:b/>
          <w:lang w:eastAsia="en-AU"/>
        </w:rPr>
        <w:t xml:space="preserve"> </w:t>
      </w:r>
      <w:r w:rsidRPr="006416A5">
        <w:rPr>
          <w:lang w:eastAsia="en-AU"/>
        </w:rPr>
        <w:t>Job</w:t>
      </w:r>
      <w:r w:rsidR="00B156F4">
        <w:rPr>
          <w:lang w:eastAsia="en-AU"/>
        </w:rPr>
        <w:t>s</w:t>
      </w:r>
      <w:r w:rsidRPr="006416A5">
        <w:rPr>
          <w:lang w:eastAsia="en-AU"/>
        </w:rPr>
        <w:t xml:space="preserve">eeker Work Ready </w:t>
      </w:r>
      <w:r w:rsidR="00B156F4" w:rsidRPr="006416A5">
        <w:rPr>
          <w:lang w:eastAsia="en-AU"/>
        </w:rPr>
        <w:t>52</w:t>
      </w:r>
      <w:r w:rsidR="00B156F4">
        <w:rPr>
          <w:lang w:eastAsia="en-AU"/>
        </w:rPr>
        <w:t>-</w:t>
      </w:r>
      <w:r w:rsidRPr="006416A5">
        <w:rPr>
          <w:lang w:eastAsia="en-AU"/>
        </w:rPr>
        <w:t>week benefit reapplication</w:t>
      </w:r>
      <w:r>
        <w:rPr>
          <w:lang w:eastAsia="en-AU"/>
        </w:rPr>
        <w:t xml:space="preserve">, </w:t>
      </w:r>
      <w:r>
        <w:t>WRK4U.</w:t>
      </w:r>
    </w:p>
    <w:p w:rsidR="00CE3659" w:rsidRDefault="00CE3659" w:rsidP="00CE3659">
      <w:r>
        <w:t xml:space="preserve">Natural experiments are instances where an EA intervention is introduced in such a way that we have a natural comparison group. The key assumption of natural experiments is that the introduction of an EA intervention is unrelated to differences in future outcomes between participants and comparisons in the absence of the intervention or, if any differences do exist, they can be controlled for. For example, in the current EA report, we used a natural experiment to evaluate the impact of the 52-week reapplication process on exits from benefit and how soon affected people returned to benefit. We used information on the behaviour of jobseekers in the years before the introduction of the 52-week reapplication process to provide a baseline comparison for those affected by the new policy. Because the policy was introduced nationally, we had to include labour market measures into the analysis to help control for changes in labour market conditions before and after the introduction of the 52-week reapplication process </w:t>
      </w:r>
      <w:r>
        <w:fldChar w:fldCharType="begin" w:fldLock="1"/>
      </w:r>
      <w:r>
        <w:instrText>ADDIN CSL_CITATION { "citationItems" : [ { "id" : "ITEM-1", "itemData" : { "abstract" : "This report evaluates the impact of the unemployment benefit 52-week reapplication process. It analyses the amount of time affected clients spend on the benefit. It found that the reapplication process has reduced the time that affected clients spend on benefit by 41 days over the 21 month follow up period.", "author" : [ { "dropping-particle" : "", "family" : "MSD", "given" : "", "non-dropping-particle" : "", "parse-names" : false, "suffix" : "" } ], "id" : "ITEM-1", "issued" : { "date-parts" : [ [ "2013" ] ] }, "number-of-pages" : "78", "publisher" : "Ministry of Social Development (EDRMS: A6516526)", "publisher-place" : "Wellington", "title" : "Impact of the 52-week Unemployment benefit reapplication process Update 2: Technical Report", "type" : "report" }, "uris" : [ "http://www.mendeley.com/documents/?uuid=76d8ed7e-9daf-4d9c-ac23-e1eae5a2afcb" ] } ], "mendeley" : { "formattedCitation" : "(MSD, 2013)", "plainTextFormattedCitation" : "(MSD, 2013)", "previouslyFormattedCitation" : "(MSD, 2013)" }, "properties" : {  }, "schema" : "https://github.com/citation-style-language/schema/raw/master/csl-citation.json" }</w:instrText>
      </w:r>
      <w:r>
        <w:fldChar w:fldCharType="separate"/>
      </w:r>
      <w:r w:rsidRPr="006416A5">
        <w:rPr>
          <w:noProof/>
        </w:rPr>
        <w:t>(MSD, 2013)</w:t>
      </w:r>
      <w:r>
        <w:fldChar w:fldCharType="end"/>
      </w:r>
      <w:r>
        <w:t>.</w:t>
      </w:r>
    </w:p>
    <w:p w:rsidR="00CE3659" w:rsidRDefault="00CE3659" w:rsidP="00CE3659">
      <w:r>
        <w:t xml:space="preserve">Likewise, we evaluated the impact of the WRK4U seminar by comparing the behaviour of jobseekers in three trial sites before and after the intervention as well as the behaviour of jobseekers in non-trial sites before and after the intervention </w:t>
      </w:r>
      <w:r>
        <w:fldChar w:fldCharType="begin" w:fldLock="1"/>
      </w:r>
      <w:r>
        <w:instrText>ADDIN CSL_CITATION { "citationItems" : [ { "id" : "ITEM-1", "itemData" : { "abstract" : "This report evaluates the impact of the Jump Start seminar pilot programme on the uptake of the unemployment benefit. It concludes that 1) Jump Start decreased UB applications by 26%, 2) likely to decrease granted UB applications by 19%, 3) may lead to a decline in income support expenditure of up to 15% over the first 6 months from application.", "author" : [ { "dropping-particle" : "", "family" : "Boer", "given" : "Marc", "non-dropping-particle" : "de", "parse-names" : false, "suffix" : "" } ], "id" : "ITEM-1", "issued" : { "date-parts" : [ [ "2003" ] ] }, "number-of-pages" : "16", "publisher" : "Ministry of Social Development (EDRMS: A177933)", "publisher-place" : "Wellington", "title" : "Impact of Jump Start seminar on uptake of the unemployment benefit", "type" : "report" }, "uris" : [ "http://www.mendeley.com/documents/?uuid=ebec8710-b670-48db-86fe-0a7a51ecc979" ] } ], "mendeley" : { "formattedCitation" : "(de Boer, 2003)", "plainTextFormattedCitation" : "(de Boer, 2003)", "previouslyFormattedCitation" : "(de Boer, 2003)" }, "properties" : {  }, "schema" : "https://github.com/citation-style-language/schema/raw/master/csl-citation.json" }</w:instrText>
      </w:r>
      <w:r>
        <w:fldChar w:fldCharType="separate"/>
      </w:r>
      <w:r w:rsidRPr="006416A5">
        <w:rPr>
          <w:noProof/>
        </w:rPr>
        <w:t>(de Boer, 2003)</w:t>
      </w:r>
      <w:r>
        <w:fldChar w:fldCharType="end"/>
      </w:r>
      <w:r>
        <w:t>.</w:t>
      </w:r>
    </w:p>
    <w:p w:rsidR="00CE3659" w:rsidRDefault="00CE3659" w:rsidP="00CE3659">
      <w:pPr>
        <w:pStyle w:val="Heading2"/>
      </w:pPr>
      <w:bookmarkStart w:id="109" w:name="_Toc514063464"/>
      <w:bookmarkStart w:id="110" w:name="_Toc524003485"/>
      <w:r>
        <w:t>Other considerations</w:t>
      </w:r>
      <w:bookmarkEnd w:id="109"/>
      <w:bookmarkEnd w:id="110"/>
    </w:p>
    <w:p w:rsidR="00CE3659" w:rsidRPr="00903757" w:rsidRDefault="00CE3659" w:rsidP="00CE3659">
      <w:pPr>
        <w:pStyle w:val="Heading3"/>
        <w:rPr>
          <w:rFonts w:cs="Times New Roman"/>
          <w:i/>
          <w:iCs/>
          <w:sz w:val="22"/>
        </w:rPr>
      </w:pPr>
      <w:bookmarkStart w:id="111" w:name="_Toc524003486"/>
      <w:r>
        <w:t>Making multiple statistical inferences</w:t>
      </w:r>
      <w:bookmarkEnd w:id="111"/>
    </w:p>
    <w:p w:rsidR="00CE3659" w:rsidRDefault="00CE3659" w:rsidP="00CE3659">
      <w:pPr>
        <w:rPr>
          <w:lang w:eastAsia="en-AU"/>
        </w:rPr>
      </w:pPr>
      <w:r>
        <w:rPr>
          <w:lang w:eastAsia="en-AU"/>
        </w:rPr>
        <w:t xml:space="preserve">When presenting summative statements about the effects of many EA interventions on these outcomes on different subgroups of participants, we are making hundreds of statistical inferences at a time. There is a chance that some of these inferences are incorrect. Specifically, we are worried about claiming that an impact exists when there is none. </w:t>
      </w:r>
    </w:p>
    <w:p w:rsidR="00CE3659" w:rsidRDefault="00CE3659" w:rsidP="00CE3659">
      <w:pPr>
        <w:rPr>
          <w:lang w:eastAsia="en-AU"/>
        </w:rPr>
      </w:pPr>
      <w:r>
        <w:rPr>
          <w:lang w:eastAsia="en-AU"/>
        </w:rPr>
        <w:lastRenderedPageBreak/>
        <w:t xml:space="preserve">For example, imagine an EA intervention that had no impacts on any outcomes in the general population. If we took a sample of participants and comparison group </w:t>
      </w:r>
      <w:r w:rsidRPr="00C34FD3">
        <w:rPr>
          <w:noProof/>
          <w:lang w:eastAsia="en-AU"/>
        </w:rPr>
        <w:t>members</w:t>
      </w:r>
      <w:r>
        <w:rPr>
          <w:lang w:eastAsia="en-AU"/>
        </w:rPr>
        <w:t xml:space="preserve"> and analysed 100 impact results on different outcomes for that intervention, we would expect some of these to be statistically significant due to sampling variability. This is known in the statistical literature as the multiple comparisons problem. </w:t>
      </w:r>
    </w:p>
    <w:p w:rsidR="00CE3659" w:rsidRDefault="00CE3659" w:rsidP="00CE3659">
      <w:pPr>
        <w:rPr>
          <w:lang w:eastAsia="en-AU"/>
        </w:rPr>
      </w:pPr>
      <w:r>
        <w:rPr>
          <w:lang w:eastAsia="en-AU"/>
        </w:rPr>
        <w:t xml:space="preserve">We have considered two approaches to adjust for this. The first is to control the </w:t>
      </w:r>
      <w:r w:rsidRPr="00C34FD3">
        <w:rPr>
          <w:noProof/>
          <w:lang w:eastAsia="en-AU"/>
        </w:rPr>
        <w:t>familywise-error</w:t>
      </w:r>
      <w:r>
        <w:rPr>
          <w:lang w:eastAsia="en-AU"/>
        </w:rPr>
        <w:t xml:space="preserve"> rate, and the second is to control the false discovery rate. We favour controlling the false discovery rate because we think the additional power that it gives is worth the trade-off in making a proportion of inferences that are incorrect. Controlling the </w:t>
      </w:r>
      <w:r w:rsidRPr="00C34FD3">
        <w:rPr>
          <w:noProof/>
          <w:lang w:eastAsia="en-AU"/>
        </w:rPr>
        <w:t>familywise-error</w:t>
      </w:r>
      <w:r>
        <w:rPr>
          <w:lang w:eastAsia="en-AU"/>
        </w:rPr>
        <w:t xml:space="preserve"> rate (by using the </w:t>
      </w:r>
      <w:proofErr w:type="spellStart"/>
      <w:r>
        <w:rPr>
          <w:lang w:eastAsia="en-AU"/>
        </w:rPr>
        <w:t>Bonferroni</w:t>
      </w:r>
      <w:proofErr w:type="spellEnd"/>
      <w:r>
        <w:rPr>
          <w:lang w:eastAsia="en-AU"/>
        </w:rPr>
        <w:t xml:space="preserve"> method, for example) may lead to us incorrectly rejecting many null hypotheses when we should not be doing so. The other reason is that we observe a relatively large proportion of significant tests. Therefore, the challenge is to screen a large number of signals to determine if we should look more closely at the impacts of a particular programme.</w:t>
      </w:r>
    </w:p>
    <w:p w:rsidR="00CE3659" w:rsidRDefault="00CE3659" w:rsidP="00CE3659">
      <w:pPr>
        <w:pStyle w:val="Heading3"/>
      </w:pPr>
      <w:bookmarkStart w:id="112" w:name="_Toc524003487"/>
      <w:r>
        <w:t>Interpretation of EA impacts in the context of multiple interventions</w:t>
      </w:r>
      <w:bookmarkEnd w:id="112"/>
    </w:p>
    <w:p w:rsidR="00CE3659" w:rsidRDefault="00CE3659" w:rsidP="00CE3659">
      <w:pPr>
        <w:rPr>
          <w:lang w:eastAsia="en-AU"/>
        </w:rPr>
      </w:pPr>
      <w:r>
        <w:rPr>
          <w:lang w:eastAsia="en-AU"/>
        </w:rPr>
        <w:t>As the analysis makes clear, Service Delivery runs many different types of employment assistance interventions. Moreover, any one individual may receive one or more interventions over time. Therefore, it is important to understand what an impact estimate for an individual EA intervention is telling you.</w:t>
      </w:r>
    </w:p>
    <w:p w:rsidR="00CE3659" w:rsidRDefault="00CE3659" w:rsidP="00CE3659">
      <w:pPr>
        <w:pStyle w:val="Heading4"/>
        <w:rPr>
          <w:lang w:eastAsia="en-AU"/>
        </w:rPr>
      </w:pPr>
      <w:r>
        <w:rPr>
          <w:lang w:eastAsia="en-AU"/>
        </w:rPr>
        <w:t>We are estimating the impact of participating in an EA intervention at a point in time</w:t>
      </w:r>
    </w:p>
    <w:p w:rsidR="00CE3659" w:rsidRDefault="00CE3659" w:rsidP="00CE3659">
      <w:pPr>
        <w:rPr>
          <w:lang w:eastAsia="en-AU"/>
        </w:rPr>
      </w:pPr>
      <w:r>
        <w:rPr>
          <w:lang w:eastAsia="en-AU"/>
        </w:rPr>
        <w:t xml:space="preserve">Participations in EA interventions occur over time, a person may participate in only one or a series of either the same or different interventions. When we estimate the impact of an EA intervention, we are looking at the single event, namely the date a person starts an EA intervention. We are comparing this to a similar person who did not participate in the intervention on that date. Anything that happens after this date is regarded as an outcome, including subsequent participation in EA interventions. For example, an EA intervention may well increase the probability of participants receiving additional assistance relative to the comparison group. This is interpreted as an impact of the initial EA intervention. But this also means that </w:t>
      </w:r>
      <w:r w:rsidR="00C34FD3">
        <w:rPr>
          <w:lang w:eastAsia="en-AU"/>
        </w:rPr>
        <w:t xml:space="preserve">the </w:t>
      </w:r>
      <w:r w:rsidRPr="00C34FD3">
        <w:rPr>
          <w:noProof/>
          <w:lang w:eastAsia="en-AU"/>
        </w:rPr>
        <w:t>impact</w:t>
      </w:r>
      <w:r>
        <w:rPr>
          <w:lang w:eastAsia="en-AU"/>
        </w:rPr>
        <w:t xml:space="preserve"> on </w:t>
      </w:r>
      <w:r w:rsidRPr="00C34FD3">
        <w:rPr>
          <w:noProof/>
          <w:lang w:eastAsia="en-AU"/>
        </w:rPr>
        <w:t>longer</w:t>
      </w:r>
      <w:r w:rsidR="00C34FD3">
        <w:rPr>
          <w:noProof/>
          <w:lang w:eastAsia="en-AU"/>
        </w:rPr>
        <w:t>-</w:t>
      </w:r>
      <w:r w:rsidRPr="00C34FD3">
        <w:rPr>
          <w:noProof/>
          <w:lang w:eastAsia="en-AU"/>
        </w:rPr>
        <w:t>term</w:t>
      </w:r>
      <w:r>
        <w:rPr>
          <w:lang w:eastAsia="en-AU"/>
        </w:rPr>
        <w:t xml:space="preserve"> outcomes</w:t>
      </w:r>
      <w:r w:rsidR="00B71FEA">
        <w:rPr>
          <w:lang w:eastAsia="en-AU"/>
        </w:rPr>
        <w:t>,</w:t>
      </w:r>
      <w:r>
        <w:rPr>
          <w:lang w:eastAsia="en-AU"/>
        </w:rPr>
        <w:t xml:space="preserve"> such as employment or income is a combination of the initial EA intervention as well as subsequent assistance. Currently, we do not have reliable techniques to try and disentangle these effects.</w:t>
      </w:r>
    </w:p>
    <w:p w:rsidR="00CE3659" w:rsidRPr="006F68A2" w:rsidRDefault="00CE3659" w:rsidP="00CE3659">
      <w:pPr>
        <w:rPr>
          <w:lang w:eastAsia="en-AU"/>
        </w:rPr>
      </w:pPr>
      <w:r>
        <w:rPr>
          <w:lang w:eastAsia="en-AU"/>
        </w:rPr>
        <w:t>A further point to make about the comparison group, other than the participation selection period,</w:t>
      </w:r>
      <w:r>
        <w:rPr>
          <w:rStyle w:val="FootnoteReference"/>
        </w:rPr>
        <w:footnoteReference w:id="5"/>
      </w:r>
      <w:r>
        <w:rPr>
          <w:lang w:eastAsia="en-AU"/>
        </w:rPr>
        <w:t xml:space="preserve"> </w:t>
      </w:r>
      <w:r w:rsidR="003A1ABF">
        <w:rPr>
          <w:lang w:eastAsia="en-AU"/>
        </w:rPr>
        <w:t xml:space="preserve">is that </w:t>
      </w:r>
      <w:r>
        <w:rPr>
          <w:lang w:eastAsia="en-AU"/>
        </w:rPr>
        <w:t xml:space="preserve">we do not exclude any comparison group member who subsequently </w:t>
      </w:r>
      <w:r w:rsidRPr="00C34FD3">
        <w:rPr>
          <w:noProof/>
          <w:lang w:eastAsia="en-AU"/>
        </w:rPr>
        <w:t>go</w:t>
      </w:r>
      <w:r w:rsidR="00C34FD3">
        <w:rPr>
          <w:noProof/>
          <w:lang w:eastAsia="en-AU"/>
        </w:rPr>
        <w:t>es</w:t>
      </w:r>
      <w:r>
        <w:rPr>
          <w:lang w:eastAsia="en-AU"/>
        </w:rPr>
        <w:t xml:space="preserve"> onto to receive the EA intervention being evaluated. More generally, the comparison group will also receive other types of EA assistance over the outcome period. Therefore, when we report an impact, it is the marginal effect of the EA intervention relative to the average level of assistance received by the comparison group. This is an important point to keep in mind, as in some instances, a specific </w:t>
      </w:r>
      <w:r>
        <w:rPr>
          <w:lang w:eastAsia="en-AU"/>
        </w:rPr>
        <w:lastRenderedPageBreak/>
        <w:t xml:space="preserve">intervention may appear to have no impact because the comparison group is receiving similar levels of assistance </w:t>
      </w:r>
      <w:r w:rsidR="00D96B00">
        <w:rPr>
          <w:lang w:eastAsia="en-AU"/>
        </w:rPr>
        <w:t xml:space="preserve">or </w:t>
      </w:r>
      <w:r>
        <w:rPr>
          <w:lang w:eastAsia="en-AU"/>
        </w:rPr>
        <w:t xml:space="preserve">near proxies. These issues point to the need to carefully examine the relative experience of the comparison group </w:t>
      </w:r>
      <w:r w:rsidR="00D96B00">
        <w:rPr>
          <w:lang w:eastAsia="en-AU"/>
        </w:rPr>
        <w:t xml:space="preserve">against </w:t>
      </w:r>
      <w:r>
        <w:rPr>
          <w:lang w:eastAsia="en-AU"/>
        </w:rPr>
        <w:t>the participants to properly interpret the observed impacts.</w:t>
      </w:r>
    </w:p>
    <w:p w:rsidR="00CE3659" w:rsidRPr="00EC2CE7" w:rsidRDefault="00CE3659" w:rsidP="00CE3659">
      <w:pPr>
        <w:pStyle w:val="Heading1"/>
      </w:pPr>
      <w:bookmarkStart w:id="113" w:name="_Toc452630514"/>
      <w:bookmarkStart w:id="114" w:name="_Ref513464065"/>
      <w:bookmarkStart w:id="115" w:name="_Ref513464067"/>
      <w:bookmarkStart w:id="116" w:name="_Toc514063465"/>
      <w:bookmarkStart w:id="117" w:name="_Toc524003488"/>
      <w:r>
        <w:t>Estimating future impact from observed impact</w:t>
      </w:r>
      <w:bookmarkEnd w:id="113"/>
      <w:bookmarkEnd w:id="114"/>
      <w:bookmarkEnd w:id="115"/>
      <w:bookmarkEnd w:id="116"/>
      <w:bookmarkEnd w:id="117"/>
    </w:p>
    <w:p w:rsidR="00CE3659" w:rsidRDefault="00CE3659" w:rsidP="00CE3659">
      <w:r>
        <w:t xml:space="preserve">In general, the period that we can observe outcomes over is </w:t>
      </w:r>
      <w:r w:rsidRPr="00C34FD3">
        <w:rPr>
          <w:noProof/>
        </w:rPr>
        <w:t>shorte</w:t>
      </w:r>
      <w:r w:rsidR="00C34FD3">
        <w:rPr>
          <w:noProof/>
        </w:rPr>
        <w:t>r</w:t>
      </w:r>
      <w:r>
        <w:t xml:space="preserve"> than the period that an intervention has an impact on participants’ outcomes. In addition, EA interventions often have negative short-term impacts, such as </w:t>
      </w:r>
      <w:r w:rsidRPr="00F25547">
        <w:rPr>
          <w:noProof/>
        </w:rPr>
        <w:t>lock</w:t>
      </w:r>
      <w:r>
        <w:rPr>
          <w:noProof/>
        </w:rPr>
        <w:t>-</w:t>
      </w:r>
      <w:r w:rsidRPr="00F25547">
        <w:rPr>
          <w:noProof/>
        </w:rPr>
        <w:t>in</w:t>
      </w:r>
      <w:r>
        <w:t xml:space="preserve"> effects,</w:t>
      </w:r>
      <w:r>
        <w:rPr>
          <w:rStyle w:val="FootnoteReference"/>
        </w:rPr>
        <w:footnoteReference w:id="6"/>
      </w:r>
      <w:r>
        <w:t xml:space="preserve"> while positive impacts </w:t>
      </w:r>
      <w:r w:rsidR="00D96B00">
        <w:t xml:space="preserve">tend to </w:t>
      </w:r>
      <w:r>
        <w:t>occur over the medium</w:t>
      </w:r>
      <w:r w:rsidR="004C5764">
        <w:t>-</w:t>
      </w:r>
      <w:r>
        <w:t xml:space="preserve"> to long-term. Taken together, if we judge EA intervention effectiveness over a too short follow-up period, we are more likely to rate the intervention as ineffective by including short-term negative impacts and failing to include potential long-term positive impacts. </w:t>
      </w:r>
    </w:p>
    <w:p w:rsidR="00CE3659" w:rsidRDefault="00CE3659" w:rsidP="00CE3659">
      <w:r>
        <w:fldChar w:fldCharType="begin"/>
      </w:r>
      <w:r>
        <w:instrText xml:space="preserve"> REF _Ref453441758 \h </w:instrText>
      </w:r>
      <w:r>
        <w:fldChar w:fldCharType="separate"/>
      </w:r>
      <w:r w:rsidR="00F24924">
        <w:t xml:space="preserve">Figure </w:t>
      </w:r>
      <w:r w:rsidR="00F24924">
        <w:rPr>
          <w:noProof/>
        </w:rPr>
        <w:t>4</w:t>
      </w:r>
      <w:r>
        <w:fldChar w:fldCharType="end"/>
      </w:r>
      <w:r>
        <w:t xml:space="preserve"> gives a stylised example of this problem. For the hypothetical EA intervention’s impact on time off </w:t>
      </w:r>
      <w:r w:rsidRPr="00C34FD3">
        <w:rPr>
          <w:noProof/>
        </w:rPr>
        <w:t>main</w:t>
      </w:r>
      <w:r>
        <w:t xml:space="preserve"> benefit, </w:t>
      </w:r>
      <w:r>
        <w:fldChar w:fldCharType="begin"/>
      </w:r>
      <w:r>
        <w:instrText xml:space="preserve"> REF _Ref453441758 \h </w:instrText>
      </w:r>
      <w:r>
        <w:fldChar w:fldCharType="separate"/>
      </w:r>
      <w:r w:rsidR="00F24924">
        <w:t xml:space="preserve">Figure </w:t>
      </w:r>
      <w:r w:rsidR="00F24924">
        <w:rPr>
          <w:noProof/>
        </w:rPr>
        <w:t>4</w:t>
      </w:r>
      <w:r>
        <w:fldChar w:fldCharType="end"/>
      </w:r>
      <w:r>
        <w:t xml:space="preserve"> shows the interval impact (which is defined as the impact </w:t>
      </w:r>
      <w:r w:rsidRPr="00AC46BD">
        <w:rPr>
          <w:b/>
        </w:rPr>
        <w:t>within</w:t>
      </w:r>
      <w:r>
        <w:t xml:space="preserve"> a particular lapse period) steadily increasing until month 21 after the start of the intervention before it begins to fall. For example, at month </w:t>
      </w:r>
      <w:r>
        <w:fldChar w:fldCharType="begin"/>
      </w:r>
      <w:r>
        <w:instrText xml:space="preserve"> LINK Excel.Sheet.12 "C:\\Users\\mdebo001\\Objective\\objective.ssi.govt.nz-8000-mdebo001\\Objects\\Report 2016 Data tables for 2016 Cost-effectiveness report.xlsx" "Method!R24C4" \t </w:instrText>
      </w:r>
      <w:r>
        <w:fldChar w:fldCharType="separate"/>
      </w:r>
      <w:r>
        <w:t>21</w:t>
      </w:r>
      <w:r>
        <w:fldChar w:fldCharType="end"/>
      </w:r>
      <w:r>
        <w:t xml:space="preserve">, the difference in time off benefit between the participant and control group is </w:t>
      </w:r>
      <w:r>
        <w:fldChar w:fldCharType="begin"/>
      </w:r>
      <w:r>
        <w:instrText xml:space="preserve"> LINK Excel.Sheet.12 "C:\\Users\\mdebo001\\Objective\\objective.ssi.govt.nz-8000-mdebo001\\Objects\\Report 2016 Data tables for 2016 Cost-effectiveness report.xlsx" "Method!R24C5" \t </w:instrText>
      </w:r>
      <w:r>
        <w:fldChar w:fldCharType="separate"/>
      </w:r>
      <w:r>
        <w:t>1.75</w:t>
      </w:r>
      <w:r>
        <w:fldChar w:fldCharType="end"/>
      </w:r>
      <w:r>
        <w:t xml:space="preserve"> days. The cumulative </w:t>
      </w:r>
      <w:r w:rsidRPr="00F25547">
        <w:rPr>
          <w:noProof/>
        </w:rPr>
        <w:t>impact</w:t>
      </w:r>
      <w:r>
        <w:rPr>
          <w:noProof/>
        </w:rPr>
        <w:t>, on the other hand,</w:t>
      </w:r>
      <w:r>
        <w:t xml:space="preserve"> is the difference in the </w:t>
      </w:r>
      <w:r w:rsidRPr="00F25547">
        <w:rPr>
          <w:noProof/>
        </w:rPr>
        <w:t>outcome</w:t>
      </w:r>
      <w:r>
        <w:t xml:space="preserve"> </w:t>
      </w:r>
      <w:r w:rsidRPr="002517D3">
        <w:rPr>
          <w:b/>
        </w:rPr>
        <w:t>since</w:t>
      </w:r>
      <w:r>
        <w:t xml:space="preserve"> participation start (this measure is a cumulative sum from participation </w:t>
      </w:r>
      <w:r w:rsidRPr="00C34FD3">
        <w:rPr>
          <w:noProof/>
        </w:rPr>
        <w:t>start up</w:t>
      </w:r>
      <w:r>
        <w:t xml:space="preserve"> to a given lapse period). To continue the above example, the difference in cumulative time </w:t>
      </w:r>
      <w:r w:rsidRPr="00C34FD3">
        <w:rPr>
          <w:noProof/>
        </w:rPr>
        <w:t>off</w:t>
      </w:r>
      <w:r>
        <w:t xml:space="preserve"> benefit at month </w:t>
      </w:r>
      <w:r>
        <w:fldChar w:fldCharType="begin"/>
      </w:r>
      <w:r>
        <w:instrText xml:space="preserve"> LINK Excel.Sheet.12 "C:\\Users\\mdebo001\\Objective\\objective.ssi.govt.nz-8000-mdebo001\\Objects\\Report 2016 Data tables for 2016 Cost-effectiveness report.xlsx" "Method!R24C4" \t </w:instrText>
      </w:r>
      <w:r>
        <w:fldChar w:fldCharType="separate"/>
      </w:r>
      <w:r>
        <w:t>21</w:t>
      </w:r>
      <w:r>
        <w:fldChar w:fldCharType="end"/>
      </w:r>
      <w:r>
        <w:t xml:space="preserve"> is </w:t>
      </w:r>
      <w:r>
        <w:fldChar w:fldCharType="begin"/>
      </w:r>
      <w:r>
        <w:instrText xml:space="preserve"> LINK Excel.Sheet.12 "C:\\Users\\mdebo001\\Objective\\objective.ssi.govt.nz-8000-mdebo001\\Objects\\Report 2016 Data tables for 2016 Cost-effectiveness report.xlsx" "Method!R24C6" \t </w:instrText>
      </w:r>
      <w:r>
        <w:fldChar w:fldCharType="separate"/>
      </w:r>
      <w:r>
        <w:t>30.43</w:t>
      </w:r>
      <w:r>
        <w:fldChar w:fldCharType="end"/>
      </w:r>
      <w:r>
        <w:t xml:space="preserve"> days (ie the sum of all the interval impacts up to and including month </w:t>
      </w:r>
      <w:r>
        <w:fldChar w:fldCharType="begin"/>
      </w:r>
      <w:r>
        <w:instrText xml:space="preserve"> LINK Excel.Sheet.12 "C:\\Users\\mdebo001\\Objective\\objective.ssi.govt.nz-8000-mdebo001\\Objects\\Report 2016 Data tables for 2016 Cost-effectiveness report.xlsx" "Method!R24C4" \t </w:instrText>
      </w:r>
      <w:r>
        <w:fldChar w:fldCharType="separate"/>
      </w:r>
      <w:r>
        <w:t>21</w:t>
      </w:r>
      <w:r>
        <w:fldChar w:fldCharType="end"/>
      </w:r>
      <w:r>
        <w:t>).</w:t>
      </w:r>
    </w:p>
    <w:p w:rsidR="00CE3659" w:rsidRPr="0054602B" w:rsidRDefault="00CE3659" w:rsidP="00CE3659">
      <w:pPr>
        <w:pStyle w:val="Heading4"/>
        <w:rPr>
          <w:noProof/>
          <w:lang w:eastAsia="en-NZ"/>
        </w:rPr>
      </w:pPr>
      <w:bookmarkStart w:id="118" w:name="_Ref453441758"/>
      <w:bookmarkStart w:id="119" w:name="_Toc512251018"/>
      <w:bookmarkStart w:id="120" w:name="_Toc524003436"/>
      <w:r>
        <w:t xml:space="preserve">Figure </w:t>
      </w:r>
      <w:fldSimple w:instr=" SEQ Figure \* ARABIC ">
        <w:r w:rsidR="00F24924">
          <w:rPr>
            <w:noProof/>
          </w:rPr>
          <w:t>4</w:t>
        </w:r>
      </w:fldSimple>
      <w:bookmarkEnd w:id="118"/>
      <w:r>
        <w:rPr>
          <w:noProof/>
          <w:lang w:eastAsia="en-NZ"/>
        </w:rPr>
        <w:t xml:space="preserve">: </w:t>
      </w:r>
      <w:r w:rsidR="00C34FD3">
        <w:rPr>
          <w:noProof/>
          <w:lang w:eastAsia="en-NZ"/>
        </w:rPr>
        <w:t>A s</w:t>
      </w:r>
      <w:r w:rsidRPr="00C34FD3">
        <w:rPr>
          <w:noProof/>
          <w:lang w:eastAsia="en-NZ"/>
        </w:rPr>
        <w:t>tylised</w:t>
      </w:r>
      <w:r w:rsidRPr="0054602B">
        <w:rPr>
          <w:noProof/>
          <w:lang w:eastAsia="en-NZ"/>
        </w:rPr>
        <w:t xml:space="preserve"> example of the relationship between interval and cumulative impact</w:t>
      </w:r>
      <w:r>
        <w:rPr>
          <w:noProof/>
          <w:lang w:eastAsia="en-NZ"/>
        </w:rPr>
        <w:t xml:space="preserve"> on time off benefit</w:t>
      </w:r>
      <w:bookmarkEnd w:id="119"/>
      <w:bookmarkEnd w:id="120"/>
    </w:p>
    <w:p w:rsidR="00CE3659" w:rsidRDefault="00CE3659" w:rsidP="00CE3659">
      <w:pPr>
        <w:rPr>
          <w:lang w:eastAsia="en-NZ"/>
        </w:rPr>
      </w:pPr>
      <w:r>
        <w:rPr>
          <w:noProof/>
          <w:lang w:eastAsia="en-NZ"/>
        </w:rPr>
        <w:drawing>
          <wp:inline distT="0" distB="0" distL="0" distR="0" wp14:anchorId="473C82A4" wp14:editId="776CB700">
            <wp:extent cx="4572000" cy="2743200"/>
            <wp:effectExtent l="0" t="0" r="0"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E3659" w:rsidRDefault="00CE3659" w:rsidP="00CE3659">
      <w:pPr>
        <w:rPr>
          <w:lang w:eastAsia="en-NZ"/>
        </w:rPr>
      </w:pPr>
    </w:p>
    <w:p w:rsidR="00CE3659" w:rsidRDefault="00CE3659" w:rsidP="00CE3659">
      <w:r>
        <w:rPr>
          <w:lang w:eastAsia="en-NZ"/>
        </w:rPr>
        <w:t xml:space="preserve">Turning our attention to the last data point in </w:t>
      </w:r>
      <w:r>
        <w:fldChar w:fldCharType="begin"/>
      </w:r>
      <w:r>
        <w:instrText xml:space="preserve"> REF _Ref453441758 \h </w:instrText>
      </w:r>
      <w:r>
        <w:fldChar w:fldCharType="separate"/>
      </w:r>
      <w:r w:rsidR="00F24924">
        <w:t xml:space="preserve">Figure </w:t>
      </w:r>
      <w:r w:rsidR="00F24924">
        <w:rPr>
          <w:noProof/>
        </w:rPr>
        <w:t>4</w:t>
      </w:r>
      <w:r>
        <w:fldChar w:fldCharType="end"/>
      </w:r>
      <w:r>
        <w:t xml:space="preserve"> (month </w:t>
      </w:r>
      <w:r>
        <w:fldChar w:fldCharType="begin"/>
      </w:r>
      <w:r>
        <w:instrText xml:space="preserve"> LINK Excel.Sheet.12 "C:\\Users\\mdebo001\\Objective\\objective.ssi.govt.nz-8000-mdebo001\\Objects\\Report 2016 Data tables for 2016 Cost-effectiveness report.xlsx" "Method!R25C4" \t </w:instrText>
      </w:r>
      <w:r>
        <w:fldChar w:fldCharType="separate"/>
      </w:r>
      <w:r>
        <w:t>41</w:t>
      </w:r>
      <w:r>
        <w:fldChar w:fldCharType="end"/>
      </w:r>
      <w:r>
        <w:t xml:space="preserve">), we can see that the interval impact is greater than zero (impact: </w:t>
      </w:r>
      <w:r>
        <w:fldChar w:fldCharType="begin"/>
      </w:r>
      <w:r>
        <w:instrText xml:space="preserve"> LINK Excel.Sheet.12 "C:\\Users\\mdebo001\\Objective\\objective.ssi.govt.nz-8000-mdebo001\\Objects\\Report 2016 Data tables for 2016 Cost-effectiveness report.xlsx" "Method!R25C5" \t </w:instrText>
      </w:r>
      <w:r>
        <w:fldChar w:fldCharType="separate"/>
      </w:r>
      <w:r>
        <w:t>0.95</w:t>
      </w:r>
      <w:r>
        <w:fldChar w:fldCharType="end"/>
      </w:r>
      <w:r>
        <w:t xml:space="preserve"> additional days off benefit in month </w:t>
      </w:r>
      <w:r>
        <w:fldChar w:fldCharType="begin"/>
      </w:r>
      <w:r>
        <w:instrText xml:space="preserve"> LINK Excel.Sheet.12 "C:\\Users\\mdebo001\\Objective\\objective.ssi.govt.nz-8000-mdebo001\\Objects\\Report 2016 Data tables for 2016 Cost-effectiveness report.xlsx" "Method!R25C4" \t </w:instrText>
      </w:r>
      <w:r>
        <w:fldChar w:fldCharType="separate"/>
      </w:r>
      <w:r>
        <w:t>41</w:t>
      </w:r>
      <w:r>
        <w:fldChar w:fldCharType="end"/>
      </w:r>
      <w:r>
        <w:t xml:space="preserve">). What this tells us is that we have not seen the full impact of the intervention on time spent off </w:t>
      </w:r>
      <w:r w:rsidRPr="00C34FD3">
        <w:rPr>
          <w:noProof/>
        </w:rPr>
        <w:t>main</w:t>
      </w:r>
      <w:r>
        <w:t xml:space="preserve"> benefit. This will occur when the interval impact converges to zero. </w:t>
      </w:r>
    </w:p>
    <w:p w:rsidR="00CE3659" w:rsidRDefault="00CE3659" w:rsidP="00CE3659">
      <w:r>
        <w:t>The challenge in this analysis is to estimate the unobserved interval impact to be able to get an estimate of the full cumulative impact on participants’ outcomes. We do this using a three-step process:</w:t>
      </w:r>
    </w:p>
    <w:p w:rsidR="00CE3659" w:rsidRPr="0012738A" w:rsidRDefault="00CE3659" w:rsidP="00CE3659">
      <w:pPr>
        <w:pStyle w:val="Numbering"/>
        <w:ind w:left="357" w:hanging="357"/>
      </w:pPr>
      <w:r w:rsidRPr="0012738A">
        <w:t>Based on the entire participant group, we project the interval impact until it converges on zero. If the natur</w:t>
      </w:r>
      <w:r>
        <w:t>al</w:t>
      </w:r>
      <w:r w:rsidRPr="0012738A">
        <w:t xml:space="preserve"> trend is </w:t>
      </w:r>
      <w:r>
        <w:t>away from zero, we force the trend towards zero</w:t>
      </w:r>
      <w:r w:rsidRPr="0012738A">
        <w:t>.</w:t>
      </w:r>
    </w:p>
    <w:p w:rsidR="00CE3659" w:rsidRPr="0012738A" w:rsidRDefault="00CE3659" w:rsidP="00CE3659">
      <w:pPr>
        <w:pStyle w:val="Numbering"/>
        <w:ind w:left="357" w:hanging="357"/>
      </w:pPr>
      <w:r>
        <w:t>U</w:t>
      </w:r>
      <w:r w:rsidRPr="0012738A">
        <w:t>sing the projected interval impact we calculate the projected cumulative impact (ie add up each projected impact over successive lapse periods)</w:t>
      </w:r>
      <w:r>
        <w:t>.</w:t>
      </w:r>
    </w:p>
    <w:p w:rsidR="00CE3659" w:rsidRPr="0012738A" w:rsidRDefault="00CE3659" w:rsidP="00CE3659">
      <w:pPr>
        <w:pStyle w:val="Numbering"/>
        <w:ind w:left="357" w:hanging="357"/>
      </w:pPr>
      <w:r>
        <w:t>U</w:t>
      </w:r>
      <w:r w:rsidRPr="0012738A">
        <w:t xml:space="preserve">sing the projected cumulative impact results from step 2, </w:t>
      </w:r>
      <w:r>
        <w:t xml:space="preserve">we </w:t>
      </w:r>
      <w:r w:rsidRPr="0012738A">
        <w:t>add the trend in cumulative impact to the observed impact with appropriate scaling if required.</w:t>
      </w:r>
    </w:p>
    <w:p w:rsidR="00CE3659" w:rsidRDefault="00CE3659" w:rsidP="00CE3659">
      <w:r>
        <w:t>Below is a more detailed outline of each of the above steps.</w:t>
      </w:r>
    </w:p>
    <w:p w:rsidR="00CE3659" w:rsidRDefault="00CE3659" w:rsidP="00CE3659">
      <w:pPr>
        <w:pStyle w:val="Heading2"/>
      </w:pPr>
      <w:bookmarkStart w:id="121" w:name="_Ref468605372"/>
      <w:bookmarkStart w:id="122" w:name="_Toc514063466"/>
      <w:bookmarkStart w:id="123" w:name="_Toc524003489"/>
      <w:r>
        <w:t>Step 1: Estimate the expected interval impact</w:t>
      </w:r>
      <w:bookmarkEnd w:id="121"/>
      <w:bookmarkEnd w:id="122"/>
      <w:bookmarkEnd w:id="123"/>
    </w:p>
    <w:p w:rsidR="00CE3659" w:rsidRDefault="00CE3659" w:rsidP="00CE3659">
      <w:pPr>
        <w:rPr>
          <w:lang w:eastAsia="en-AU"/>
        </w:rPr>
      </w:pPr>
      <w:r>
        <w:rPr>
          <w:lang w:eastAsia="en-AU"/>
        </w:rPr>
        <w:t xml:space="preserve">The first step is to estimate the trend in the interval impact (Projected interval line in </w:t>
      </w:r>
      <w:r>
        <w:rPr>
          <w:lang w:eastAsia="en-AU"/>
        </w:rPr>
        <w:fldChar w:fldCharType="begin"/>
      </w:r>
      <w:r>
        <w:rPr>
          <w:lang w:eastAsia="en-AU"/>
        </w:rPr>
        <w:instrText xml:space="preserve"> REF _Ref451173157 \h </w:instrText>
      </w:r>
      <w:r>
        <w:rPr>
          <w:lang w:eastAsia="en-AU"/>
        </w:rPr>
      </w:r>
      <w:r>
        <w:rPr>
          <w:lang w:eastAsia="en-AU"/>
        </w:rPr>
        <w:fldChar w:fldCharType="separate"/>
      </w:r>
      <w:r w:rsidR="00F24924">
        <w:t xml:space="preserve">Figure </w:t>
      </w:r>
      <w:r w:rsidR="00F24924">
        <w:rPr>
          <w:noProof/>
        </w:rPr>
        <w:t>5</w:t>
      </w:r>
      <w:r>
        <w:rPr>
          <w:lang w:eastAsia="en-AU"/>
        </w:rPr>
        <w:fldChar w:fldCharType="end"/>
      </w:r>
      <w:r>
        <w:rPr>
          <w:lang w:eastAsia="en-AU"/>
        </w:rPr>
        <w:t xml:space="preserve">). We use the last 12 observed impact intervals and take </w:t>
      </w:r>
      <w:r w:rsidRPr="00F25547">
        <w:rPr>
          <w:noProof/>
          <w:lang w:eastAsia="en-AU"/>
        </w:rPr>
        <w:t>a least</w:t>
      </w:r>
      <w:r>
        <w:rPr>
          <w:lang w:eastAsia="en-AU"/>
        </w:rPr>
        <w:t xml:space="preserve"> squares regression estimate of the interval impact by interval duration. We run the regression model estimates through to unobserved lapse periods until the interval impact reaches zero. We discuss below how we handle instances where the interval impact is trending away from zero.</w:t>
      </w:r>
    </w:p>
    <w:p w:rsidR="00CE3659" w:rsidRDefault="00CE3659" w:rsidP="00CE3659">
      <w:pPr>
        <w:pStyle w:val="Heading4"/>
        <w:rPr>
          <w:noProof/>
          <w:lang w:eastAsia="en-NZ"/>
        </w:rPr>
      </w:pPr>
      <w:bookmarkStart w:id="124" w:name="_Ref451173157"/>
      <w:bookmarkStart w:id="125" w:name="_Toc512251019"/>
      <w:bookmarkStart w:id="126" w:name="_Toc524003437"/>
      <w:r>
        <w:t xml:space="preserve">Figure </w:t>
      </w:r>
      <w:fldSimple w:instr=" SEQ Figure \* ARABIC ">
        <w:r w:rsidR="00F24924">
          <w:rPr>
            <w:noProof/>
          </w:rPr>
          <w:t>5</w:t>
        </w:r>
      </w:fldSimple>
      <w:bookmarkEnd w:id="124"/>
      <w:r>
        <w:rPr>
          <w:noProof/>
          <w:lang w:eastAsia="en-NZ"/>
        </w:rPr>
        <w:t xml:space="preserve">: </w:t>
      </w:r>
      <w:r w:rsidR="00C34FD3">
        <w:rPr>
          <w:noProof/>
          <w:lang w:eastAsia="en-NZ"/>
        </w:rPr>
        <w:t>A s</w:t>
      </w:r>
      <w:r w:rsidRPr="00C34FD3">
        <w:rPr>
          <w:noProof/>
          <w:lang w:eastAsia="en-NZ"/>
        </w:rPr>
        <w:t>tylised</w:t>
      </w:r>
      <w:r>
        <w:rPr>
          <w:noProof/>
          <w:lang w:eastAsia="en-NZ"/>
        </w:rPr>
        <w:t xml:space="preserve"> example </w:t>
      </w:r>
      <w:r w:rsidR="00C34FD3">
        <w:rPr>
          <w:noProof/>
          <w:lang w:eastAsia="en-NZ"/>
        </w:rPr>
        <w:t>of</w:t>
      </w:r>
      <w:r>
        <w:rPr>
          <w:noProof/>
          <w:lang w:eastAsia="en-NZ"/>
        </w:rPr>
        <w:t xml:space="preserve"> projecting the interval impact</w:t>
      </w:r>
      <w:bookmarkEnd w:id="125"/>
      <w:bookmarkEnd w:id="126"/>
    </w:p>
    <w:p w:rsidR="00CE3659" w:rsidRPr="00DE334E" w:rsidRDefault="00CE3659" w:rsidP="00CE3659">
      <w:pPr>
        <w:rPr>
          <w:lang w:eastAsia="en-NZ"/>
        </w:rPr>
      </w:pPr>
      <w:r>
        <w:rPr>
          <w:noProof/>
          <w:lang w:eastAsia="en-NZ"/>
        </w:rPr>
        <w:drawing>
          <wp:inline distT="0" distB="0" distL="0" distR="0" wp14:anchorId="5E26EB59" wp14:editId="161FAE45">
            <wp:extent cx="4572000" cy="2743200"/>
            <wp:effectExtent l="0" t="0" r="0"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E3659" w:rsidRDefault="00CE3659" w:rsidP="00CE3659">
      <w:pPr>
        <w:pStyle w:val="Heading2"/>
      </w:pPr>
      <w:bookmarkStart w:id="127" w:name="_Toc514063467"/>
      <w:bookmarkStart w:id="128" w:name="_Toc524003490"/>
      <w:r>
        <w:t>Step 2: Calculate the projected cumulative impact</w:t>
      </w:r>
      <w:bookmarkEnd w:id="127"/>
      <w:bookmarkEnd w:id="128"/>
    </w:p>
    <w:p w:rsidR="00CE3659" w:rsidRDefault="00CE3659" w:rsidP="00CE3659">
      <w:pPr>
        <w:rPr>
          <w:lang w:eastAsia="en-AU"/>
        </w:rPr>
      </w:pPr>
      <w:r>
        <w:rPr>
          <w:lang w:eastAsia="en-AU"/>
        </w:rPr>
        <w:t xml:space="preserve">The second step as shown in </w:t>
      </w:r>
      <w:r>
        <w:rPr>
          <w:lang w:eastAsia="en-AU"/>
        </w:rPr>
        <w:fldChar w:fldCharType="begin"/>
      </w:r>
      <w:r>
        <w:rPr>
          <w:lang w:eastAsia="en-AU"/>
        </w:rPr>
        <w:instrText xml:space="preserve"> REF _Ref451173157 \h </w:instrText>
      </w:r>
      <w:r>
        <w:rPr>
          <w:lang w:eastAsia="en-AU"/>
        </w:rPr>
      </w:r>
      <w:r>
        <w:rPr>
          <w:lang w:eastAsia="en-AU"/>
        </w:rPr>
        <w:fldChar w:fldCharType="separate"/>
      </w:r>
      <w:r w:rsidR="00F24924">
        <w:t xml:space="preserve">Figure </w:t>
      </w:r>
      <w:r w:rsidR="00F24924">
        <w:rPr>
          <w:noProof/>
        </w:rPr>
        <w:t>5</w:t>
      </w:r>
      <w:r>
        <w:rPr>
          <w:lang w:eastAsia="en-AU"/>
        </w:rPr>
        <w:fldChar w:fldCharType="end"/>
      </w:r>
      <w:r>
        <w:rPr>
          <w:lang w:eastAsia="en-AU"/>
        </w:rPr>
        <w:t xml:space="preserve"> is to take the last observed cumulative impact and add the projected future interval impacts to construct the projected cumulative line shown in the graph. We stop adding the projected interval impacts when the last interval </w:t>
      </w:r>
      <w:r>
        <w:rPr>
          <w:lang w:eastAsia="en-AU"/>
        </w:rPr>
        <w:lastRenderedPageBreak/>
        <w:t xml:space="preserve">impact is zero (this occurs at lapse period 68 on the graph). We have estimated the expected full impact of the intervention once this occurs. In this example, we estimate the full impact is likely to be observed after </w:t>
      </w:r>
      <w:r>
        <w:rPr>
          <w:lang w:eastAsia="en-AU"/>
        </w:rPr>
        <w:fldChar w:fldCharType="begin"/>
      </w:r>
      <w:r>
        <w:rPr>
          <w:lang w:eastAsia="en-AU"/>
        </w:rPr>
        <w:instrText xml:space="preserve"> LINK Excel.Sheet.12 "C:\\Users\\mdebo001\\Objective\\objective.ssi.govt.nz-8000-mdebo001\\Objects\\Report 2016 Data tables for 2016 Cost-effectiveness report.xlsx" "Method!R26C4" \t </w:instrText>
      </w:r>
      <w:r>
        <w:rPr>
          <w:lang w:eastAsia="en-AU"/>
        </w:rPr>
        <w:fldChar w:fldCharType="separate"/>
      </w:r>
      <w:r>
        <w:t>68</w:t>
      </w:r>
      <w:r>
        <w:rPr>
          <w:lang w:eastAsia="en-AU"/>
        </w:rPr>
        <w:fldChar w:fldCharType="end"/>
      </w:r>
      <w:r>
        <w:rPr>
          <w:lang w:eastAsia="en-AU"/>
        </w:rPr>
        <w:t xml:space="preserve"> months; at this </w:t>
      </w:r>
      <w:r w:rsidRPr="00F25547">
        <w:rPr>
          <w:noProof/>
          <w:lang w:eastAsia="en-AU"/>
        </w:rPr>
        <w:t>point</w:t>
      </w:r>
      <w:r>
        <w:rPr>
          <w:noProof/>
          <w:lang w:eastAsia="en-AU"/>
        </w:rPr>
        <w:t>,</w:t>
      </w:r>
      <w:r>
        <w:rPr>
          <w:lang w:eastAsia="en-AU"/>
        </w:rPr>
        <w:t xml:space="preserve"> the full impact of the intervention is estimated to be </w:t>
      </w:r>
      <w:r>
        <w:rPr>
          <w:lang w:eastAsia="en-AU"/>
        </w:rPr>
        <w:fldChar w:fldCharType="begin"/>
      </w:r>
      <w:r>
        <w:rPr>
          <w:lang w:eastAsia="en-AU"/>
        </w:rPr>
        <w:instrText xml:space="preserve"> LINK Excel.Sheet.12 "C:\\Users\\mdebo001\\Objective\\objective.ssi.govt.nz-8000-mdebo001\\Objects\\Report 2016 Data tables for 2016 Cost-effectiveness report.xlsx" "Method!R26C6" \t </w:instrText>
      </w:r>
      <w:r>
        <w:rPr>
          <w:lang w:eastAsia="en-AU"/>
        </w:rPr>
        <w:fldChar w:fldCharType="separate"/>
      </w:r>
      <w:r>
        <w:t>68.73</w:t>
      </w:r>
      <w:r>
        <w:rPr>
          <w:lang w:eastAsia="en-AU"/>
        </w:rPr>
        <w:fldChar w:fldCharType="end"/>
      </w:r>
      <w:r>
        <w:rPr>
          <w:lang w:eastAsia="en-AU"/>
        </w:rPr>
        <w:t xml:space="preserve"> days.</w:t>
      </w:r>
    </w:p>
    <w:p w:rsidR="00CE3659" w:rsidRDefault="00CE3659" w:rsidP="00CE3659">
      <w:pPr>
        <w:pStyle w:val="Heading3"/>
      </w:pPr>
      <w:bookmarkStart w:id="129" w:name="_Toc524003491"/>
      <w:r>
        <w:t>Interval impacts that do not trend towards zero</w:t>
      </w:r>
      <w:bookmarkEnd w:id="129"/>
    </w:p>
    <w:p w:rsidR="00CE3659" w:rsidRDefault="00CE3659" w:rsidP="00BA374E">
      <w:pPr>
        <w:rPr>
          <w:lang w:eastAsia="en-AU"/>
        </w:rPr>
      </w:pPr>
      <w:r>
        <w:rPr>
          <w:lang w:eastAsia="en-AU"/>
        </w:rPr>
        <w:t xml:space="preserve">In practice, we find a number of instances where the projected impact either </w:t>
      </w:r>
      <w:r w:rsidR="00C34FD3" w:rsidRPr="00C34FD3">
        <w:rPr>
          <w:noProof/>
          <w:lang w:eastAsia="en-AU"/>
        </w:rPr>
        <w:t>has</w:t>
      </w:r>
      <w:r w:rsidR="00C34FD3">
        <w:rPr>
          <w:noProof/>
          <w:lang w:eastAsia="en-AU"/>
        </w:rPr>
        <w:t xml:space="preserve"> a </w:t>
      </w:r>
      <w:r w:rsidRPr="00C34FD3">
        <w:rPr>
          <w:noProof/>
          <w:lang w:eastAsia="en-AU"/>
        </w:rPr>
        <w:t>trend</w:t>
      </w:r>
      <w:r w:rsidR="00C34FD3">
        <w:rPr>
          <w:noProof/>
          <w:lang w:eastAsia="en-AU"/>
        </w:rPr>
        <w:t xml:space="preserve"> that is</w:t>
      </w:r>
      <w:r>
        <w:rPr>
          <w:lang w:eastAsia="en-AU"/>
        </w:rPr>
        <w:t xml:space="preserve"> away from zero (resulting in infinitely large impacts) or </w:t>
      </w:r>
      <w:r w:rsidR="00C34FD3">
        <w:rPr>
          <w:noProof/>
          <w:lang w:eastAsia="en-AU"/>
        </w:rPr>
        <w:t>is</w:t>
      </w:r>
      <w:r>
        <w:rPr>
          <w:lang w:eastAsia="en-AU"/>
        </w:rPr>
        <w:t xml:space="preserve"> constant over time (this result is more plausible). In both these instances, we have chosen to force the interval impacts to zero. Our main motivation for this decision is to ensure that the resulting estimates are plausible and to limit the influence of projected impacts on the analysis.</w:t>
      </w:r>
      <w:r w:rsidR="002517D3">
        <w:rPr>
          <w:lang w:eastAsia="en-AU"/>
        </w:rPr>
        <w:t xml:space="preserve"> </w:t>
      </w:r>
      <w:r>
        <w:rPr>
          <w:lang w:eastAsia="en-AU"/>
        </w:rPr>
        <w:t>Our method for forcing projected interval impacts to zero is by applying a proportional decrease in the interval impact from the first projection interval. In other words, the interval impact is reduced by a set proportion, with this proportion increasing as the projected period increases (so that the reduction eventually reaches 100</w:t>
      </w:r>
      <w:r w:rsidR="00BA374E">
        <w:rPr>
          <w:noProof/>
          <w:lang w:eastAsia="en-AU"/>
        </w:rPr>
        <w:t>%</w:t>
      </w:r>
      <w:r>
        <w:rPr>
          <w:lang w:eastAsia="en-AU"/>
        </w:rPr>
        <w:t xml:space="preserve">). </w:t>
      </w:r>
      <w:r>
        <w:rPr>
          <w:lang w:eastAsia="en-AU"/>
        </w:rPr>
        <w:fldChar w:fldCharType="begin"/>
      </w:r>
      <w:r>
        <w:rPr>
          <w:lang w:eastAsia="en-AU"/>
        </w:rPr>
        <w:instrText xml:space="preserve"> REF _Ref451247827 \h </w:instrText>
      </w:r>
      <w:r>
        <w:rPr>
          <w:lang w:eastAsia="en-AU"/>
        </w:rPr>
      </w:r>
      <w:r>
        <w:rPr>
          <w:lang w:eastAsia="en-AU"/>
        </w:rPr>
        <w:fldChar w:fldCharType="separate"/>
      </w:r>
      <w:r w:rsidR="00F24924">
        <w:t xml:space="preserve">Figure </w:t>
      </w:r>
      <w:r w:rsidR="00F24924">
        <w:rPr>
          <w:noProof/>
        </w:rPr>
        <w:t>6</w:t>
      </w:r>
      <w:r>
        <w:rPr>
          <w:lang w:eastAsia="en-AU"/>
        </w:rPr>
        <w:fldChar w:fldCharType="end"/>
      </w:r>
      <w:r>
        <w:rPr>
          <w:lang w:eastAsia="en-AU"/>
        </w:rPr>
        <w:t xml:space="preserve"> illustrates how the forced taper would apply to an increasing projected interval impact. As the projection period increases the proportional reduction increases forcing the projected interval impact to eventually decrease to zero. In the current analysis, the proportional reduction increases at a linear rate of 0.0</w:t>
      </w:r>
      <w:r w:rsidRPr="0052472E">
        <w:rPr>
          <w:lang w:eastAsia="en-AU"/>
        </w:rPr>
        <w:t>5</w:t>
      </w:r>
      <w:r w:rsidR="00BA374E">
        <w:rPr>
          <w:noProof/>
          <w:lang w:eastAsia="en-AU"/>
        </w:rPr>
        <w:t>%</w:t>
      </w:r>
      <w:r>
        <w:rPr>
          <w:lang w:eastAsia="en-AU"/>
        </w:rPr>
        <w:t xml:space="preserve"> for each day of the projection period.</w:t>
      </w:r>
    </w:p>
    <w:p w:rsidR="00CE3659" w:rsidRPr="006116AA" w:rsidRDefault="00CE3659" w:rsidP="00CE3659">
      <w:pPr>
        <w:pStyle w:val="Heading4"/>
        <w:rPr>
          <w:lang w:eastAsia="en-AU"/>
        </w:rPr>
      </w:pPr>
      <w:bookmarkStart w:id="130" w:name="_Ref451247827"/>
      <w:bookmarkStart w:id="131" w:name="_Toc512251020"/>
      <w:bookmarkStart w:id="132" w:name="_Toc524003438"/>
      <w:r>
        <w:t xml:space="preserve">Figure </w:t>
      </w:r>
      <w:fldSimple w:instr=" SEQ Figure \* ARABIC ">
        <w:r w:rsidR="00F24924">
          <w:rPr>
            <w:noProof/>
          </w:rPr>
          <w:t>6</w:t>
        </w:r>
      </w:fldSimple>
      <w:bookmarkEnd w:id="130"/>
      <w:r>
        <w:rPr>
          <w:noProof/>
        </w:rPr>
        <w:t>: F</w:t>
      </w:r>
      <w:r w:rsidRPr="006116AA">
        <w:rPr>
          <w:noProof/>
        </w:rPr>
        <w:t>orced taper in the projected impact of an intervention</w:t>
      </w:r>
      <w:bookmarkEnd w:id="131"/>
      <w:bookmarkEnd w:id="132"/>
    </w:p>
    <w:p w:rsidR="00CE3659" w:rsidRDefault="00CE3659" w:rsidP="00CE3659">
      <w:pPr>
        <w:rPr>
          <w:lang w:eastAsia="en-AU"/>
        </w:rPr>
      </w:pPr>
      <w:r>
        <w:rPr>
          <w:noProof/>
          <w:lang w:eastAsia="en-NZ"/>
        </w:rPr>
        <w:drawing>
          <wp:inline distT="0" distB="0" distL="0" distR="0" wp14:anchorId="61EDD196" wp14:editId="7B8E485F">
            <wp:extent cx="4624388" cy="2800350"/>
            <wp:effectExtent l="0" t="0" r="5080"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E3659" w:rsidRDefault="00CE3659" w:rsidP="00CE3659">
      <w:pPr>
        <w:pStyle w:val="Heading2"/>
      </w:pPr>
      <w:bookmarkStart w:id="133" w:name="_Toc514063468"/>
      <w:bookmarkStart w:id="134" w:name="_Toc524003492"/>
      <w:r>
        <w:t>Step 3: Project cumulative impact from observed cumulative impact</w:t>
      </w:r>
      <w:bookmarkEnd w:id="133"/>
      <w:bookmarkEnd w:id="134"/>
    </w:p>
    <w:p w:rsidR="00CE3659" w:rsidRDefault="00CE3659" w:rsidP="00CE3659">
      <w:pPr>
        <w:rPr>
          <w:lang w:eastAsia="en-AU"/>
        </w:rPr>
      </w:pPr>
      <w:r>
        <w:rPr>
          <w:lang w:eastAsia="en-AU"/>
        </w:rPr>
        <w:t>The final stage in estimating the projected impact for an EA intervention is to take the last observed cumulative impact and then include the projected cumulative impact. Here we face two issues that need to be addressed:</w:t>
      </w:r>
    </w:p>
    <w:p w:rsidR="00CE3659" w:rsidRDefault="00CE3659" w:rsidP="00CE3659">
      <w:pPr>
        <w:pStyle w:val="Bullet1"/>
        <w:spacing w:before="60" w:after="60"/>
      </w:pPr>
      <w:r>
        <w:t>scaling the interval impact to the cumulative impact for each EA intervention participant group</w:t>
      </w:r>
    </w:p>
    <w:p w:rsidR="00CE3659" w:rsidRDefault="00CE3659" w:rsidP="00CE3659">
      <w:pPr>
        <w:pStyle w:val="Bullet1"/>
        <w:spacing w:before="60" w:after="60"/>
      </w:pPr>
      <w:proofErr w:type="gramStart"/>
      <w:r>
        <w:t>estimating</w:t>
      </w:r>
      <w:proofErr w:type="gramEnd"/>
      <w:r>
        <w:t xml:space="preserve"> the confidence interval for the projected impact.</w:t>
      </w:r>
    </w:p>
    <w:p w:rsidR="00CE3659" w:rsidRDefault="00CE3659" w:rsidP="00CE3659">
      <w:pPr>
        <w:pStyle w:val="Heading3"/>
      </w:pPr>
      <w:bookmarkStart w:id="135" w:name="_Toc524003493"/>
      <w:r>
        <w:lastRenderedPageBreak/>
        <w:t>Scaling interval impacts</w:t>
      </w:r>
      <w:bookmarkEnd w:id="135"/>
    </w:p>
    <w:p w:rsidR="00CE3659" w:rsidRDefault="00CE3659" w:rsidP="00CE3659">
      <w:pPr>
        <w:rPr>
          <w:lang w:eastAsia="en-AU"/>
        </w:rPr>
      </w:pPr>
      <w:r>
        <w:rPr>
          <w:lang w:eastAsia="en-AU"/>
        </w:rPr>
        <w:t>For each EA intervention group, we compare the last 12 observed interval impacts to the series of projected impacts and calculate the ratio between the two. For example, if a particular EA intervention group is showing higher observed impacts than projected then the ratio would be greater than one. From these last 12 intervals, we calculate the average ratio and then scale projected interval impacts by this ratio. Once scaled we can then add each projected interval impact to the last observed cumulative impact to arrive at the total cumulative projected impact.</w:t>
      </w:r>
    </w:p>
    <w:p w:rsidR="00CE3659" w:rsidRDefault="00C34FD3" w:rsidP="00CE3659">
      <w:pPr>
        <w:pStyle w:val="Heading3"/>
      </w:pPr>
      <w:bookmarkStart w:id="136" w:name="_Toc524003494"/>
      <w:r>
        <w:rPr>
          <w:noProof/>
        </w:rPr>
        <w:t>The c</w:t>
      </w:r>
      <w:r w:rsidR="00CE3659" w:rsidRPr="00C34FD3">
        <w:rPr>
          <w:noProof/>
        </w:rPr>
        <w:t>onfidence</w:t>
      </w:r>
      <w:r w:rsidR="00CE3659">
        <w:t xml:space="preserve"> interval for projected impact</w:t>
      </w:r>
      <w:bookmarkEnd w:id="136"/>
    </w:p>
    <w:p w:rsidR="00CE3659" w:rsidRDefault="00CE3659" w:rsidP="00CE3659">
      <w:pPr>
        <w:rPr>
          <w:lang w:eastAsia="en-AU"/>
        </w:rPr>
      </w:pPr>
      <w:r>
        <w:rPr>
          <w:lang w:eastAsia="en-AU"/>
        </w:rPr>
        <w:t>The second issue is to provide an estimate of the confidence interval for the projected cumulative impact. There are two sources of uncertainty for the projected impact:</w:t>
      </w:r>
    </w:p>
    <w:p w:rsidR="00CE3659" w:rsidRDefault="00CE3659" w:rsidP="00CE3659">
      <w:pPr>
        <w:pStyle w:val="Bullet1"/>
        <w:spacing w:before="60" w:after="60"/>
      </w:pPr>
      <w:r>
        <w:t>the observed impact has a given intrinsic level of uncertainty</w:t>
      </w:r>
    </w:p>
    <w:p w:rsidR="00CE3659" w:rsidRDefault="00CE3659" w:rsidP="00CE3659">
      <w:pPr>
        <w:pStyle w:val="Bullet1"/>
        <w:spacing w:before="60" w:after="60"/>
      </w:pPr>
      <w:proofErr w:type="gramStart"/>
      <w:r>
        <w:t>the</w:t>
      </w:r>
      <w:proofErr w:type="gramEnd"/>
      <w:r>
        <w:t xml:space="preserve"> projected interval impact is itself also an estimate with its own level of uncertainty.</w:t>
      </w:r>
    </w:p>
    <w:p w:rsidR="00CE3659" w:rsidRDefault="00CE3659" w:rsidP="00CE3659">
      <w:r>
        <w:t xml:space="preserve">In the current </w:t>
      </w:r>
      <w:r w:rsidRPr="00B25C19">
        <w:rPr>
          <w:noProof/>
        </w:rPr>
        <w:t>analysis</w:t>
      </w:r>
      <w:r>
        <w:rPr>
          <w:noProof/>
        </w:rPr>
        <w:t>,</w:t>
      </w:r>
      <w:r>
        <w:t xml:space="preserve"> we only include the uncertainty from the first source. We plan to look at including the uncertainty introduced through the projection process itself in later updates. Therefore, the confidence intervals for the projected impact understate the true uncertainty for these estimates.</w:t>
      </w:r>
    </w:p>
    <w:p w:rsidR="00CE3659" w:rsidRDefault="00CE3659" w:rsidP="00CE3659">
      <w:r>
        <w:t xml:space="preserve">To reflect the confidence intervals for the observed impact in the projected impact we used Monte Carlo simulations by taking random draws from the observed cumulative impact distribution and running the projected impact calculation for each draw. We repeated these simulations 1,000 times and </w:t>
      </w:r>
      <w:r w:rsidR="00D96B00">
        <w:t xml:space="preserve">took </w:t>
      </w:r>
      <w:r>
        <w:t>the 2.5 and 97.5 percentiles as the 95</w:t>
      </w:r>
      <w:r w:rsidRPr="006F73ED">
        <w:t>th</w:t>
      </w:r>
      <w:r>
        <w:t xml:space="preserve"> confidence intervals for the projected cumulative impact result.</w:t>
      </w:r>
    </w:p>
    <w:p w:rsidR="00CE3659" w:rsidRDefault="00CE3659" w:rsidP="00CE3659">
      <w:pPr>
        <w:pStyle w:val="Heading1"/>
      </w:pPr>
      <w:bookmarkStart w:id="137" w:name="_Toc452630515"/>
      <w:bookmarkStart w:id="138" w:name="_Toc514063469"/>
      <w:bookmarkStart w:id="139" w:name="_Toc524003495"/>
      <w:r>
        <w:t>Rating the effectiveness of interventions</w:t>
      </w:r>
      <w:bookmarkEnd w:id="137"/>
      <w:bookmarkEnd w:id="138"/>
      <w:bookmarkEnd w:id="139"/>
    </w:p>
    <w:p w:rsidR="00CE3659" w:rsidRDefault="00CE3659" w:rsidP="00CE3659">
      <w:pPr>
        <w:rPr>
          <w:lang w:eastAsia="en-AU"/>
        </w:rPr>
      </w:pPr>
      <w:r>
        <w:rPr>
          <w:lang w:eastAsia="en-AU"/>
        </w:rPr>
        <w:t>This section outlines how we systematically rate the effectiveness of interventions based on their impacts on outcomes. The aim of providing a rating is to qualitatively summarise the effectiveness of an EA intervention from its quantitative impacts. The goal here is to ensure that all EA interventions are rated in the same way and that the rating process is transparent.</w:t>
      </w:r>
    </w:p>
    <w:p w:rsidR="00CE3659" w:rsidRDefault="00CE3659" w:rsidP="00CE3659">
      <w:pPr>
        <w:pStyle w:val="Heading2"/>
      </w:pPr>
      <w:bookmarkStart w:id="140" w:name="_Toc514063470"/>
      <w:bookmarkStart w:id="141" w:name="_Toc524003496"/>
      <w:r>
        <w:t>Rating by outcome domain</w:t>
      </w:r>
      <w:bookmarkEnd w:id="140"/>
      <w:bookmarkEnd w:id="141"/>
    </w:p>
    <w:p w:rsidR="00CE3659" w:rsidRDefault="00CE3659" w:rsidP="00CE3659">
      <w:r>
        <w:rPr>
          <w:lang w:eastAsia="en-AU"/>
        </w:rPr>
        <w:t>For each EA intervention, we have one outcome measure grouped under each broad outcome domain. In the current effectiveness report, we focus on five outcome domains: income, employment, justice, educational qualifications and independence from welfare.</w:t>
      </w:r>
    </w:p>
    <w:p w:rsidR="00CE3659" w:rsidRDefault="00CE3659" w:rsidP="00CE3659">
      <w:pPr>
        <w:rPr>
          <w:lang w:eastAsia="en-AU"/>
        </w:rPr>
      </w:pPr>
      <w:r>
        <w:rPr>
          <w:lang w:eastAsia="en-AU"/>
        </w:rPr>
        <w:t>At present, we select one outcome measure to provide the summative assessment for the impact of each EA intervention on that domain. In the current analysis:</w:t>
      </w:r>
    </w:p>
    <w:p w:rsidR="00CE3659" w:rsidRDefault="00CE3659" w:rsidP="00CE3659">
      <w:pPr>
        <w:pStyle w:val="Bullet1"/>
        <w:spacing w:before="60" w:after="60"/>
      </w:pPr>
      <w:r>
        <w:t>income effectiveness is based on the EA intervention’s impact on net income from all sources</w:t>
      </w:r>
    </w:p>
    <w:p w:rsidR="00CE3659" w:rsidRDefault="00CE3659" w:rsidP="00CE3659">
      <w:pPr>
        <w:pStyle w:val="Bullet1"/>
        <w:spacing w:before="60" w:after="60"/>
      </w:pPr>
      <w:r>
        <w:t xml:space="preserve">employment effectiveness is based on the impact </w:t>
      </w:r>
      <w:r w:rsidRPr="00C34FD3">
        <w:rPr>
          <w:noProof/>
        </w:rPr>
        <w:t>on</w:t>
      </w:r>
      <w:r>
        <w:t xml:space="preserve"> any time in employment</w:t>
      </w:r>
    </w:p>
    <w:p w:rsidR="00CE3659" w:rsidRDefault="00CE3659" w:rsidP="00CE3659">
      <w:pPr>
        <w:pStyle w:val="Bullet1"/>
        <w:spacing w:before="60" w:after="60"/>
      </w:pPr>
      <w:r>
        <w:t>justice is the time that participants spend in correctional services</w:t>
      </w:r>
    </w:p>
    <w:p w:rsidR="00CE3659" w:rsidRDefault="00CE3659" w:rsidP="00CE3659">
      <w:pPr>
        <w:pStyle w:val="Bullet1"/>
        <w:spacing w:before="60" w:after="60"/>
      </w:pPr>
      <w:r>
        <w:lastRenderedPageBreak/>
        <w:t>qualifications: increase in average NQF level</w:t>
      </w:r>
    </w:p>
    <w:p w:rsidR="00CE3659" w:rsidRDefault="00CE3659" w:rsidP="00CE3659">
      <w:pPr>
        <w:pStyle w:val="Bullet1"/>
        <w:spacing w:before="60" w:after="60"/>
      </w:pPr>
      <w:proofErr w:type="gramStart"/>
      <w:r>
        <w:t>independence</w:t>
      </w:r>
      <w:proofErr w:type="gramEnd"/>
      <w:r>
        <w:t xml:space="preserve"> from welfare assistance is based on time spent independent from Work and Income Assistance (ie not on main benefit or participating in EA interventions).</w:t>
      </w:r>
    </w:p>
    <w:p w:rsidR="00CE3659" w:rsidRDefault="00CE3659" w:rsidP="00CE3659">
      <w:pPr>
        <w:pStyle w:val="Heading2"/>
      </w:pPr>
      <w:bookmarkStart w:id="142" w:name="_Toc514063471"/>
      <w:bookmarkStart w:id="143" w:name="_Toc524003497"/>
      <w:r>
        <w:t xml:space="preserve">Translating impact </w:t>
      </w:r>
      <w:r w:rsidRPr="00C34FD3">
        <w:rPr>
          <w:noProof/>
        </w:rPr>
        <w:t>to</w:t>
      </w:r>
      <w:r>
        <w:t xml:space="preserve"> an effectiveness rating</w:t>
      </w:r>
      <w:bookmarkEnd w:id="142"/>
      <w:bookmarkEnd w:id="143"/>
    </w:p>
    <w:p w:rsidR="00CE3659" w:rsidRDefault="00CE3659" w:rsidP="00CE3659">
      <w:r>
        <w:t xml:space="preserve">For each outcome, we examine the observed and projected cumulative impact and categorise intervention effectiveness as shown in </w:t>
      </w:r>
      <w:r>
        <w:fldChar w:fldCharType="begin"/>
      </w:r>
      <w:r>
        <w:instrText xml:space="preserve"> REF _Ref451346460 \h </w:instrText>
      </w:r>
      <w:r>
        <w:fldChar w:fldCharType="separate"/>
      </w:r>
      <w:r w:rsidR="00F24924">
        <w:t xml:space="preserve">Table </w:t>
      </w:r>
      <w:r w:rsidR="00F24924">
        <w:rPr>
          <w:noProof/>
        </w:rPr>
        <w:t>6</w:t>
      </w:r>
      <w:r>
        <w:fldChar w:fldCharType="end"/>
      </w:r>
      <w:r>
        <w:t xml:space="preserve">. In our analysis, we start with an initial assessment based on the observed impact and then adjust this assessment </w:t>
      </w:r>
      <w:r w:rsidRPr="0007716D">
        <w:t xml:space="preserve">based on </w:t>
      </w:r>
      <w:r w:rsidR="00C34FD3">
        <w:t xml:space="preserve">the </w:t>
      </w:r>
      <w:r w:rsidRPr="00C34FD3">
        <w:rPr>
          <w:noProof/>
        </w:rPr>
        <w:t>projected</w:t>
      </w:r>
      <w:r w:rsidRPr="0007716D">
        <w:t xml:space="preserve"> impact. The higher weight given to the observed period is because it has an empirical basis, while the projected impact is sensitive to the most recent trend in the observed impact (see page </w:t>
      </w:r>
      <w:r w:rsidRPr="0007716D">
        <w:fldChar w:fldCharType="begin"/>
      </w:r>
      <w:r w:rsidRPr="0007716D">
        <w:instrText xml:space="preserve"> PAGEREF _Ref468605372 \h </w:instrText>
      </w:r>
      <w:r w:rsidRPr="0007716D">
        <w:fldChar w:fldCharType="separate"/>
      </w:r>
      <w:r w:rsidR="00F24924">
        <w:rPr>
          <w:noProof/>
        </w:rPr>
        <w:t>31</w:t>
      </w:r>
      <w:r w:rsidRPr="0007716D">
        <w:fldChar w:fldCharType="end"/>
      </w:r>
      <w:r w:rsidRPr="0007716D">
        <w:t xml:space="preserve">). The projected impact serves to moderate the observed impact in those instances </w:t>
      </w:r>
      <w:r w:rsidRPr="00F25547">
        <w:rPr>
          <w:noProof/>
        </w:rPr>
        <w:t>w</w:t>
      </w:r>
      <w:r>
        <w:rPr>
          <w:noProof/>
        </w:rPr>
        <w:t>h</w:t>
      </w:r>
      <w:r w:rsidRPr="00F25547">
        <w:rPr>
          <w:noProof/>
        </w:rPr>
        <w:t>ere</w:t>
      </w:r>
      <w:r w:rsidRPr="0007716D">
        <w:t xml:space="preserve"> the two differ (ie in the </w:t>
      </w:r>
      <w:r w:rsidRPr="00F25547">
        <w:rPr>
          <w:noProof/>
        </w:rPr>
        <w:t>off</w:t>
      </w:r>
      <w:r>
        <w:rPr>
          <w:noProof/>
        </w:rPr>
        <w:t>-</w:t>
      </w:r>
      <w:r w:rsidRPr="00F25547">
        <w:rPr>
          <w:noProof/>
        </w:rPr>
        <w:t>diagonal</w:t>
      </w:r>
      <w:r w:rsidRPr="0007716D">
        <w:t xml:space="preserve"> cells in </w:t>
      </w:r>
      <w:r w:rsidRPr="0007716D">
        <w:fldChar w:fldCharType="begin"/>
      </w:r>
      <w:r w:rsidRPr="0007716D">
        <w:instrText xml:space="preserve"> REF _Ref451346460 \h </w:instrText>
      </w:r>
      <w:r w:rsidRPr="0007716D">
        <w:fldChar w:fldCharType="separate"/>
      </w:r>
      <w:r w:rsidR="00F24924">
        <w:t xml:space="preserve">Table </w:t>
      </w:r>
      <w:r w:rsidR="00F24924">
        <w:rPr>
          <w:noProof/>
        </w:rPr>
        <w:t>6</w:t>
      </w:r>
      <w:r w:rsidRPr="0007716D">
        <w:fldChar w:fldCharType="end"/>
      </w:r>
      <w:r w:rsidRPr="0007716D">
        <w:t>). For example, if an intervention has a significant negative observed impact and a significant positive projected impact, we only increase the rating from negative to likely negative, rather than to promising.</w:t>
      </w:r>
      <w:r>
        <w:t xml:space="preserve"> In practice, the majority of observed and projected impacts are consistent with each other in terms of </w:t>
      </w:r>
      <w:r w:rsidRPr="00C34FD3">
        <w:rPr>
          <w:noProof/>
        </w:rPr>
        <w:t>sign</w:t>
      </w:r>
      <w:r>
        <w:t xml:space="preserve"> (ie </w:t>
      </w:r>
      <w:r w:rsidRPr="00C34FD3">
        <w:rPr>
          <w:noProof/>
        </w:rPr>
        <w:t>the</w:t>
      </w:r>
      <w:r w:rsidR="00C34FD3">
        <w:rPr>
          <w:noProof/>
        </w:rPr>
        <w:t>y</w:t>
      </w:r>
      <w:r>
        <w:t xml:space="preserve"> are </w:t>
      </w:r>
      <w:r w:rsidR="00206E67">
        <w:t xml:space="preserve">either </w:t>
      </w:r>
      <w:proofErr w:type="gramStart"/>
      <w:r>
        <w:t>both positive, or</w:t>
      </w:r>
      <w:proofErr w:type="gramEnd"/>
      <w:r>
        <w:t xml:space="preserve"> both negative).</w:t>
      </w:r>
    </w:p>
    <w:p w:rsidR="00462AB7" w:rsidRPr="0007716D" w:rsidRDefault="00462AB7" w:rsidP="00CE3659"/>
    <w:p w:rsidR="00CE3659" w:rsidRDefault="00CE3659" w:rsidP="00CE3659">
      <w:pPr>
        <w:pStyle w:val="Heading4"/>
      </w:pPr>
      <w:bookmarkStart w:id="144" w:name="_Ref451346460"/>
      <w:bookmarkStart w:id="145" w:name="_Toc512251022"/>
      <w:bookmarkStart w:id="146" w:name="_Toc945102"/>
      <w:r>
        <w:t xml:space="preserve">Table </w:t>
      </w:r>
      <w:fldSimple w:instr=" SEQ Table \* ARABIC ">
        <w:r w:rsidR="00F24924">
          <w:rPr>
            <w:noProof/>
          </w:rPr>
          <w:t>6</w:t>
        </w:r>
      </w:fldSimple>
      <w:bookmarkEnd w:id="144"/>
      <w:r>
        <w:t>: R</w:t>
      </w:r>
      <w:r w:rsidRPr="00235BAE">
        <w:t xml:space="preserve">ating of outcome domain by </w:t>
      </w:r>
      <w:r w:rsidR="00C34FD3">
        <w:t xml:space="preserve">the </w:t>
      </w:r>
      <w:r w:rsidRPr="00C34FD3">
        <w:rPr>
          <w:noProof/>
        </w:rPr>
        <w:t>impact</w:t>
      </w:r>
      <w:r w:rsidRPr="00235BAE">
        <w:t xml:space="preserve"> on outcomes</w:t>
      </w:r>
      <w:bookmarkEnd w:id="145"/>
      <w:bookmarkEnd w:id="146"/>
    </w:p>
    <w:tbl>
      <w:tblPr>
        <w:tblStyle w:val="MSDreportstyle"/>
        <w:tblW w:w="0" w:type="auto"/>
        <w:tblLook w:val="04A0" w:firstRow="1" w:lastRow="0" w:firstColumn="1" w:lastColumn="0" w:noHBand="0" w:noVBand="1"/>
      </w:tblPr>
      <w:tblGrid>
        <w:gridCol w:w="1280"/>
        <w:gridCol w:w="2127"/>
        <w:gridCol w:w="1966"/>
        <w:gridCol w:w="1577"/>
        <w:gridCol w:w="2127"/>
      </w:tblGrid>
      <w:tr w:rsidR="00CE3659" w:rsidRPr="00CE3659" w:rsidTr="00CE3659">
        <w:trPr>
          <w:cnfStyle w:val="100000000000" w:firstRow="1" w:lastRow="0" w:firstColumn="0" w:lastColumn="0" w:oddVBand="0" w:evenVBand="0" w:oddHBand="0" w:evenHBand="0" w:firstRowFirstColumn="0" w:firstRowLastColumn="0" w:lastRowFirstColumn="0" w:lastRowLastColumn="0"/>
        </w:trPr>
        <w:tc>
          <w:tcPr>
            <w:tcW w:w="3369" w:type="dxa"/>
            <w:gridSpan w:val="2"/>
          </w:tcPr>
          <w:p w:rsidR="00CE3659" w:rsidRPr="00CE3659" w:rsidRDefault="00CE3659" w:rsidP="00462AB7">
            <w:pPr>
              <w:pStyle w:val="TableText"/>
              <w:rPr>
                <w:bCs/>
                <w:color w:val="FFFFFF" w:themeColor="background1"/>
              </w:rPr>
            </w:pPr>
          </w:p>
        </w:tc>
        <w:tc>
          <w:tcPr>
            <w:tcW w:w="5670" w:type="dxa"/>
            <w:gridSpan w:val="3"/>
          </w:tcPr>
          <w:p w:rsidR="00CE3659" w:rsidRPr="00CE3659" w:rsidRDefault="00CE3659" w:rsidP="00462AB7">
            <w:pPr>
              <w:pStyle w:val="TableText"/>
              <w:jc w:val="center"/>
              <w:rPr>
                <w:b/>
                <w:color w:val="FFFFFF" w:themeColor="background1"/>
              </w:rPr>
            </w:pPr>
            <w:r w:rsidRPr="00CE3659">
              <w:rPr>
                <w:b/>
                <w:color w:val="FFFFFF" w:themeColor="background1"/>
              </w:rPr>
              <w:t>Projected impact</w:t>
            </w:r>
          </w:p>
        </w:tc>
      </w:tr>
      <w:tr w:rsidR="00CE3659" w:rsidRPr="00CE3659" w:rsidTr="00CE3659">
        <w:trPr>
          <w:cnfStyle w:val="000000100000" w:firstRow="0" w:lastRow="0" w:firstColumn="0" w:lastColumn="0" w:oddVBand="0" w:evenVBand="0" w:oddHBand="1" w:evenHBand="0" w:firstRowFirstColumn="0" w:firstRowLastColumn="0" w:lastRowFirstColumn="0" w:lastRowLastColumn="0"/>
        </w:trPr>
        <w:tc>
          <w:tcPr>
            <w:tcW w:w="3369" w:type="dxa"/>
            <w:gridSpan w:val="2"/>
            <w:shd w:val="clear" w:color="auto" w:fill="1F497D" w:themeFill="text2"/>
          </w:tcPr>
          <w:p w:rsidR="00CE3659" w:rsidRPr="00CE3659" w:rsidRDefault="00CE3659" w:rsidP="00462AB7">
            <w:pPr>
              <w:pStyle w:val="TableText"/>
              <w:rPr>
                <w:color w:val="FFFFFF" w:themeColor="background1"/>
              </w:rPr>
            </w:pPr>
          </w:p>
        </w:tc>
        <w:tc>
          <w:tcPr>
            <w:tcW w:w="1966" w:type="dxa"/>
            <w:shd w:val="clear" w:color="auto" w:fill="1F497D" w:themeFill="text2"/>
          </w:tcPr>
          <w:p w:rsidR="00CE3659" w:rsidRPr="00CE3659" w:rsidRDefault="00CE3659" w:rsidP="00462AB7">
            <w:pPr>
              <w:pStyle w:val="TableText"/>
              <w:rPr>
                <w:b/>
                <w:color w:val="FFFFFF" w:themeColor="background1"/>
              </w:rPr>
            </w:pPr>
            <w:r w:rsidRPr="00CE3659">
              <w:rPr>
                <w:b/>
                <w:color w:val="FFFFFF" w:themeColor="background1"/>
              </w:rPr>
              <w:t>Significant positive</w:t>
            </w:r>
          </w:p>
        </w:tc>
        <w:tc>
          <w:tcPr>
            <w:tcW w:w="1577" w:type="dxa"/>
            <w:shd w:val="clear" w:color="auto" w:fill="1F497D" w:themeFill="text2"/>
          </w:tcPr>
          <w:p w:rsidR="00CE3659" w:rsidRPr="00CE3659" w:rsidRDefault="00CE3659" w:rsidP="00462AB7">
            <w:pPr>
              <w:pStyle w:val="TableText"/>
              <w:rPr>
                <w:b/>
                <w:color w:val="FFFFFF" w:themeColor="background1"/>
              </w:rPr>
            </w:pPr>
            <w:r w:rsidRPr="00CE3659">
              <w:rPr>
                <w:b/>
                <w:color w:val="FFFFFF" w:themeColor="background1"/>
              </w:rPr>
              <w:t>Zero</w:t>
            </w:r>
          </w:p>
        </w:tc>
        <w:tc>
          <w:tcPr>
            <w:tcW w:w="2127" w:type="dxa"/>
            <w:shd w:val="clear" w:color="auto" w:fill="1F497D" w:themeFill="text2"/>
          </w:tcPr>
          <w:p w:rsidR="00CE3659" w:rsidRPr="00CE3659" w:rsidRDefault="00CE3659" w:rsidP="00462AB7">
            <w:pPr>
              <w:pStyle w:val="TableText"/>
              <w:rPr>
                <w:b/>
                <w:color w:val="FFFFFF" w:themeColor="background1"/>
              </w:rPr>
            </w:pPr>
            <w:r w:rsidRPr="00CE3659">
              <w:rPr>
                <w:b/>
                <w:color w:val="FFFFFF" w:themeColor="background1"/>
              </w:rPr>
              <w:t>Significant negative</w:t>
            </w:r>
          </w:p>
        </w:tc>
      </w:tr>
      <w:tr w:rsidR="00CE3659" w:rsidTr="00CE3659">
        <w:tc>
          <w:tcPr>
            <w:tcW w:w="1242" w:type="dxa"/>
            <w:vMerge w:val="restart"/>
            <w:shd w:val="clear" w:color="auto" w:fill="1F497D" w:themeFill="text2"/>
            <w:vAlign w:val="center"/>
          </w:tcPr>
          <w:p w:rsidR="00CE3659" w:rsidRPr="00CE3659" w:rsidRDefault="00CE3659" w:rsidP="00CE3659">
            <w:pPr>
              <w:pStyle w:val="TableText"/>
              <w:jc w:val="right"/>
              <w:rPr>
                <w:b/>
                <w:color w:val="FFFFFF" w:themeColor="background1"/>
              </w:rPr>
            </w:pPr>
            <w:r w:rsidRPr="00CE3659">
              <w:rPr>
                <w:b/>
                <w:color w:val="FFFFFF" w:themeColor="background1"/>
              </w:rPr>
              <w:t>Observed impact</w:t>
            </w:r>
          </w:p>
        </w:tc>
        <w:tc>
          <w:tcPr>
            <w:tcW w:w="2127" w:type="dxa"/>
            <w:shd w:val="clear" w:color="auto" w:fill="1F497D" w:themeFill="text2"/>
          </w:tcPr>
          <w:p w:rsidR="00CE3659" w:rsidRPr="00CE3659" w:rsidRDefault="00CE3659" w:rsidP="00462AB7">
            <w:pPr>
              <w:pStyle w:val="TableText"/>
              <w:rPr>
                <w:b/>
                <w:color w:val="FFFFFF" w:themeColor="background1"/>
              </w:rPr>
            </w:pPr>
            <w:r w:rsidRPr="00CE3659">
              <w:rPr>
                <w:b/>
                <w:color w:val="FFFFFF" w:themeColor="background1"/>
              </w:rPr>
              <w:t>Significant positive</w:t>
            </w:r>
          </w:p>
        </w:tc>
        <w:tc>
          <w:tcPr>
            <w:tcW w:w="1966" w:type="dxa"/>
          </w:tcPr>
          <w:p w:rsidR="00CE3659" w:rsidRDefault="00CE3659" w:rsidP="00462AB7">
            <w:pPr>
              <w:pStyle w:val="TableText"/>
            </w:pPr>
            <w:r>
              <w:t>Effective</w:t>
            </w:r>
          </w:p>
        </w:tc>
        <w:tc>
          <w:tcPr>
            <w:tcW w:w="1577" w:type="dxa"/>
          </w:tcPr>
          <w:p w:rsidR="00CE3659" w:rsidRDefault="00CE3659" w:rsidP="00462AB7">
            <w:pPr>
              <w:pStyle w:val="TableText"/>
            </w:pPr>
            <w:r>
              <w:t>Effective</w:t>
            </w:r>
          </w:p>
        </w:tc>
        <w:tc>
          <w:tcPr>
            <w:tcW w:w="2127" w:type="dxa"/>
          </w:tcPr>
          <w:p w:rsidR="00CE3659" w:rsidRDefault="00CE3659" w:rsidP="00462AB7">
            <w:pPr>
              <w:pStyle w:val="TableText"/>
            </w:pPr>
            <w:r>
              <w:t>Promising</w:t>
            </w:r>
          </w:p>
        </w:tc>
      </w:tr>
      <w:tr w:rsidR="00CE3659" w:rsidTr="00CE3659">
        <w:trPr>
          <w:cnfStyle w:val="000000100000" w:firstRow="0" w:lastRow="0" w:firstColumn="0" w:lastColumn="0" w:oddVBand="0" w:evenVBand="0" w:oddHBand="1" w:evenHBand="0" w:firstRowFirstColumn="0" w:firstRowLastColumn="0" w:lastRowFirstColumn="0" w:lastRowLastColumn="0"/>
        </w:trPr>
        <w:tc>
          <w:tcPr>
            <w:tcW w:w="1242" w:type="dxa"/>
            <w:vMerge/>
            <w:shd w:val="clear" w:color="auto" w:fill="1F497D" w:themeFill="text2"/>
          </w:tcPr>
          <w:p w:rsidR="00CE3659" w:rsidRPr="00CE3659" w:rsidRDefault="00CE3659" w:rsidP="00462AB7">
            <w:pPr>
              <w:pStyle w:val="TableText"/>
              <w:rPr>
                <w:b/>
                <w:color w:val="FFFFFF" w:themeColor="background1"/>
              </w:rPr>
            </w:pPr>
          </w:p>
        </w:tc>
        <w:tc>
          <w:tcPr>
            <w:tcW w:w="2127" w:type="dxa"/>
            <w:shd w:val="clear" w:color="auto" w:fill="1F497D" w:themeFill="text2"/>
          </w:tcPr>
          <w:p w:rsidR="00CE3659" w:rsidRPr="00CE3659" w:rsidRDefault="00CE3659" w:rsidP="00462AB7">
            <w:pPr>
              <w:pStyle w:val="TableText"/>
              <w:rPr>
                <w:b/>
                <w:color w:val="FFFFFF" w:themeColor="background1"/>
              </w:rPr>
            </w:pPr>
            <w:r w:rsidRPr="00CE3659">
              <w:rPr>
                <w:b/>
                <w:color w:val="FFFFFF" w:themeColor="background1"/>
              </w:rPr>
              <w:t>Zero</w:t>
            </w:r>
          </w:p>
        </w:tc>
        <w:tc>
          <w:tcPr>
            <w:tcW w:w="1966" w:type="dxa"/>
          </w:tcPr>
          <w:p w:rsidR="00CE3659" w:rsidRDefault="00CE3659" w:rsidP="00462AB7">
            <w:pPr>
              <w:pStyle w:val="TableText"/>
            </w:pPr>
            <w:r>
              <w:t>Promising</w:t>
            </w:r>
          </w:p>
        </w:tc>
        <w:tc>
          <w:tcPr>
            <w:tcW w:w="1577" w:type="dxa"/>
          </w:tcPr>
          <w:p w:rsidR="00CE3659" w:rsidRDefault="00CE3659" w:rsidP="00462AB7">
            <w:pPr>
              <w:pStyle w:val="TableText"/>
            </w:pPr>
            <w:r>
              <w:t>No difference</w:t>
            </w:r>
          </w:p>
        </w:tc>
        <w:tc>
          <w:tcPr>
            <w:tcW w:w="2127" w:type="dxa"/>
          </w:tcPr>
          <w:p w:rsidR="00CE3659" w:rsidRDefault="00CE3659" w:rsidP="00462AB7">
            <w:pPr>
              <w:pStyle w:val="TableText"/>
            </w:pPr>
            <w:r w:rsidRPr="00207879">
              <w:t>Likely negative</w:t>
            </w:r>
          </w:p>
        </w:tc>
      </w:tr>
      <w:tr w:rsidR="00CE3659" w:rsidTr="00CE3659">
        <w:tc>
          <w:tcPr>
            <w:tcW w:w="1242" w:type="dxa"/>
            <w:vMerge/>
            <w:shd w:val="clear" w:color="auto" w:fill="1F497D" w:themeFill="text2"/>
          </w:tcPr>
          <w:p w:rsidR="00CE3659" w:rsidRPr="00CE3659" w:rsidRDefault="00CE3659" w:rsidP="00462AB7">
            <w:pPr>
              <w:pStyle w:val="TableText"/>
              <w:rPr>
                <w:b/>
                <w:color w:val="FFFFFF" w:themeColor="background1"/>
              </w:rPr>
            </w:pPr>
          </w:p>
        </w:tc>
        <w:tc>
          <w:tcPr>
            <w:tcW w:w="2127" w:type="dxa"/>
            <w:shd w:val="clear" w:color="auto" w:fill="1F497D" w:themeFill="text2"/>
          </w:tcPr>
          <w:p w:rsidR="00CE3659" w:rsidRPr="00CE3659" w:rsidRDefault="00CE3659" w:rsidP="00462AB7">
            <w:pPr>
              <w:pStyle w:val="TableText"/>
              <w:rPr>
                <w:b/>
                <w:color w:val="FFFFFF" w:themeColor="background1"/>
              </w:rPr>
            </w:pPr>
            <w:r w:rsidRPr="00CE3659">
              <w:rPr>
                <w:b/>
                <w:color w:val="FFFFFF" w:themeColor="background1"/>
              </w:rPr>
              <w:t>Significant negative</w:t>
            </w:r>
          </w:p>
        </w:tc>
        <w:tc>
          <w:tcPr>
            <w:tcW w:w="1966" w:type="dxa"/>
          </w:tcPr>
          <w:p w:rsidR="00CE3659" w:rsidRDefault="00CE3659" w:rsidP="00462AB7">
            <w:pPr>
              <w:pStyle w:val="TableText"/>
            </w:pPr>
            <w:r w:rsidRPr="00207879">
              <w:t>Likely negative</w:t>
            </w:r>
          </w:p>
        </w:tc>
        <w:tc>
          <w:tcPr>
            <w:tcW w:w="1577" w:type="dxa"/>
          </w:tcPr>
          <w:p w:rsidR="00CE3659" w:rsidRDefault="00CE3659" w:rsidP="00462AB7">
            <w:pPr>
              <w:pStyle w:val="TableText"/>
            </w:pPr>
            <w:r>
              <w:t>Negative</w:t>
            </w:r>
          </w:p>
        </w:tc>
        <w:tc>
          <w:tcPr>
            <w:tcW w:w="2127" w:type="dxa"/>
          </w:tcPr>
          <w:p w:rsidR="00CE3659" w:rsidRDefault="00CE3659" w:rsidP="00462AB7">
            <w:pPr>
              <w:pStyle w:val="TableText"/>
            </w:pPr>
            <w:r>
              <w:t>Negative</w:t>
            </w:r>
          </w:p>
        </w:tc>
      </w:tr>
    </w:tbl>
    <w:p w:rsidR="00CE3659" w:rsidRDefault="00CE3659" w:rsidP="00CE3659">
      <w:pPr>
        <w:pStyle w:val="TableText"/>
        <w:rPr>
          <w:lang w:eastAsia="en-AU"/>
        </w:rPr>
      </w:pPr>
    </w:p>
    <w:p w:rsidR="00CE3659" w:rsidRDefault="00CE3659" w:rsidP="00CE3659">
      <w:pPr>
        <w:pStyle w:val="Heading2"/>
      </w:pPr>
      <w:bookmarkStart w:id="147" w:name="_Toc452630516"/>
      <w:bookmarkStart w:id="148" w:name="_Toc514063472"/>
      <w:bookmarkStart w:id="149" w:name="_Toc524003498"/>
      <w:r>
        <w:t>Rating the overall effectiveness of an intervention</w:t>
      </w:r>
      <w:bookmarkEnd w:id="147"/>
      <w:bookmarkEnd w:id="148"/>
      <w:bookmarkEnd w:id="149"/>
    </w:p>
    <w:p w:rsidR="00CE3659" w:rsidRDefault="00CE3659" w:rsidP="00CE3659">
      <w:pPr>
        <w:rPr>
          <w:lang w:eastAsia="en-AU"/>
        </w:rPr>
      </w:pPr>
      <w:r>
        <w:rPr>
          <w:lang w:eastAsia="en-AU"/>
        </w:rPr>
        <w:t xml:space="preserve">Once we have an </w:t>
      </w:r>
      <w:r w:rsidRPr="00C34FD3">
        <w:rPr>
          <w:noProof/>
          <w:lang w:eastAsia="en-AU"/>
        </w:rPr>
        <w:t>effectiveness</w:t>
      </w:r>
      <w:r>
        <w:rPr>
          <w:lang w:eastAsia="en-AU"/>
        </w:rPr>
        <w:t xml:space="preserve"> rating for each outcome domain we then combine these ratings to arrive at an overall rating of a programme. Because we are combining five outcome domains, the number of combinations of results becomes much greater. We use the following steps to determine an intervention’s overall effectiveness.</w:t>
      </w:r>
    </w:p>
    <w:p w:rsidR="00CE3659" w:rsidRDefault="00CE3659" w:rsidP="00CE3659">
      <w:pPr>
        <w:pStyle w:val="ListParagraph"/>
        <w:numPr>
          <w:ilvl w:val="0"/>
          <w:numId w:val="14"/>
        </w:numPr>
        <w:spacing w:before="60" w:after="60"/>
      </w:pPr>
      <w:r>
        <w:rPr>
          <w:lang w:eastAsia="en-AU"/>
        </w:rPr>
        <w:t xml:space="preserve">Convert outcome domain impacts into numerical values: positive = 1, likely positive = 0.5, no difference = 0, likely negative = -0.5 and negative = </w:t>
      </w:r>
      <w:r w:rsidR="004C5764">
        <w:rPr>
          <w:lang w:eastAsia="en-AU"/>
        </w:rPr>
        <w:t>-</w:t>
      </w:r>
      <w:r>
        <w:rPr>
          <w:lang w:eastAsia="en-AU"/>
        </w:rPr>
        <w:t>1.</w:t>
      </w:r>
    </w:p>
    <w:p w:rsidR="00CE3659" w:rsidRDefault="00CE3659" w:rsidP="00CE3659">
      <w:pPr>
        <w:pStyle w:val="ListParagraph"/>
        <w:numPr>
          <w:ilvl w:val="0"/>
          <w:numId w:val="14"/>
        </w:numPr>
        <w:spacing w:before="60" w:after="60"/>
      </w:pPr>
      <w:r>
        <w:rPr>
          <w:lang w:eastAsia="en-AU"/>
        </w:rPr>
        <w:t>Taking the average of these</w:t>
      </w:r>
      <w:r w:rsidR="004C5764">
        <w:rPr>
          <w:lang w:eastAsia="en-AU"/>
        </w:rPr>
        <w:t>,</w:t>
      </w:r>
      <w:r>
        <w:rPr>
          <w:lang w:eastAsia="en-AU"/>
        </w:rPr>
        <w:t xml:space="preserve"> values are then categorised as follows: Effective over 0.66, </w:t>
      </w:r>
      <w:proofErr w:type="gramStart"/>
      <w:r>
        <w:rPr>
          <w:lang w:eastAsia="en-AU"/>
        </w:rPr>
        <w:t>Promising</w:t>
      </w:r>
      <w:proofErr w:type="gramEnd"/>
      <w:r>
        <w:rPr>
          <w:lang w:eastAsia="en-AU"/>
        </w:rPr>
        <w:t xml:space="preserve"> between 0.3 and 0.66, No difference is between -0.3 and 0.3, Likely negative between -0.3 and -0.66, and Negative less than -0.66.</w:t>
      </w:r>
    </w:p>
    <w:p w:rsidR="00CE3659" w:rsidRPr="00737E77" w:rsidRDefault="00CE3659" w:rsidP="00CE3659">
      <w:pPr>
        <w:pStyle w:val="ListParagraph"/>
        <w:numPr>
          <w:ilvl w:val="0"/>
          <w:numId w:val="14"/>
        </w:numPr>
        <w:spacing w:before="60" w:after="60"/>
      </w:pPr>
      <w:r>
        <w:rPr>
          <w:lang w:eastAsia="en-AU"/>
        </w:rPr>
        <w:t xml:space="preserve">If there is a significant positive and negative impact then the rating </w:t>
      </w:r>
      <w:r w:rsidR="004C5764">
        <w:rPr>
          <w:lang w:eastAsia="en-AU"/>
        </w:rPr>
        <w:t xml:space="preserve">is </w:t>
      </w:r>
      <w:proofErr w:type="gramStart"/>
      <w:r>
        <w:rPr>
          <w:lang w:eastAsia="en-AU"/>
        </w:rPr>
        <w:t>Mixed</w:t>
      </w:r>
      <w:proofErr w:type="gramEnd"/>
      <w:r>
        <w:rPr>
          <w:lang w:eastAsia="en-AU"/>
        </w:rPr>
        <w:t>.</w:t>
      </w:r>
    </w:p>
    <w:p w:rsidR="00CE3659" w:rsidRDefault="00CE3659" w:rsidP="00CE3659">
      <w:pPr>
        <w:pStyle w:val="ListParagraph"/>
        <w:numPr>
          <w:ilvl w:val="0"/>
          <w:numId w:val="14"/>
        </w:numPr>
        <w:spacing w:before="60" w:after="60"/>
      </w:pPr>
      <w:r>
        <w:rPr>
          <w:lang w:eastAsia="en-AU"/>
        </w:rPr>
        <w:t xml:space="preserve">If the rating is less than 0.3 (No difference) or Mixed and the outcome period is less than two years then the rating is </w:t>
      </w:r>
      <w:r w:rsidRPr="00737E77">
        <w:rPr>
          <w:lang w:eastAsia="en-AU"/>
        </w:rPr>
        <w:t>Too soon to rate</w:t>
      </w:r>
      <w:r>
        <w:rPr>
          <w:lang w:eastAsia="en-AU"/>
        </w:rPr>
        <w:t>.</w:t>
      </w:r>
    </w:p>
    <w:p w:rsidR="00CE3659" w:rsidRPr="00A711C0" w:rsidRDefault="00CE3659" w:rsidP="00CE3659">
      <w:r>
        <w:t xml:space="preserve">Based on these rules, the definition of </w:t>
      </w:r>
      <w:r w:rsidR="00C34FD3">
        <w:t xml:space="preserve">each of </w:t>
      </w:r>
      <w:r>
        <w:t xml:space="preserve">the effectiveness ratings </w:t>
      </w:r>
      <w:r w:rsidR="00C34FD3">
        <w:rPr>
          <w:noProof/>
        </w:rPr>
        <w:t>is</w:t>
      </w:r>
      <w:r>
        <w:t xml:space="preserve"> as follows.</w:t>
      </w:r>
    </w:p>
    <w:p w:rsidR="00CE3659" w:rsidRDefault="00CE3659" w:rsidP="00CE3659">
      <w:pPr>
        <w:rPr>
          <w:lang w:eastAsia="en-AU"/>
        </w:rPr>
      </w:pPr>
      <w:r w:rsidRPr="005F0023">
        <w:rPr>
          <w:b/>
          <w:lang w:eastAsia="en-AU"/>
        </w:rPr>
        <w:t>Effective</w:t>
      </w:r>
      <w:r>
        <w:rPr>
          <w:lang w:eastAsia="en-AU"/>
        </w:rPr>
        <w:t xml:space="preserve">: EA interventions are rated effective only if they are effective against the majority of outcome domains and they show no sign of having a negative impact on any </w:t>
      </w:r>
      <w:r>
        <w:rPr>
          <w:lang w:eastAsia="en-AU"/>
        </w:rPr>
        <w:lastRenderedPageBreak/>
        <w:t>other outcome domain. We do not wait two years before rating a programme as effective.</w:t>
      </w:r>
    </w:p>
    <w:p w:rsidR="00CE3659" w:rsidRDefault="00CE3659" w:rsidP="00CE3659">
      <w:pPr>
        <w:rPr>
          <w:lang w:eastAsia="en-AU"/>
        </w:rPr>
      </w:pPr>
      <w:r w:rsidRPr="00547529">
        <w:rPr>
          <w:b/>
          <w:lang w:eastAsia="en-AU"/>
        </w:rPr>
        <w:t>Promising</w:t>
      </w:r>
      <w:r>
        <w:rPr>
          <w:lang w:eastAsia="en-AU"/>
        </w:rPr>
        <w:t xml:space="preserve">: promising interventions are those that are effective or likely effective for at least one </w:t>
      </w:r>
      <w:r w:rsidRPr="00F25547">
        <w:rPr>
          <w:noProof/>
          <w:lang w:eastAsia="en-AU"/>
        </w:rPr>
        <w:t>outcome</w:t>
      </w:r>
      <w:r>
        <w:rPr>
          <w:lang w:eastAsia="en-AU"/>
        </w:rPr>
        <w:t xml:space="preserve"> and show no negative effects.</w:t>
      </w:r>
    </w:p>
    <w:p w:rsidR="00CE3659" w:rsidRDefault="00CE3659" w:rsidP="00CE3659">
      <w:pPr>
        <w:rPr>
          <w:lang w:eastAsia="en-AU"/>
        </w:rPr>
      </w:pPr>
      <w:r w:rsidRPr="00547529">
        <w:rPr>
          <w:b/>
          <w:lang w:eastAsia="en-AU"/>
        </w:rPr>
        <w:t>Mixed</w:t>
      </w:r>
      <w:r>
        <w:rPr>
          <w:lang w:eastAsia="en-AU"/>
        </w:rPr>
        <w:t>: mixed covers interventions that show both positive and negative effects across outcome domains. We wait until we have two years of outcome data before rating a programme as mixed.</w:t>
      </w:r>
    </w:p>
    <w:p w:rsidR="00CE3659" w:rsidRDefault="00CE3659" w:rsidP="00CE3659">
      <w:pPr>
        <w:rPr>
          <w:lang w:eastAsia="en-AU"/>
        </w:rPr>
      </w:pPr>
      <w:proofErr w:type="gramStart"/>
      <w:r w:rsidRPr="00547529">
        <w:rPr>
          <w:b/>
          <w:lang w:eastAsia="en-AU"/>
        </w:rPr>
        <w:t>Makes no difference</w:t>
      </w:r>
      <w:r>
        <w:rPr>
          <w:lang w:eastAsia="en-AU"/>
        </w:rPr>
        <w:t>: includes all EA interventions that have no effect on any outcome domain.</w:t>
      </w:r>
      <w:proofErr w:type="gramEnd"/>
      <w:r>
        <w:rPr>
          <w:lang w:eastAsia="en-AU"/>
        </w:rPr>
        <w:t xml:space="preserve"> We wait until we have two years of outcome data before rating an intervention as making no difference.</w:t>
      </w:r>
    </w:p>
    <w:p w:rsidR="00CE3659" w:rsidRDefault="00CE3659" w:rsidP="00CE3659">
      <w:pPr>
        <w:rPr>
          <w:lang w:eastAsia="en-AU"/>
        </w:rPr>
      </w:pPr>
      <w:r w:rsidRPr="00547529">
        <w:rPr>
          <w:b/>
          <w:lang w:eastAsia="en-AU"/>
        </w:rPr>
        <w:t>Likely negative</w:t>
      </w:r>
      <w:r>
        <w:rPr>
          <w:lang w:eastAsia="en-AU"/>
        </w:rPr>
        <w:t>: interventions are in this group because either a minority of outcome domains are rated as negative with the remainder having no impact. Or, the majority are negative, with a minority having the possibility of being positive. We wait until we have two years of outcome data before rating an intervention as likely negative.</w:t>
      </w:r>
    </w:p>
    <w:p w:rsidR="00CE3659" w:rsidRDefault="00CE3659" w:rsidP="00CE3659">
      <w:pPr>
        <w:rPr>
          <w:lang w:eastAsia="en-AU"/>
        </w:rPr>
      </w:pPr>
      <w:r w:rsidRPr="00547529">
        <w:rPr>
          <w:b/>
          <w:lang w:eastAsia="en-AU"/>
        </w:rPr>
        <w:t>Negative</w:t>
      </w:r>
      <w:r>
        <w:rPr>
          <w:lang w:eastAsia="en-AU"/>
        </w:rPr>
        <w:t>: interventions where the majority of outcome domains are rated as negative.</w:t>
      </w:r>
      <w:r w:rsidRPr="00EC08B7">
        <w:rPr>
          <w:lang w:eastAsia="en-AU"/>
        </w:rPr>
        <w:t xml:space="preserve"> </w:t>
      </w:r>
      <w:r>
        <w:rPr>
          <w:lang w:eastAsia="en-AU"/>
        </w:rPr>
        <w:t xml:space="preserve">We wait until we have two years of outcome data before rating an intervention </w:t>
      </w:r>
      <w:r w:rsidRPr="00F25547">
        <w:rPr>
          <w:noProof/>
          <w:lang w:eastAsia="en-AU"/>
        </w:rPr>
        <w:t>negative</w:t>
      </w:r>
      <w:r>
        <w:rPr>
          <w:noProof/>
          <w:lang w:eastAsia="en-AU"/>
        </w:rPr>
        <w:t>ly</w:t>
      </w:r>
      <w:r>
        <w:rPr>
          <w:lang w:eastAsia="en-AU"/>
        </w:rPr>
        <w:t>.</w:t>
      </w:r>
    </w:p>
    <w:p w:rsidR="00CE3659" w:rsidRDefault="00CE3659" w:rsidP="00CE3659">
      <w:pPr>
        <w:rPr>
          <w:lang w:eastAsia="en-AU"/>
        </w:rPr>
      </w:pPr>
      <w:r w:rsidRPr="00547529">
        <w:rPr>
          <w:b/>
          <w:lang w:eastAsia="en-AU"/>
        </w:rPr>
        <w:t>Too soon to rate</w:t>
      </w:r>
      <w:r>
        <w:rPr>
          <w:lang w:eastAsia="en-AU"/>
        </w:rPr>
        <w:t xml:space="preserve">: with the exception of interventions rated as effective or promising, interventions with less than two years of observed impacts are rated as too soon to rate. The reason for waiting at least two years is that the majority of EA interventions have negative effects in the short-term (eg </w:t>
      </w:r>
      <w:r w:rsidRPr="00F25547">
        <w:rPr>
          <w:noProof/>
          <w:lang w:eastAsia="en-AU"/>
        </w:rPr>
        <w:t>lock</w:t>
      </w:r>
      <w:r>
        <w:rPr>
          <w:noProof/>
          <w:lang w:eastAsia="en-AU"/>
        </w:rPr>
        <w:t>-</w:t>
      </w:r>
      <w:r w:rsidRPr="00F25547">
        <w:rPr>
          <w:noProof/>
          <w:lang w:eastAsia="en-AU"/>
        </w:rPr>
        <w:t>in</w:t>
      </w:r>
      <w:r>
        <w:rPr>
          <w:lang w:eastAsia="en-AU"/>
        </w:rPr>
        <w:t xml:space="preserve"> effects) and it is necessary to wait </w:t>
      </w:r>
      <w:r w:rsidRPr="00C34FD3">
        <w:rPr>
          <w:noProof/>
          <w:lang w:eastAsia="en-AU"/>
        </w:rPr>
        <w:t>some time</w:t>
      </w:r>
      <w:r>
        <w:rPr>
          <w:lang w:eastAsia="en-AU"/>
        </w:rPr>
        <w:t xml:space="preserve"> after commencement before positive effects are potentially observed.</w:t>
      </w:r>
    </w:p>
    <w:p w:rsidR="00CE3659" w:rsidRDefault="00CE3659" w:rsidP="00CE3659">
      <w:pPr>
        <w:rPr>
          <w:lang w:eastAsia="en-AU"/>
        </w:rPr>
      </w:pPr>
      <w:r w:rsidRPr="00737E77">
        <w:rPr>
          <w:b/>
          <w:lang w:eastAsia="en-AU"/>
        </w:rPr>
        <w:t>Not feasible</w:t>
      </w:r>
      <w:r>
        <w:rPr>
          <w:lang w:eastAsia="en-AU"/>
        </w:rPr>
        <w:t xml:space="preserve">: a number of interventions have been identified as </w:t>
      </w:r>
      <w:r w:rsidRPr="00C34FD3">
        <w:rPr>
          <w:noProof/>
          <w:lang w:eastAsia="en-AU"/>
        </w:rPr>
        <w:t>w</w:t>
      </w:r>
      <w:r w:rsidR="00C34FD3">
        <w:rPr>
          <w:noProof/>
          <w:lang w:eastAsia="en-AU"/>
        </w:rPr>
        <w:t>h</w:t>
      </w:r>
      <w:r w:rsidRPr="00C34FD3">
        <w:rPr>
          <w:noProof/>
          <w:lang w:eastAsia="en-AU"/>
        </w:rPr>
        <w:t>ere</w:t>
      </w:r>
      <w:r>
        <w:rPr>
          <w:lang w:eastAsia="en-AU"/>
        </w:rPr>
        <w:t xml:space="preserve"> it is not currently feasible to estimate their effectiveness.</w:t>
      </w:r>
    </w:p>
    <w:p w:rsidR="00CE3659" w:rsidRDefault="00CE3659" w:rsidP="00CE3659">
      <w:pPr>
        <w:pStyle w:val="Heading1"/>
        <w:rPr>
          <w:lang w:eastAsia="en-AU"/>
        </w:rPr>
      </w:pPr>
      <w:bookmarkStart w:id="150" w:name="_Toc514063473"/>
      <w:bookmarkStart w:id="151" w:name="_Toc524003499"/>
      <w:r w:rsidRPr="00C34FD3">
        <w:rPr>
          <w:noProof/>
          <w:lang w:eastAsia="en-AU"/>
        </w:rPr>
        <w:t>Cost</w:t>
      </w:r>
      <w:r w:rsidR="00C34FD3">
        <w:rPr>
          <w:noProof/>
          <w:lang w:eastAsia="en-AU"/>
        </w:rPr>
        <w:t>-</w:t>
      </w:r>
      <w:r w:rsidRPr="00C34FD3">
        <w:rPr>
          <w:noProof/>
          <w:lang w:eastAsia="en-AU"/>
        </w:rPr>
        <w:t>benefit</w:t>
      </w:r>
      <w:r>
        <w:rPr>
          <w:lang w:eastAsia="en-AU"/>
        </w:rPr>
        <w:t xml:space="preserve"> analysis</w:t>
      </w:r>
      <w:bookmarkEnd w:id="150"/>
      <w:bookmarkEnd w:id="151"/>
    </w:p>
    <w:p w:rsidR="00CE3659" w:rsidRPr="00023601" w:rsidRDefault="00CE3659" w:rsidP="00CE3659">
      <w:pPr>
        <w:rPr>
          <w:lang w:eastAsia="en-AU"/>
        </w:rPr>
      </w:pPr>
      <w:r>
        <w:rPr>
          <w:lang w:eastAsia="en-AU"/>
        </w:rPr>
        <w:t xml:space="preserve">We are at the start of calculating the cost-benefit of EA interventions covered by our analysis. For this year, we have calculated the welfare Return on Investment, but in future </w:t>
      </w:r>
      <w:r w:rsidRPr="00C34FD3">
        <w:rPr>
          <w:noProof/>
          <w:lang w:eastAsia="en-AU"/>
        </w:rPr>
        <w:t>updates</w:t>
      </w:r>
      <w:r w:rsidR="00C34FD3">
        <w:rPr>
          <w:noProof/>
          <w:lang w:eastAsia="en-AU"/>
        </w:rPr>
        <w:t>,</w:t>
      </w:r>
      <w:r>
        <w:rPr>
          <w:lang w:eastAsia="en-AU"/>
        </w:rPr>
        <w:t xml:space="preserve"> we will </w:t>
      </w:r>
      <w:r w:rsidRPr="00C34FD3">
        <w:rPr>
          <w:noProof/>
          <w:lang w:eastAsia="en-AU"/>
        </w:rPr>
        <w:t>exten</w:t>
      </w:r>
      <w:r w:rsidR="00C34FD3">
        <w:rPr>
          <w:noProof/>
          <w:lang w:eastAsia="en-AU"/>
        </w:rPr>
        <w:t>d</w:t>
      </w:r>
      <w:r>
        <w:rPr>
          <w:lang w:eastAsia="en-AU"/>
        </w:rPr>
        <w:t xml:space="preserve"> this analysis to include more outcome domains.</w:t>
      </w:r>
    </w:p>
    <w:p w:rsidR="00CE3659" w:rsidRPr="003A31FC" w:rsidRDefault="00CE3659" w:rsidP="00CE3659">
      <w:pPr>
        <w:pStyle w:val="Heading2"/>
        <w:rPr>
          <w:lang w:eastAsia="en-AU"/>
        </w:rPr>
      </w:pPr>
      <w:bookmarkStart w:id="152" w:name="_Toc514063474"/>
      <w:bookmarkStart w:id="153" w:name="_Toc524003500"/>
      <w:r>
        <w:rPr>
          <w:lang w:eastAsia="en-AU"/>
        </w:rPr>
        <w:t>What does Welfare Return on Investment consist of?</w:t>
      </w:r>
      <w:bookmarkEnd w:id="152"/>
      <w:bookmarkEnd w:id="153"/>
    </w:p>
    <w:p w:rsidR="00CE3659" w:rsidRDefault="00CE3659" w:rsidP="00CE3659">
      <w:pPr>
        <w:rPr>
          <w:lang w:eastAsia="en-AU"/>
        </w:rPr>
      </w:pPr>
      <w:r>
        <w:rPr>
          <w:lang w:eastAsia="en-AU"/>
        </w:rPr>
        <w:t xml:space="preserve">In the 2018 version of EA </w:t>
      </w:r>
      <w:r w:rsidRPr="00C34FD3">
        <w:rPr>
          <w:noProof/>
          <w:lang w:eastAsia="en-AU"/>
        </w:rPr>
        <w:t>cost</w:t>
      </w:r>
      <w:r w:rsidR="00C34FD3">
        <w:rPr>
          <w:noProof/>
          <w:lang w:eastAsia="en-AU"/>
        </w:rPr>
        <w:t>-</w:t>
      </w:r>
      <w:r w:rsidRPr="00C34FD3">
        <w:rPr>
          <w:noProof/>
          <w:lang w:eastAsia="en-AU"/>
        </w:rPr>
        <w:t>effectiveness</w:t>
      </w:r>
      <w:r>
        <w:rPr>
          <w:lang w:eastAsia="en-AU"/>
        </w:rPr>
        <w:t xml:space="preserve"> results, we only report on Welfare Return on Investment (wROI). This is a ratio of savings in terms of benefit payments and other administrative costs to programme investment.</w:t>
      </w:r>
    </w:p>
    <w:p w:rsidR="00CE3659" w:rsidRPr="004E38A8" w:rsidRDefault="00CE3659" w:rsidP="00CE3659">
      <w:pPr>
        <w:rPr>
          <w:lang w:eastAsia="en-AU"/>
        </w:rPr>
      </w:pPr>
      <w:r w:rsidRPr="004E38A8">
        <w:rPr>
          <w:lang w:eastAsia="en-AU"/>
        </w:rPr>
        <w:t>The return on investment is:</w:t>
      </w:r>
    </w:p>
    <w:p w:rsidR="00CE3659" w:rsidRPr="004E38A8" w:rsidRDefault="003929C9" w:rsidP="00CE3659">
      <w:pPr>
        <w:rPr>
          <w:rFonts w:ascii="Cambria Math" w:hAnsi="Cambria Math"/>
          <w:lang w:eastAsia="en-AU"/>
          <w:oMath/>
        </w:rPr>
      </w:pPr>
      <m:oMathPara>
        <m:oMath>
          <m:f>
            <m:fPr>
              <m:ctrlPr>
                <w:rPr>
                  <w:rFonts w:ascii="Cambria Math" w:hAnsi="Cambria Math"/>
                  <w:i/>
                  <w:lang w:eastAsia="en-AU"/>
                </w:rPr>
              </m:ctrlPr>
            </m:fPr>
            <m:num>
              <m:r>
                <w:rPr>
                  <w:rFonts w:ascii="Cambria Math" w:hAnsi="Cambria Math"/>
                  <w:lang w:eastAsia="en-AU"/>
                </w:rPr>
                <m:t>Net Benefit Payments + Net Other</m:t>
              </m:r>
            </m:num>
            <m:den>
              <m:r>
                <w:rPr>
                  <w:rFonts w:ascii="Cambria Math" w:hAnsi="Cambria Math"/>
                  <w:lang w:eastAsia="en-AU"/>
                </w:rPr>
                <m:t>Total Programme</m:t>
              </m:r>
            </m:den>
          </m:f>
        </m:oMath>
      </m:oMathPara>
    </w:p>
    <w:p w:rsidR="00CE3659" w:rsidRPr="004E38A8" w:rsidRDefault="00CE3659" w:rsidP="00CE3659">
      <w:pPr>
        <w:rPr>
          <w:lang w:eastAsia="en-AU"/>
        </w:rPr>
      </w:pPr>
      <w:r w:rsidRPr="004E38A8">
        <w:rPr>
          <w:lang w:eastAsia="en-AU"/>
        </w:rPr>
        <w:t>Where:</w:t>
      </w:r>
    </w:p>
    <w:p w:rsidR="00CE3659" w:rsidRPr="004E38A8" w:rsidRDefault="00CE3659" w:rsidP="00CE3659">
      <w:r w:rsidRPr="004E38A8">
        <w:rPr>
          <w:b/>
        </w:rPr>
        <w:t>Net Be</w:t>
      </w:r>
      <w:r>
        <w:rPr>
          <w:b/>
        </w:rPr>
        <w:t>nefit Payments:</w:t>
      </w:r>
      <w:r w:rsidRPr="004E38A8">
        <w:t xml:space="preserve"> is the difference in benefit payments between the </w:t>
      </w:r>
      <w:r>
        <w:t xml:space="preserve">participant </w:t>
      </w:r>
      <w:r w:rsidRPr="004E38A8">
        <w:t xml:space="preserve">and comparison groups. This includes the difference in </w:t>
      </w:r>
      <w:r>
        <w:t>estimated future benefits costs at the end of the observation period</w:t>
      </w:r>
      <w:r w:rsidRPr="004E38A8">
        <w:t>.</w:t>
      </w:r>
    </w:p>
    <w:p w:rsidR="00CE3659" w:rsidRPr="004E38A8" w:rsidRDefault="00CE3659" w:rsidP="00CE3659">
      <w:r w:rsidRPr="004E38A8">
        <w:rPr>
          <w:b/>
        </w:rPr>
        <w:lastRenderedPageBreak/>
        <w:t>Net Other</w:t>
      </w:r>
      <w:r>
        <w:t>:</w:t>
      </w:r>
      <w:r w:rsidRPr="004E38A8">
        <w:t xml:space="preserve"> is the difference between the tre</w:t>
      </w:r>
      <w:r>
        <w:t xml:space="preserve">atment and comparison groups in </w:t>
      </w:r>
      <w:r w:rsidR="00C34FD3">
        <w:t xml:space="preserve">the </w:t>
      </w:r>
      <w:r w:rsidRPr="00C34FD3">
        <w:rPr>
          <w:noProof/>
        </w:rPr>
        <w:t>utilisation</w:t>
      </w:r>
      <w:r w:rsidRPr="004E38A8">
        <w:t xml:space="preserve"> of other programmes and </w:t>
      </w:r>
      <w:r w:rsidR="006F73ED" w:rsidRPr="004E38A8">
        <w:t>case</w:t>
      </w:r>
      <w:r w:rsidR="00134FBE">
        <w:t xml:space="preserve"> </w:t>
      </w:r>
      <w:r w:rsidRPr="004E38A8">
        <w:t>management services.</w:t>
      </w:r>
    </w:p>
    <w:p w:rsidR="00CE3659" w:rsidRDefault="00CE3659" w:rsidP="00CE3659">
      <w:r w:rsidRPr="004E38A8">
        <w:rPr>
          <w:b/>
        </w:rPr>
        <w:t>Total Programme</w:t>
      </w:r>
      <w:r>
        <w:t>:</w:t>
      </w:r>
      <w:r w:rsidRPr="004E38A8">
        <w:t xml:space="preserve"> is the total cost of the programme (excluding overheads)</w:t>
      </w:r>
      <w:r>
        <w:t xml:space="preserve"> for participants</w:t>
      </w:r>
      <w:r w:rsidRPr="004E38A8">
        <w:t>.</w:t>
      </w:r>
    </w:p>
    <w:p w:rsidR="00CE3659" w:rsidRPr="004E38A8" w:rsidRDefault="00CE3659" w:rsidP="00CE3659">
      <w:r>
        <w:t>Where the ratio is greater than one, then we can conclude that the net</w:t>
      </w:r>
      <w:r w:rsidR="00206E67">
        <w:t xml:space="preserve"> </w:t>
      </w:r>
      <w:r>
        <w:t>return of the intervention exceeds its cost (ie it is cost-effective). However, because of uncertainty in the estimates and the desire to see a substantive net</w:t>
      </w:r>
      <w:r w:rsidR="00134FBE">
        <w:t xml:space="preserve"> </w:t>
      </w:r>
      <w:r>
        <w:t>return above estimate, we use 1.5 as the cut off for an intervention being cost-effective. Interventions in the range between 1 and 1.5 are said to be breaking even.</w:t>
      </w:r>
    </w:p>
    <w:p w:rsidR="00CE3659" w:rsidRPr="004E38A8" w:rsidRDefault="00CE3659" w:rsidP="00CE3659">
      <w:pPr>
        <w:pStyle w:val="Heading4"/>
        <w:rPr>
          <w:lang w:eastAsia="en-AU"/>
        </w:rPr>
      </w:pPr>
      <w:r w:rsidRPr="004E38A8">
        <w:rPr>
          <w:lang w:eastAsia="en-AU"/>
        </w:rPr>
        <w:t>Financial outcomes</w:t>
      </w:r>
    </w:p>
    <w:p w:rsidR="00CE3659" w:rsidRPr="004E38A8" w:rsidRDefault="00CE3659" w:rsidP="00CE3659">
      <w:pPr>
        <w:rPr>
          <w:lang w:eastAsia="en-AU"/>
        </w:rPr>
      </w:pPr>
      <w:r w:rsidRPr="004E38A8">
        <w:rPr>
          <w:lang w:eastAsia="en-AU"/>
        </w:rPr>
        <w:t>Outcomes are measured by the financial savings made wh</w:t>
      </w:r>
      <w:r>
        <w:rPr>
          <w:lang w:eastAsia="en-AU"/>
        </w:rPr>
        <w:t>en MSD no longer needs to pay a person</w:t>
      </w:r>
      <w:r w:rsidRPr="004E38A8">
        <w:rPr>
          <w:lang w:eastAsia="en-AU"/>
        </w:rPr>
        <w:t xml:space="preserve"> </w:t>
      </w:r>
      <w:r w:rsidRPr="00C34FD3">
        <w:rPr>
          <w:noProof/>
          <w:lang w:eastAsia="en-AU"/>
        </w:rPr>
        <w:t>a main</w:t>
      </w:r>
      <w:r w:rsidRPr="004E38A8">
        <w:rPr>
          <w:lang w:eastAsia="en-AU"/>
        </w:rPr>
        <w:t xml:space="preserve"> benefit, supplementary benefit, or a one-off payment. There are also </w:t>
      </w:r>
      <w:r>
        <w:rPr>
          <w:lang w:eastAsia="en-AU"/>
        </w:rPr>
        <w:t xml:space="preserve">savings </w:t>
      </w:r>
      <w:r w:rsidRPr="004E38A8">
        <w:rPr>
          <w:lang w:eastAsia="en-AU"/>
        </w:rPr>
        <w:t>in administrative costs, as MSD no longer needs to admini</w:t>
      </w:r>
      <w:r>
        <w:rPr>
          <w:lang w:eastAsia="en-AU"/>
        </w:rPr>
        <w:t xml:space="preserve">ster income </w:t>
      </w:r>
      <w:r w:rsidRPr="00C34FD3">
        <w:rPr>
          <w:noProof/>
          <w:lang w:eastAsia="en-AU"/>
        </w:rPr>
        <w:t>support</w:t>
      </w:r>
      <w:r>
        <w:rPr>
          <w:lang w:eastAsia="en-AU"/>
        </w:rPr>
        <w:t xml:space="preserve"> or provide </w:t>
      </w:r>
      <w:r w:rsidRPr="004E38A8">
        <w:rPr>
          <w:lang w:eastAsia="en-AU"/>
        </w:rPr>
        <w:t>intervention programmes.</w:t>
      </w:r>
    </w:p>
    <w:p w:rsidR="00CE3659" w:rsidRPr="004E38A8" w:rsidRDefault="00CE3659" w:rsidP="00CE3659">
      <w:pPr>
        <w:rPr>
          <w:lang w:eastAsia="en-AU"/>
        </w:rPr>
      </w:pPr>
      <w:r>
        <w:rPr>
          <w:lang w:eastAsia="en-AU"/>
        </w:rPr>
        <w:t>People</w:t>
      </w:r>
      <w:r w:rsidRPr="004E38A8">
        <w:rPr>
          <w:lang w:eastAsia="en-AU"/>
        </w:rPr>
        <w:t xml:space="preserve"> who are helped into employment may not requir</w:t>
      </w:r>
      <w:r>
        <w:rPr>
          <w:lang w:eastAsia="en-AU"/>
        </w:rPr>
        <w:t xml:space="preserve">e a benefit for many years – so </w:t>
      </w:r>
      <w:r w:rsidRPr="004E38A8">
        <w:rPr>
          <w:lang w:eastAsia="en-AU"/>
        </w:rPr>
        <w:t>much of a programme’s success may lie in the future. It would be impractical to wait for</w:t>
      </w:r>
      <w:r>
        <w:rPr>
          <w:lang w:eastAsia="en-AU"/>
        </w:rPr>
        <w:t xml:space="preserve"> </w:t>
      </w:r>
      <w:r w:rsidRPr="004E38A8">
        <w:rPr>
          <w:lang w:eastAsia="en-AU"/>
        </w:rPr>
        <w:t xml:space="preserve">these savings to be realised before assessing the impact </w:t>
      </w:r>
      <w:r>
        <w:rPr>
          <w:lang w:eastAsia="en-AU"/>
        </w:rPr>
        <w:t xml:space="preserve">of a programme, so the outcomes </w:t>
      </w:r>
      <w:r w:rsidRPr="004E38A8">
        <w:rPr>
          <w:lang w:eastAsia="en-AU"/>
        </w:rPr>
        <w:t>also include a prediction of future savings as well as observed savings.</w:t>
      </w:r>
    </w:p>
    <w:p w:rsidR="00CE3659" w:rsidRPr="004E38A8" w:rsidRDefault="00CE3659" w:rsidP="00CE3659">
      <w:pPr>
        <w:rPr>
          <w:lang w:eastAsia="en-AU"/>
        </w:rPr>
      </w:pPr>
      <w:r w:rsidRPr="004E38A8">
        <w:rPr>
          <w:lang w:eastAsia="en-AU"/>
        </w:rPr>
        <w:t>Savings and costs do not include a share of indirect costs</w:t>
      </w:r>
      <w:r>
        <w:rPr>
          <w:lang w:eastAsia="en-AU"/>
        </w:rPr>
        <w:t xml:space="preserve"> or overheads. The cost of the </w:t>
      </w:r>
      <w:r w:rsidRPr="004E38A8">
        <w:rPr>
          <w:lang w:eastAsia="en-AU"/>
        </w:rPr>
        <w:t>employment programmes is relatively small in the context</w:t>
      </w:r>
      <w:r>
        <w:rPr>
          <w:lang w:eastAsia="en-AU"/>
        </w:rPr>
        <w:t xml:space="preserve"> of total welfare costs and is </w:t>
      </w:r>
      <w:r w:rsidRPr="004E38A8">
        <w:rPr>
          <w:lang w:eastAsia="en-AU"/>
        </w:rPr>
        <w:t>unlikely to materially influence indirect costs and overheads.</w:t>
      </w:r>
    </w:p>
    <w:p w:rsidR="00CE3659" w:rsidRDefault="00CE3659" w:rsidP="00CE3659">
      <w:pPr>
        <w:rPr>
          <w:lang w:eastAsia="en-AU"/>
        </w:rPr>
      </w:pPr>
      <w:r>
        <w:rPr>
          <w:lang w:eastAsia="en-AU"/>
        </w:rPr>
        <w:t>These cost estimates come from three different sources, which are:</w:t>
      </w:r>
    </w:p>
    <w:p w:rsidR="00CE3659" w:rsidRDefault="00CE3659" w:rsidP="00CE3659">
      <w:pPr>
        <w:pStyle w:val="ListParagraph"/>
        <w:numPr>
          <w:ilvl w:val="0"/>
          <w:numId w:val="9"/>
        </w:numPr>
        <w:spacing w:before="60" w:after="60"/>
        <w:rPr>
          <w:lang w:eastAsia="en-AU"/>
        </w:rPr>
      </w:pPr>
      <w:r>
        <w:rPr>
          <w:lang w:eastAsia="en-AU"/>
        </w:rPr>
        <w:t>Amount of income support paid to participants and matched comparison groups</w:t>
      </w:r>
    </w:p>
    <w:p w:rsidR="00CE3659" w:rsidRDefault="00CE3659" w:rsidP="00CE3659">
      <w:pPr>
        <w:pStyle w:val="ListParagraph"/>
        <w:numPr>
          <w:ilvl w:val="0"/>
          <w:numId w:val="9"/>
        </w:numPr>
        <w:spacing w:before="60" w:after="60"/>
        <w:rPr>
          <w:lang w:eastAsia="en-AU"/>
        </w:rPr>
      </w:pPr>
      <w:r>
        <w:rPr>
          <w:lang w:eastAsia="en-AU"/>
        </w:rPr>
        <w:t xml:space="preserve">Amount of income support that we estimate will be paid in the future </w:t>
      </w:r>
    </w:p>
    <w:p w:rsidR="00CE3659" w:rsidRDefault="00CE3659" w:rsidP="00CE3659">
      <w:pPr>
        <w:pStyle w:val="ListParagraph"/>
        <w:numPr>
          <w:ilvl w:val="0"/>
          <w:numId w:val="9"/>
        </w:numPr>
        <w:spacing w:before="60" w:after="60"/>
        <w:rPr>
          <w:lang w:eastAsia="en-AU"/>
        </w:rPr>
      </w:pPr>
      <w:r>
        <w:rPr>
          <w:lang w:eastAsia="en-AU"/>
        </w:rPr>
        <w:t>MSD administrative costs and expenditure involved in administering EA interventions</w:t>
      </w:r>
      <w:r w:rsidR="006F73ED">
        <w:rPr>
          <w:lang w:eastAsia="en-AU"/>
        </w:rPr>
        <w:t>.</w:t>
      </w:r>
    </w:p>
    <w:p w:rsidR="00CE3659" w:rsidRDefault="00CE3659" w:rsidP="00CE3659">
      <w:pPr>
        <w:rPr>
          <w:lang w:eastAsia="en-AU"/>
        </w:rPr>
      </w:pPr>
      <w:r>
        <w:rPr>
          <w:lang w:eastAsia="en-AU"/>
        </w:rPr>
        <w:t>Estimates of savings come from all three sources, while estimates of investment in specific EA interventions come from the third source only. Savings are estimated by taking the difference in the cumulative average cost for the participants from the cumulative average cost for the matched comparison group. We can then estimate the wROI for an intervention by dividing the cumulative savings by the cumulative investment at the end of the observation period.</w:t>
      </w:r>
    </w:p>
    <w:p w:rsidR="00CE3659" w:rsidRDefault="00C34FD3" w:rsidP="00CE3659">
      <w:pPr>
        <w:pStyle w:val="Heading4"/>
        <w:rPr>
          <w:lang w:eastAsia="en-AU"/>
        </w:rPr>
      </w:pPr>
      <w:r>
        <w:rPr>
          <w:noProof/>
          <w:lang w:eastAsia="en-AU"/>
        </w:rPr>
        <w:t>The e</w:t>
      </w:r>
      <w:r w:rsidR="00CE3659" w:rsidRPr="00C34FD3">
        <w:rPr>
          <w:noProof/>
          <w:lang w:eastAsia="en-AU"/>
        </w:rPr>
        <w:t>stimated</w:t>
      </w:r>
      <w:r w:rsidR="00CE3659">
        <w:rPr>
          <w:lang w:eastAsia="en-AU"/>
        </w:rPr>
        <w:t xml:space="preserve"> amount of income support paid in the future is sourced from the Liability Estimator Tool (LET)</w:t>
      </w:r>
    </w:p>
    <w:p w:rsidR="00CE3659" w:rsidRDefault="00CE3659" w:rsidP="00CE3659">
      <w:pPr>
        <w:rPr>
          <w:lang w:eastAsia="en-AU"/>
        </w:rPr>
      </w:pPr>
      <w:r>
        <w:rPr>
          <w:lang w:eastAsia="en-AU"/>
        </w:rPr>
        <w:t xml:space="preserve">MSD has developed a model called the Liability Estimator Tool (LET) which predicts the amount of income support that will be paid to individual clients in the next four years. An estimate of income support that will be paid until age 65 years can also be obtained by scaling the four-year estimate. For a high-level overview of the model, please refer to the summary report </w:t>
      </w:r>
      <w:r w:rsidRPr="00C34FD3">
        <w:rPr>
          <w:noProof/>
          <w:lang w:eastAsia="en-AU"/>
        </w:rPr>
        <w:t>LET</w:t>
      </w:r>
      <w:r>
        <w:rPr>
          <w:lang w:eastAsia="en-AU"/>
        </w:rPr>
        <w:t xml:space="preserve"> v5 </w:t>
      </w:r>
      <w:r>
        <w:rPr>
          <w:lang w:eastAsia="en-AU"/>
        </w:rPr>
        <w:fldChar w:fldCharType="begin" w:fldLock="1"/>
      </w:r>
      <w:r>
        <w:rPr>
          <w:lang w:eastAsia="en-AU"/>
        </w:rPr>
        <w:instrText>ADDIN CSL_CITATION { "citationItems" : [ { "id" : "ITEM-1", "itemData" : { "abstract" : "This document contains an overview (technical in some places) of the modelling work that has been done for LET version 5 (using the IPV data). It is intended to be the starting place for someone interested in the modelling and wants to know more, or if someone else wants to pick up the modelling work.", "author" : [ { "dropping-particle" : "", "family" : "MSD", "given" : "", "non-dropping-particle" : "", "parse-names" : false, "suffix" : "" } ], "id" : "ITEM-1", "issued" : { "date-parts" : [ [ "2016" ] ] }, "number-of-pages" : "46", "publisher" : "Ministry of Social Development (EDRMS id: A9188745 )", "publisher-place" : "Wellington", "title" : "LET v5 model information", "type" : "report" }, "uris" : [ "http://www.mendeley.com/documents/?uuid=3b2374c2-45bf-4364-995c-ef9bc3cb5fad" ] } ], "mendeley" : { "formattedCitation" : "(MSD, 2016)", "plainTextFormattedCitation" : "(MSD, 2016)", "previouslyFormattedCitation" : "(MSD, 2016)" }, "properties" : {  }, "schema" : "https://github.com/citation-style-language/schema/raw/master/csl-citation.json" }</w:instrText>
      </w:r>
      <w:r>
        <w:rPr>
          <w:lang w:eastAsia="en-AU"/>
        </w:rPr>
        <w:fldChar w:fldCharType="separate"/>
      </w:r>
      <w:r w:rsidRPr="004E38A8">
        <w:rPr>
          <w:noProof/>
          <w:lang w:eastAsia="en-AU"/>
        </w:rPr>
        <w:t>(MSD, 2016)</w:t>
      </w:r>
      <w:r>
        <w:rPr>
          <w:lang w:eastAsia="en-AU"/>
        </w:rPr>
        <w:fldChar w:fldCharType="end"/>
      </w:r>
      <w:r>
        <w:rPr>
          <w:lang w:eastAsia="en-AU"/>
        </w:rPr>
        <w:t>.</w:t>
      </w:r>
    </w:p>
    <w:p w:rsidR="00CE3659" w:rsidRDefault="00CE3659" w:rsidP="00CE3659">
      <w:pPr>
        <w:pStyle w:val="Heading4"/>
        <w:rPr>
          <w:lang w:eastAsia="en-AU"/>
        </w:rPr>
      </w:pPr>
      <w:r>
        <w:rPr>
          <w:lang w:eastAsia="en-AU"/>
        </w:rPr>
        <w:t>MSD administrative costs and EA intervention costs are sourced from the individual Cost Allocation Model</w:t>
      </w:r>
    </w:p>
    <w:p w:rsidR="00CE3659" w:rsidRDefault="00CE3659" w:rsidP="00CE3659">
      <w:pPr>
        <w:rPr>
          <w:lang w:eastAsia="en-AU"/>
        </w:rPr>
      </w:pPr>
      <w:r>
        <w:rPr>
          <w:lang w:eastAsia="en-AU"/>
        </w:rPr>
        <w:t xml:space="preserve">Besides the actual income support paid to clients in the form of benefits and grants, expenditure on MSD clients also </w:t>
      </w:r>
      <w:r w:rsidRPr="00C34FD3">
        <w:rPr>
          <w:noProof/>
          <w:lang w:eastAsia="en-AU"/>
        </w:rPr>
        <w:t>include</w:t>
      </w:r>
      <w:r w:rsidR="00C34FD3">
        <w:rPr>
          <w:noProof/>
          <w:lang w:eastAsia="en-AU"/>
        </w:rPr>
        <w:t>s</w:t>
      </w:r>
      <w:r>
        <w:rPr>
          <w:lang w:eastAsia="en-AU"/>
        </w:rPr>
        <w:t xml:space="preserve"> administrative costs associated with paying those benefits and costs involved in case management. These costs are sourced from an </w:t>
      </w:r>
      <w:r>
        <w:rPr>
          <w:lang w:eastAsia="en-AU"/>
        </w:rPr>
        <w:lastRenderedPageBreak/>
        <w:t xml:space="preserve">individual cost allocation model maintained by Insights MSD. For a short description of the model, see the </w:t>
      </w:r>
      <w:r>
        <w:rPr>
          <w:lang w:eastAsia="en-AU"/>
        </w:rPr>
        <w:fldChar w:fldCharType="begin"/>
      </w:r>
      <w:r>
        <w:rPr>
          <w:lang w:eastAsia="en-AU"/>
        </w:rPr>
        <w:instrText xml:space="preserve"> REF _Ref512253680 \h </w:instrText>
      </w:r>
      <w:r>
        <w:rPr>
          <w:lang w:eastAsia="en-AU"/>
        </w:rPr>
      </w:r>
      <w:r>
        <w:rPr>
          <w:lang w:eastAsia="en-AU"/>
        </w:rPr>
        <w:fldChar w:fldCharType="separate"/>
      </w:r>
      <w:r w:rsidR="00F24924">
        <w:rPr>
          <w:lang w:eastAsia="en-AU"/>
        </w:rPr>
        <w:t>Estimating the cost of EA interventions</w:t>
      </w:r>
      <w:r>
        <w:rPr>
          <w:lang w:eastAsia="en-AU"/>
        </w:rPr>
        <w:fldChar w:fldCharType="end"/>
      </w:r>
      <w:r>
        <w:rPr>
          <w:lang w:eastAsia="en-AU"/>
        </w:rPr>
        <w:t xml:space="preserve"> section (page </w:t>
      </w:r>
      <w:r>
        <w:rPr>
          <w:highlight w:val="yellow"/>
          <w:lang w:eastAsia="en-AU"/>
        </w:rPr>
        <w:fldChar w:fldCharType="begin"/>
      </w:r>
      <w:r>
        <w:rPr>
          <w:lang w:eastAsia="en-AU"/>
        </w:rPr>
        <w:instrText xml:space="preserve"> PAGEREF _Ref512253680 \h </w:instrText>
      </w:r>
      <w:r>
        <w:rPr>
          <w:highlight w:val="yellow"/>
          <w:lang w:eastAsia="en-AU"/>
        </w:rPr>
      </w:r>
      <w:r>
        <w:rPr>
          <w:highlight w:val="yellow"/>
          <w:lang w:eastAsia="en-AU"/>
        </w:rPr>
        <w:fldChar w:fldCharType="separate"/>
      </w:r>
      <w:r w:rsidR="00F24924">
        <w:rPr>
          <w:noProof/>
          <w:lang w:eastAsia="en-AU"/>
        </w:rPr>
        <w:t>12</w:t>
      </w:r>
      <w:r>
        <w:rPr>
          <w:highlight w:val="yellow"/>
          <w:lang w:eastAsia="en-AU"/>
        </w:rPr>
        <w:fldChar w:fldCharType="end"/>
      </w:r>
      <w:r>
        <w:rPr>
          <w:lang w:eastAsia="en-AU"/>
        </w:rPr>
        <w:t>).</w:t>
      </w:r>
    </w:p>
    <w:p w:rsidR="00CE3659" w:rsidRPr="00DE5089" w:rsidRDefault="00CE3659" w:rsidP="00CE3659">
      <w:pPr>
        <w:pStyle w:val="Heading2"/>
        <w:rPr>
          <w:lang w:eastAsia="en-AU"/>
        </w:rPr>
      </w:pPr>
      <w:bookmarkStart w:id="154" w:name="_Toc514063475"/>
      <w:bookmarkStart w:id="155" w:name="_Toc524003501"/>
      <w:r>
        <w:rPr>
          <w:lang w:eastAsia="en-AU"/>
        </w:rPr>
        <w:t>Welfare ROI for case management services</w:t>
      </w:r>
      <w:bookmarkEnd w:id="154"/>
      <w:bookmarkEnd w:id="155"/>
    </w:p>
    <w:p w:rsidR="00CE3659" w:rsidRDefault="00CE3659" w:rsidP="00CE3659">
      <w:pPr>
        <w:rPr>
          <w:lang w:eastAsia="en-AU"/>
        </w:rPr>
      </w:pPr>
      <w:r>
        <w:rPr>
          <w:lang w:eastAsia="en-AU"/>
        </w:rPr>
        <w:t xml:space="preserve">Welfare ROI for </w:t>
      </w:r>
      <w:r w:rsidR="006F73ED">
        <w:rPr>
          <w:lang w:eastAsia="en-AU"/>
        </w:rPr>
        <w:t>case</w:t>
      </w:r>
      <w:r w:rsidR="00134FBE">
        <w:rPr>
          <w:lang w:eastAsia="en-AU"/>
        </w:rPr>
        <w:t xml:space="preserve"> </w:t>
      </w:r>
      <w:r>
        <w:rPr>
          <w:lang w:eastAsia="en-AU"/>
        </w:rPr>
        <w:t xml:space="preserve">management services </w:t>
      </w:r>
      <w:r w:rsidR="00695613">
        <w:rPr>
          <w:lang w:eastAsia="en-AU"/>
        </w:rPr>
        <w:t xml:space="preserve">is </w:t>
      </w:r>
      <w:r>
        <w:rPr>
          <w:lang w:eastAsia="en-AU"/>
        </w:rPr>
        <w:t xml:space="preserve">calculated differently. </w:t>
      </w:r>
      <w:r w:rsidR="006F73ED">
        <w:rPr>
          <w:lang w:eastAsia="en-AU"/>
        </w:rPr>
        <w:t xml:space="preserve"> Welfare ROI </w:t>
      </w:r>
      <w:r>
        <w:rPr>
          <w:lang w:eastAsia="en-AU"/>
        </w:rPr>
        <w:t xml:space="preserve">for </w:t>
      </w:r>
      <w:r w:rsidR="006F73ED">
        <w:rPr>
          <w:lang w:eastAsia="en-AU"/>
        </w:rPr>
        <w:t>case</w:t>
      </w:r>
      <w:r w:rsidR="00134FBE">
        <w:rPr>
          <w:lang w:eastAsia="en-AU"/>
        </w:rPr>
        <w:t xml:space="preserve"> </w:t>
      </w:r>
      <w:r>
        <w:rPr>
          <w:lang w:eastAsia="en-AU"/>
        </w:rPr>
        <w:t xml:space="preserve">management services </w:t>
      </w:r>
      <w:r w:rsidR="00695613">
        <w:rPr>
          <w:lang w:eastAsia="en-AU"/>
        </w:rPr>
        <w:t xml:space="preserve">was </w:t>
      </w:r>
      <w:r>
        <w:rPr>
          <w:lang w:eastAsia="en-AU"/>
        </w:rPr>
        <w:t xml:space="preserve">based on General Case Management as the baseline service. The returns consist of savings in income support </w:t>
      </w:r>
      <w:r w:rsidRPr="00C34FD3">
        <w:rPr>
          <w:noProof/>
          <w:lang w:eastAsia="en-AU"/>
        </w:rPr>
        <w:t>costs</w:t>
      </w:r>
      <w:r>
        <w:rPr>
          <w:lang w:eastAsia="en-AU"/>
        </w:rPr>
        <w:t xml:space="preserve"> and savings in avoided case</w:t>
      </w:r>
      <w:r w:rsidR="00134FBE">
        <w:rPr>
          <w:lang w:eastAsia="en-AU"/>
        </w:rPr>
        <w:t xml:space="preserve"> </w:t>
      </w:r>
      <w:r>
        <w:rPr>
          <w:lang w:eastAsia="en-AU"/>
        </w:rPr>
        <w:t xml:space="preserve">management costs. The investments consist of costs of staff </w:t>
      </w:r>
      <w:r w:rsidRPr="00C34FD3">
        <w:rPr>
          <w:noProof/>
          <w:lang w:eastAsia="en-AU"/>
        </w:rPr>
        <w:t>time</w:t>
      </w:r>
      <w:r>
        <w:rPr>
          <w:lang w:eastAsia="en-AU"/>
        </w:rPr>
        <w:t xml:space="preserve"> and contract and subsidy payments for employment assistance. For these </w:t>
      </w:r>
      <w:r w:rsidRPr="00C34FD3">
        <w:rPr>
          <w:noProof/>
          <w:lang w:eastAsia="en-AU"/>
        </w:rPr>
        <w:t>services</w:t>
      </w:r>
      <w:r w:rsidR="00C34FD3">
        <w:rPr>
          <w:noProof/>
          <w:lang w:eastAsia="en-AU"/>
        </w:rPr>
        <w:t>,</w:t>
      </w:r>
      <w:r>
        <w:rPr>
          <w:lang w:eastAsia="en-AU"/>
        </w:rPr>
        <w:t xml:space="preserve"> we did not include </w:t>
      </w:r>
      <w:r w:rsidR="00C34FD3">
        <w:rPr>
          <w:lang w:eastAsia="en-AU"/>
        </w:rPr>
        <w:t xml:space="preserve">a </w:t>
      </w:r>
      <w:r w:rsidRPr="00C34FD3">
        <w:rPr>
          <w:noProof/>
          <w:lang w:eastAsia="en-AU"/>
        </w:rPr>
        <w:t>projection</w:t>
      </w:r>
      <w:r>
        <w:rPr>
          <w:lang w:eastAsia="en-AU"/>
        </w:rPr>
        <w:t xml:space="preserve"> of likely future income support savings. Refer to MSD </w:t>
      </w:r>
      <w:r>
        <w:rPr>
          <w:lang w:eastAsia="en-AU"/>
        </w:rPr>
        <w:fldChar w:fldCharType="begin" w:fldLock="1"/>
      </w:r>
      <w:r>
        <w:rPr>
          <w:lang w:eastAsia="en-AU"/>
        </w:rPr>
        <w:instrText>ADDIN CSL_CITATION { "citationItems" : [ { "id" : "ITEM-1", "itemData" : { "abstract" : "This report summarises the welfare return on investment (wROI) for a range of intensive case management services targeted at people receiving income support.", "author" : [ { "dropping-particle" : "", "family" : "MSD", "given" : "", "non-dropping-particle" : "", "parse-names" : false, "suffix" : "" } ], "id" : "ITEM-1", "issued" : { "date-parts" : [ [ "2018" ] ] }, "number-of-pages" : "110", "publisher" : "Ministry of Social Development (EDRMS: A9467849)", "publisher-place" : "Wellington", "title" : "Cost-effectiveness of intensive case management services", "type" : "report" }, "suppress-author" : 1, "uris" : [ "http://www.mendeley.com/documents/?uuid=8c264d3a-dacd-402a-ace2-ec0e3adb50a1" ] } ], "mendeley" : { "formattedCitation" : "(2018a)", "plainTextFormattedCitation" : "(2018a)", "previouslyFormattedCitation" : "(2018a)" }, "properties" : {  }, "schema" : "https://github.com/citation-style-language/schema/raw/master/csl-citation.json" }</w:instrText>
      </w:r>
      <w:r>
        <w:rPr>
          <w:lang w:eastAsia="en-AU"/>
        </w:rPr>
        <w:fldChar w:fldCharType="separate"/>
      </w:r>
      <w:r w:rsidRPr="00DC53C5">
        <w:rPr>
          <w:noProof/>
          <w:lang w:eastAsia="en-AU"/>
        </w:rPr>
        <w:t>(2018a)</w:t>
      </w:r>
      <w:r>
        <w:rPr>
          <w:lang w:eastAsia="en-AU"/>
        </w:rPr>
        <w:fldChar w:fldCharType="end"/>
      </w:r>
      <w:r>
        <w:rPr>
          <w:lang w:eastAsia="en-AU"/>
        </w:rPr>
        <w:t xml:space="preserve"> for more detail on how we calculated the wROI for </w:t>
      </w:r>
      <w:r w:rsidR="006F73ED">
        <w:rPr>
          <w:lang w:eastAsia="en-AU"/>
        </w:rPr>
        <w:t>case</w:t>
      </w:r>
      <w:r w:rsidR="00134FBE">
        <w:rPr>
          <w:lang w:eastAsia="en-AU"/>
        </w:rPr>
        <w:t xml:space="preserve"> </w:t>
      </w:r>
      <w:r>
        <w:rPr>
          <w:lang w:eastAsia="en-AU"/>
        </w:rPr>
        <w:t>management services</w:t>
      </w:r>
    </w:p>
    <w:p w:rsidR="006F73ED" w:rsidRDefault="006F73ED">
      <w:pPr>
        <w:spacing w:after="0" w:line="240" w:lineRule="auto"/>
        <w:rPr>
          <w:rFonts w:ascii="Georgia" w:eastAsiaTheme="majorEastAsia" w:hAnsi="Georgia"/>
          <w:b/>
          <w:bCs/>
          <w:color w:val="121F6B"/>
          <w:kern w:val="0"/>
          <w:sz w:val="36"/>
          <w:szCs w:val="36"/>
          <w:lang w:eastAsia="en-AU"/>
        </w:rPr>
      </w:pPr>
      <w:bookmarkStart w:id="156" w:name="_Toc514063476"/>
      <w:bookmarkStart w:id="157" w:name="_Toc524003502"/>
      <w:r>
        <w:rPr>
          <w:lang w:eastAsia="en-AU"/>
        </w:rPr>
        <w:br w:type="page"/>
      </w:r>
    </w:p>
    <w:p w:rsidR="00CE3659" w:rsidRDefault="00CE3659" w:rsidP="00CE3659">
      <w:pPr>
        <w:pStyle w:val="Heading1"/>
        <w:rPr>
          <w:lang w:eastAsia="en-AU"/>
        </w:rPr>
      </w:pPr>
      <w:r>
        <w:rPr>
          <w:lang w:eastAsia="en-AU"/>
        </w:rPr>
        <w:lastRenderedPageBreak/>
        <w:t>References</w:t>
      </w:r>
      <w:bookmarkEnd w:id="156"/>
      <w:bookmarkEnd w:id="157"/>
    </w:p>
    <w:p w:rsidR="00CE3659" w:rsidRPr="00461375" w:rsidRDefault="00CE3659" w:rsidP="00CE3659">
      <w:pPr>
        <w:widowControl w:val="0"/>
        <w:autoSpaceDE w:val="0"/>
        <w:autoSpaceDN w:val="0"/>
        <w:adjustRightInd w:val="0"/>
        <w:spacing w:line="240" w:lineRule="auto"/>
        <w:ind w:left="480" w:hanging="480"/>
        <w:rPr>
          <w:rFonts w:cs="Times New Roman"/>
          <w:noProof/>
          <w:szCs w:val="24"/>
        </w:rPr>
      </w:pPr>
      <w:r>
        <w:rPr>
          <w:lang w:eastAsia="en-AU"/>
        </w:rPr>
        <w:fldChar w:fldCharType="begin" w:fldLock="1"/>
      </w:r>
      <w:r>
        <w:rPr>
          <w:lang w:eastAsia="en-AU"/>
        </w:rPr>
        <w:instrText xml:space="preserve">ADDIN Mendeley Bibliography CSL_BIBLIOGRAPHY </w:instrText>
      </w:r>
      <w:r>
        <w:rPr>
          <w:lang w:eastAsia="en-AU"/>
        </w:rPr>
        <w:fldChar w:fldCharType="separate"/>
      </w:r>
      <w:r w:rsidRPr="00461375">
        <w:rPr>
          <w:rFonts w:cs="Times New Roman"/>
          <w:noProof/>
          <w:szCs w:val="24"/>
        </w:rPr>
        <w:t xml:space="preserve">Crichton, S. (2013). </w:t>
      </w:r>
      <w:r w:rsidRPr="00461375">
        <w:rPr>
          <w:rFonts w:cs="Times New Roman"/>
          <w:i/>
          <w:iCs/>
          <w:noProof/>
          <w:szCs w:val="24"/>
        </w:rPr>
        <w:t>The Impact of Further Education on the Employment Outcomes of Beneficiaries</w:t>
      </w:r>
      <w:r w:rsidRPr="00461375">
        <w:rPr>
          <w:rFonts w:cs="Times New Roman"/>
          <w:noProof/>
          <w:szCs w:val="24"/>
        </w:rPr>
        <w:t>. Wellington: Ministry of Business, Innovation and Employment.</w:t>
      </w:r>
    </w:p>
    <w:p w:rsidR="00CE3659" w:rsidRPr="00461375" w:rsidRDefault="00CE3659" w:rsidP="00CE3659">
      <w:pPr>
        <w:widowControl w:val="0"/>
        <w:autoSpaceDE w:val="0"/>
        <w:autoSpaceDN w:val="0"/>
        <w:adjustRightInd w:val="0"/>
        <w:spacing w:line="240" w:lineRule="auto"/>
        <w:ind w:left="480" w:hanging="480"/>
        <w:rPr>
          <w:rFonts w:cs="Times New Roman"/>
          <w:noProof/>
          <w:szCs w:val="24"/>
        </w:rPr>
      </w:pPr>
      <w:r w:rsidRPr="00461375">
        <w:rPr>
          <w:rFonts w:cs="Times New Roman"/>
          <w:noProof/>
          <w:szCs w:val="24"/>
        </w:rPr>
        <w:t xml:space="preserve">de Boer, M. (2003). </w:t>
      </w:r>
      <w:r w:rsidRPr="00461375">
        <w:rPr>
          <w:rFonts w:cs="Times New Roman"/>
          <w:i/>
          <w:iCs/>
          <w:noProof/>
          <w:szCs w:val="24"/>
        </w:rPr>
        <w:t xml:space="preserve">Impact of Jump Start seminar on </w:t>
      </w:r>
      <w:r w:rsidR="00C34FD3">
        <w:rPr>
          <w:rFonts w:cs="Times New Roman"/>
          <w:i/>
          <w:iCs/>
          <w:noProof/>
          <w:szCs w:val="24"/>
        </w:rPr>
        <w:t xml:space="preserve">the </w:t>
      </w:r>
      <w:r w:rsidRPr="00C34FD3">
        <w:rPr>
          <w:rFonts w:cs="Times New Roman"/>
          <w:i/>
          <w:iCs/>
          <w:noProof/>
          <w:szCs w:val="24"/>
        </w:rPr>
        <w:t>uptake</w:t>
      </w:r>
      <w:r w:rsidRPr="00461375">
        <w:rPr>
          <w:rFonts w:cs="Times New Roman"/>
          <w:i/>
          <w:iCs/>
          <w:noProof/>
          <w:szCs w:val="24"/>
        </w:rPr>
        <w:t xml:space="preserve"> of the unemployment benefit</w:t>
      </w:r>
      <w:r w:rsidRPr="00461375">
        <w:rPr>
          <w:rFonts w:cs="Times New Roman"/>
          <w:noProof/>
          <w:szCs w:val="24"/>
        </w:rPr>
        <w:t>. Wellington: Ministry of Social Development (EDRMS</w:t>
      </w:r>
      <w:r w:rsidR="00695613">
        <w:rPr>
          <w:rFonts w:cs="Times New Roman"/>
          <w:noProof/>
          <w:szCs w:val="24"/>
        </w:rPr>
        <w:t xml:space="preserve"> id</w:t>
      </w:r>
      <w:r w:rsidRPr="00461375">
        <w:rPr>
          <w:rFonts w:cs="Times New Roman"/>
          <w:noProof/>
          <w:szCs w:val="24"/>
        </w:rPr>
        <w:t>: A177933).</w:t>
      </w:r>
    </w:p>
    <w:p w:rsidR="00CE3659" w:rsidRPr="00461375" w:rsidRDefault="00CE3659" w:rsidP="00CE3659">
      <w:pPr>
        <w:widowControl w:val="0"/>
        <w:autoSpaceDE w:val="0"/>
        <w:autoSpaceDN w:val="0"/>
        <w:adjustRightInd w:val="0"/>
        <w:spacing w:line="240" w:lineRule="auto"/>
        <w:ind w:left="480" w:hanging="480"/>
        <w:rPr>
          <w:rFonts w:cs="Times New Roman"/>
          <w:noProof/>
          <w:szCs w:val="24"/>
        </w:rPr>
      </w:pPr>
      <w:r w:rsidRPr="00461375">
        <w:rPr>
          <w:rFonts w:cs="Times New Roman"/>
          <w:noProof/>
          <w:szCs w:val="24"/>
        </w:rPr>
        <w:t xml:space="preserve">Dixon, S., &amp; Crichton, S. (2016). </w:t>
      </w:r>
      <w:r w:rsidRPr="00461375">
        <w:rPr>
          <w:rFonts w:cs="Times New Roman"/>
          <w:i/>
          <w:iCs/>
          <w:noProof/>
          <w:szCs w:val="24"/>
        </w:rPr>
        <w:t>Evaluation of the Impact of the Youth Service: NEET programme</w:t>
      </w:r>
      <w:r w:rsidRPr="00461375">
        <w:rPr>
          <w:rFonts w:cs="Times New Roman"/>
          <w:noProof/>
          <w:szCs w:val="24"/>
        </w:rPr>
        <w:t xml:space="preserve"> (The Treasury working paper No. 16/08). Wellington.</w:t>
      </w:r>
    </w:p>
    <w:p w:rsidR="00CE3659" w:rsidRPr="00461375" w:rsidRDefault="00CE3659" w:rsidP="00CE3659">
      <w:pPr>
        <w:widowControl w:val="0"/>
        <w:autoSpaceDE w:val="0"/>
        <w:autoSpaceDN w:val="0"/>
        <w:adjustRightInd w:val="0"/>
        <w:spacing w:line="240" w:lineRule="auto"/>
        <w:ind w:left="480" w:hanging="480"/>
        <w:rPr>
          <w:rFonts w:cs="Times New Roman"/>
          <w:noProof/>
          <w:szCs w:val="24"/>
        </w:rPr>
      </w:pPr>
      <w:r w:rsidRPr="00461375">
        <w:rPr>
          <w:rFonts w:cs="Times New Roman"/>
          <w:noProof/>
          <w:szCs w:val="24"/>
        </w:rPr>
        <w:t xml:space="preserve">McLeod, K., Dixon, S., &amp; Crichton, S. (2016). </w:t>
      </w:r>
      <w:r w:rsidRPr="00461375">
        <w:rPr>
          <w:rFonts w:cs="Times New Roman"/>
          <w:i/>
          <w:iCs/>
          <w:noProof/>
          <w:szCs w:val="24"/>
        </w:rPr>
        <w:t>Evaluation of the Impact of the Youth Service: Youth Payment and Young Parent Payment</w:t>
      </w:r>
      <w:r w:rsidRPr="00461375">
        <w:rPr>
          <w:rFonts w:cs="Times New Roman"/>
          <w:noProof/>
          <w:szCs w:val="24"/>
        </w:rPr>
        <w:t xml:space="preserve"> (The Treasury working paper No. 16/07). Wellington.</w:t>
      </w:r>
    </w:p>
    <w:p w:rsidR="00CE3659" w:rsidRPr="00461375" w:rsidRDefault="00CE3659" w:rsidP="00CE3659">
      <w:pPr>
        <w:widowControl w:val="0"/>
        <w:autoSpaceDE w:val="0"/>
        <w:autoSpaceDN w:val="0"/>
        <w:adjustRightInd w:val="0"/>
        <w:spacing w:line="240" w:lineRule="auto"/>
        <w:ind w:left="480" w:hanging="480"/>
        <w:rPr>
          <w:rFonts w:cs="Times New Roman"/>
          <w:noProof/>
          <w:szCs w:val="24"/>
        </w:rPr>
      </w:pPr>
      <w:r w:rsidRPr="00461375">
        <w:rPr>
          <w:rFonts w:cs="Times New Roman"/>
          <w:noProof/>
          <w:szCs w:val="24"/>
        </w:rPr>
        <w:t xml:space="preserve">MSD. (2013). </w:t>
      </w:r>
      <w:r w:rsidRPr="00461375">
        <w:rPr>
          <w:rFonts w:cs="Times New Roman"/>
          <w:i/>
          <w:iCs/>
          <w:noProof/>
          <w:szCs w:val="24"/>
        </w:rPr>
        <w:t>Impact of the 52-week Unemployment benefit reapplication process Update 2: Technical Report</w:t>
      </w:r>
      <w:r w:rsidRPr="00461375">
        <w:rPr>
          <w:rFonts w:cs="Times New Roman"/>
          <w:noProof/>
          <w:szCs w:val="24"/>
        </w:rPr>
        <w:t>. Wellington: Ministry of Social Development (EDRMS</w:t>
      </w:r>
      <w:r w:rsidR="00695613">
        <w:rPr>
          <w:rFonts w:cs="Times New Roman"/>
          <w:noProof/>
          <w:szCs w:val="24"/>
        </w:rPr>
        <w:t xml:space="preserve"> id</w:t>
      </w:r>
      <w:r w:rsidRPr="00461375">
        <w:rPr>
          <w:rFonts w:cs="Times New Roman"/>
          <w:noProof/>
          <w:szCs w:val="24"/>
        </w:rPr>
        <w:t>: A6516526).</w:t>
      </w:r>
    </w:p>
    <w:p w:rsidR="00CE3659" w:rsidRPr="00461375" w:rsidRDefault="00CE3659" w:rsidP="00CE3659">
      <w:pPr>
        <w:widowControl w:val="0"/>
        <w:autoSpaceDE w:val="0"/>
        <w:autoSpaceDN w:val="0"/>
        <w:adjustRightInd w:val="0"/>
        <w:spacing w:line="240" w:lineRule="auto"/>
        <w:ind w:left="480" w:hanging="480"/>
        <w:rPr>
          <w:rFonts w:cs="Times New Roman"/>
          <w:noProof/>
          <w:szCs w:val="24"/>
        </w:rPr>
      </w:pPr>
      <w:r w:rsidRPr="00461375">
        <w:rPr>
          <w:rFonts w:cs="Times New Roman"/>
          <w:noProof/>
          <w:szCs w:val="24"/>
        </w:rPr>
        <w:t xml:space="preserve">MSD. (2016). </w:t>
      </w:r>
      <w:r w:rsidRPr="00461375">
        <w:rPr>
          <w:rFonts w:cs="Times New Roman"/>
          <w:i/>
          <w:iCs/>
          <w:noProof/>
          <w:szCs w:val="24"/>
        </w:rPr>
        <w:t>LET v5 model information</w:t>
      </w:r>
      <w:r w:rsidRPr="00461375">
        <w:rPr>
          <w:rFonts w:cs="Times New Roman"/>
          <w:noProof/>
          <w:szCs w:val="24"/>
        </w:rPr>
        <w:t>. Wellington: Ministry of Social Development (EDRMS id: A9188745 ).</w:t>
      </w:r>
    </w:p>
    <w:p w:rsidR="00CE3659" w:rsidRPr="00461375" w:rsidRDefault="00CE3659" w:rsidP="00CE3659">
      <w:pPr>
        <w:widowControl w:val="0"/>
        <w:autoSpaceDE w:val="0"/>
        <w:autoSpaceDN w:val="0"/>
        <w:adjustRightInd w:val="0"/>
        <w:spacing w:line="240" w:lineRule="auto"/>
        <w:ind w:left="480" w:hanging="480"/>
        <w:rPr>
          <w:rFonts w:cs="Times New Roman"/>
          <w:noProof/>
          <w:szCs w:val="24"/>
        </w:rPr>
      </w:pPr>
      <w:r w:rsidRPr="00461375">
        <w:rPr>
          <w:rFonts w:cs="Times New Roman"/>
          <w:noProof/>
          <w:szCs w:val="24"/>
        </w:rPr>
        <w:t xml:space="preserve">MSD. (2017). </w:t>
      </w:r>
      <w:r w:rsidRPr="00461375">
        <w:rPr>
          <w:rFonts w:cs="Times New Roman"/>
          <w:i/>
          <w:iCs/>
          <w:noProof/>
          <w:szCs w:val="24"/>
        </w:rPr>
        <w:t>Service Delivery Cost Allocation Model for Individual Outputs: 2017 version</w:t>
      </w:r>
      <w:r w:rsidRPr="00461375">
        <w:rPr>
          <w:rFonts w:cs="Times New Roman"/>
          <w:noProof/>
          <w:szCs w:val="24"/>
        </w:rPr>
        <w:t>. Wellington: Ministry of Social Development (EDRMS id: A9317887 ).</w:t>
      </w:r>
    </w:p>
    <w:p w:rsidR="00CE3659" w:rsidRPr="00461375" w:rsidRDefault="00CE3659" w:rsidP="00CE3659">
      <w:pPr>
        <w:widowControl w:val="0"/>
        <w:autoSpaceDE w:val="0"/>
        <w:autoSpaceDN w:val="0"/>
        <w:adjustRightInd w:val="0"/>
        <w:spacing w:line="240" w:lineRule="auto"/>
        <w:ind w:left="480" w:hanging="480"/>
        <w:rPr>
          <w:rFonts w:cs="Times New Roman"/>
          <w:noProof/>
          <w:szCs w:val="24"/>
        </w:rPr>
      </w:pPr>
      <w:r w:rsidRPr="00461375">
        <w:rPr>
          <w:rFonts w:cs="Times New Roman"/>
          <w:noProof/>
          <w:szCs w:val="24"/>
        </w:rPr>
        <w:t xml:space="preserve">MSD. (2018a). </w:t>
      </w:r>
      <w:r w:rsidRPr="00461375">
        <w:rPr>
          <w:rFonts w:cs="Times New Roman"/>
          <w:i/>
          <w:iCs/>
          <w:noProof/>
          <w:szCs w:val="24"/>
        </w:rPr>
        <w:t>Cost-effectiveness of intensive case management services</w:t>
      </w:r>
      <w:r w:rsidRPr="00461375">
        <w:rPr>
          <w:rFonts w:cs="Times New Roman"/>
          <w:noProof/>
          <w:szCs w:val="24"/>
        </w:rPr>
        <w:t>. Wellington: Ministry of Social Development (EDRMS</w:t>
      </w:r>
      <w:r w:rsidR="00695613">
        <w:rPr>
          <w:rFonts w:cs="Times New Roman"/>
          <w:noProof/>
          <w:szCs w:val="24"/>
        </w:rPr>
        <w:t xml:space="preserve"> id</w:t>
      </w:r>
      <w:r w:rsidRPr="00461375">
        <w:rPr>
          <w:rFonts w:cs="Times New Roman"/>
          <w:noProof/>
          <w:szCs w:val="24"/>
        </w:rPr>
        <w:t>: A9467849).</w:t>
      </w:r>
    </w:p>
    <w:p w:rsidR="00CE3659" w:rsidRPr="00461375" w:rsidRDefault="00CE3659" w:rsidP="00CE3659">
      <w:pPr>
        <w:widowControl w:val="0"/>
        <w:autoSpaceDE w:val="0"/>
        <w:autoSpaceDN w:val="0"/>
        <w:adjustRightInd w:val="0"/>
        <w:spacing w:line="240" w:lineRule="auto"/>
        <w:ind w:left="480" w:hanging="480"/>
        <w:rPr>
          <w:noProof/>
        </w:rPr>
      </w:pPr>
      <w:r w:rsidRPr="00461375">
        <w:rPr>
          <w:rFonts w:cs="Times New Roman"/>
          <w:noProof/>
          <w:szCs w:val="24"/>
        </w:rPr>
        <w:t xml:space="preserve">MSD. (2018b). </w:t>
      </w:r>
      <w:r w:rsidRPr="00461375">
        <w:rPr>
          <w:rFonts w:cs="Times New Roman"/>
          <w:i/>
          <w:iCs/>
          <w:noProof/>
          <w:szCs w:val="24"/>
        </w:rPr>
        <w:t>Propensity matching MSD interventions: technical notes</w:t>
      </w:r>
      <w:r w:rsidRPr="00461375">
        <w:rPr>
          <w:rFonts w:cs="Times New Roman"/>
          <w:noProof/>
          <w:szCs w:val="24"/>
        </w:rPr>
        <w:t>. Wel</w:t>
      </w:r>
      <w:r w:rsidR="00695613">
        <w:rPr>
          <w:rFonts w:cs="Times New Roman"/>
          <w:noProof/>
          <w:szCs w:val="24"/>
        </w:rPr>
        <w:t>lington</w:t>
      </w:r>
      <w:r w:rsidRPr="00461375">
        <w:rPr>
          <w:rFonts w:cs="Times New Roman"/>
          <w:noProof/>
          <w:szCs w:val="24"/>
        </w:rPr>
        <w:t>: Ministry of Social Development (EDRMS id: A6927997).</w:t>
      </w:r>
    </w:p>
    <w:p w:rsidR="00CE3659" w:rsidRPr="007811E9" w:rsidRDefault="00CE3659" w:rsidP="00CE3659">
      <w:pPr>
        <w:widowControl w:val="0"/>
        <w:autoSpaceDE w:val="0"/>
        <w:autoSpaceDN w:val="0"/>
        <w:adjustRightInd w:val="0"/>
        <w:spacing w:line="240" w:lineRule="auto"/>
        <w:ind w:left="480" w:hanging="480"/>
        <w:rPr>
          <w:lang w:eastAsia="en-AU"/>
        </w:rPr>
      </w:pPr>
      <w:r>
        <w:rPr>
          <w:lang w:eastAsia="en-AU"/>
        </w:rPr>
        <w:fldChar w:fldCharType="end"/>
      </w:r>
    </w:p>
    <w:p w:rsidR="00350E4F" w:rsidRDefault="00350E4F" w:rsidP="00CE3659"/>
    <w:sectPr w:rsidR="00350E4F" w:rsidSect="00B05301">
      <w:footerReference w:type="default" r:id="rId19"/>
      <w:pgSz w:w="11906" w:h="16838"/>
      <w:pgMar w:top="1440" w:right="1440" w:bottom="1134" w:left="1440" w:header="708" w:footer="4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AF7" w:rsidRDefault="00FA6AF7" w:rsidP="00F0678F">
      <w:r>
        <w:separator/>
      </w:r>
    </w:p>
  </w:endnote>
  <w:endnote w:type="continuationSeparator" w:id="0">
    <w:p w:rsidR="00FA6AF7" w:rsidRDefault="00FA6AF7" w:rsidP="00F0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ational Semibold">
    <w:panose1 w:val="00000000000000000000"/>
    <w:charset w:val="00"/>
    <w:family w:val="modern"/>
    <w:notTrueType/>
    <w:pitch w:val="variable"/>
    <w:sig w:usb0="A00000FF" w:usb1="5000207B" w:usb2="00000010" w:usb3="00000000" w:csb0="0000009B" w:csb1="00000000"/>
  </w:font>
  <w:font w:name="Consolas">
    <w:panose1 w:val="020B0609020204030204"/>
    <w:charset w:val="00"/>
    <w:family w:val="modern"/>
    <w:pitch w:val="fixed"/>
    <w:sig w:usb0="E10002FF" w:usb1="4000FCFF" w:usb2="00000009" w:usb3="00000000" w:csb0="0000019F" w:csb1="00000000"/>
  </w:font>
  <w:font w:name="Arial Mäori">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741" w:rsidRDefault="008D4741" w:rsidP="00ED43CC">
    <w:pPr>
      <w:pStyle w:val="Footer"/>
      <w:tabs>
        <w:tab w:val="clear" w:pos="4513"/>
      </w:tabs>
    </w:pPr>
    <w:r>
      <w:rPr>
        <w:noProof/>
      </w:rPr>
      <w:tab/>
      <w:t>Cost-effectiveness of MSD employment assistance:</w:t>
    </w:r>
    <w:r>
      <w:rPr>
        <w:noProof/>
      </w:rPr>
      <w:br/>
    </w:r>
    <w:r>
      <w:t xml:space="preserve">Page </w:t>
    </w:r>
    <w:sdt>
      <w:sdtPr>
        <w:id w:val="-8287497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929C9">
          <w:rPr>
            <w:noProof/>
          </w:rPr>
          <w:t>38</w:t>
        </w:r>
        <w:r>
          <w:rPr>
            <w:noProof/>
          </w:rPr>
          <w:fldChar w:fldCharType="end"/>
        </w:r>
      </w:sdtContent>
    </w:sdt>
    <w:r>
      <w:rPr>
        <w:noProof/>
      </w:rPr>
      <w:t xml:space="preserve">  </w:t>
    </w:r>
    <w:r>
      <w:rPr>
        <w:noProof/>
      </w:rPr>
      <w:tab/>
      <w:t>Technical report for 2016/2017 financial year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741" w:rsidRPr="00DB01CC" w:rsidRDefault="008D4741" w:rsidP="00643EE6">
    <w:pPr>
      <w:pStyle w:val="Footer"/>
    </w:pPr>
    <w:r>
      <w:rPr>
        <w:noProof/>
      </w:rPr>
      <w:t>Cost-effectiveness of MSD employmen</w:t>
    </w:r>
    <w:r w:rsidRPr="00643EE6">
      <w:t>t</w:t>
    </w:r>
    <w:r>
      <w:rPr>
        <w:noProof/>
      </w:rPr>
      <w:t xml:space="preserve"> assistance:</w:t>
    </w:r>
    <w:r>
      <w:rPr>
        <w:noProof/>
      </w:rPr>
      <w:br/>
      <w:t>Technical report for 2016/2017 financial year</w:t>
    </w:r>
    <w:r>
      <w:rPr>
        <w:noProof/>
      </w:rPr>
      <w:tab/>
    </w:r>
    <w:r w:rsidRPr="00DB01CC">
      <w:t xml:space="preserve">Page </w:t>
    </w:r>
    <w:r w:rsidRPr="00DB01CC">
      <w:fldChar w:fldCharType="begin"/>
    </w:r>
    <w:r w:rsidRPr="00AE54AE">
      <w:instrText xml:space="preserve"> PAGE   \* MERGEFORMAT </w:instrText>
    </w:r>
    <w:r w:rsidRPr="00DB01CC">
      <w:fldChar w:fldCharType="separate"/>
    </w:r>
    <w:r w:rsidR="003929C9">
      <w:rPr>
        <w:noProof/>
      </w:rPr>
      <w:t>37</w:t>
    </w:r>
    <w:r w:rsidRPr="00DB01C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AF7" w:rsidRDefault="00FA6AF7" w:rsidP="00F0678F">
      <w:r>
        <w:separator/>
      </w:r>
    </w:p>
  </w:footnote>
  <w:footnote w:type="continuationSeparator" w:id="0">
    <w:p w:rsidR="00FA6AF7" w:rsidRDefault="00FA6AF7" w:rsidP="00F0678F">
      <w:r>
        <w:continuationSeparator/>
      </w:r>
    </w:p>
  </w:footnote>
  <w:footnote w:id="1">
    <w:p w:rsidR="008D4741" w:rsidRDefault="008D4741" w:rsidP="00CE3659">
      <w:pPr>
        <w:pStyle w:val="FootnoteText"/>
      </w:pPr>
      <w:r>
        <w:rPr>
          <w:rStyle w:val="FootnoteReference"/>
        </w:rPr>
        <w:footnoteRef/>
      </w:r>
      <w:r>
        <w:t xml:space="preserve"> We use the term here to refer to how public money is spent, see: </w:t>
      </w:r>
      <w:hyperlink r:id="rId1" w:anchor="section-1" w:history="1">
        <w:r w:rsidRPr="005D44BF">
          <w:rPr>
            <w:rStyle w:val="Hyperlink"/>
          </w:rPr>
          <w:t>https://treasury.govt.nz/publications/guide/guide-appropriations-html#section-1</w:t>
        </w:r>
      </w:hyperlink>
      <w:r>
        <w:t xml:space="preserve"> </w:t>
      </w:r>
    </w:p>
  </w:footnote>
  <w:footnote w:id="2">
    <w:p w:rsidR="008D4741" w:rsidRDefault="008D4741" w:rsidP="00CE3659">
      <w:pPr>
        <w:pStyle w:val="FootnoteText"/>
      </w:pPr>
      <w:r>
        <w:rPr>
          <w:rStyle w:val="FootnoteReference"/>
        </w:rPr>
        <w:footnoteRef/>
      </w:r>
      <w:r>
        <w:t xml:space="preserve"> For a list of IT admin systems that we currently track, please refer to the iCAM technical report.</w:t>
      </w:r>
    </w:p>
  </w:footnote>
  <w:footnote w:id="3">
    <w:p w:rsidR="008D4741" w:rsidRDefault="008D4741" w:rsidP="00CE3659">
      <w:pPr>
        <w:pStyle w:val="FootnoteText"/>
      </w:pPr>
      <w:r>
        <w:rPr>
          <w:rStyle w:val="FootnoteReference"/>
        </w:rPr>
        <w:footnoteRef/>
      </w:r>
      <w:r>
        <w:t xml:space="preserve"> It is important to emphasise that quantitative counterfactual designs are not the only or primary evaluation method. To fully understand the effect of an intervention requires a mixed method approach. Specifically, we need additional information to help understand the context and operation of the intervention itself to fully explain why the intervention has the impacts that it does. Similarly, not all outcomes are always quantified in a way suitable for impact evaluation. </w:t>
      </w:r>
    </w:p>
  </w:footnote>
  <w:footnote w:id="4">
    <w:p w:rsidR="008D4741" w:rsidRDefault="008D4741" w:rsidP="00CE3659">
      <w:pPr>
        <w:pStyle w:val="FootnoteText"/>
      </w:pPr>
      <w:r>
        <w:rPr>
          <w:rStyle w:val="FootnoteReference"/>
        </w:rPr>
        <w:footnoteRef/>
      </w:r>
      <w:r>
        <w:t xml:space="preserve"> Within a randomised control trial, the treatment and control groups share the same statistical profile, not that each treatment group member has an identical twin in the control group.</w:t>
      </w:r>
    </w:p>
  </w:footnote>
  <w:footnote w:id="5">
    <w:p w:rsidR="008D4741" w:rsidRDefault="008D4741" w:rsidP="00CE3659">
      <w:pPr>
        <w:pStyle w:val="FootnoteText"/>
      </w:pPr>
      <w:r>
        <w:rPr>
          <w:rStyle w:val="FootnoteReference"/>
        </w:rPr>
        <w:footnoteRef/>
      </w:r>
      <w:r>
        <w:t xml:space="preserve"> This is usually a calendar year. So we identify all participants in an EA intervention in a given year (say 2018) and define everyone who did not participate in the intervention in 2018 as non-participants. </w:t>
      </w:r>
    </w:p>
  </w:footnote>
  <w:footnote w:id="6">
    <w:p w:rsidR="008D4741" w:rsidRDefault="008D4741" w:rsidP="00CE3659">
      <w:pPr>
        <w:pStyle w:val="FootnoteText"/>
      </w:pPr>
      <w:r>
        <w:rPr>
          <w:rStyle w:val="FootnoteReference"/>
        </w:rPr>
        <w:footnoteRef/>
      </w:r>
      <w:r>
        <w:t xml:space="preserve"> Lock-in refers to the phenomenon that, while on the intervention, participants are less likely to move into employment than the comparison group. As a result, when participants finish an intervention, their average time on benefit is longer than that of the comparison group. Therefore, if the intervention increases their employment prospects at completion it still takes time after completion before the intervention has a cumulative positive impact.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974C9DA"/>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9"/>
    <w:multiLevelType w:val="singleLevel"/>
    <w:tmpl w:val="746A7D74"/>
    <w:lvl w:ilvl="0">
      <w:start w:val="1"/>
      <w:numFmt w:val="bullet"/>
      <w:pStyle w:val="Bullet1"/>
      <w:lvlText w:val=""/>
      <w:lvlJc w:val="left"/>
      <w:pPr>
        <w:tabs>
          <w:tab w:val="num" w:pos="360"/>
        </w:tabs>
        <w:ind w:left="360" w:hanging="360"/>
      </w:pPr>
      <w:rPr>
        <w:rFonts w:ascii="Symbol" w:hAnsi="Symbol" w:hint="default"/>
      </w:rPr>
    </w:lvl>
  </w:abstractNum>
  <w:abstractNum w:abstractNumId="2">
    <w:nsid w:val="00C2453E"/>
    <w:multiLevelType w:val="multilevel"/>
    <w:tmpl w:val="922037D0"/>
    <w:styleLink w:val="RecList"/>
    <w:lvl w:ilvl="0">
      <w:start w:val="1"/>
      <w:numFmt w:val="decimal"/>
      <w:pStyle w:val="RecNumber"/>
      <w:lvlText w:val="%1"/>
      <w:lvlJc w:val="left"/>
      <w:pPr>
        <w:tabs>
          <w:tab w:val="num" w:pos="493"/>
        </w:tabs>
        <w:ind w:left="493" w:hanging="493"/>
      </w:pPr>
      <w:rPr>
        <w:rFonts w:hint="default"/>
      </w:rPr>
    </w:lvl>
    <w:lvl w:ilvl="1">
      <w:start w:val="1"/>
      <w:numFmt w:val="decimal"/>
      <w:pStyle w:val="RecLevel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3">
    <w:nsid w:val="0CC51FBB"/>
    <w:multiLevelType w:val="hybridMultilevel"/>
    <w:tmpl w:val="E29E6A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nsid w:val="26681B1E"/>
    <w:multiLevelType w:val="hybridMultilevel"/>
    <w:tmpl w:val="028068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367019EC"/>
    <w:multiLevelType w:val="hybridMultilevel"/>
    <w:tmpl w:val="03260288"/>
    <w:lvl w:ilvl="0" w:tplc="B350801A">
      <w:start w:val="1"/>
      <w:numFmt w:val="decimal"/>
      <w:pStyle w:val="Numbering"/>
      <w:lvlText w:val="%1."/>
      <w:lvlJc w:val="left"/>
      <w:pPr>
        <w:ind w:left="720" w:hanging="360"/>
      </w:pPr>
      <w:rPr>
        <w:rFonts w:ascii="Verdana" w:hAnsi="Verdana" w:hint="default"/>
        <w:b w:val="0"/>
        <w:i w:val="0"/>
        <w:color w:val="auto"/>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49A45A78"/>
    <w:multiLevelType w:val="hybridMultilevel"/>
    <w:tmpl w:val="E71A91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52612702"/>
    <w:multiLevelType w:val="multilevel"/>
    <w:tmpl w:val="99167DBA"/>
    <w:lvl w:ilvl="0">
      <w:start w:val="1"/>
      <w:numFmt w:val="decimal"/>
      <w:pStyle w:val="ReportBody"/>
      <w:lvlText w:val="%1"/>
      <w:lvlJc w:val="left"/>
      <w:pPr>
        <w:tabs>
          <w:tab w:val="num" w:pos="2666"/>
        </w:tabs>
        <w:ind w:left="2666" w:hanging="397"/>
      </w:pPr>
      <w:rPr>
        <w:rFonts w:hint="default"/>
        <w:b w:val="0"/>
        <w:i w:val="0"/>
        <w:color w:val="auto"/>
        <w:sz w:val="22"/>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0">
    <w:nsid w:val="58D950AB"/>
    <w:multiLevelType w:val="hybridMultilevel"/>
    <w:tmpl w:val="F282F1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5B3249AF"/>
    <w:multiLevelType w:val="hybridMultilevel"/>
    <w:tmpl w:val="86B42ED0"/>
    <w:lvl w:ilvl="0" w:tplc="14090001">
      <w:start w:val="1"/>
      <w:numFmt w:val="bullet"/>
      <w:lvlText w:val=""/>
      <w:lvlJc w:val="left"/>
      <w:pPr>
        <w:ind w:left="720" w:hanging="360"/>
      </w:pPr>
      <w:rPr>
        <w:rFonts w:ascii="Symbol" w:hAnsi="Symbol" w:hint="default"/>
      </w:rPr>
    </w:lvl>
    <w:lvl w:ilvl="1" w:tplc="6BFAC212">
      <w:numFmt w:val="bullet"/>
      <w:lvlText w:val="·"/>
      <w:lvlJc w:val="left"/>
      <w:pPr>
        <w:ind w:left="1440" w:hanging="360"/>
      </w:pPr>
      <w:rPr>
        <w:rFonts w:ascii="Verdana" w:eastAsia="Calibri" w:hAnsi="Verdana"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664940EF"/>
    <w:multiLevelType w:val="hybridMultilevel"/>
    <w:tmpl w:val="86803F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681F45B2"/>
    <w:multiLevelType w:val="hybridMultilevel"/>
    <w:tmpl w:val="32BEF53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734B43AA"/>
    <w:multiLevelType w:val="hybridMultilevel"/>
    <w:tmpl w:val="3D60019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78C5737B"/>
    <w:multiLevelType w:val="hybridMultilevel"/>
    <w:tmpl w:val="14DA380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9"/>
  </w:num>
  <w:num w:numId="5">
    <w:abstractNumId w:val="0"/>
  </w:num>
  <w:num w:numId="6">
    <w:abstractNumId w:val="7"/>
  </w:num>
  <w:num w:numId="7">
    <w:abstractNumId w:val="2"/>
  </w:num>
  <w:num w:numId="8">
    <w:abstractNumId w:val="13"/>
  </w:num>
  <w:num w:numId="9">
    <w:abstractNumId w:val="14"/>
  </w:num>
  <w:num w:numId="10">
    <w:abstractNumId w:val="15"/>
  </w:num>
  <w:num w:numId="11">
    <w:abstractNumId w:val="10"/>
  </w:num>
  <w:num w:numId="12">
    <w:abstractNumId w:val="11"/>
  </w:num>
  <w:num w:numId="13">
    <w:abstractNumId w:val="3"/>
  </w:num>
  <w:num w:numId="14">
    <w:abstractNumId w:val="12"/>
  </w:num>
  <w:num w:numId="15">
    <w:abstractNumId w:val="6"/>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AzNDAxNbI0MjMxNzNW0lEKTi0uzszPAykwrAUATji8UiwAAAA="/>
  </w:docVars>
  <w:rsids>
    <w:rsidRoot w:val="00F167CA"/>
    <w:rsid w:val="00000B4C"/>
    <w:rsid w:val="00003E49"/>
    <w:rsid w:val="00004BB0"/>
    <w:rsid w:val="000106D0"/>
    <w:rsid w:val="000130D7"/>
    <w:rsid w:val="000137A0"/>
    <w:rsid w:val="0001386F"/>
    <w:rsid w:val="00014C68"/>
    <w:rsid w:val="00016411"/>
    <w:rsid w:val="00025E8D"/>
    <w:rsid w:val="00033CCA"/>
    <w:rsid w:val="000345FA"/>
    <w:rsid w:val="000351B5"/>
    <w:rsid w:val="00037CB0"/>
    <w:rsid w:val="0004141D"/>
    <w:rsid w:val="00045B6D"/>
    <w:rsid w:val="00046520"/>
    <w:rsid w:val="00052628"/>
    <w:rsid w:val="00053906"/>
    <w:rsid w:val="00054961"/>
    <w:rsid w:val="00054C4C"/>
    <w:rsid w:val="00062750"/>
    <w:rsid w:val="00062CC3"/>
    <w:rsid w:val="00066AF6"/>
    <w:rsid w:val="0006701B"/>
    <w:rsid w:val="0007087C"/>
    <w:rsid w:val="00071EF1"/>
    <w:rsid w:val="000725F0"/>
    <w:rsid w:val="0007273E"/>
    <w:rsid w:val="000770E2"/>
    <w:rsid w:val="00080C1E"/>
    <w:rsid w:val="0008216B"/>
    <w:rsid w:val="0008332C"/>
    <w:rsid w:val="00086058"/>
    <w:rsid w:val="000874C9"/>
    <w:rsid w:val="000876C1"/>
    <w:rsid w:val="00090F17"/>
    <w:rsid w:val="00091294"/>
    <w:rsid w:val="00093D93"/>
    <w:rsid w:val="0009559C"/>
    <w:rsid w:val="000A2BEE"/>
    <w:rsid w:val="000A3473"/>
    <w:rsid w:val="000A5A8B"/>
    <w:rsid w:val="000B35EF"/>
    <w:rsid w:val="000B3F1C"/>
    <w:rsid w:val="000B40F2"/>
    <w:rsid w:val="000B5AFC"/>
    <w:rsid w:val="000C0AA1"/>
    <w:rsid w:val="000C31F6"/>
    <w:rsid w:val="000C66D3"/>
    <w:rsid w:val="000D01E9"/>
    <w:rsid w:val="000D0B39"/>
    <w:rsid w:val="000D4A0F"/>
    <w:rsid w:val="000D7464"/>
    <w:rsid w:val="000D7DF9"/>
    <w:rsid w:val="000E3BB9"/>
    <w:rsid w:val="000E54A1"/>
    <w:rsid w:val="000E7389"/>
    <w:rsid w:val="000F3653"/>
    <w:rsid w:val="000F3B2F"/>
    <w:rsid w:val="000F4036"/>
    <w:rsid w:val="000F4446"/>
    <w:rsid w:val="000F4E67"/>
    <w:rsid w:val="0010386B"/>
    <w:rsid w:val="00104D48"/>
    <w:rsid w:val="00106512"/>
    <w:rsid w:val="001065B9"/>
    <w:rsid w:val="00106AED"/>
    <w:rsid w:val="00110B0B"/>
    <w:rsid w:val="00117870"/>
    <w:rsid w:val="001215C6"/>
    <w:rsid w:val="0012176F"/>
    <w:rsid w:val="00122E97"/>
    <w:rsid w:val="00126260"/>
    <w:rsid w:val="00134FBE"/>
    <w:rsid w:val="00136BA4"/>
    <w:rsid w:val="001412BC"/>
    <w:rsid w:val="001432FB"/>
    <w:rsid w:val="00146247"/>
    <w:rsid w:val="0015055B"/>
    <w:rsid w:val="00151526"/>
    <w:rsid w:val="00152C2C"/>
    <w:rsid w:val="00154BA6"/>
    <w:rsid w:val="00157903"/>
    <w:rsid w:val="00161DDD"/>
    <w:rsid w:val="001758A2"/>
    <w:rsid w:val="00175917"/>
    <w:rsid w:val="00176B92"/>
    <w:rsid w:val="0017783D"/>
    <w:rsid w:val="001815C7"/>
    <w:rsid w:val="001827A5"/>
    <w:rsid w:val="00182B7A"/>
    <w:rsid w:val="00183AFA"/>
    <w:rsid w:val="00184FCD"/>
    <w:rsid w:val="00185A34"/>
    <w:rsid w:val="00187357"/>
    <w:rsid w:val="001A0D3A"/>
    <w:rsid w:val="001B04A8"/>
    <w:rsid w:val="001B4A52"/>
    <w:rsid w:val="001B6E80"/>
    <w:rsid w:val="001B7568"/>
    <w:rsid w:val="001B7836"/>
    <w:rsid w:val="001B7D25"/>
    <w:rsid w:val="001B7FAA"/>
    <w:rsid w:val="001C21E4"/>
    <w:rsid w:val="001C372C"/>
    <w:rsid w:val="001C4C77"/>
    <w:rsid w:val="001C56E1"/>
    <w:rsid w:val="001D157D"/>
    <w:rsid w:val="001D1F28"/>
    <w:rsid w:val="001D370F"/>
    <w:rsid w:val="001D3744"/>
    <w:rsid w:val="001D507A"/>
    <w:rsid w:val="001D6171"/>
    <w:rsid w:val="001E23C1"/>
    <w:rsid w:val="001E2841"/>
    <w:rsid w:val="001E343C"/>
    <w:rsid w:val="001E7BC0"/>
    <w:rsid w:val="001F0173"/>
    <w:rsid w:val="001F0E4E"/>
    <w:rsid w:val="001F2802"/>
    <w:rsid w:val="001F28C3"/>
    <w:rsid w:val="001F35FE"/>
    <w:rsid w:val="00203779"/>
    <w:rsid w:val="00203AE1"/>
    <w:rsid w:val="00205C9D"/>
    <w:rsid w:val="002061E7"/>
    <w:rsid w:val="00206E67"/>
    <w:rsid w:val="00210109"/>
    <w:rsid w:val="0021204B"/>
    <w:rsid w:val="00213DA6"/>
    <w:rsid w:val="00216302"/>
    <w:rsid w:val="00216BA5"/>
    <w:rsid w:val="002220A0"/>
    <w:rsid w:val="00224FD4"/>
    <w:rsid w:val="00226CE7"/>
    <w:rsid w:val="00230CA2"/>
    <w:rsid w:val="00233A63"/>
    <w:rsid w:val="00240974"/>
    <w:rsid w:val="0024157B"/>
    <w:rsid w:val="00241B4B"/>
    <w:rsid w:val="00242129"/>
    <w:rsid w:val="00244590"/>
    <w:rsid w:val="00245A2B"/>
    <w:rsid w:val="00247857"/>
    <w:rsid w:val="002517D3"/>
    <w:rsid w:val="002546D7"/>
    <w:rsid w:val="002563F9"/>
    <w:rsid w:val="00256A29"/>
    <w:rsid w:val="00261263"/>
    <w:rsid w:val="0026299E"/>
    <w:rsid w:val="002630AC"/>
    <w:rsid w:val="0026388F"/>
    <w:rsid w:val="00267BDE"/>
    <w:rsid w:val="00267C90"/>
    <w:rsid w:val="00272AA7"/>
    <w:rsid w:val="002755E2"/>
    <w:rsid w:val="0028078A"/>
    <w:rsid w:val="00283D04"/>
    <w:rsid w:val="00287F95"/>
    <w:rsid w:val="0029046A"/>
    <w:rsid w:val="002929E6"/>
    <w:rsid w:val="002A0768"/>
    <w:rsid w:val="002A0871"/>
    <w:rsid w:val="002B1676"/>
    <w:rsid w:val="002B1D89"/>
    <w:rsid w:val="002B67CF"/>
    <w:rsid w:val="002B7773"/>
    <w:rsid w:val="002C7EFE"/>
    <w:rsid w:val="002D0F86"/>
    <w:rsid w:val="002D1C62"/>
    <w:rsid w:val="002D34B3"/>
    <w:rsid w:val="002D7EBF"/>
    <w:rsid w:val="002E064F"/>
    <w:rsid w:val="002E1B47"/>
    <w:rsid w:val="002E22FC"/>
    <w:rsid w:val="002E2BBA"/>
    <w:rsid w:val="002F0183"/>
    <w:rsid w:val="002F3A0B"/>
    <w:rsid w:val="002F4708"/>
    <w:rsid w:val="002F5CFA"/>
    <w:rsid w:val="002F5EB8"/>
    <w:rsid w:val="002F6B1D"/>
    <w:rsid w:val="002F7F73"/>
    <w:rsid w:val="00304D9D"/>
    <w:rsid w:val="00305883"/>
    <w:rsid w:val="00305BFB"/>
    <w:rsid w:val="00306F86"/>
    <w:rsid w:val="003100E8"/>
    <w:rsid w:val="00310F61"/>
    <w:rsid w:val="00311438"/>
    <w:rsid w:val="00312697"/>
    <w:rsid w:val="00313C02"/>
    <w:rsid w:val="00314AA7"/>
    <w:rsid w:val="00314E6C"/>
    <w:rsid w:val="00317D0D"/>
    <w:rsid w:val="003217C3"/>
    <w:rsid w:val="003255C7"/>
    <w:rsid w:val="00327793"/>
    <w:rsid w:val="0033110F"/>
    <w:rsid w:val="00331939"/>
    <w:rsid w:val="003322F0"/>
    <w:rsid w:val="00332A37"/>
    <w:rsid w:val="00332D6F"/>
    <w:rsid w:val="00335F99"/>
    <w:rsid w:val="003423EB"/>
    <w:rsid w:val="00342C06"/>
    <w:rsid w:val="00343AEC"/>
    <w:rsid w:val="00343B0A"/>
    <w:rsid w:val="003505CE"/>
    <w:rsid w:val="00350E4F"/>
    <w:rsid w:val="003510BD"/>
    <w:rsid w:val="0035190D"/>
    <w:rsid w:val="00354EC2"/>
    <w:rsid w:val="00354F2D"/>
    <w:rsid w:val="00357483"/>
    <w:rsid w:val="003578B7"/>
    <w:rsid w:val="0036065C"/>
    <w:rsid w:val="00361A58"/>
    <w:rsid w:val="003660D4"/>
    <w:rsid w:val="00367F1C"/>
    <w:rsid w:val="00371794"/>
    <w:rsid w:val="003720C8"/>
    <w:rsid w:val="00373026"/>
    <w:rsid w:val="00377397"/>
    <w:rsid w:val="00380621"/>
    <w:rsid w:val="00381D80"/>
    <w:rsid w:val="0038350A"/>
    <w:rsid w:val="00384F0C"/>
    <w:rsid w:val="003854A3"/>
    <w:rsid w:val="00385CF5"/>
    <w:rsid w:val="0038611F"/>
    <w:rsid w:val="00386F6B"/>
    <w:rsid w:val="00387668"/>
    <w:rsid w:val="003929C9"/>
    <w:rsid w:val="003960C6"/>
    <w:rsid w:val="003A1ABF"/>
    <w:rsid w:val="003A4549"/>
    <w:rsid w:val="003A4DB1"/>
    <w:rsid w:val="003B0EA0"/>
    <w:rsid w:val="003B17B6"/>
    <w:rsid w:val="003B3EB6"/>
    <w:rsid w:val="003B5106"/>
    <w:rsid w:val="003B70CC"/>
    <w:rsid w:val="003C12E3"/>
    <w:rsid w:val="003C144A"/>
    <w:rsid w:val="003C56E8"/>
    <w:rsid w:val="003D109D"/>
    <w:rsid w:val="003D21EF"/>
    <w:rsid w:val="003D2BED"/>
    <w:rsid w:val="003D3E35"/>
    <w:rsid w:val="003D3E77"/>
    <w:rsid w:val="003D4C7D"/>
    <w:rsid w:val="003D69BD"/>
    <w:rsid w:val="003D7811"/>
    <w:rsid w:val="003E2DAD"/>
    <w:rsid w:val="003E4EC6"/>
    <w:rsid w:val="003F4A8F"/>
    <w:rsid w:val="00413417"/>
    <w:rsid w:val="00414605"/>
    <w:rsid w:val="00414E8A"/>
    <w:rsid w:val="00420AFE"/>
    <w:rsid w:val="004215E6"/>
    <w:rsid w:val="004227ED"/>
    <w:rsid w:val="004306E2"/>
    <w:rsid w:val="0043276F"/>
    <w:rsid w:val="00433C55"/>
    <w:rsid w:val="00440516"/>
    <w:rsid w:val="00441E63"/>
    <w:rsid w:val="00445BCE"/>
    <w:rsid w:val="00454F25"/>
    <w:rsid w:val="0045679E"/>
    <w:rsid w:val="004579D3"/>
    <w:rsid w:val="00457F80"/>
    <w:rsid w:val="00460E45"/>
    <w:rsid w:val="004620AE"/>
    <w:rsid w:val="004627EF"/>
    <w:rsid w:val="00462AB7"/>
    <w:rsid w:val="00465661"/>
    <w:rsid w:val="004664B3"/>
    <w:rsid w:val="00466D2F"/>
    <w:rsid w:val="004671B0"/>
    <w:rsid w:val="00467F77"/>
    <w:rsid w:val="00470CD3"/>
    <w:rsid w:val="00471823"/>
    <w:rsid w:val="00473944"/>
    <w:rsid w:val="00473EF9"/>
    <w:rsid w:val="0047453A"/>
    <w:rsid w:val="004774F4"/>
    <w:rsid w:val="00480294"/>
    <w:rsid w:val="004808B2"/>
    <w:rsid w:val="00487B29"/>
    <w:rsid w:val="00494130"/>
    <w:rsid w:val="004A05DC"/>
    <w:rsid w:val="004A1781"/>
    <w:rsid w:val="004A4A83"/>
    <w:rsid w:val="004A5400"/>
    <w:rsid w:val="004A58EE"/>
    <w:rsid w:val="004B0C2F"/>
    <w:rsid w:val="004B1139"/>
    <w:rsid w:val="004B2347"/>
    <w:rsid w:val="004B3A84"/>
    <w:rsid w:val="004B6DE8"/>
    <w:rsid w:val="004C0AC6"/>
    <w:rsid w:val="004C1AC4"/>
    <w:rsid w:val="004C32A7"/>
    <w:rsid w:val="004C5764"/>
    <w:rsid w:val="004D26B2"/>
    <w:rsid w:val="004D2E34"/>
    <w:rsid w:val="004D381B"/>
    <w:rsid w:val="004D6450"/>
    <w:rsid w:val="004E4A49"/>
    <w:rsid w:val="004F0996"/>
    <w:rsid w:val="004F58DE"/>
    <w:rsid w:val="0050010F"/>
    <w:rsid w:val="005034FF"/>
    <w:rsid w:val="00505B82"/>
    <w:rsid w:val="00506E74"/>
    <w:rsid w:val="0050752D"/>
    <w:rsid w:val="00514BD2"/>
    <w:rsid w:val="0052100F"/>
    <w:rsid w:val="0052393B"/>
    <w:rsid w:val="0052525C"/>
    <w:rsid w:val="00525DCF"/>
    <w:rsid w:val="00526FF9"/>
    <w:rsid w:val="00533E65"/>
    <w:rsid w:val="00534053"/>
    <w:rsid w:val="00535D82"/>
    <w:rsid w:val="00536901"/>
    <w:rsid w:val="0053788A"/>
    <w:rsid w:val="00537CA3"/>
    <w:rsid w:val="00541DA4"/>
    <w:rsid w:val="00543211"/>
    <w:rsid w:val="0054363A"/>
    <w:rsid w:val="00543E2C"/>
    <w:rsid w:val="00551BD6"/>
    <w:rsid w:val="005548C9"/>
    <w:rsid w:val="005548F5"/>
    <w:rsid w:val="00556495"/>
    <w:rsid w:val="005612C0"/>
    <w:rsid w:val="005614EE"/>
    <w:rsid w:val="00564A06"/>
    <w:rsid w:val="00565E62"/>
    <w:rsid w:val="0056681E"/>
    <w:rsid w:val="005717EB"/>
    <w:rsid w:val="00572AA9"/>
    <w:rsid w:val="005744E2"/>
    <w:rsid w:val="00581824"/>
    <w:rsid w:val="0058620D"/>
    <w:rsid w:val="00592741"/>
    <w:rsid w:val="00595906"/>
    <w:rsid w:val="00595BAC"/>
    <w:rsid w:val="005961EE"/>
    <w:rsid w:val="005A15D6"/>
    <w:rsid w:val="005A171A"/>
    <w:rsid w:val="005A7F60"/>
    <w:rsid w:val="005B11F9"/>
    <w:rsid w:val="005B14E5"/>
    <w:rsid w:val="005B153E"/>
    <w:rsid w:val="005B1A88"/>
    <w:rsid w:val="005B3EB7"/>
    <w:rsid w:val="005B47F1"/>
    <w:rsid w:val="005C0F50"/>
    <w:rsid w:val="005C7E68"/>
    <w:rsid w:val="005D3D29"/>
    <w:rsid w:val="005D530F"/>
    <w:rsid w:val="005E0E37"/>
    <w:rsid w:val="005E274A"/>
    <w:rsid w:val="005E4255"/>
    <w:rsid w:val="005E6FDD"/>
    <w:rsid w:val="005F402B"/>
    <w:rsid w:val="006015B0"/>
    <w:rsid w:val="006056AC"/>
    <w:rsid w:val="00611699"/>
    <w:rsid w:val="00611C62"/>
    <w:rsid w:val="00614ADA"/>
    <w:rsid w:val="006151A8"/>
    <w:rsid w:val="006168F9"/>
    <w:rsid w:val="00617A5E"/>
    <w:rsid w:val="006207F6"/>
    <w:rsid w:val="00620CA3"/>
    <w:rsid w:val="0062128F"/>
    <w:rsid w:val="00622895"/>
    <w:rsid w:val="00630A3B"/>
    <w:rsid w:val="00631AF0"/>
    <w:rsid w:val="00631D73"/>
    <w:rsid w:val="0063379C"/>
    <w:rsid w:val="00640B56"/>
    <w:rsid w:val="00641221"/>
    <w:rsid w:val="00643EE6"/>
    <w:rsid w:val="0064517E"/>
    <w:rsid w:val="00645A9F"/>
    <w:rsid w:val="00653D4B"/>
    <w:rsid w:val="00661A6D"/>
    <w:rsid w:val="00662131"/>
    <w:rsid w:val="006632B4"/>
    <w:rsid w:val="00666F0F"/>
    <w:rsid w:val="006670A8"/>
    <w:rsid w:val="006751B9"/>
    <w:rsid w:val="006808C8"/>
    <w:rsid w:val="00682B51"/>
    <w:rsid w:val="0068605A"/>
    <w:rsid w:val="00686B1F"/>
    <w:rsid w:val="00692480"/>
    <w:rsid w:val="00694EEB"/>
    <w:rsid w:val="006955EF"/>
    <w:rsid w:val="00695613"/>
    <w:rsid w:val="00695C79"/>
    <w:rsid w:val="006A39FA"/>
    <w:rsid w:val="006A5415"/>
    <w:rsid w:val="006B052C"/>
    <w:rsid w:val="006B65C2"/>
    <w:rsid w:val="006C042E"/>
    <w:rsid w:val="006C142D"/>
    <w:rsid w:val="006C1A93"/>
    <w:rsid w:val="006C5027"/>
    <w:rsid w:val="006D163D"/>
    <w:rsid w:val="006D58CC"/>
    <w:rsid w:val="006E3E56"/>
    <w:rsid w:val="006E4402"/>
    <w:rsid w:val="006F0142"/>
    <w:rsid w:val="006F5707"/>
    <w:rsid w:val="006F73ED"/>
    <w:rsid w:val="0070040B"/>
    <w:rsid w:val="00702F1E"/>
    <w:rsid w:val="00703DB6"/>
    <w:rsid w:val="00705B96"/>
    <w:rsid w:val="00711D95"/>
    <w:rsid w:val="00715E81"/>
    <w:rsid w:val="00716C5D"/>
    <w:rsid w:val="00716E04"/>
    <w:rsid w:val="0072057E"/>
    <w:rsid w:val="00721188"/>
    <w:rsid w:val="00721ECD"/>
    <w:rsid w:val="0072413D"/>
    <w:rsid w:val="00724ECC"/>
    <w:rsid w:val="00730B09"/>
    <w:rsid w:val="007313C8"/>
    <w:rsid w:val="00731C5F"/>
    <w:rsid w:val="00732419"/>
    <w:rsid w:val="00733179"/>
    <w:rsid w:val="0074560C"/>
    <w:rsid w:val="00745F24"/>
    <w:rsid w:val="007471D7"/>
    <w:rsid w:val="00747A6C"/>
    <w:rsid w:val="00747A72"/>
    <w:rsid w:val="007525AF"/>
    <w:rsid w:val="00753447"/>
    <w:rsid w:val="007539E2"/>
    <w:rsid w:val="0076016E"/>
    <w:rsid w:val="00760C5B"/>
    <w:rsid w:val="00762480"/>
    <w:rsid w:val="007628A4"/>
    <w:rsid w:val="00763F68"/>
    <w:rsid w:val="00773D98"/>
    <w:rsid w:val="00775207"/>
    <w:rsid w:val="007814CC"/>
    <w:rsid w:val="007838D4"/>
    <w:rsid w:val="007839A3"/>
    <w:rsid w:val="007877BA"/>
    <w:rsid w:val="00790D40"/>
    <w:rsid w:val="00791C22"/>
    <w:rsid w:val="0079230D"/>
    <w:rsid w:val="00795DBD"/>
    <w:rsid w:val="00795FE7"/>
    <w:rsid w:val="007961E1"/>
    <w:rsid w:val="007A0A30"/>
    <w:rsid w:val="007A4E5A"/>
    <w:rsid w:val="007A6DDC"/>
    <w:rsid w:val="007B201A"/>
    <w:rsid w:val="007C1BA2"/>
    <w:rsid w:val="007D04F0"/>
    <w:rsid w:val="007D139B"/>
    <w:rsid w:val="007F0CB9"/>
    <w:rsid w:val="007F1615"/>
    <w:rsid w:val="007F3506"/>
    <w:rsid w:val="007F679F"/>
    <w:rsid w:val="007F766C"/>
    <w:rsid w:val="00801F99"/>
    <w:rsid w:val="0080242E"/>
    <w:rsid w:val="0080498F"/>
    <w:rsid w:val="00817B9C"/>
    <w:rsid w:val="00821A10"/>
    <w:rsid w:val="00831933"/>
    <w:rsid w:val="00834B5A"/>
    <w:rsid w:val="008432FD"/>
    <w:rsid w:val="00845E9E"/>
    <w:rsid w:val="00847AFC"/>
    <w:rsid w:val="00860654"/>
    <w:rsid w:val="0086092E"/>
    <w:rsid w:val="00866A6D"/>
    <w:rsid w:val="00870629"/>
    <w:rsid w:val="00871418"/>
    <w:rsid w:val="00875830"/>
    <w:rsid w:val="00875E4E"/>
    <w:rsid w:val="00880A8D"/>
    <w:rsid w:val="00881555"/>
    <w:rsid w:val="0088693F"/>
    <w:rsid w:val="0089024F"/>
    <w:rsid w:val="0089060C"/>
    <w:rsid w:val="00890933"/>
    <w:rsid w:val="00893508"/>
    <w:rsid w:val="008963ED"/>
    <w:rsid w:val="008A5A53"/>
    <w:rsid w:val="008A67D5"/>
    <w:rsid w:val="008B45C0"/>
    <w:rsid w:val="008C1EB5"/>
    <w:rsid w:val="008C397C"/>
    <w:rsid w:val="008C39BE"/>
    <w:rsid w:val="008C4B1D"/>
    <w:rsid w:val="008C4C83"/>
    <w:rsid w:val="008C5D56"/>
    <w:rsid w:val="008D297F"/>
    <w:rsid w:val="008D4741"/>
    <w:rsid w:val="008D5BA9"/>
    <w:rsid w:val="008E15C0"/>
    <w:rsid w:val="008E3DEF"/>
    <w:rsid w:val="008E43B5"/>
    <w:rsid w:val="008E72B9"/>
    <w:rsid w:val="008F3FC4"/>
    <w:rsid w:val="008F56FB"/>
    <w:rsid w:val="008F5E31"/>
    <w:rsid w:val="00903467"/>
    <w:rsid w:val="00904BB4"/>
    <w:rsid w:val="00906EAA"/>
    <w:rsid w:val="00910901"/>
    <w:rsid w:val="00912BC1"/>
    <w:rsid w:val="00912FC7"/>
    <w:rsid w:val="00917A63"/>
    <w:rsid w:val="00924039"/>
    <w:rsid w:val="00924A58"/>
    <w:rsid w:val="00925C2F"/>
    <w:rsid w:val="009271BB"/>
    <w:rsid w:val="0093722B"/>
    <w:rsid w:val="009377B9"/>
    <w:rsid w:val="00937C36"/>
    <w:rsid w:val="00937C46"/>
    <w:rsid w:val="00947A9D"/>
    <w:rsid w:val="00947BEB"/>
    <w:rsid w:val="0095343F"/>
    <w:rsid w:val="00953A5D"/>
    <w:rsid w:val="009540A0"/>
    <w:rsid w:val="0095508F"/>
    <w:rsid w:val="00956397"/>
    <w:rsid w:val="00960BE9"/>
    <w:rsid w:val="0096129B"/>
    <w:rsid w:val="0096571C"/>
    <w:rsid w:val="00970AD3"/>
    <w:rsid w:val="00970DD2"/>
    <w:rsid w:val="0097617A"/>
    <w:rsid w:val="00980289"/>
    <w:rsid w:val="009851A0"/>
    <w:rsid w:val="00986889"/>
    <w:rsid w:val="00990659"/>
    <w:rsid w:val="00993F64"/>
    <w:rsid w:val="0099545A"/>
    <w:rsid w:val="009966EF"/>
    <w:rsid w:val="009A0AE2"/>
    <w:rsid w:val="009A256E"/>
    <w:rsid w:val="009A550C"/>
    <w:rsid w:val="009A6678"/>
    <w:rsid w:val="009A6C4B"/>
    <w:rsid w:val="009A73EC"/>
    <w:rsid w:val="009C4813"/>
    <w:rsid w:val="009C4DDB"/>
    <w:rsid w:val="009C77F9"/>
    <w:rsid w:val="009C7FED"/>
    <w:rsid w:val="009D15F1"/>
    <w:rsid w:val="009D17A9"/>
    <w:rsid w:val="009D2B10"/>
    <w:rsid w:val="009D41D9"/>
    <w:rsid w:val="009D6FC5"/>
    <w:rsid w:val="009E20F2"/>
    <w:rsid w:val="009E2A3C"/>
    <w:rsid w:val="009E3D6F"/>
    <w:rsid w:val="009E470D"/>
    <w:rsid w:val="009F034E"/>
    <w:rsid w:val="009F2A0E"/>
    <w:rsid w:val="009F305E"/>
    <w:rsid w:val="009F543B"/>
    <w:rsid w:val="009F6FFB"/>
    <w:rsid w:val="00A014BC"/>
    <w:rsid w:val="00A0221A"/>
    <w:rsid w:val="00A072CD"/>
    <w:rsid w:val="00A07C91"/>
    <w:rsid w:val="00A07D78"/>
    <w:rsid w:val="00A143CC"/>
    <w:rsid w:val="00A16CAD"/>
    <w:rsid w:val="00A17541"/>
    <w:rsid w:val="00A21178"/>
    <w:rsid w:val="00A25B84"/>
    <w:rsid w:val="00A32675"/>
    <w:rsid w:val="00A341A6"/>
    <w:rsid w:val="00A35350"/>
    <w:rsid w:val="00A366BB"/>
    <w:rsid w:val="00A36FE3"/>
    <w:rsid w:val="00A43896"/>
    <w:rsid w:val="00A4748A"/>
    <w:rsid w:val="00A517EE"/>
    <w:rsid w:val="00A54A59"/>
    <w:rsid w:val="00A55739"/>
    <w:rsid w:val="00A57659"/>
    <w:rsid w:val="00A619D9"/>
    <w:rsid w:val="00A6244E"/>
    <w:rsid w:val="00A63F11"/>
    <w:rsid w:val="00A64D7B"/>
    <w:rsid w:val="00A7274F"/>
    <w:rsid w:val="00A7378D"/>
    <w:rsid w:val="00A761A5"/>
    <w:rsid w:val="00A77F71"/>
    <w:rsid w:val="00A8427F"/>
    <w:rsid w:val="00A84874"/>
    <w:rsid w:val="00A84B98"/>
    <w:rsid w:val="00A85A50"/>
    <w:rsid w:val="00A879F7"/>
    <w:rsid w:val="00A901EE"/>
    <w:rsid w:val="00A90F65"/>
    <w:rsid w:val="00A91FC8"/>
    <w:rsid w:val="00A95D6A"/>
    <w:rsid w:val="00A97F5D"/>
    <w:rsid w:val="00AA1810"/>
    <w:rsid w:val="00AA266A"/>
    <w:rsid w:val="00AA3C31"/>
    <w:rsid w:val="00AA582A"/>
    <w:rsid w:val="00AA5A05"/>
    <w:rsid w:val="00AB0383"/>
    <w:rsid w:val="00AB07EA"/>
    <w:rsid w:val="00AB1527"/>
    <w:rsid w:val="00AB4FA1"/>
    <w:rsid w:val="00AC4F02"/>
    <w:rsid w:val="00AC5F28"/>
    <w:rsid w:val="00AC6033"/>
    <w:rsid w:val="00AC71AD"/>
    <w:rsid w:val="00AE30EF"/>
    <w:rsid w:val="00AE5140"/>
    <w:rsid w:val="00AF09BC"/>
    <w:rsid w:val="00AF6AD1"/>
    <w:rsid w:val="00B0242D"/>
    <w:rsid w:val="00B05301"/>
    <w:rsid w:val="00B0620D"/>
    <w:rsid w:val="00B064A9"/>
    <w:rsid w:val="00B0656A"/>
    <w:rsid w:val="00B06BEF"/>
    <w:rsid w:val="00B10E4C"/>
    <w:rsid w:val="00B11480"/>
    <w:rsid w:val="00B14884"/>
    <w:rsid w:val="00B156F4"/>
    <w:rsid w:val="00B174C6"/>
    <w:rsid w:val="00B208FC"/>
    <w:rsid w:val="00B20975"/>
    <w:rsid w:val="00B2693D"/>
    <w:rsid w:val="00B306D2"/>
    <w:rsid w:val="00B332EA"/>
    <w:rsid w:val="00B344A4"/>
    <w:rsid w:val="00B3540C"/>
    <w:rsid w:val="00B372C2"/>
    <w:rsid w:val="00B41635"/>
    <w:rsid w:val="00B418F8"/>
    <w:rsid w:val="00B443DA"/>
    <w:rsid w:val="00B45913"/>
    <w:rsid w:val="00B45FC1"/>
    <w:rsid w:val="00B47CC6"/>
    <w:rsid w:val="00B50162"/>
    <w:rsid w:val="00B52DBC"/>
    <w:rsid w:val="00B5357A"/>
    <w:rsid w:val="00B62DAE"/>
    <w:rsid w:val="00B63606"/>
    <w:rsid w:val="00B636C9"/>
    <w:rsid w:val="00B65239"/>
    <w:rsid w:val="00B66FE9"/>
    <w:rsid w:val="00B67445"/>
    <w:rsid w:val="00B71FEA"/>
    <w:rsid w:val="00B72E37"/>
    <w:rsid w:val="00B765A1"/>
    <w:rsid w:val="00B77CFD"/>
    <w:rsid w:val="00B8793F"/>
    <w:rsid w:val="00B92218"/>
    <w:rsid w:val="00BA0B04"/>
    <w:rsid w:val="00BA374E"/>
    <w:rsid w:val="00BA4777"/>
    <w:rsid w:val="00BA5AB3"/>
    <w:rsid w:val="00BB48D3"/>
    <w:rsid w:val="00BC1F06"/>
    <w:rsid w:val="00BC29D8"/>
    <w:rsid w:val="00BC4B19"/>
    <w:rsid w:val="00BC6689"/>
    <w:rsid w:val="00BD1AE2"/>
    <w:rsid w:val="00BD34D0"/>
    <w:rsid w:val="00BD6D8F"/>
    <w:rsid w:val="00BD7D54"/>
    <w:rsid w:val="00BE5146"/>
    <w:rsid w:val="00BE6193"/>
    <w:rsid w:val="00BE692C"/>
    <w:rsid w:val="00BE7504"/>
    <w:rsid w:val="00BF1C40"/>
    <w:rsid w:val="00BF207C"/>
    <w:rsid w:val="00BF2B8F"/>
    <w:rsid w:val="00BF421A"/>
    <w:rsid w:val="00BF53C3"/>
    <w:rsid w:val="00BF55E3"/>
    <w:rsid w:val="00BF5817"/>
    <w:rsid w:val="00BF6C51"/>
    <w:rsid w:val="00BF6F56"/>
    <w:rsid w:val="00C03E08"/>
    <w:rsid w:val="00C21D5C"/>
    <w:rsid w:val="00C24EE2"/>
    <w:rsid w:val="00C32537"/>
    <w:rsid w:val="00C335EE"/>
    <w:rsid w:val="00C34A1B"/>
    <w:rsid w:val="00C34ACB"/>
    <w:rsid w:val="00C34FD3"/>
    <w:rsid w:val="00C352FB"/>
    <w:rsid w:val="00C35608"/>
    <w:rsid w:val="00C3573E"/>
    <w:rsid w:val="00C41294"/>
    <w:rsid w:val="00C438A3"/>
    <w:rsid w:val="00C5215F"/>
    <w:rsid w:val="00C54C74"/>
    <w:rsid w:val="00C56A51"/>
    <w:rsid w:val="00C611B2"/>
    <w:rsid w:val="00C63100"/>
    <w:rsid w:val="00C64095"/>
    <w:rsid w:val="00C66261"/>
    <w:rsid w:val="00C675C1"/>
    <w:rsid w:val="00C67C1A"/>
    <w:rsid w:val="00C67C42"/>
    <w:rsid w:val="00C67FB6"/>
    <w:rsid w:val="00C70835"/>
    <w:rsid w:val="00C71D76"/>
    <w:rsid w:val="00C74A97"/>
    <w:rsid w:val="00C7578E"/>
    <w:rsid w:val="00C80743"/>
    <w:rsid w:val="00C807DB"/>
    <w:rsid w:val="00C82111"/>
    <w:rsid w:val="00C84838"/>
    <w:rsid w:val="00C86D0D"/>
    <w:rsid w:val="00C870EA"/>
    <w:rsid w:val="00C87C12"/>
    <w:rsid w:val="00C9233D"/>
    <w:rsid w:val="00C92B30"/>
    <w:rsid w:val="00C92B40"/>
    <w:rsid w:val="00C93A37"/>
    <w:rsid w:val="00C93A84"/>
    <w:rsid w:val="00C93F62"/>
    <w:rsid w:val="00CA5D7C"/>
    <w:rsid w:val="00CB062E"/>
    <w:rsid w:val="00CB4106"/>
    <w:rsid w:val="00CB4A28"/>
    <w:rsid w:val="00CB5018"/>
    <w:rsid w:val="00CB687B"/>
    <w:rsid w:val="00CB774D"/>
    <w:rsid w:val="00CC03F0"/>
    <w:rsid w:val="00CC5235"/>
    <w:rsid w:val="00CC5848"/>
    <w:rsid w:val="00CC6628"/>
    <w:rsid w:val="00CC6F77"/>
    <w:rsid w:val="00CD1161"/>
    <w:rsid w:val="00CD4ACC"/>
    <w:rsid w:val="00CD70F1"/>
    <w:rsid w:val="00CE0456"/>
    <w:rsid w:val="00CE053D"/>
    <w:rsid w:val="00CE157E"/>
    <w:rsid w:val="00CE3659"/>
    <w:rsid w:val="00CE4832"/>
    <w:rsid w:val="00CE4F3D"/>
    <w:rsid w:val="00CF18E7"/>
    <w:rsid w:val="00CF3556"/>
    <w:rsid w:val="00D01F34"/>
    <w:rsid w:val="00D03D94"/>
    <w:rsid w:val="00D06FB8"/>
    <w:rsid w:val="00D12457"/>
    <w:rsid w:val="00D13D82"/>
    <w:rsid w:val="00D13FC4"/>
    <w:rsid w:val="00D14257"/>
    <w:rsid w:val="00D142DB"/>
    <w:rsid w:val="00D155B7"/>
    <w:rsid w:val="00D177C8"/>
    <w:rsid w:val="00D25A12"/>
    <w:rsid w:val="00D30700"/>
    <w:rsid w:val="00D31036"/>
    <w:rsid w:val="00D34EA0"/>
    <w:rsid w:val="00D36279"/>
    <w:rsid w:val="00D40993"/>
    <w:rsid w:val="00D41910"/>
    <w:rsid w:val="00D45185"/>
    <w:rsid w:val="00D51B77"/>
    <w:rsid w:val="00D55779"/>
    <w:rsid w:val="00D60E69"/>
    <w:rsid w:val="00D638DF"/>
    <w:rsid w:val="00D642D0"/>
    <w:rsid w:val="00D6537C"/>
    <w:rsid w:val="00D671FF"/>
    <w:rsid w:val="00D723FB"/>
    <w:rsid w:val="00D7384F"/>
    <w:rsid w:val="00D73B95"/>
    <w:rsid w:val="00D806E7"/>
    <w:rsid w:val="00D839C0"/>
    <w:rsid w:val="00D8664E"/>
    <w:rsid w:val="00D91329"/>
    <w:rsid w:val="00D94964"/>
    <w:rsid w:val="00D9526A"/>
    <w:rsid w:val="00D95BD4"/>
    <w:rsid w:val="00D96B00"/>
    <w:rsid w:val="00D976B4"/>
    <w:rsid w:val="00DA23A1"/>
    <w:rsid w:val="00DA48F9"/>
    <w:rsid w:val="00DA7765"/>
    <w:rsid w:val="00DB01CC"/>
    <w:rsid w:val="00DB4A19"/>
    <w:rsid w:val="00DC2D4E"/>
    <w:rsid w:val="00DC4A90"/>
    <w:rsid w:val="00DC50C1"/>
    <w:rsid w:val="00DC548B"/>
    <w:rsid w:val="00DD4188"/>
    <w:rsid w:val="00DD48AC"/>
    <w:rsid w:val="00DD6791"/>
    <w:rsid w:val="00DD7526"/>
    <w:rsid w:val="00DE2E24"/>
    <w:rsid w:val="00DE3859"/>
    <w:rsid w:val="00DE4050"/>
    <w:rsid w:val="00DF25E4"/>
    <w:rsid w:val="00DF3B19"/>
    <w:rsid w:val="00DF638A"/>
    <w:rsid w:val="00E01E63"/>
    <w:rsid w:val="00E21268"/>
    <w:rsid w:val="00E2220D"/>
    <w:rsid w:val="00E22DB2"/>
    <w:rsid w:val="00E27105"/>
    <w:rsid w:val="00E3552B"/>
    <w:rsid w:val="00E35CFC"/>
    <w:rsid w:val="00E35D19"/>
    <w:rsid w:val="00E36B24"/>
    <w:rsid w:val="00E4041E"/>
    <w:rsid w:val="00E40AC9"/>
    <w:rsid w:val="00E40DE5"/>
    <w:rsid w:val="00E433DA"/>
    <w:rsid w:val="00E435C0"/>
    <w:rsid w:val="00E44BAD"/>
    <w:rsid w:val="00E45067"/>
    <w:rsid w:val="00E4617B"/>
    <w:rsid w:val="00E528A9"/>
    <w:rsid w:val="00E52AB9"/>
    <w:rsid w:val="00E60D25"/>
    <w:rsid w:val="00E61626"/>
    <w:rsid w:val="00E6551C"/>
    <w:rsid w:val="00E65C2E"/>
    <w:rsid w:val="00E6607C"/>
    <w:rsid w:val="00E671C3"/>
    <w:rsid w:val="00E676F1"/>
    <w:rsid w:val="00E67E08"/>
    <w:rsid w:val="00E725DE"/>
    <w:rsid w:val="00E7371C"/>
    <w:rsid w:val="00E81ECB"/>
    <w:rsid w:val="00E82E7B"/>
    <w:rsid w:val="00E90142"/>
    <w:rsid w:val="00E91F49"/>
    <w:rsid w:val="00E9269E"/>
    <w:rsid w:val="00E92B0B"/>
    <w:rsid w:val="00E955A3"/>
    <w:rsid w:val="00E95B3E"/>
    <w:rsid w:val="00E97522"/>
    <w:rsid w:val="00EA539C"/>
    <w:rsid w:val="00EA53C0"/>
    <w:rsid w:val="00EA55BA"/>
    <w:rsid w:val="00EB0FAD"/>
    <w:rsid w:val="00EB3229"/>
    <w:rsid w:val="00EB3D5A"/>
    <w:rsid w:val="00EB6708"/>
    <w:rsid w:val="00EC28CF"/>
    <w:rsid w:val="00EC2CE7"/>
    <w:rsid w:val="00EC43B7"/>
    <w:rsid w:val="00EC46DD"/>
    <w:rsid w:val="00EC6400"/>
    <w:rsid w:val="00EC7F89"/>
    <w:rsid w:val="00ED3ACF"/>
    <w:rsid w:val="00ED3CCA"/>
    <w:rsid w:val="00ED43CC"/>
    <w:rsid w:val="00EE1694"/>
    <w:rsid w:val="00EE59DB"/>
    <w:rsid w:val="00EE66A1"/>
    <w:rsid w:val="00EF012B"/>
    <w:rsid w:val="00EF432C"/>
    <w:rsid w:val="00F0098F"/>
    <w:rsid w:val="00F05700"/>
    <w:rsid w:val="00F0678F"/>
    <w:rsid w:val="00F06EE8"/>
    <w:rsid w:val="00F07349"/>
    <w:rsid w:val="00F106AD"/>
    <w:rsid w:val="00F13302"/>
    <w:rsid w:val="00F167CA"/>
    <w:rsid w:val="00F17907"/>
    <w:rsid w:val="00F22AE5"/>
    <w:rsid w:val="00F24924"/>
    <w:rsid w:val="00F24AB3"/>
    <w:rsid w:val="00F251CF"/>
    <w:rsid w:val="00F276D2"/>
    <w:rsid w:val="00F2783A"/>
    <w:rsid w:val="00F32FB2"/>
    <w:rsid w:val="00F40D27"/>
    <w:rsid w:val="00F434F9"/>
    <w:rsid w:val="00F44409"/>
    <w:rsid w:val="00F4688D"/>
    <w:rsid w:val="00F56333"/>
    <w:rsid w:val="00F618FA"/>
    <w:rsid w:val="00F637F2"/>
    <w:rsid w:val="00F63E18"/>
    <w:rsid w:val="00F66573"/>
    <w:rsid w:val="00F66F5B"/>
    <w:rsid w:val="00F67DDA"/>
    <w:rsid w:val="00F81587"/>
    <w:rsid w:val="00F816D2"/>
    <w:rsid w:val="00F842F6"/>
    <w:rsid w:val="00F84BF6"/>
    <w:rsid w:val="00F87F64"/>
    <w:rsid w:val="00F9217C"/>
    <w:rsid w:val="00F926FD"/>
    <w:rsid w:val="00F940BA"/>
    <w:rsid w:val="00F94B16"/>
    <w:rsid w:val="00F959F3"/>
    <w:rsid w:val="00F967DE"/>
    <w:rsid w:val="00FA1003"/>
    <w:rsid w:val="00FA5036"/>
    <w:rsid w:val="00FA64C9"/>
    <w:rsid w:val="00FA6AF7"/>
    <w:rsid w:val="00FB0D02"/>
    <w:rsid w:val="00FB0D4F"/>
    <w:rsid w:val="00FB2128"/>
    <w:rsid w:val="00FB2562"/>
    <w:rsid w:val="00FB687D"/>
    <w:rsid w:val="00FC0A38"/>
    <w:rsid w:val="00FC29F9"/>
    <w:rsid w:val="00FC3339"/>
    <w:rsid w:val="00FC3E7C"/>
    <w:rsid w:val="00FC46FC"/>
    <w:rsid w:val="00FC5093"/>
    <w:rsid w:val="00FC7E74"/>
    <w:rsid w:val="00FD0543"/>
    <w:rsid w:val="00FD1B5A"/>
    <w:rsid w:val="00FD2DCB"/>
    <w:rsid w:val="00FD530F"/>
    <w:rsid w:val="00FD55BC"/>
    <w:rsid w:val="00FE0615"/>
    <w:rsid w:val="00FE40CB"/>
    <w:rsid w:val="00FE655C"/>
    <w:rsid w:val="00FE69B2"/>
    <w:rsid w:val="00FF57C3"/>
    <w:rsid w:val="00FF5D05"/>
    <w:rsid w:val="00FF778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semiHidden="0" w:qFormat="1"/>
    <w:lsdException w:name="heading 4" w:semiHidden="0" w:qFormat="1"/>
    <w:lsdException w:name="heading 5" w:uiPriority="9"/>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macro" w:unhideWhenUsed="0"/>
    <w:lsdException w:name="List" w:semiHidden="0"/>
    <w:lsdException w:name="List Bullet" w:semiHidden="0" w:unhideWhenUsed="0"/>
    <w:lsdException w:name="List Number" w:unhideWhenUsed="0"/>
    <w:lsdException w:name="List 2" w:semiHidden="0"/>
    <w:lsdException w:name="List 3" w:semiHidden="0"/>
    <w:lsdException w:name="List Bullet 2" w:semiHidden="0"/>
    <w:lsdException w:name="List Bullet 5" w:uiPriority="0"/>
    <w:lsdException w:name="Title" w:semiHidden="0" w:unhideWhenUsed="0"/>
    <w:lsdException w:name="Default Paragraph Font" w:uiPriority="1"/>
    <w:lsdException w:name="List Continue 3" w:unhideWhenUsed="0"/>
    <w:lsdException w:name="List Continue 4" w:unhideWhenUsed="0"/>
    <w:lsdException w:name="List Continue 5" w:unhideWhenUsed="0"/>
    <w:lsdException w:name="Message Header" w:unhideWhenUsed="0"/>
    <w:lsdException w:name="Subtitle" w:semiHidden="0" w:unhideWhenUsed="0" w:qFormat="1"/>
    <w:lsdException w:name="Strong" w:semiHidden="0" w:uiPriority="22" w:unhideWhenUsed="0"/>
    <w:lsdException w:name="Emphasis" w:locked="1" w:semiHidden="0" w:uiPriority="20" w:unhideWhenUsed="0"/>
    <w:lsdException w:name="Balloon Text" w:unhideWhenUsed="0"/>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unhideWhenUsed="0"/>
    <w:lsdException w:name="TOC Heading" w:uiPriority="39" w:unhideWhenUsed="0" w:qFormat="1"/>
  </w:latentStyles>
  <w:style w:type="paragraph" w:default="1" w:styleId="Normal">
    <w:name w:val="Normal"/>
    <w:qFormat/>
    <w:rsid w:val="002A0871"/>
    <w:pPr>
      <w:spacing w:after="120" w:line="288" w:lineRule="auto"/>
    </w:pPr>
    <w:rPr>
      <w:rFonts w:ascii="Verdana" w:hAnsi="Verdana" w:cs="Arial"/>
      <w:kern w:val="28"/>
    </w:rPr>
  </w:style>
  <w:style w:type="paragraph" w:styleId="Heading1">
    <w:name w:val="heading 1"/>
    <w:basedOn w:val="Normal"/>
    <w:next w:val="Normal"/>
    <w:link w:val="Heading1Char"/>
    <w:uiPriority w:val="99"/>
    <w:qFormat/>
    <w:rsid w:val="00F63E18"/>
    <w:pPr>
      <w:keepNext/>
      <w:keepLines/>
      <w:pBdr>
        <w:bottom w:val="single" w:sz="4" w:space="1" w:color="121F6B"/>
      </w:pBdr>
      <w:spacing w:before="360" w:after="240"/>
      <w:outlineLvl w:val="0"/>
    </w:pPr>
    <w:rPr>
      <w:rFonts w:ascii="Georgia" w:eastAsiaTheme="majorEastAsia" w:hAnsi="Georgia"/>
      <w:b/>
      <w:bCs/>
      <w:color w:val="121F6B"/>
      <w:kern w:val="0"/>
      <w:sz w:val="36"/>
      <w:szCs w:val="36"/>
    </w:rPr>
  </w:style>
  <w:style w:type="paragraph" w:styleId="Heading2">
    <w:name w:val="heading 2"/>
    <w:basedOn w:val="Normal"/>
    <w:next w:val="Normal"/>
    <w:link w:val="Heading2Char"/>
    <w:uiPriority w:val="99"/>
    <w:qFormat/>
    <w:rsid w:val="00AC5F28"/>
    <w:pPr>
      <w:keepNext/>
      <w:spacing w:before="240"/>
      <w:outlineLvl w:val="1"/>
    </w:pPr>
    <w:rPr>
      <w:b/>
      <w:sz w:val="28"/>
      <w:szCs w:val="28"/>
    </w:rPr>
  </w:style>
  <w:style w:type="paragraph" w:styleId="Heading3">
    <w:name w:val="heading 3"/>
    <w:basedOn w:val="Normal"/>
    <w:next w:val="Normal"/>
    <w:link w:val="Heading3Char"/>
    <w:uiPriority w:val="99"/>
    <w:qFormat/>
    <w:rsid w:val="007814CC"/>
    <w:pPr>
      <w:keepNext/>
      <w:keepLines/>
      <w:spacing w:before="240"/>
      <w:outlineLvl w:val="2"/>
    </w:pPr>
    <w:rPr>
      <w:rFonts w:eastAsiaTheme="majorEastAsia"/>
      <w:b/>
      <w:bCs/>
      <w:kern w:val="0"/>
      <w:sz w:val="24"/>
      <w:szCs w:val="22"/>
      <w:lang w:eastAsia="en-AU"/>
    </w:rPr>
  </w:style>
  <w:style w:type="paragraph" w:styleId="Heading4">
    <w:name w:val="heading 4"/>
    <w:basedOn w:val="Normal"/>
    <w:next w:val="Normal"/>
    <w:link w:val="Heading4Char"/>
    <w:uiPriority w:val="99"/>
    <w:qFormat/>
    <w:rsid w:val="00D155B7"/>
    <w:pPr>
      <w:keepNext/>
      <w:keepLines/>
      <w:spacing w:before="120" w:after="60"/>
      <w:outlineLvl w:val="3"/>
    </w:pPr>
    <w:rPr>
      <w:rFonts w:eastAsiaTheme="majorEastAsia" w:cs="Times New Roman"/>
      <w:b/>
      <w:bCs/>
      <w:i/>
      <w:iCs/>
      <w:kern w:val="0"/>
      <w:sz w:val="22"/>
    </w:rPr>
  </w:style>
  <w:style w:type="paragraph" w:styleId="Heading5">
    <w:name w:val="heading 5"/>
    <w:basedOn w:val="Normal"/>
    <w:next w:val="Normal"/>
    <w:link w:val="Heading5Char"/>
    <w:uiPriority w:val="9"/>
    <w:semiHidden/>
    <w:unhideWhenUsed/>
    <w:rsid w:val="00F167C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EC28CF"/>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EC28CF"/>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EC28CF"/>
    <w:pPr>
      <w:keepNext/>
      <w:keepLines/>
      <w:spacing w:before="200" w:after="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locked/>
    <w:rsid w:val="00EC28CF"/>
    <w:pPr>
      <w:keepNext/>
      <w:keepLines/>
      <w:spacing w:before="200" w:after="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63E18"/>
    <w:rPr>
      <w:rFonts w:ascii="Georgia" w:eastAsiaTheme="majorEastAsia" w:hAnsi="Georgia" w:cs="Arial"/>
      <w:b/>
      <w:bCs/>
      <w:color w:val="121F6B"/>
      <w:sz w:val="36"/>
      <w:szCs w:val="36"/>
    </w:rPr>
  </w:style>
  <w:style w:type="character" w:customStyle="1" w:styleId="Heading2Char">
    <w:name w:val="Heading 2 Char"/>
    <w:basedOn w:val="DefaultParagraphFont"/>
    <w:link w:val="Heading2"/>
    <w:uiPriority w:val="99"/>
    <w:rsid w:val="00AC5F28"/>
    <w:rPr>
      <w:rFonts w:ascii="Verdana" w:hAnsi="Verdana" w:cs="Arial"/>
      <w:b/>
      <w:kern w:val="28"/>
      <w:sz w:val="28"/>
      <w:szCs w:val="28"/>
    </w:rPr>
  </w:style>
  <w:style w:type="character" w:customStyle="1" w:styleId="Heading3Char">
    <w:name w:val="Heading 3 Char"/>
    <w:basedOn w:val="DefaultParagraphFont"/>
    <w:link w:val="Heading3"/>
    <w:uiPriority w:val="99"/>
    <w:rsid w:val="007814CC"/>
    <w:rPr>
      <w:rFonts w:ascii="Verdana" w:eastAsiaTheme="majorEastAsia" w:hAnsi="Verdana" w:cs="Arial"/>
      <w:b/>
      <w:bCs/>
      <w:sz w:val="24"/>
      <w:szCs w:val="22"/>
      <w:lang w:eastAsia="en-AU"/>
    </w:rPr>
  </w:style>
  <w:style w:type="character" w:customStyle="1" w:styleId="Heading4Char">
    <w:name w:val="Heading 4 Char"/>
    <w:basedOn w:val="DefaultParagraphFont"/>
    <w:link w:val="Heading4"/>
    <w:uiPriority w:val="99"/>
    <w:rsid w:val="00D155B7"/>
    <w:rPr>
      <w:rFonts w:ascii="Verdana" w:eastAsiaTheme="majorEastAsia" w:hAnsi="Verdana"/>
      <w:b/>
      <w:bCs/>
      <w:i/>
      <w:iCs/>
      <w:sz w:val="22"/>
    </w:rPr>
  </w:style>
  <w:style w:type="paragraph" w:styleId="ListParagraph">
    <w:name w:val="List Paragraph"/>
    <w:basedOn w:val="Normal"/>
    <w:uiPriority w:val="34"/>
    <w:rsid w:val="00F167CA"/>
    <w:pPr>
      <w:ind w:left="720"/>
      <w:contextualSpacing/>
    </w:pPr>
  </w:style>
  <w:style w:type="paragraph" w:styleId="List5">
    <w:name w:val="List 5"/>
    <w:basedOn w:val="Normal"/>
    <w:uiPriority w:val="99"/>
    <w:semiHidden/>
    <w:rsid w:val="00C5215F"/>
    <w:pPr>
      <w:numPr>
        <w:ilvl w:val="4"/>
        <w:numId w:val="1"/>
      </w:numPr>
      <w:tabs>
        <w:tab w:val="num" w:pos="2520"/>
      </w:tabs>
      <w:ind w:left="2232" w:hanging="792"/>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rsid w:val="001D507A"/>
    <w:pPr>
      <w:pBdr>
        <w:bottom w:val="none" w:sz="0" w:space="0" w:color="auto"/>
      </w:pBdr>
    </w:pPr>
    <w:rPr>
      <w:color w:val="FFFFFF" w:themeColor="background1"/>
    </w:rPr>
  </w:style>
  <w:style w:type="character" w:customStyle="1" w:styleId="TitleChar">
    <w:name w:val="Title Char"/>
    <w:basedOn w:val="DefaultParagraphFont"/>
    <w:link w:val="Title"/>
    <w:uiPriority w:val="99"/>
    <w:rsid w:val="001D507A"/>
    <w:rPr>
      <w:rFonts w:ascii="Georgia" w:eastAsiaTheme="majorEastAsia" w:hAnsi="Georgia" w:cs="Arial"/>
      <w:b/>
      <w:bCs/>
      <w:color w:val="FFFFFF" w:themeColor="background1"/>
      <w:sz w:val="40"/>
      <w:szCs w:val="28"/>
    </w:rPr>
  </w:style>
  <w:style w:type="paragraph" w:styleId="Subtitle">
    <w:name w:val="Subtitle"/>
    <w:basedOn w:val="Normal"/>
    <w:next w:val="Normal"/>
    <w:link w:val="SubtitleChar"/>
    <w:uiPriority w:val="99"/>
    <w:qFormat/>
    <w:rsid w:val="00F167CA"/>
    <w:pPr>
      <w:numPr>
        <w:ilvl w:val="1"/>
      </w:numPr>
    </w:pPr>
    <w:rPr>
      <w:rFonts w:ascii="Arial" w:eastAsiaTheme="majorEastAsia" w:hAnsi="Arial" w:cs="Times New Roman"/>
      <w:i/>
      <w:iCs/>
      <w:spacing w:val="15"/>
      <w:kern w:val="0"/>
      <w:sz w:val="24"/>
      <w:szCs w:val="24"/>
    </w:rPr>
  </w:style>
  <w:style w:type="character" w:customStyle="1" w:styleId="SubtitleChar">
    <w:name w:val="Subtitle Char"/>
    <w:basedOn w:val="DefaultParagraphFont"/>
    <w:link w:val="Subtitle"/>
    <w:uiPriority w:val="99"/>
    <w:rsid w:val="00F167CA"/>
    <w:rPr>
      <w:rFonts w:ascii="Arial" w:eastAsiaTheme="majorEastAsia" w:hAnsi="Arial"/>
      <w:i/>
      <w:iCs/>
      <w:spacing w:val="15"/>
      <w:sz w:val="24"/>
      <w:szCs w:val="24"/>
    </w:rPr>
  </w:style>
  <w:style w:type="character" w:styleId="SubtleEmphasis">
    <w:name w:val="Subtle Emphasis"/>
    <w:basedOn w:val="DefaultParagraphFont"/>
    <w:uiPriority w:val="99"/>
    <w:rsid w:val="00F167CA"/>
    <w:rPr>
      <w:rFonts w:ascii="Arial" w:hAnsi="Arial" w:cs="Times New Roman"/>
      <w:i/>
      <w:iCs/>
      <w:color w:val="auto"/>
      <w:sz w:val="20"/>
    </w:rPr>
  </w:style>
  <w:style w:type="paragraph" w:customStyle="1" w:styleId="Bullet1">
    <w:name w:val="Bullet1"/>
    <w:basedOn w:val="Normal"/>
    <w:qFormat/>
    <w:rsid w:val="009E3D6F"/>
    <w:pPr>
      <w:numPr>
        <w:numId w:val="2"/>
      </w:numPr>
      <w:tabs>
        <w:tab w:val="clear" w:pos="360"/>
      </w:tabs>
      <w:suppressAutoHyphens/>
      <w:autoSpaceDE w:val="0"/>
      <w:autoSpaceDN w:val="0"/>
      <w:adjustRightInd w:val="0"/>
      <w:ind w:left="284" w:hanging="284"/>
      <w:textAlignment w:val="center"/>
    </w:pPr>
    <w:rPr>
      <w:rFonts w:eastAsia="Times New Roman"/>
      <w:lang w:eastAsia="en-AU"/>
    </w:rPr>
  </w:style>
  <w:style w:type="paragraph" w:customStyle="1" w:styleId="Bullet2">
    <w:name w:val="Bullet2"/>
    <w:qFormat/>
    <w:rsid w:val="006A5415"/>
    <w:pPr>
      <w:numPr>
        <w:numId w:val="3"/>
      </w:numPr>
      <w:tabs>
        <w:tab w:val="clear" w:pos="797"/>
      </w:tabs>
      <w:spacing w:before="120"/>
      <w:ind w:left="709" w:hanging="272"/>
    </w:pPr>
    <w:rPr>
      <w:rFonts w:ascii="Verdana" w:eastAsia="Times New Roman" w:hAnsi="Verdana"/>
      <w:lang w:eastAsia="en-AU"/>
    </w:rPr>
  </w:style>
  <w:style w:type="character" w:customStyle="1" w:styleId="Heading5Char">
    <w:name w:val="Heading 5 Char"/>
    <w:basedOn w:val="DefaultParagraphFont"/>
    <w:link w:val="Heading5"/>
    <w:uiPriority w:val="9"/>
    <w:semiHidden/>
    <w:rsid w:val="00F167CA"/>
    <w:rPr>
      <w:rFonts w:asciiTheme="majorHAnsi" w:eastAsiaTheme="majorEastAsia" w:hAnsiTheme="majorHAnsi" w:cstheme="majorBidi"/>
      <w:color w:val="243F60" w:themeColor="accent1" w:themeShade="7F"/>
      <w:sz w:val="22"/>
      <w:szCs w:val="22"/>
    </w:rPr>
  </w:style>
  <w:style w:type="character" w:styleId="Strong">
    <w:name w:val="Strong"/>
    <w:basedOn w:val="DefaultParagraphFont"/>
    <w:uiPriority w:val="22"/>
    <w:rsid w:val="00F167CA"/>
    <w:rPr>
      <w:b/>
      <w:bCs/>
    </w:rPr>
  </w:style>
  <w:style w:type="paragraph" w:styleId="TOCHeading">
    <w:name w:val="TOC Heading"/>
    <w:basedOn w:val="Heading1"/>
    <w:next w:val="Normal"/>
    <w:uiPriority w:val="39"/>
    <w:unhideWhenUsed/>
    <w:qFormat/>
    <w:rsid w:val="0038350A"/>
  </w:style>
  <w:style w:type="paragraph" w:styleId="BalloonText">
    <w:name w:val="Balloon Text"/>
    <w:basedOn w:val="Normal"/>
    <w:link w:val="BalloonTextChar"/>
    <w:uiPriority w:val="99"/>
    <w:semiHidden/>
    <w:rsid w:val="00F1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CA"/>
    <w:rPr>
      <w:rFonts w:ascii="Tahoma" w:hAnsi="Tahoma" w:cs="Tahoma"/>
      <w:kern w:val="28"/>
      <w:sz w:val="16"/>
      <w:szCs w:val="16"/>
      <w:lang w:val="en-US"/>
    </w:rPr>
  </w:style>
  <w:style w:type="paragraph" w:styleId="TOC1">
    <w:name w:val="toc 1"/>
    <w:basedOn w:val="Normal"/>
    <w:next w:val="Normal"/>
    <w:autoRedefine/>
    <w:uiPriority w:val="39"/>
    <w:rsid w:val="00D31036"/>
    <w:pPr>
      <w:tabs>
        <w:tab w:val="right" w:leader="dot" w:pos="9016"/>
      </w:tabs>
      <w:spacing w:after="100"/>
    </w:pPr>
    <w:rPr>
      <w:b/>
      <w:noProof/>
    </w:rPr>
  </w:style>
  <w:style w:type="character" w:styleId="Hyperlink">
    <w:name w:val="Hyperlink"/>
    <w:basedOn w:val="DefaultParagraphFont"/>
    <w:uiPriority w:val="99"/>
    <w:unhideWhenUsed/>
    <w:rsid w:val="00EC2CE7"/>
    <w:rPr>
      <w:color w:val="0000FF" w:themeColor="hyperlink"/>
      <w:u w:val="single"/>
    </w:rPr>
  </w:style>
  <w:style w:type="paragraph" w:styleId="TOC2">
    <w:name w:val="toc 2"/>
    <w:basedOn w:val="Normal"/>
    <w:next w:val="Normal"/>
    <w:autoRedefine/>
    <w:uiPriority w:val="39"/>
    <w:rsid w:val="00D31036"/>
    <w:pPr>
      <w:spacing w:after="100"/>
      <w:ind w:left="220"/>
    </w:pPr>
  </w:style>
  <w:style w:type="paragraph" w:styleId="Caption">
    <w:name w:val="caption"/>
    <w:basedOn w:val="Normal"/>
    <w:next w:val="Normal"/>
    <w:unhideWhenUsed/>
    <w:qFormat/>
    <w:locked/>
    <w:rsid w:val="006207F6"/>
    <w:pPr>
      <w:spacing w:after="200" w:line="240" w:lineRule="auto"/>
    </w:pPr>
    <w:rPr>
      <w:b/>
      <w:bCs/>
      <w:color w:val="4F81BD" w:themeColor="accent1"/>
      <w:sz w:val="18"/>
      <w:szCs w:val="18"/>
    </w:rPr>
  </w:style>
  <w:style w:type="paragraph" w:styleId="TableofFigures">
    <w:name w:val="table of figures"/>
    <w:basedOn w:val="Normal"/>
    <w:next w:val="Normal"/>
    <w:uiPriority w:val="99"/>
    <w:rsid w:val="00414E8A"/>
    <w:pPr>
      <w:spacing w:after="0"/>
    </w:pPr>
  </w:style>
  <w:style w:type="paragraph" w:styleId="TOC3">
    <w:name w:val="toc 3"/>
    <w:basedOn w:val="Normal"/>
    <w:next w:val="Normal"/>
    <w:autoRedefine/>
    <w:uiPriority w:val="39"/>
    <w:rsid w:val="000874C9"/>
    <w:pPr>
      <w:tabs>
        <w:tab w:val="right" w:leader="dot" w:pos="9016"/>
      </w:tabs>
      <w:spacing w:after="100"/>
      <w:ind w:left="720"/>
    </w:pPr>
  </w:style>
  <w:style w:type="paragraph" w:styleId="Header">
    <w:name w:val="header"/>
    <w:basedOn w:val="Normal"/>
    <w:link w:val="HeaderChar"/>
    <w:uiPriority w:val="99"/>
    <w:semiHidden/>
    <w:rsid w:val="003126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2697"/>
    <w:rPr>
      <w:rFonts w:ascii="Verdana" w:hAnsi="Verdana" w:cs="Arial"/>
      <w:kern w:val="28"/>
      <w:sz w:val="22"/>
      <w:lang w:val="en-US"/>
    </w:rPr>
  </w:style>
  <w:style w:type="paragraph" w:styleId="Footer">
    <w:name w:val="footer"/>
    <w:basedOn w:val="Normal"/>
    <w:link w:val="FooterChar"/>
    <w:uiPriority w:val="99"/>
    <w:rsid w:val="003126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697"/>
    <w:rPr>
      <w:rFonts w:ascii="Verdana" w:hAnsi="Verdana" w:cs="Arial"/>
      <w:kern w:val="28"/>
      <w:sz w:val="22"/>
      <w:lang w:val="en-US"/>
    </w:rPr>
  </w:style>
  <w:style w:type="paragraph" w:customStyle="1" w:styleId="Report">
    <w:name w:val="Report"/>
    <w:qFormat/>
    <w:rsid w:val="00B47CC6"/>
    <w:pPr>
      <w:pBdr>
        <w:bottom w:val="single" w:sz="24" w:space="9" w:color="121F6B"/>
      </w:pBdr>
      <w:spacing w:before="9960" w:line="960" w:lineRule="exact"/>
      <w:ind w:right="-1440"/>
    </w:pPr>
    <w:rPr>
      <w:rFonts w:ascii="Georgia" w:hAnsi="Georgia" w:cs="Arial"/>
      <w:b/>
      <w:noProof/>
      <w:color w:val="121F6B"/>
      <w:kern w:val="28"/>
      <w:sz w:val="96"/>
      <w:lang w:eastAsia="en-NZ"/>
    </w:rPr>
  </w:style>
  <w:style w:type="paragraph" w:customStyle="1" w:styleId="Report2">
    <w:name w:val="Report2"/>
    <w:qFormat/>
    <w:rsid w:val="00B47CC6"/>
    <w:pPr>
      <w:spacing w:before="240"/>
    </w:pPr>
    <w:rPr>
      <w:rFonts w:ascii="Georgia" w:hAnsi="Georgia" w:cs="Arial"/>
      <w:b/>
      <w:color w:val="121F6B"/>
      <w:kern w:val="28"/>
      <w:sz w:val="40"/>
      <w:szCs w:val="40"/>
      <w:lang w:val="en-US"/>
    </w:rPr>
  </w:style>
  <w:style w:type="paragraph" w:styleId="NormalWeb">
    <w:name w:val="Normal (Web)"/>
    <w:basedOn w:val="Normal"/>
    <w:uiPriority w:val="99"/>
    <w:semiHidden/>
    <w:rsid w:val="00E40DE5"/>
    <w:rPr>
      <w:rFonts w:cs="Times New Roman"/>
      <w:kern w:val="0"/>
      <w:szCs w:val="24"/>
    </w:rPr>
  </w:style>
  <w:style w:type="paragraph" w:styleId="FootnoteText">
    <w:name w:val="footnote text"/>
    <w:basedOn w:val="Normal"/>
    <w:link w:val="FootnoteTextChar"/>
    <w:rsid w:val="003505CE"/>
    <w:pPr>
      <w:spacing w:before="60" w:after="60" w:line="247" w:lineRule="auto"/>
    </w:pPr>
    <w:rPr>
      <w:rFonts w:eastAsia="Times New Roman" w:cs="Times New Roman"/>
      <w:kern w:val="0"/>
      <w:sz w:val="18"/>
      <w:lang w:val="en-AU" w:eastAsia="en-AU"/>
    </w:rPr>
  </w:style>
  <w:style w:type="character" w:customStyle="1" w:styleId="FootnoteTextChar">
    <w:name w:val="Footnote Text Char"/>
    <w:basedOn w:val="DefaultParagraphFont"/>
    <w:link w:val="FootnoteText"/>
    <w:rsid w:val="003505CE"/>
    <w:rPr>
      <w:rFonts w:ascii="Verdana" w:eastAsia="Times New Roman" w:hAnsi="Verdana"/>
      <w:sz w:val="18"/>
      <w:lang w:val="en-AU" w:eastAsia="en-AU"/>
    </w:rPr>
  </w:style>
  <w:style w:type="character" w:styleId="FootnoteReference">
    <w:name w:val="footnote reference"/>
    <w:rsid w:val="00AC5F28"/>
    <w:rPr>
      <w:rFonts w:ascii="Verdana" w:hAnsi="Verdana"/>
      <w:sz w:val="20"/>
      <w:vertAlign w:val="superscript"/>
    </w:rPr>
  </w:style>
  <w:style w:type="character" w:styleId="CommentReference">
    <w:name w:val="annotation reference"/>
    <w:uiPriority w:val="99"/>
    <w:semiHidden/>
    <w:rsid w:val="00845E9E"/>
    <w:rPr>
      <w:sz w:val="16"/>
      <w:szCs w:val="16"/>
    </w:rPr>
  </w:style>
  <w:style w:type="paragraph" w:customStyle="1" w:styleId="Default">
    <w:name w:val="Default"/>
    <w:rsid w:val="0068605A"/>
    <w:pPr>
      <w:autoSpaceDE w:val="0"/>
      <w:autoSpaceDN w:val="0"/>
      <w:adjustRightInd w:val="0"/>
    </w:pPr>
    <w:rPr>
      <w:rFonts w:ascii="National Semibold" w:hAnsi="National Semibold" w:cs="National Semibold"/>
      <w:color w:val="000000"/>
      <w:sz w:val="24"/>
      <w:szCs w:val="24"/>
    </w:rPr>
  </w:style>
  <w:style w:type="paragraph" w:customStyle="1" w:styleId="Pa8">
    <w:name w:val="Pa8"/>
    <w:basedOn w:val="Default"/>
    <w:next w:val="Default"/>
    <w:uiPriority w:val="99"/>
    <w:rsid w:val="0068605A"/>
    <w:pPr>
      <w:spacing w:line="281" w:lineRule="atLeast"/>
    </w:pPr>
    <w:rPr>
      <w:rFonts w:cs="Times New Roman"/>
      <w:color w:val="auto"/>
    </w:rPr>
  </w:style>
  <w:style w:type="paragraph" w:customStyle="1" w:styleId="Pa9">
    <w:name w:val="Pa9"/>
    <w:basedOn w:val="Default"/>
    <w:next w:val="Default"/>
    <w:uiPriority w:val="99"/>
    <w:rsid w:val="0068605A"/>
    <w:pPr>
      <w:spacing w:line="241" w:lineRule="atLeast"/>
    </w:pPr>
    <w:rPr>
      <w:rFonts w:cs="Times New Roman"/>
      <w:color w:val="auto"/>
    </w:rPr>
  </w:style>
  <w:style w:type="paragraph" w:customStyle="1" w:styleId="Pa6">
    <w:name w:val="Pa6"/>
    <w:basedOn w:val="Default"/>
    <w:next w:val="Default"/>
    <w:uiPriority w:val="99"/>
    <w:rsid w:val="0068605A"/>
    <w:pPr>
      <w:spacing w:line="201" w:lineRule="atLeast"/>
    </w:pPr>
    <w:rPr>
      <w:rFonts w:cs="Times New Roman"/>
      <w:color w:val="auto"/>
    </w:rPr>
  </w:style>
  <w:style w:type="paragraph" w:customStyle="1" w:styleId="summary">
    <w:name w:val="summary"/>
    <w:basedOn w:val="Normal"/>
    <w:rsid w:val="0047453A"/>
    <w:pPr>
      <w:spacing w:before="100" w:beforeAutospacing="1" w:after="100" w:afterAutospacing="1" w:line="240" w:lineRule="auto"/>
    </w:pPr>
    <w:rPr>
      <w:rFonts w:ascii="Times New Roman" w:eastAsia="Times New Roman" w:hAnsi="Times New Roman" w:cs="Times New Roman"/>
      <w:kern w:val="0"/>
      <w:sz w:val="24"/>
      <w:szCs w:val="24"/>
      <w:lang w:eastAsia="en-NZ"/>
    </w:rPr>
  </w:style>
  <w:style w:type="paragraph" w:styleId="CommentText">
    <w:name w:val="annotation text"/>
    <w:basedOn w:val="Normal"/>
    <w:link w:val="CommentTextChar"/>
    <w:uiPriority w:val="99"/>
    <w:semiHidden/>
    <w:rsid w:val="003B17B6"/>
    <w:pPr>
      <w:spacing w:line="240" w:lineRule="auto"/>
    </w:pPr>
  </w:style>
  <w:style w:type="character" w:customStyle="1" w:styleId="CommentTextChar">
    <w:name w:val="Comment Text Char"/>
    <w:basedOn w:val="DefaultParagraphFont"/>
    <w:link w:val="CommentText"/>
    <w:uiPriority w:val="99"/>
    <w:semiHidden/>
    <w:rsid w:val="003B17B6"/>
    <w:rPr>
      <w:rFonts w:ascii="Verdana" w:hAnsi="Verdana" w:cs="Arial"/>
      <w:kern w:val="28"/>
    </w:rPr>
  </w:style>
  <w:style w:type="paragraph" w:styleId="CommentSubject">
    <w:name w:val="annotation subject"/>
    <w:basedOn w:val="CommentText"/>
    <w:next w:val="CommentText"/>
    <w:link w:val="CommentSubjectChar"/>
    <w:uiPriority w:val="99"/>
    <w:semiHidden/>
    <w:rsid w:val="003B17B6"/>
    <w:rPr>
      <w:b/>
      <w:bCs/>
    </w:rPr>
  </w:style>
  <w:style w:type="character" w:customStyle="1" w:styleId="CommentSubjectChar">
    <w:name w:val="Comment Subject Char"/>
    <w:basedOn w:val="CommentTextChar"/>
    <w:link w:val="CommentSubject"/>
    <w:uiPriority w:val="99"/>
    <w:semiHidden/>
    <w:rsid w:val="003B17B6"/>
    <w:rPr>
      <w:rFonts w:ascii="Verdana" w:hAnsi="Verdana" w:cs="Arial"/>
      <w:b/>
      <w:bCs/>
      <w:kern w:val="28"/>
    </w:rPr>
  </w:style>
  <w:style w:type="paragraph" w:customStyle="1" w:styleId="Figuretitle">
    <w:name w:val="Figure title"/>
    <w:basedOn w:val="Normal"/>
    <w:qFormat/>
    <w:rsid w:val="00662131"/>
    <w:pPr>
      <w:keepNext/>
    </w:pPr>
    <w:rPr>
      <w:b/>
      <w:color w:val="000000" w:themeColor="text1"/>
      <w:sz w:val="18"/>
      <w:szCs w:val="18"/>
      <w:lang w:eastAsia="en-AU"/>
    </w:rPr>
  </w:style>
  <w:style w:type="paragraph" w:styleId="TOC4">
    <w:name w:val="toc 4"/>
    <w:basedOn w:val="Normal"/>
    <w:next w:val="Normal"/>
    <w:autoRedefine/>
    <w:uiPriority w:val="39"/>
    <w:rsid w:val="00C67C1A"/>
    <w:pPr>
      <w:spacing w:after="100"/>
      <w:ind w:left="600"/>
    </w:pPr>
  </w:style>
  <w:style w:type="paragraph" w:customStyle="1" w:styleId="Tabletitle">
    <w:name w:val="Table title"/>
    <w:basedOn w:val="Normal"/>
    <w:qFormat/>
    <w:rsid w:val="00732419"/>
    <w:pPr>
      <w:keepNext/>
    </w:pPr>
    <w:rPr>
      <w:b/>
      <w:color w:val="4F81BD" w:themeColor="accent1"/>
      <w:sz w:val="18"/>
      <w:szCs w:val="18"/>
      <w:lang w:eastAsia="en-AU"/>
    </w:rPr>
  </w:style>
  <w:style w:type="paragraph" w:styleId="TOC6">
    <w:name w:val="toc 6"/>
    <w:basedOn w:val="Normal"/>
    <w:next w:val="Normal"/>
    <w:autoRedefine/>
    <w:uiPriority w:val="39"/>
    <w:rsid w:val="00E433DA"/>
    <w:pPr>
      <w:spacing w:after="100"/>
      <w:ind w:left="1000"/>
    </w:pPr>
  </w:style>
  <w:style w:type="paragraph" w:styleId="TOC9">
    <w:name w:val="toc 9"/>
    <w:basedOn w:val="Normal"/>
    <w:next w:val="Normal"/>
    <w:autoRedefine/>
    <w:uiPriority w:val="39"/>
    <w:rsid w:val="00E433DA"/>
    <w:pPr>
      <w:spacing w:after="100"/>
      <w:ind w:left="1600"/>
    </w:pPr>
  </w:style>
  <w:style w:type="character" w:styleId="FollowedHyperlink">
    <w:name w:val="FollowedHyperlink"/>
    <w:basedOn w:val="DefaultParagraphFont"/>
    <w:uiPriority w:val="99"/>
    <w:semiHidden/>
    <w:rsid w:val="00C70835"/>
    <w:rPr>
      <w:color w:val="800080" w:themeColor="followedHyperlink"/>
      <w:u w:val="single"/>
    </w:rPr>
  </w:style>
  <w:style w:type="table" w:customStyle="1" w:styleId="TableGrid1">
    <w:name w:val="Table Grid1"/>
    <w:basedOn w:val="TableNormal"/>
    <w:next w:val="TableGrid"/>
    <w:uiPriority w:val="59"/>
    <w:rsid w:val="007A4E5A"/>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E5A"/>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rsid w:val="00DE4050"/>
    <w:rPr>
      <w:rFonts w:ascii="Verdana" w:hAnsi="Verdana"/>
      <w:sz w:val="18"/>
      <w:vertAlign w:val="superscript"/>
    </w:rPr>
  </w:style>
  <w:style w:type="paragraph" w:styleId="EndnoteText">
    <w:name w:val="endnote text"/>
    <w:basedOn w:val="Normal"/>
    <w:link w:val="EndnoteTextChar"/>
    <w:uiPriority w:val="99"/>
    <w:semiHidden/>
    <w:rsid w:val="00DE4050"/>
    <w:pPr>
      <w:spacing w:after="0" w:line="240" w:lineRule="auto"/>
    </w:pPr>
  </w:style>
  <w:style w:type="character" w:customStyle="1" w:styleId="EndnoteTextChar">
    <w:name w:val="Endnote Text Char"/>
    <w:basedOn w:val="DefaultParagraphFont"/>
    <w:link w:val="EndnoteText"/>
    <w:uiPriority w:val="99"/>
    <w:semiHidden/>
    <w:rsid w:val="00DE4050"/>
    <w:rPr>
      <w:rFonts w:ascii="Verdana" w:hAnsi="Verdana" w:cs="Arial"/>
      <w:kern w:val="28"/>
    </w:rPr>
  </w:style>
  <w:style w:type="paragraph" w:customStyle="1" w:styleId="Info1">
    <w:name w:val="Info1"/>
    <w:basedOn w:val="Normal"/>
    <w:qFormat/>
    <w:rsid w:val="00FC7E74"/>
    <w:pPr>
      <w:spacing w:before="240"/>
    </w:pPr>
    <w:rPr>
      <w:b/>
      <w:sz w:val="24"/>
    </w:rPr>
  </w:style>
  <w:style w:type="paragraph" w:customStyle="1" w:styleId="TableText">
    <w:name w:val="Table Text"/>
    <w:basedOn w:val="BodyText"/>
    <w:qFormat/>
    <w:rsid w:val="005548C9"/>
    <w:pPr>
      <w:widowControl w:val="0"/>
      <w:suppressAutoHyphens/>
      <w:autoSpaceDE w:val="0"/>
      <w:autoSpaceDN w:val="0"/>
      <w:adjustRightInd w:val="0"/>
      <w:spacing w:before="40" w:after="40" w:line="220" w:lineRule="atLeast"/>
      <w:textAlignment w:val="center"/>
    </w:pPr>
    <w:rPr>
      <w:rFonts w:eastAsiaTheme="minorHAnsi"/>
      <w:color w:val="1F497D" w:themeColor="text2"/>
      <w:kern w:val="0"/>
      <w:szCs w:val="16"/>
      <w:lang w:eastAsia="en-NZ"/>
    </w:rPr>
  </w:style>
  <w:style w:type="paragraph" w:styleId="BodyText">
    <w:name w:val="Body Text"/>
    <w:basedOn w:val="Normal"/>
    <w:link w:val="BodyTextChar"/>
    <w:uiPriority w:val="99"/>
    <w:semiHidden/>
    <w:unhideWhenUsed/>
    <w:rsid w:val="005548C9"/>
  </w:style>
  <w:style w:type="character" w:customStyle="1" w:styleId="BodyTextChar">
    <w:name w:val="Body Text Char"/>
    <w:basedOn w:val="DefaultParagraphFont"/>
    <w:link w:val="BodyText"/>
    <w:uiPriority w:val="99"/>
    <w:semiHidden/>
    <w:rsid w:val="005548C9"/>
    <w:rPr>
      <w:rFonts w:ascii="Verdana" w:hAnsi="Verdana" w:cs="Arial"/>
      <w:kern w:val="28"/>
    </w:rPr>
  </w:style>
  <w:style w:type="table" w:customStyle="1" w:styleId="ListTable1Light-Accent11">
    <w:name w:val="List Table 1 Light - Accent 11"/>
    <w:basedOn w:val="TableNormal"/>
    <w:uiPriority w:val="46"/>
    <w:rsid w:val="005548C9"/>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MSDreportstyle">
    <w:name w:val="MSDreportstyle"/>
    <w:basedOn w:val="TableNormal"/>
    <w:uiPriority w:val="99"/>
    <w:rsid w:val="00C3573E"/>
    <w:rPr>
      <w:rFonts w:ascii="Verdana" w:hAnsi="Verdana"/>
      <w:color w:val="262626" w:themeColor="text1" w:themeTint="D9"/>
    </w:rPr>
    <w:tblPr>
      <w:tblStyleRowBandSize w:val="1"/>
      <w:tblBorders>
        <w:bottom w:val="single" w:sz="4" w:space="0" w:color="auto"/>
      </w:tblBorders>
    </w:tblPr>
    <w:tblStylePr w:type="firstRow">
      <w:rPr>
        <w:rFonts w:ascii="Verdana" w:hAnsi="Verdana"/>
        <w:color w:val="FFFFFF" w:themeColor="background1"/>
        <w:sz w:val="20"/>
      </w:rPr>
      <w:tblPr/>
      <w:tcPr>
        <w:shd w:val="clear" w:color="auto" w:fill="1F497D" w:themeFill="text2"/>
      </w:tcPr>
    </w:tblStylePr>
    <w:tblStylePr w:type="lastRow">
      <w:tblPr/>
      <w:tcPr>
        <w:tcBorders>
          <w:bottom w:val="nil"/>
        </w:tcBorders>
      </w:tcPr>
    </w:tblStylePr>
    <w:tblStylePr w:type="band1Horz">
      <w:tblPr/>
      <w:tcPr>
        <w:shd w:val="clear" w:color="auto" w:fill="C6D9F1" w:themeFill="text2" w:themeFillTint="33"/>
      </w:tcPr>
    </w:tblStylePr>
  </w:style>
  <w:style w:type="table" w:styleId="LightShading-Accent1">
    <w:name w:val="Light Shading Accent 1"/>
    <w:basedOn w:val="TableNormal"/>
    <w:uiPriority w:val="60"/>
    <w:rsid w:val="00AC5F2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ReportBody">
    <w:name w:val="Report Body"/>
    <w:basedOn w:val="Normal"/>
    <w:link w:val="ReportBodyChar"/>
    <w:rsid w:val="00AC5F28"/>
    <w:pPr>
      <w:numPr>
        <w:numId w:val="4"/>
      </w:numPr>
      <w:spacing w:before="60" w:after="60" w:line="259" w:lineRule="auto"/>
    </w:pPr>
    <w:rPr>
      <w:rFonts w:eastAsia="Times New Roman" w:cs="Times New Roman"/>
      <w:color w:val="000000"/>
      <w:kern w:val="22"/>
      <w:szCs w:val="22"/>
    </w:rPr>
  </w:style>
  <w:style w:type="paragraph" w:customStyle="1" w:styleId="ReportBody2">
    <w:name w:val="Report Body 2"/>
    <w:basedOn w:val="ReportBody"/>
    <w:qFormat/>
    <w:rsid w:val="00AC5F28"/>
    <w:pPr>
      <w:numPr>
        <w:ilvl w:val="1"/>
      </w:numPr>
      <w:tabs>
        <w:tab w:val="clear" w:pos="493"/>
      </w:tabs>
      <w:ind w:left="1440" w:hanging="360"/>
    </w:pPr>
  </w:style>
  <w:style w:type="character" w:customStyle="1" w:styleId="ReportBodyChar">
    <w:name w:val="Report Body Char"/>
    <w:basedOn w:val="DefaultParagraphFont"/>
    <w:link w:val="ReportBody"/>
    <w:locked/>
    <w:rsid w:val="00AC5F28"/>
    <w:rPr>
      <w:rFonts w:ascii="Verdana" w:eastAsia="Times New Roman" w:hAnsi="Verdana"/>
      <w:color w:val="000000"/>
      <w:kern w:val="22"/>
      <w:szCs w:val="22"/>
    </w:rPr>
  </w:style>
  <w:style w:type="paragraph" w:styleId="ListBullet2">
    <w:name w:val="List Bullet 2"/>
    <w:basedOn w:val="Normal"/>
    <w:uiPriority w:val="99"/>
    <w:rsid w:val="00AC5F28"/>
    <w:pPr>
      <w:spacing w:before="60" w:after="60"/>
      <w:ind w:left="643" w:hanging="360"/>
      <w:contextualSpacing/>
    </w:pPr>
  </w:style>
  <w:style w:type="character" w:customStyle="1" w:styleId="Heading6Char">
    <w:name w:val="Heading 6 Char"/>
    <w:basedOn w:val="DefaultParagraphFont"/>
    <w:link w:val="Heading6"/>
    <w:uiPriority w:val="9"/>
    <w:semiHidden/>
    <w:rsid w:val="00EC28CF"/>
    <w:rPr>
      <w:rFonts w:ascii="Verdana" w:eastAsiaTheme="majorEastAsia" w:hAnsi="Verdana" w:cstheme="majorBidi"/>
      <w:i/>
      <w:iCs/>
      <w:color w:val="243F60" w:themeColor="accent1" w:themeShade="7F"/>
      <w:kern w:val="28"/>
    </w:rPr>
  </w:style>
  <w:style w:type="character" w:customStyle="1" w:styleId="Heading7Char">
    <w:name w:val="Heading 7 Char"/>
    <w:basedOn w:val="DefaultParagraphFont"/>
    <w:link w:val="Heading7"/>
    <w:uiPriority w:val="9"/>
    <w:semiHidden/>
    <w:rsid w:val="00EC28CF"/>
    <w:rPr>
      <w:rFonts w:ascii="Verdana" w:eastAsiaTheme="majorEastAsia" w:hAnsi="Verdana" w:cstheme="majorBidi"/>
      <w:i/>
      <w:iCs/>
      <w:color w:val="404040" w:themeColor="text1" w:themeTint="BF"/>
      <w:kern w:val="28"/>
    </w:rPr>
  </w:style>
  <w:style w:type="character" w:customStyle="1" w:styleId="Heading8Char">
    <w:name w:val="Heading 8 Char"/>
    <w:basedOn w:val="DefaultParagraphFont"/>
    <w:link w:val="Heading8"/>
    <w:uiPriority w:val="9"/>
    <w:semiHidden/>
    <w:rsid w:val="00EC28CF"/>
    <w:rPr>
      <w:rFonts w:ascii="Verdana" w:eastAsiaTheme="majorEastAsia" w:hAnsi="Verdana" w:cstheme="majorBidi"/>
      <w:color w:val="404040" w:themeColor="text1" w:themeTint="BF"/>
      <w:kern w:val="28"/>
    </w:rPr>
  </w:style>
  <w:style w:type="character" w:customStyle="1" w:styleId="Heading9Char">
    <w:name w:val="Heading 9 Char"/>
    <w:basedOn w:val="DefaultParagraphFont"/>
    <w:link w:val="Heading9"/>
    <w:uiPriority w:val="9"/>
    <w:semiHidden/>
    <w:rsid w:val="00EC28CF"/>
    <w:rPr>
      <w:rFonts w:ascii="Verdana" w:eastAsiaTheme="majorEastAsia" w:hAnsi="Verdana" w:cstheme="majorBidi"/>
      <w:i/>
      <w:iCs/>
      <w:color w:val="404040" w:themeColor="text1" w:themeTint="BF"/>
      <w:kern w:val="28"/>
    </w:rPr>
  </w:style>
  <w:style w:type="paragraph" w:styleId="NoSpacing">
    <w:name w:val="No Spacing"/>
    <w:uiPriority w:val="1"/>
    <w:rsid w:val="00EC28CF"/>
    <w:rPr>
      <w:rFonts w:ascii="Verdana" w:hAnsi="Verdana" w:cs="Arial"/>
      <w:kern w:val="28"/>
      <w:sz w:val="22"/>
    </w:rPr>
  </w:style>
  <w:style w:type="paragraph" w:styleId="Quote">
    <w:name w:val="Quote"/>
    <w:basedOn w:val="Normal"/>
    <w:next w:val="Normal"/>
    <w:link w:val="QuoteChar"/>
    <w:uiPriority w:val="29"/>
    <w:rsid w:val="00EC28CF"/>
    <w:pPr>
      <w:spacing w:before="60" w:after="60"/>
    </w:pPr>
    <w:rPr>
      <w:i/>
      <w:iCs/>
      <w:color w:val="000000" w:themeColor="text1"/>
    </w:rPr>
  </w:style>
  <w:style w:type="character" w:customStyle="1" w:styleId="QuoteChar">
    <w:name w:val="Quote Char"/>
    <w:basedOn w:val="DefaultParagraphFont"/>
    <w:link w:val="Quote"/>
    <w:uiPriority w:val="29"/>
    <w:rsid w:val="00EC28CF"/>
    <w:rPr>
      <w:rFonts w:ascii="Verdana" w:hAnsi="Verdana" w:cs="Arial"/>
      <w:i/>
      <w:iCs/>
      <w:color w:val="000000" w:themeColor="text1"/>
      <w:kern w:val="28"/>
    </w:rPr>
  </w:style>
  <w:style w:type="character" w:styleId="Emphasis">
    <w:name w:val="Emphasis"/>
    <w:basedOn w:val="DefaultParagraphFont"/>
    <w:uiPriority w:val="20"/>
    <w:locked/>
    <w:rsid w:val="00EC28CF"/>
    <w:rPr>
      <w:rFonts w:ascii="Verdana" w:hAnsi="Verdana"/>
      <w:b/>
      <w:sz w:val="20"/>
    </w:rPr>
  </w:style>
  <w:style w:type="paragraph" w:styleId="IntenseQuote">
    <w:name w:val="Intense Quote"/>
    <w:basedOn w:val="Normal"/>
    <w:next w:val="Normal"/>
    <w:link w:val="IntenseQuoteChar"/>
    <w:uiPriority w:val="30"/>
    <w:rsid w:val="00EC28CF"/>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EC28CF"/>
    <w:rPr>
      <w:rFonts w:ascii="Verdana" w:hAnsi="Verdana" w:cs="Arial"/>
      <w:b/>
      <w:bCs/>
      <w:i/>
      <w:iCs/>
      <w:kern w:val="28"/>
    </w:rPr>
  </w:style>
  <w:style w:type="paragraph" w:styleId="ListBullet">
    <w:name w:val="List Bullet"/>
    <w:basedOn w:val="Normal"/>
    <w:uiPriority w:val="99"/>
    <w:rsid w:val="00EC28CF"/>
    <w:pPr>
      <w:spacing w:before="60" w:after="60"/>
      <w:contextualSpacing/>
    </w:pPr>
  </w:style>
  <w:style w:type="character" w:styleId="BookTitle">
    <w:name w:val="Book Title"/>
    <w:basedOn w:val="DefaultParagraphFont"/>
    <w:uiPriority w:val="33"/>
    <w:rsid w:val="00EC28CF"/>
    <w:rPr>
      <w:rFonts w:ascii="Verdana" w:hAnsi="Verdana"/>
      <w:b w:val="0"/>
      <w:bCs/>
      <w:i/>
      <w:caps w:val="0"/>
      <w:smallCaps w:val="0"/>
      <w:spacing w:val="5"/>
      <w:sz w:val="20"/>
    </w:rPr>
  </w:style>
  <w:style w:type="character" w:styleId="IntenseReference">
    <w:name w:val="Intense Reference"/>
    <w:basedOn w:val="DefaultParagraphFont"/>
    <w:uiPriority w:val="32"/>
    <w:rsid w:val="00EC28CF"/>
    <w:rPr>
      <w:b/>
      <w:bCs/>
      <w:smallCaps/>
      <w:spacing w:val="5"/>
    </w:rPr>
  </w:style>
  <w:style w:type="character" w:styleId="SubtleReference">
    <w:name w:val="Subtle Reference"/>
    <w:basedOn w:val="DefaultParagraphFont"/>
    <w:uiPriority w:val="31"/>
    <w:rsid w:val="00EC28CF"/>
    <w:rPr>
      <w:smallCaps/>
    </w:rPr>
  </w:style>
  <w:style w:type="character" w:styleId="IntenseEmphasis">
    <w:name w:val="Intense Emphasis"/>
    <w:basedOn w:val="DefaultParagraphFont"/>
    <w:uiPriority w:val="21"/>
    <w:rsid w:val="00EC28CF"/>
    <w:rPr>
      <w:b/>
      <w:bCs/>
      <w:i/>
      <w:iCs/>
      <w:color w:val="auto"/>
    </w:rPr>
  </w:style>
  <w:style w:type="paragraph" w:styleId="BlockText">
    <w:name w:val="Block Text"/>
    <w:basedOn w:val="Normal"/>
    <w:uiPriority w:val="99"/>
    <w:semiHidden/>
    <w:rsid w:val="00EC28C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before="60" w:after="60"/>
      <w:ind w:left="1152" w:right="1152"/>
    </w:pPr>
    <w:rPr>
      <w:rFonts w:eastAsiaTheme="minorEastAsia" w:cstheme="minorBidi"/>
      <w:iCs/>
    </w:rPr>
  </w:style>
  <w:style w:type="paragraph" w:styleId="BodyText2">
    <w:name w:val="Body Text 2"/>
    <w:basedOn w:val="Normal"/>
    <w:link w:val="BodyText2Char"/>
    <w:uiPriority w:val="99"/>
    <w:semiHidden/>
    <w:rsid w:val="00EC28CF"/>
    <w:pPr>
      <w:spacing w:before="60" w:after="60" w:line="480" w:lineRule="auto"/>
    </w:pPr>
  </w:style>
  <w:style w:type="character" w:customStyle="1" w:styleId="BodyText2Char">
    <w:name w:val="Body Text 2 Char"/>
    <w:basedOn w:val="DefaultParagraphFont"/>
    <w:link w:val="BodyText2"/>
    <w:uiPriority w:val="99"/>
    <w:semiHidden/>
    <w:rsid w:val="00EC28CF"/>
    <w:rPr>
      <w:rFonts w:ascii="Verdana" w:hAnsi="Verdana" w:cs="Arial"/>
      <w:kern w:val="28"/>
    </w:rPr>
  </w:style>
  <w:style w:type="paragraph" w:styleId="BodyText3">
    <w:name w:val="Body Text 3"/>
    <w:basedOn w:val="Normal"/>
    <w:link w:val="BodyText3Char"/>
    <w:uiPriority w:val="99"/>
    <w:semiHidden/>
    <w:rsid w:val="00EC28CF"/>
    <w:pPr>
      <w:spacing w:before="60" w:after="60"/>
    </w:pPr>
    <w:rPr>
      <w:szCs w:val="16"/>
    </w:rPr>
  </w:style>
  <w:style w:type="character" w:customStyle="1" w:styleId="BodyText3Char">
    <w:name w:val="Body Text 3 Char"/>
    <w:basedOn w:val="DefaultParagraphFont"/>
    <w:link w:val="BodyText3"/>
    <w:uiPriority w:val="99"/>
    <w:semiHidden/>
    <w:rsid w:val="00EC28CF"/>
    <w:rPr>
      <w:rFonts w:ascii="Verdana" w:hAnsi="Verdana" w:cs="Arial"/>
      <w:kern w:val="28"/>
      <w:szCs w:val="16"/>
    </w:rPr>
  </w:style>
  <w:style w:type="paragraph" w:styleId="BodyTextIndent">
    <w:name w:val="Body Text Indent"/>
    <w:basedOn w:val="Normal"/>
    <w:link w:val="BodyTextIndentChar"/>
    <w:uiPriority w:val="99"/>
    <w:semiHidden/>
    <w:rsid w:val="00EC28CF"/>
    <w:pPr>
      <w:spacing w:before="60" w:after="60"/>
      <w:ind w:left="283"/>
    </w:pPr>
  </w:style>
  <w:style w:type="character" w:customStyle="1" w:styleId="BodyTextIndentChar">
    <w:name w:val="Body Text Indent Char"/>
    <w:basedOn w:val="DefaultParagraphFont"/>
    <w:link w:val="BodyTextIndent"/>
    <w:uiPriority w:val="99"/>
    <w:semiHidden/>
    <w:rsid w:val="00EC28CF"/>
    <w:rPr>
      <w:rFonts w:ascii="Verdana" w:hAnsi="Verdana" w:cs="Arial"/>
      <w:kern w:val="28"/>
    </w:rPr>
  </w:style>
  <w:style w:type="paragraph" w:styleId="TOC5">
    <w:name w:val="toc 5"/>
    <w:basedOn w:val="Normal"/>
    <w:next w:val="Normal"/>
    <w:autoRedefine/>
    <w:uiPriority w:val="39"/>
    <w:unhideWhenUsed/>
    <w:rsid w:val="00EC28CF"/>
    <w:pPr>
      <w:spacing w:after="100" w:line="276" w:lineRule="auto"/>
      <w:ind w:left="880"/>
    </w:pPr>
    <w:rPr>
      <w:rFonts w:asciiTheme="minorHAnsi" w:eastAsiaTheme="minorEastAsia" w:hAnsiTheme="minorHAnsi" w:cstheme="minorBidi"/>
      <w:kern w:val="0"/>
      <w:szCs w:val="22"/>
      <w:lang w:eastAsia="en-NZ"/>
    </w:rPr>
  </w:style>
  <w:style w:type="paragraph" w:styleId="TOC7">
    <w:name w:val="toc 7"/>
    <w:basedOn w:val="Normal"/>
    <w:next w:val="Normal"/>
    <w:autoRedefine/>
    <w:uiPriority w:val="39"/>
    <w:unhideWhenUsed/>
    <w:rsid w:val="00EC28CF"/>
    <w:pPr>
      <w:spacing w:after="100" w:line="276" w:lineRule="auto"/>
      <w:ind w:left="1320"/>
    </w:pPr>
    <w:rPr>
      <w:rFonts w:asciiTheme="minorHAnsi" w:eastAsiaTheme="minorEastAsia" w:hAnsiTheme="minorHAnsi" w:cstheme="minorBidi"/>
      <w:kern w:val="0"/>
      <w:szCs w:val="22"/>
      <w:lang w:eastAsia="en-NZ"/>
    </w:rPr>
  </w:style>
  <w:style w:type="paragraph" w:styleId="TOC8">
    <w:name w:val="toc 8"/>
    <w:basedOn w:val="Normal"/>
    <w:next w:val="Normal"/>
    <w:autoRedefine/>
    <w:uiPriority w:val="39"/>
    <w:unhideWhenUsed/>
    <w:rsid w:val="00EC28CF"/>
    <w:pPr>
      <w:spacing w:after="100" w:line="276" w:lineRule="auto"/>
      <w:ind w:left="1540"/>
    </w:pPr>
    <w:rPr>
      <w:rFonts w:asciiTheme="minorHAnsi" w:eastAsiaTheme="minorEastAsia" w:hAnsiTheme="minorHAnsi" w:cstheme="minorBidi"/>
      <w:kern w:val="0"/>
      <w:szCs w:val="22"/>
      <w:lang w:eastAsia="en-NZ"/>
    </w:rPr>
  </w:style>
  <w:style w:type="table" w:styleId="LightShading">
    <w:name w:val="Light Shading"/>
    <w:basedOn w:val="TableNormal"/>
    <w:uiPriority w:val="60"/>
    <w:rsid w:val="00EC28CF"/>
    <w:rPr>
      <w:rFonts w:ascii="Times New Roman" w:eastAsia="Times New Roman" w:hAnsi="Times New Roman"/>
      <w:color w:val="000000" w:themeColor="text1" w:themeShade="BF"/>
      <w:lang w:eastAsia="en-NZ"/>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EC28CF"/>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EC28CF"/>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EC28CF"/>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EC28C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EC28CF"/>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EC28CF"/>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EC28CF"/>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EC28CF"/>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EC28CF"/>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EC28CF"/>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EC28CF"/>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EC28CF"/>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EC28CF"/>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EC28CF"/>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EC28CF"/>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EC28CF"/>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EC28CF"/>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EC28CF"/>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EC28CF"/>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EC28CF"/>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EC28CF"/>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EC28CF"/>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C28CF"/>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C28CF"/>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C28CF"/>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C28CF"/>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C28CF"/>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C28CF"/>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C28CF"/>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C28CF"/>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C28CF"/>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C28CF"/>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C28CF"/>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C28CF"/>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C28CF"/>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C28CF"/>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C28CF"/>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C28CF"/>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EC28CF"/>
    <w:pPr>
      <w:spacing w:before="60"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EC28CF"/>
    <w:rPr>
      <w:rFonts w:ascii="Verdana" w:hAnsi="Verdana" w:cs="Tahoma"/>
      <w:kern w:val="28"/>
      <w:sz w:val="16"/>
      <w:szCs w:val="16"/>
    </w:rPr>
  </w:style>
  <w:style w:type="table" w:styleId="MediumShading1-Accent1">
    <w:name w:val="Medium Shading 1 Accent 1"/>
    <w:basedOn w:val="TableNormal"/>
    <w:uiPriority w:val="63"/>
    <w:rsid w:val="00EC28CF"/>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EC28CF"/>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C28CF"/>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C28CF"/>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C28CF"/>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C28CF"/>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EC28CF"/>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EC28CF"/>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EC28CF"/>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C28CF"/>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C28CF"/>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EC28CF"/>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EC28CF"/>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EC28CF"/>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EC28CF"/>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EC28CF"/>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EC28CF"/>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EC28CF"/>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EC28CF"/>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EC28CF"/>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EC28CF"/>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EC28CF"/>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EC28CF"/>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EC28CF"/>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EC28CF"/>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EC28CF"/>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EC28CF"/>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EC28CF"/>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C28CF"/>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C28CF"/>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C28CF"/>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C28CF"/>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C28CF"/>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C28CF"/>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EC28CF"/>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C28CF"/>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C28CF"/>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C28CF"/>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C28CF"/>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C28CF"/>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C28CF"/>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EC28CF"/>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EC28CF"/>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EC28CF"/>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EC28CF"/>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EC28CF"/>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EC28CF"/>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EC28CF"/>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EC28CF"/>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EC28CF"/>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EC28CF"/>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EC28CF"/>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EC28CF"/>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EC28CF"/>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EC28CF"/>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EC28CF"/>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EC28CF"/>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EC28CF"/>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EC28CF"/>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EC28CF"/>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EC28CF"/>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EC28CF"/>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EC28CF"/>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EC28CF"/>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EC28CF"/>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EC28CF"/>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EC28CF"/>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EC28CF"/>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EC28CF"/>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EC28CF"/>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EC28CF"/>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EC28CF"/>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EC28CF"/>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EC28CF"/>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EC28CF"/>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EC28CF"/>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EC28CF"/>
    <w:pPr>
      <w:framePr w:w="7920" w:h="1980" w:hRule="exact" w:hSpace="180" w:wrap="auto" w:hAnchor="page" w:xAlign="center" w:yAlign="bottom"/>
      <w:spacing w:before="60"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EC28CF"/>
    <w:pPr>
      <w:spacing w:before="60" w:after="0" w:line="240" w:lineRule="auto"/>
    </w:pPr>
    <w:rPr>
      <w:rFonts w:eastAsiaTheme="majorEastAsia" w:cstheme="majorBidi"/>
      <w:sz w:val="18"/>
    </w:rPr>
  </w:style>
  <w:style w:type="paragraph" w:styleId="Index1">
    <w:name w:val="index 1"/>
    <w:basedOn w:val="Normal"/>
    <w:next w:val="Normal"/>
    <w:autoRedefine/>
    <w:uiPriority w:val="99"/>
    <w:semiHidden/>
    <w:rsid w:val="00EC28CF"/>
    <w:pPr>
      <w:spacing w:before="60" w:after="0" w:line="240" w:lineRule="auto"/>
      <w:ind w:left="200" w:hanging="200"/>
    </w:pPr>
  </w:style>
  <w:style w:type="paragraph" w:styleId="IndexHeading">
    <w:name w:val="index heading"/>
    <w:basedOn w:val="Normal"/>
    <w:next w:val="Index1"/>
    <w:uiPriority w:val="99"/>
    <w:semiHidden/>
    <w:rsid w:val="00EC28CF"/>
    <w:pPr>
      <w:spacing w:before="60" w:after="60"/>
    </w:pPr>
    <w:rPr>
      <w:rFonts w:eastAsiaTheme="majorEastAsia" w:cstheme="majorBidi"/>
      <w:b/>
      <w:bCs/>
      <w:sz w:val="18"/>
    </w:rPr>
  </w:style>
  <w:style w:type="paragraph" w:styleId="MessageHeader">
    <w:name w:val="Message Header"/>
    <w:basedOn w:val="Normal"/>
    <w:link w:val="MessageHeaderChar"/>
    <w:uiPriority w:val="99"/>
    <w:semiHidden/>
    <w:rsid w:val="00EC28CF"/>
    <w:pPr>
      <w:pBdr>
        <w:top w:val="single" w:sz="6" w:space="1" w:color="auto"/>
        <w:left w:val="single" w:sz="6" w:space="1" w:color="auto"/>
        <w:bottom w:val="single" w:sz="6" w:space="1" w:color="auto"/>
        <w:right w:val="single" w:sz="6" w:space="1" w:color="auto"/>
      </w:pBdr>
      <w:shd w:val="pct20" w:color="auto" w:fill="auto"/>
      <w:spacing w:before="60"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EC28CF"/>
    <w:rPr>
      <w:rFonts w:ascii="Verdana" w:eastAsiaTheme="majorEastAsia" w:hAnsi="Verdana" w:cstheme="majorBidi"/>
      <w:kern w:val="28"/>
      <w:sz w:val="22"/>
      <w:szCs w:val="24"/>
      <w:shd w:val="pct20" w:color="auto" w:fill="auto"/>
    </w:rPr>
  </w:style>
  <w:style w:type="paragraph" w:styleId="PlainText">
    <w:name w:val="Plain Text"/>
    <w:basedOn w:val="Normal"/>
    <w:link w:val="PlainTextChar"/>
    <w:uiPriority w:val="99"/>
    <w:semiHidden/>
    <w:rsid w:val="00EC28CF"/>
    <w:pPr>
      <w:spacing w:before="60" w:after="0" w:line="240" w:lineRule="auto"/>
    </w:pPr>
    <w:rPr>
      <w:rFonts w:cs="Consolas"/>
      <w:szCs w:val="21"/>
    </w:rPr>
  </w:style>
  <w:style w:type="character" w:customStyle="1" w:styleId="PlainTextChar">
    <w:name w:val="Plain Text Char"/>
    <w:basedOn w:val="DefaultParagraphFont"/>
    <w:link w:val="PlainText"/>
    <w:uiPriority w:val="99"/>
    <w:semiHidden/>
    <w:rsid w:val="00EC28CF"/>
    <w:rPr>
      <w:rFonts w:ascii="Verdana" w:hAnsi="Verdana" w:cs="Consolas"/>
      <w:kern w:val="28"/>
      <w:szCs w:val="21"/>
    </w:rPr>
  </w:style>
  <w:style w:type="table" w:styleId="Table3Deffects1">
    <w:name w:val="Table 3D effects 1"/>
    <w:basedOn w:val="TableNormal"/>
    <w:uiPriority w:val="99"/>
    <w:semiHidden/>
    <w:unhideWhenUsed/>
    <w:rsid w:val="00EC28CF"/>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C28CF"/>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C28CF"/>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C28CF"/>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C28CF"/>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C28CF"/>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C28CF"/>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C28CF"/>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C28CF"/>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C28CF"/>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C28CF"/>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C28CF"/>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C28CF"/>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C28CF"/>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C28CF"/>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C28CF"/>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C28CF"/>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EC28CF"/>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semiHidden/>
    <w:unhideWhenUsed/>
    <w:rsid w:val="00EC28CF"/>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C28CF"/>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C28CF"/>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C28CF"/>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C28CF"/>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C28CF"/>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C28CF"/>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EC28CF"/>
    <w:pPr>
      <w:spacing w:before="120" w:after="60"/>
    </w:pPr>
    <w:rPr>
      <w:rFonts w:eastAsiaTheme="majorEastAsia" w:cstheme="majorBidi"/>
      <w:b/>
      <w:bCs/>
      <w:sz w:val="24"/>
      <w:szCs w:val="24"/>
    </w:rPr>
  </w:style>
  <w:style w:type="character" w:styleId="HTMLKeyboard">
    <w:name w:val="HTML Keyboard"/>
    <w:basedOn w:val="DefaultParagraphFont"/>
    <w:uiPriority w:val="99"/>
    <w:semiHidden/>
    <w:rsid w:val="00EC28CF"/>
    <w:rPr>
      <w:rFonts w:ascii="Verdana" w:hAnsi="Verdana" w:cs="Consolas"/>
      <w:sz w:val="20"/>
      <w:szCs w:val="20"/>
    </w:rPr>
  </w:style>
  <w:style w:type="paragraph" w:styleId="HTMLPreformatted">
    <w:name w:val="HTML Preformatted"/>
    <w:basedOn w:val="Normal"/>
    <w:link w:val="HTMLPreformattedChar"/>
    <w:uiPriority w:val="99"/>
    <w:semiHidden/>
    <w:rsid w:val="00EC28CF"/>
    <w:pPr>
      <w:spacing w:before="60" w:after="0" w:line="240" w:lineRule="auto"/>
    </w:pPr>
    <w:rPr>
      <w:rFonts w:cs="Consolas"/>
    </w:rPr>
  </w:style>
  <w:style w:type="character" w:customStyle="1" w:styleId="HTMLPreformattedChar">
    <w:name w:val="HTML Preformatted Char"/>
    <w:basedOn w:val="DefaultParagraphFont"/>
    <w:link w:val="HTMLPreformatted"/>
    <w:uiPriority w:val="99"/>
    <w:semiHidden/>
    <w:rsid w:val="00EC28CF"/>
    <w:rPr>
      <w:rFonts w:ascii="Verdana" w:hAnsi="Verdana" w:cs="Consolas"/>
      <w:kern w:val="28"/>
    </w:rPr>
  </w:style>
  <w:style w:type="character" w:styleId="HTMLSample">
    <w:name w:val="HTML Sample"/>
    <w:basedOn w:val="DefaultParagraphFont"/>
    <w:uiPriority w:val="99"/>
    <w:semiHidden/>
    <w:rsid w:val="00EC28CF"/>
    <w:rPr>
      <w:rFonts w:ascii="Verdana" w:hAnsi="Verdana" w:cs="Consolas"/>
      <w:sz w:val="24"/>
      <w:szCs w:val="24"/>
    </w:rPr>
  </w:style>
  <w:style w:type="character" w:styleId="HTMLTypewriter">
    <w:name w:val="HTML Typewriter"/>
    <w:basedOn w:val="DefaultParagraphFont"/>
    <w:uiPriority w:val="99"/>
    <w:semiHidden/>
    <w:rsid w:val="00EC28CF"/>
    <w:rPr>
      <w:rFonts w:ascii="Verdana" w:hAnsi="Verdana" w:cs="Consolas"/>
      <w:sz w:val="20"/>
      <w:szCs w:val="20"/>
    </w:rPr>
  </w:style>
  <w:style w:type="paragraph" w:styleId="MacroText">
    <w:name w:val="macro"/>
    <w:link w:val="MacroTextChar"/>
    <w:uiPriority w:val="99"/>
    <w:semiHidden/>
    <w:rsid w:val="00EC28CF"/>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EC28CF"/>
    <w:rPr>
      <w:rFonts w:ascii="Verdana" w:hAnsi="Verdana" w:cs="Consolas"/>
    </w:rPr>
  </w:style>
  <w:style w:type="paragraph" w:customStyle="1" w:styleId="ImpactBoxTxt">
    <w:name w:val="ImpactBoxTxt"/>
    <w:basedOn w:val="Normal"/>
    <w:qFormat/>
    <w:rsid w:val="00EC28CF"/>
    <w:pPr>
      <w:spacing w:after="0" w:line="240" w:lineRule="auto"/>
      <w:jc w:val="center"/>
    </w:pPr>
    <w:rPr>
      <w:color w:val="17365D" w:themeColor="text2" w:themeShade="BF"/>
      <w:sz w:val="16"/>
    </w:rPr>
  </w:style>
  <w:style w:type="paragraph" w:customStyle="1" w:styleId="TechnicalNotesText">
    <w:name w:val="TechnicalNotesText"/>
    <w:basedOn w:val="Normal"/>
    <w:qFormat/>
    <w:rsid w:val="00EC28CF"/>
    <w:pPr>
      <w:spacing w:before="60" w:after="60" w:line="240" w:lineRule="auto"/>
    </w:pPr>
    <w:rPr>
      <w:color w:val="4A442A" w:themeColor="background2" w:themeShade="40"/>
      <w:sz w:val="16"/>
    </w:rPr>
  </w:style>
  <w:style w:type="paragraph" w:customStyle="1" w:styleId="EAIntTitle">
    <w:name w:val="EAIntTitle"/>
    <w:basedOn w:val="Heading2"/>
    <w:qFormat/>
    <w:rsid w:val="00EC28CF"/>
    <w:pPr>
      <w:pBdr>
        <w:bottom w:val="single" w:sz="4" w:space="1" w:color="1F497D" w:themeColor="text2"/>
      </w:pBdr>
      <w:spacing w:before="600" w:after="60"/>
      <w:jc w:val="center"/>
    </w:pPr>
    <w:rPr>
      <w:rFonts w:eastAsia="Times New Roman"/>
      <w:noProof/>
      <w:color w:val="121F6B"/>
      <w:sz w:val="36"/>
    </w:rPr>
  </w:style>
  <w:style w:type="numbering" w:customStyle="1" w:styleId="RecList">
    <w:name w:val="Rec List"/>
    <w:basedOn w:val="NoList"/>
    <w:rsid w:val="00EC28CF"/>
    <w:pPr>
      <w:numPr>
        <w:numId w:val="7"/>
      </w:numPr>
    </w:pPr>
  </w:style>
  <w:style w:type="paragraph" w:customStyle="1" w:styleId="RecNumber">
    <w:name w:val="Rec Number"/>
    <w:basedOn w:val="Normal"/>
    <w:rsid w:val="00EC28CF"/>
    <w:pPr>
      <w:numPr>
        <w:numId w:val="7"/>
      </w:numPr>
      <w:spacing w:before="240" w:after="0" w:line="260" w:lineRule="exact"/>
      <w:jc w:val="both"/>
    </w:pPr>
    <w:rPr>
      <w:rFonts w:ascii="Arial Mäori" w:eastAsia="Times New Roman" w:hAnsi="Arial Mäori" w:cs="Times New Roman"/>
      <w:kern w:val="22"/>
      <w:szCs w:val="22"/>
    </w:rPr>
  </w:style>
  <w:style w:type="paragraph" w:customStyle="1" w:styleId="RecLevel2">
    <w:name w:val="Rec Level2"/>
    <w:basedOn w:val="RecNumber"/>
    <w:qFormat/>
    <w:rsid w:val="00EC28CF"/>
    <w:pPr>
      <w:numPr>
        <w:ilvl w:val="1"/>
      </w:numPr>
    </w:pPr>
  </w:style>
  <w:style w:type="character" w:customStyle="1" w:styleId="FootnoteTextChar1">
    <w:name w:val="Footnote Text Char1"/>
    <w:basedOn w:val="DefaultParagraphFont"/>
    <w:uiPriority w:val="99"/>
    <w:semiHidden/>
    <w:rsid w:val="00EC28CF"/>
    <w:rPr>
      <w:rFonts w:ascii="Verdana" w:hAnsi="Verdana" w:cs="Arial"/>
      <w:kern w:val="28"/>
    </w:rPr>
  </w:style>
  <w:style w:type="paragraph" w:customStyle="1" w:styleId="ReportBodyNoNum">
    <w:name w:val="Report Body No Num"/>
    <w:basedOn w:val="ReportBody"/>
    <w:qFormat/>
    <w:rsid w:val="00EC28CF"/>
    <w:pPr>
      <w:numPr>
        <w:numId w:val="0"/>
      </w:numPr>
      <w:spacing w:before="80" w:after="80"/>
      <w:ind w:left="397"/>
    </w:pPr>
  </w:style>
  <w:style w:type="paragraph" w:styleId="ListBullet5">
    <w:name w:val="List Bullet 5"/>
    <w:basedOn w:val="Normal"/>
    <w:semiHidden/>
    <w:rsid w:val="00EC28CF"/>
    <w:pPr>
      <w:numPr>
        <w:numId w:val="5"/>
      </w:numPr>
      <w:suppressAutoHyphens/>
      <w:autoSpaceDE w:val="0"/>
      <w:autoSpaceDN w:val="0"/>
      <w:adjustRightInd w:val="0"/>
      <w:spacing w:after="170" w:line="280" w:lineRule="atLeast"/>
      <w:textAlignment w:val="center"/>
    </w:pPr>
    <w:rPr>
      <w:rFonts w:ascii="Arial" w:eastAsia="Times New Roman" w:hAnsi="Arial"/>
      <w:color w:val="54534C"/>
      <w:kern w:val="0"/>
      <w:szCs w:val="22"/>
      <w:lang w:eastAsia="en-NZ"/>
    </w:rPr>
  </w:style>
  <w:style w:type="table" w:customStyle="1" w:styleId="TableGridLight1">
    <w:name w:val="Table Grid Light1"/>
    <w:basedOn w:val="TableNormal"/>
    <w:uiPriority w:val="40"/>
    <w:rsid w:val="00EC28C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EC28C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umbering">
    <w:name w:val="Numbering"/>
    <w:basedOn w:val="Normal"/>
    <w:qFormat/>
    <w:rsid w:val="00EC28CF"/>
    <w:pPr>
      <w:numPr>
        <w:numId w:val="6"/>
      </w:numPr>
      <w:spacing w:before="60" w:after="60"/>
    </w:pPr>
  </w:style>
  <w:style w:type="paragraph" w:customStyle="1" w:styleId="TableNotes">
    <w:name w:val="TableNotes"/>
    <w:basedOn w:val="TableText"/>
    <w:qFormat/>
    <w:rsid w:val="00EC28CF"/>
    <w:rPr>
      <w:sz w:val="16"/>
    </w:rPr>
  </w:style>
  <w:style w:type="paragraph" w:styleId="Revision">
    <w:name w:val="Revision"/>
    <w:hidden/>
    <w:uiPriority w:val="99"/>
    <w:semiHidden/>
    <w:rsid w:val="00EC28CF"/>
    <w:rPr>
      <w:rFonts w:ascii="Verdana" w:hAnsi="Verdana" w:cs="Arial"/>
      <w:kern w:val="28"/>
    </w:rPr>
  </w:style>
  <w:style w:type="table" w:customStyle="1" w:styleId="ImpactEvalTable">
    <w:name w:val="ImpactEvalTable"/>
    <w:basedOn w:val="TableNormal"/>
    <w:uiPriority w:val="61"/>
    <w:rsid w:val="00EC28CF"/>
    <w:rPr>
      <w:rFonts w:asciiTheme="minorHAnsi" w:eastAsiaTheme="minorHAnsi" w:hAnsiTheme="minorHAnsi" w:cstheme="minorBidi"/>
      <w:sz w:val="22"/>
      <w:szCs w:val="22"/>
      <w:lang w:val="en-GB"/>
    </w:rPr>
    <w:tblPr>
      <w:tblStyleRowBandSize w:val="1"/>
      <w:tblStyleColBandSize w:val="1"/>
      <w:tblBorders>
        <w:bottom w:val="single" w:sz="4" w:space="0" w:color="auto"/>
      </w:tblBorders>
    </w:tblPr>
    <w:tblStylePr w:type="firstRow">
      <w:pPr>
        <w:spacing w:before="0" w:after="0" w:line="240" w:lineRule="auto"/>
      </w:pPr>
      <w:rPr>
        <w:b/>
        <w:bCs/>
        <w:color w:val="1F497D" w:themeColor="text2"/>
      </w:rPr>
      <w:tblPr/>
      <w:tcPr>
        <w:tcBorders>
          <w:top w:val="single" w:sz="4" w:space="0" w:color="auto"/>
          <w:left w:val="nil"/>
          <w:bottom w:val="single" w:sz="4" w:space="0" w:color="auto"/>
          <w:right w:val="nil"/>
          <w:insideH w:val="nil"/>
          <w:insideV w:val="nil"/>
          <w:tl2br w:val="nil"/>
          <w:tr2bl w:val="nil"/>
        </w:tcBorders>
        <w:shd w:val="clear" w:color="auto" w:fill="C6D9F1" w:themeFill="text2" w:themeFillTint="33"/>
      </w:tcPr>
    </w:tblStylePr>
    <w:tblStylePr w:type="lastRow">
      <w:pPr>
        <w:spacing w:before="0" w:after="0" w:line="240" w:lineRule="auto"/>
      </w:pPr>
      <w:rPr>
        <w:b w:val="0"/>
        <w:bCs/>
      </w:rPr>
      <w:tblPr/>
      <w:tcPr>
        <w:tcBorders>
          <w:top w:val="nil"/>
          <w:left w:val="nil"/>
          <w:bottom w:val="single" w:sz="4" w:space="0" w:color="auto"/>
          <w:right w:val="nil"/>
          <w:insideH w:val="nil"/>
          <w:insideV w:val="nil"/>
          <w:tl2br w:val="nil"/>
          <w:tr2bl w:val="nil"/>
        </w:tcBorders>
      </w:tcPr>
    </w:tblStylePr>
    <w:tblStylePr w:type="firstCol">
      <w:rPr>
        <w:b w:val="0"/>
        <w:bCs/>
      </w:rPr>
      <w:tblPr/>
      <w:tcPr>
        <w:tcBorders>
          <w:top w:val="nil"/>
          <w:left w:val="nil"/>
          <w:bottom w:val="single" w:sz="4" w:space="0" w:color="auto"/>
          <w:right w:val="nil"/>
          <w:insideH w:val="nil"/>
          <w:insideV w:val="nil"/>
          <w:tl2br w:val="nil"/>
          <w:tr2bl w:val="nil"/>
        </w:tcBorders>
      </w:tcPr>
    </w:tblStylePr>
    <w:tblStylePr w:type="lastCol">
      <w:rPr>
        <w:b w:val="0"/>
        <w:bCs/>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seCell">
      <w:tblPr/>
      <w:tcPr>
        <w:tcBorders>
          <w:bottom w:val="single" w:sz="4" w:space="0" w:color="auto"/>
        </w:tcBorders>
      </w:tcPr>
    </w:tblStylePr>
    <w:tblStylePr w:type="swCell">
      <w:tblPr/>
      <w:tcPr>
        <w:tcBorders>
          <w:bottom w:val="single" w:sz="4" w:space="0" w:color="auto"/>
        </w:tcBorders>
      </w:tcPr>
    </w:tblStylePr>
  </w:style>
  <w:style w:type="paragraph" w:customStyle="1" w:styleId="xl65">
    <w:name w:val="xl65"/>
    <w:basedOn w:val="Normal"/>
    <w:rsid w:val="00EC28CF"/>
    <w:pPr>
      <w:pBdr>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NZ"/>
    </w:rPr>
  </w:style>
  <w:style w:type="paragraph" w:customStyle="1" w:styleId="xl66">
    <w:name w:val="xl66"/>
    <w:basedOn w:val="Normal"/>
    <w:rsid w:val="00EC28CF"/>
    <w:pPr>
      <w:spacing w:before="100" w:beforeAutospacing="1" w:after="100" w:afterAutospacing="1" w:line="240" w:lineRule="auto"/>
      <w:jc w:val="center"/>
    </w:pPr>
    <w:rPr>
      <w:rFonts w:ascii="Times New Roman" w:eastAsia="Times New Roman" w:hAnsi="Times New Roman" w:cs="Times New Roman"/>
      <w:kern w:val="0"/>
      <w:sz w:val="24"/>
      <w:szCs w:val="24"/>
      <w:lang w:eastAsia="en-NZ"/>
    </w:rPr>
  </w:style>
  <w:style w:type="paragraph" w:customStyle="1" w:styleId="xl67">
    <w:name w:val="xl67"/>
    <w:basedOn w:val="Normal"/>
    <w:rsid w:val="00EC28CF"/>
    <w:pPr>
      <w:pBdr>
        <w:top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n-NZ"/>
    </w:rPr>
  </w:style>
  <w:style w:type="paragraph" w:customStyle="1" w:styleId="xl68">
    <w:name w:val="xl68"/>
    <w:basedOn w:val="Normal"/>
    <w:rsid w:val="00EC28CF"/>
    <w:pPr>
      <w:pBdr>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n-NZ"/>
    </w:rPr>
  </w:style>
  <w:style w:type="paragraph" w:customStyle="1" w:styleId="InfoBody">
    <w:name w:val="Info Body"/>
    <w:basedOn w:val="Normal"/>
    <w:qFormat/>
    <w:rsid w:val="00EC28CF"/>
  </w:style>
  <w:style w:type="paragraph" w:customStyle="1" w:styleId="Info2">
    <w:name w:val="Info2"/>
    <w:basedOn w:val="Normal"/>
    <w:qFormat/>
    <w:rsid w:val="00EC28CF"/>
    <w:rPr>
      <w:b/>
      <w:sz w:val="24"/>
    </w:rPr>
  </w:style>
  <w:style w:type="paragraph" w:customStyle="1" w:styleId="xl74">
    <w:name w:val="xl74"/>
    <w:basedOn w:val="Normal"/>
    <w:rsid w:val="00CE3659"/>
    <w:pPr>
      <w:spacing w:before="100" w:beforeAutospacing="1" w:after="100" w:afterAutospacing="1" w:line="240" w:lineRule="auto"/>
    </w:pPr>
    <w:rPr>
      <w:rFonts w:ascii="Times New Roman" w:eastAsia="Times New Roman" w:hAnsi="Times New Roman" w:cs="Times New Roman"/>
      <w:color w:val="1F497D"/>
      <w:kern w:val="0"/>
      <w:sz w:val="24"/>
      <w:szCs w:val="24"/>
      <w:lang w:eastAsia="en-NZ"/>
    </w:rPr>
  </w:style>
  <w:style w:type="paragraph" w:customStyle="1" w:styleId="xl75">
    <w:name w:val="xl75"/>
    <w:basedOn w:val="Normal"/>
    <w:rsid w:val="00CE3659"/>
    <w:pPr>
      <w:pBdr>
        <w:left w:val="single" w:sz="4" w:space="0" w:color="1F497D"/>
      </w:pBdr>
      <w:spacing w:before="100" w:beforeAutospacing="1" w:after="100" w:afterAutospacing="1" w:line="240" w:lineRule="auto"/>
    </w:pPr>
    <w:rPr>
      <w:rFonts w:ascii="Times New Roman" w:eastAsia="Times New Roman" w:hAnsi="Times New Roman" w:cs="Times New Roman"/>
      <w:color w:val="1F497D"/>
      <w:kern w:val="0"/>
      <w:sz w:val="24"/>
      <w:szCs w:val="24"/>
      <w:lang w:eastAsia="en-NZ"/>
    </w:rPr>
  </w:style>
  <w:style w:type="paragraph" w:customStyle="1" w:styleId="xl76">
    <w:name w:val="xl76"/>
    <w:basedOn w:val="Normal"/>
    <w:rsid w:val="00CE3659"/>
    <w:pPr>
      <w:spacing w:before="100" w:beforeAutospacing="1" w:after="100" w:afterAutospacing="1" w:line="240" w:lineRule="auto"/>
    </w:pPr>
    <w:rPr>
      <w:rFonts w:ascii="Times New Roman" w:eastAsia="Times New Roman" w:hAnsi="Times New Roman" w:cs="Times New Roman"/>
      <w:b/>
      <w:bCs/>
      <w:color w:val="1F497D"/>
      <w:kern w:val="0"/>
      <w:sz w:val="24"/>
      <w:szCs w:val="24"/>
      <w:lang w:eastAsia="en-NZ"/>
    </w:rPr>
  </w:style>
  <w:style w:type="paragraph" w:customStyle="1" w:styleId="xl77">
    <w:name w:val="xl77"/>
    <w:basedOn w:val="Normal"/>
    <w:rsid w:val="00CE3659"/>
    <w:pPr>
      <w:spacing w:before="100" w:beforeAutospacing="1" w:after="100" w:afterAutospacing="1" w:line="240" w:lineRule="auto"/>
      <w:jc w:val="center"/>
    </w:pPr>
    <w:rPr>
      <w:rFonts w:ascii="Times New Roman" w:eastAsia="Times New Roman" w:hAnsi="Times New Roman" w:cs="Times New Roman"/>
      <w:b/>
      <w:bCs/>
      <w:color w:val="1F497D"/>
      <w:kern w:val="0"/>
      <w:sz w:val="24"/>
      <w:szCs w:val="24"/>
      <w:lang w:eastAsia="en-NZ"/>
    </w:rPr>
  </w:style>
  <w:style w:type="paragraph" w:customStyle="1" w:styleId="xl78">
    <w:name w:val="xl78"/>
    <w:basedOn w:val="Normal"/>
    <w:rsid w:val="00CE3659"/>
    <w:pPr>
      <w:pBdr>
        <w:bottom w:val="single" w:sz="4" w:space="0" w:color="4F81BD"/>
      </w:pBdr>
      <w:spacing w:before="100" w:beforeAutospacing="1" w:after="100" w:afterAutospacing="1" w:line="240" w:lineRule="auto"/>
    </w:pPr>
    <w:rPr>
      <w:rFonts w:ascii="Times New Roman" w:eastAsia="Times New Roman" w:hAnsi="Times New Roman" w:cs="Times New Roman"/>
      <w:b/>
      <w:bCs/>
      <w:color w:val="1F497D"/>
      <w:kern w:val="0"/>
      <w:sz w:val="24"/>
      <w:szCs w:val="24"/>
      <w:lang w:eastAsia="en-NZ"/>
    </w:rPr>
  </w:style>
  <w:style w:type="paragraph" w:customStyle="1" w:styleId="xl79">
    <w:name w:val="xl79"/>
    <w:basedOn w:val="Normal"/>
    <w:rsid w:val="00CE3659"/>
    <w:pPr>
      <w:pBdr>
        <w:left w:val="single" w:sz="4" w:space="0" w:color="4F81BD"/>
      </w:pBdr>
      <w:spacing w:before="100" w:beforeAutospacing="1" w:after="100" w:afterAutospacing="1" w:line="240" w:lineRule="auto"/>
      <w:jc w:val="center"/>
    </w:pPr>
    <w:rPr>
      <w:rFonts w:ascii="Times New Roman" w:eastAsia="Times New Roman" w:hAnsi="Times New Roman" w:cs="Times New Roman"/>
      <w:b/>
      <w:bCs/>
      <w:color w:val="1F497D"/>
      <w:kern w:val="0"/>
      <w:sz w:val="24"/>
      <w:szCs w:val="24"/>
      <w:lang w:eastAsia="en-NZ"/>
    </w:rPr>
  </w:style>
  <w:style w:type="paragraph" w:customStyle="1" w:styleId="xl80">
    <w:name w:val="xl80"/>
    <w:basedOn w:val="Normal"/>
    <w:rsid w:val="00CE3659"/>
    <w:pPr>
      <w:pBdr>
        <w:left w:val="single" w:sz="4" w:space="0" w:color="4F81BD"/>
        <w:bottom w:val="single" w:sz="4" w:space="0" w:color="4F81BD"/>
      </w:pBdr>
      <w:spacing w:before="100" w:beforeAutospacing="1" w:after="100" w:afterAutospacing="1" w:line="240" w:lineRule="auto"/>
    </w:pPr>
    <w:rPr>
      <w:rFonts w:ascii="Times New Roman" w:eastAsia="Times New Roman" w:hAnsi="Times New Roman" w:cs="Times New Roman"/>
      <w:b/>
      <w:bCs/>
      <w:color w:val="1F497D"/>
      <w:kern w:val="0"/>
      <w:sz w:val="24"/>
      <w:szCs w:val="24"/>
      <w:lang w:eastAsia="en-NZ"/>
    </w:rPr>
  </w:style>
  <w:style w:type="paragraph" w:customStyle="1" w:styleId="xl81">
    <w:name w:val="xl81"/>
    <w:basedOn w:val="Normal"/>
    <w:rsid w:val="00CE3659"/>
    <w:pPr>
      <w:pBdr>
        <w:left w:val="single" w:sz="4" w:space="0" w:color="4F81BD"/>
      </w:pBdr>
      <w:spacing w:before="100" w:beforeAutospacing="1" w:after="100" w:afterAutospacing="1" w:line="240" w:lineRule="auto"/>
    </w:pPr>
    <w:rPr>
      <w:rFonts w:ascii="Times New Roman" w:eastAsia="Times New Roman" w:hAnsi="Times New Roman" w:cs="Times New Roman"/>
      <w:color w:val="1F497D"/>
      <w:kern w:val="0"/>
      <w:sz w:val="24"/>
      <w:szCs w:val="24"/>
      <w:lang w:eastAsia="en-NZ"/>
    </w:rPr>
  </w:style>
  <w:style w:type="paragraph" w:customStyle="1" w:styleId="xl82">
    <w:name w:val="xl82"/>
    <w:basedOn w:val="Normal"/>
    <w:rsid w:val="00CE3659"/>
    <w:pPr>
      <w:pBdr>
        <w:right w:val="single" w:sz="4" w:space="0" w:color="4F81BD"/>
      </w:pBdr>
      <w:spacing w:before="100" w:beforeAutospacing="1" w:after="100" w:afterAutospacing="1" w:line="240" w:lineRule="auto"/>
      <w:jc w:val="center"/>
    </w:pPr>
    <w:rPr>
      <w:rFonts w:ascii="Times New Roman" w:eastAsia="Times New Roman" w:hAnsi="Times New Roman" w:cs="Times New Roman"/>
      <w:b/>
      <w:bCs/>
      <w:color w:val="1F497D"/>
      <w:kern w:val="0"/>
      <w:sz w:val="24"/>
      <w:szCs w:val="24"/>
      <w:lang w:eastAsia="en-NZ"/>
    </w:rPr>
  </w:style>
  <w:style w:type="paragraph" w:customStyle="1" w:styleId="xl83">
    <w:name w:val="xl83"/>
    <w:basedOn w:val="Normal"/>
    <w:rsid w:val="00CE3659"/>
    <w:pPr>
      <w:pBdr>
        <w:bottom w:val="single" w:sz="4" w:space="0" w:color="4F81BD"/>
        <w:right w:val="single" w:sz="4" w:space="0" w:color="4F81BD"/>
      </w:pBdr>
      <w:spacing w:before="100" w:beforeAutospacing="1" w:after="100" w:afterAutospacing="1" w:line="240" w:lineRule="auto"/>
    </w:pPr>
    <w:rPr>
      <w:rFonts w:ascii="Times New Roman" w:eastAsia="Times New Roman" w:hAnsi="Times New Roman" w:cs="Times New Roman"/>
      <w:b/>
      <w:bCs/>
      <w:color w:val="1F497D"/>
      <w:kern w:val="0"/>
      <w:sz w:val="24"/>
      <w:szCs w:val="24"/>
      <w:lang w:eastAsia="en-NZ"/>
    </w:rPr>
  </w:style>
  <w:style w:type="paragraph" w:customStyle="1" w:styleId="xl84">
    <w:name w:val="xl84"/>
    <w:basedOn w:val="Normal"/>
    <w:rsid w:val="00CE3659"/>
    <w:pPr>
      <w:pBdr>
        <w:right w:val="single" w:sz="4" w:space="0" w:color="4F81BD"/>
      </w:pBdr>
      <w:spacing w:before="100" w:beforeAutospacing="1" w:after="100" w:afterAutospacing="1" w:line="240" w:lineRule="auto"/>
    </w:pPr>
    <w:rPr>
      <w:rFonts w:ascii="Times New Roman" w:eastAsia="Times New Roman" w:hAnsi="Times New Roman" w:cs="Times New Roman"/>
      <w:color w:val="1F497D"/>
      <w:kern w:val="0"/>
      <w:sz w:val="24"/>
      <w:szCs w:val="24"/>
      <w:lang w:eastAsia="en-NZ"/>
    </w:rPr>
  </w:style>
  <w:style w:type="paragraph" w:customStyle="1" w:styleId="xl85">
    <w:name w:val="xl85"/>
    <w:basedOn w:val="Normal"/>
    <w:rsid w:val="00CE3659"/>
    <w:pPr>
      <w:spacing w:before="100" w:beforeAutospacing="1" w:after="100" w:afterAutospacing="1" w:line="240" w:lineRule="auto"/>
      <w:textAlignment w:val="top"/>
    </w:pPr>
    <w:rPr>
      <w:rFonts w:ascii="Times New Roman" w:eastAsia="Times New Roman" w:hAnsi="Times New Roman" w:cs="Times New Roman"/>
      <w:color w:val="1F497D"/>
      <w:kern w:val="0"/>
      <w:sz w:val="24"/>
      <w:szCs w:val="24"/>
      <w:lang w:eastAsia="en-NZ"/>
    </w:rPr>
  </w:style>
  <w:style w:type="paragraph" w:customStyle="1" w:styleId="xl86">
    <w:name w:val="xl86"/>
    <w:basedOn w:val="Normal"/>
    <w:rsid w:val="00CE3659"/>
    <w:pPr>
      <w:pBdr>
        <w:right w:val="single" w:sz="4" w:space="0" w:color="4F81BD"/>
      </w:pBdr>
      <w:spacing w:before="100" w:beforeAutospacing="1" w:after="100" w:afterAutospacing="1" w:line="240" w:lineRule="auto"/>
    </w:pPr>
    <w:rPr>
      <w:rFonts w:ascii="Times New Roman" w:eastAsia="Times New Roman" w:hAnsi="Times New Roman" w:cs="Times New Roman"/>
      <w:color w:val="1F497D"/>
      <w:kern w:val="0"/>
      <w:sz w:val="24"/>
      <w:szCs w:val="24"/>
      <w:lang w:eastAsia="en-NZ"/>
    </w:rPr>
  </w:style>
  <w:style w:type="paragraph" w:customStyle="1" w:styleId="xl87">
    <w:name w:val="xl87"/>
    <w:basedOn w:val="Normal"/>
    <w:rsid w:val="00CE3659"/>
    <w:pPr>
      <w:spacing w:before="100" w:beforeAutospacing="1" w:after="100" w:afterAutospacing="1" w:line="240" w:lineRule="auto"/>
      <w:textAlignment w:val="top"/>
    </w:pPr>
    <w:rPr>
      <w:rFonts w:ascii="Times New Roman" w:eastAsia="Times New Roman" w:hAnsi="Times New Roman" w:cs="Times New Roman"/>
      <w:color w:val="1F497D"/>
      <w:kern w:val="0"/>
      <w:sz w:val="24"/>
      <w:szCs w:val="24"/>
      <w:lang w:eastAsia="en-NZ"/>
    </w:rPr>
  </w:style>
  <w:style w:type="paragraph" w:customStyle="1" w:styleId="Table">
    <w:name w:val="Table"/>
    <w:basedOn w:val="Normal"/>
    <w:qFormat/>
    <w:rsid w:val="00CE3659"/>
    <w:pPr>
      <w:suppressAutoHyphens/>
      <w:autoSpaceDE w:val="0"/>
      <w:autoSpaceDN w:val="0"/>
      <w:adjustRightInd w:val="0"/>
      <w:spacing w:before="40" w:after="40" w:line="240" w:lineRule="auto"/>
      <w:textAlignment w:val="center"/>
    </w:pPr>
    <w:rPr>
      <w:rFonts w:eastAsia="Times New Roman" w:cs="Times New Roman"/>
      <w:color w:val="262626" w:themeColor="text1" w:themeTint="D9"/>
      <w:kern w:val="0"/>
      <w:szCs w:val="22"/>
      <w:lang w:eastAsia="en-NZ"/>
    </w:rPr>
  </w:style>
  <w:style w:type="table" w:customStyle="1" w:styleId="Style1">
    <w:name w:val="Style1"/>
    <w:basedOn w:val="TableNormal"/>
    <w:uiPriority w:val="99"/>
    <w:rsid w:val="00CE3659"/>
    <w:tblPr>
      <w:tblStyleRowBandSize w:val="1"/>
      <w:tblStyleColBandSize w:val="1"/>
      <w:tblBorders>
        <w:top w:val="single" w:sz="4" w:space="0" w:color="4F81BD" w:themeColor="accent1"/>
        <w:bottom w:val="single" w:sz="4" w:space="0" w:color="4F81BD" w:themeColor="accent1"/>
      </w:tblBorders>
    </w:tblPr>
    <w:tblStylePr w:type="firstRow">
      <w:rPr>
        <w:b/>
      </w:rPr>
    </w:tblStylePr>
    <w:tblStylePr w:type="lastCol">
      <w:tblPr/>
      <w:tcPr>
        <w:tcBorders>
          <w:bottom w:val="nil"/>
        </w:tcBorders>
      </w:tcPr>
    </w:tblStylePr>
    <w:tblStylePr w:type="band1Horz">
      <w:tblPr/>
      <w:tcPr>
        <w:shd w:val="clear" w:color="auto" w:fill="FFFFFF" w:themeFill="background1"/>
      </w:tcPr>
    </w:tblStylePr>
    <w:tblStylePr w:type="band2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semiHidden="0" w:qFormat="1"/>
    <w:lsdException w:name="heading 4" w:semiHidden="0" w:qFormat="1"/>
    <w:lsdException w:name="heading 5" w:uiPriority="9"/>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macro" w:unhideWhenUsed="0"/>
    <w:lsdException w:name="List" w:semiHidden="0"/>
    <w:lsdException w:name="List Bullet" w:semiHidden="0" w:unhideWhenUsed="0"/>
    <w:lsdException w:name="List Number" w:unhideWhenUsed="0"/>
    <w:lsdException w:name="List 2" w:semiHidden="0"/>
    <w:lsdException w:name="List 3" w:semiHidden="0"/>
    <w:lsdException w:name="List Bullet 2" w:semiHidden="0"/>
    <w:lsdException w:name="List Bullet 5" w:uiPriority="0"/>
    <w:lsdException w:name="Title" w:semiHidden="0" w:unhideWhenUsed="0"/>
    <w:lsdException w:name="Default Paragraph Font" w:uiPriority="1"/>
    <w:lsdException w:name="List Continue 3" w:unhideWhenUsed="0"/>
    <w:lsdException w:name="List Continue 4" w:unhideWhenUsed="0"/>
    <w:lsdException w:name="List Continue 5" w:unhideWhenUsed="0"/>
    <w:lsdException w:name="Message Header" w:unhideWhenUsed="0"/>
    <w:lsdException w:name="Subtitle" w:semiHidden="0" w:unhideWhenUsed="0" w:qFormat="1"/>
    <w:lsdException w:name="Strong" w:semiHidden="0" w:uiPriority="22" w:unhideWhenUsed="0"/>
    <w:lsdException w:name="Emphasis" w:locked="1" w:semiHidden="0" w:uiPriority="20" w:unhideWhenUsed="0"/>
    <w:lsdException w:name="Balloon Text" w:unhideWhenUsed="0"/>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unhideWhenUsed="0"/>
    <w:lsdException w:name="TOC Heading" w:uiPriority="39" w:unhideWhenUsed="0" w:qFormat="1"/>
  </w:latentStyles>
  <w:style w:type="paragraph" w:default="1" w:styleId="Normal">
    <w:name w:val="Normal"/>
    <w:qFormat/>
    <w:rsid w:val="002A0871"/>
    <w:pPr>
      <w:spacing w:after="120" w:line="288" w:lineRule="auto"/>
    </w:pPr>
    <w:rPr>
      <w:rFonts w:ascii="Verdana" w:hAnsi="Verdana" w:cs="Arial"/>
      <w:kern w:val="28"/>
    </w:rPr>
  </w:style>
  <w:style w:type="paragraph" w:styleId="Heading1">
    <w:name w:val="heading 1"/>
    <w:basedOn w:val="Normal"/>
    <w:next w:val="Normal"/>
    <w:link w:val="Heading1Char"/>
    <w:uiPriority w:val="99"/>
    <w:qFormat/>
    <w:rsid w:val="00F63E18"/>
    <w:pPr>
      <w:keepNext/>
      <w:keepLines/>
      <w:pBdr>
        <w:bottom w:val="single" w:sz="4" w:space="1" w:color="121F6B"/>
      </w:pBdr>
      <w:spacing w:before="360" w:after="240"/>
      <w:outlineLvl w:val="0"/>
    </w:pPr>
    <w:rPr>
      <w:rFonts w:ascii="Georgia" w:eastAsiaTheme="majorEastAsia" w:hAnsi="Georgia"/>
      <w:b/>
      <w:bCs/>
      <w:color w:val="121F6B"/>
      <w:kern w:val="0"/>
      <w:sz w:val="36"/>
      <w:szCs w:val="36"/>
    </w:rPr>
  </w:style>
  <w:style w:type="paragraph" w:styleId="Heading2">
    <w:name w:val="heading 2"/>
    <w:basedOn w:val="Normal"/>
    <w:next w:val="Normal"/>
    <w:link w:val="Heading2Char"/>
    <w:uiPriority w:val="99"/>
    <w:qFormat/>
    <w:rsid w:val="00AC5F28"/>
    <w:pPr>
      <w:keepNext/>
      <w:spacing w:before="240"/>
      <w:outlineLvl w:val="1"/>
    </w:pPr>
    <w:rPr>
      <w:b/>
      <w:sz w:val="28"/>
      <w:szCs w:val="28"/>
    </w:rPr>
  </w:style>
  <w:style w:type="paragraph" w:styleId="Heading3">
    <w:name w:val="heading 3"/>
    <w:basedOn w:val="Normal"/>
    <w:next w:val="Normal"/>
    <w:link w:val="Heading3Char"/>
    <w:uiPriority w:val="99"/>
    <w:qFormat/>
    <w:rsid w:val="007814CC"/>
    <w:pPr>
      <w:keepNext/>
      <w:keepLines/>
      <w:spacing w:before="240"/>
      <w:outlineLvl w:val="2"/>
    </w:pPr>
    <w:rPr>
      <w:rFonts w:eastAsiaTheme="majorEastAsia"/>
      <w:b/>
      <w:bCs/>
      <w:kern w:val="0"/>
      <w:sz w:val="24"/>
      <w:szCs w:val="22"/>
      <w:lang w:eastAsia="en-AU"/>
    </w:rPr>
  </w:style>
  <w:style w:type="paragraph" w:styleId="Heading4">
    <w:name w:val="heading 4"/>
    <w:basedOn w:val="Normal"/>
    <w:next w:val="Normal"/>
    <w:link w:val="Heading4Char"/>
    <w:uiPriority w:val="99"/>
    <w:qFormat/>
    <w:rsid w:val="00D155B7"/>
    <w:pPr>
      <w:keepNext/>
      <w:keepLines/>
      <w:spacing w:before="120" w:after="60"/>
      <w:outlineLvl w:val="3"/>
    </w:pPr>
    <w:rPr>
      <w:rFonts w:eastAsiaTheme="majorEastAsia" w:cs="Times New Roman"/>
      <w:b/>
      <w:bCs/>
      <w:i/>
      <w:iCs/>
      <w:kern w:val="0"/>
      <w:sz w:val="22"/>
    </w:rPr>
  </w:style>
  <w:style w:type="paragraph" w:styleId="Heading5">
    <w:name w:val="heading 5"/>
    <w:basedOn w:val="Normal"/>
    <w:next w:val="Normal"/>
    <w:link w:val="Heading5Char"/>
    <w:uiPriority w:val="9"/>
    <w:semiHidden/>
    <w:unhideWhenUsed/>
    <w:rsid w:val="00F167C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EC28CF"/>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EC28CF"/>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EC28CF"/>
    <w:pPr>
      <w:keepNext/>
      <w:keepLines/>
      <w:spacing w:before="200" w:after="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locked/>
    <w:rsid w:val="00EC28CF"/>
    <w:pPr>
      <w:keepNext/>
      <w:keepLines/>
      <w:spacing w:before="200" w:after="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63E18"/>
    <w:rPr>
      <w:rFonts w:ascii="Georgia" w:eastAsiaTheme="majorEastAsia" w:hAnsi="Georgia" w:cs="Arial"/>
      <w:b/>
      <w:bCs/>
      <w:color w:val="121F6B"/>
      <w:sz w:val="36"/>
      <w:szCs w:val="36"/>
    </w:rPr>
  </w:style>
  <w:style w:type="character" w:customStyle="1" w:styleId="Heading2Char">
    <w:name w:val="Heading 2 Char"/>
    <w:basedOn w:val="DefaultParagraphFont"/>
    <w:link w:val="Heading2"/>
    <w:uiPriority w:val="99"/>
    <w:rsid w:val="00AC5F28"/>
    <w:rPr>
      <w:rFonts w:ascii="Verdana" w:hAnsi="Verdana" w:cs="Arial"/>
      <w:b/>
      <w:kern w:val="28"/>
      <w:sz w:val="28"/>
      <w:szCs w:val="28"/>
    </w:rPr>
  </w:style>
  <w:style w:type="character" w:customStyle="1" w:styleId="Heading3Char">
    <w:name w:val="Heading 3 Char"/>
    <w:basedOn w:val="DefaultParagraphFont"/>
    <w:link w:val="Heading3"/>
    <w:uiPriority w:val="99"/>
    <w:rsid w:val="007814CC"/>
    <w:rPr>
      <w:rFonts w:ascii="Verdana" w:eastAsiaTheme="majorEastAsia" w:hAnsi="Verdana" w:cs="Arial"/>
      <w:b/>
      <w:bCs/>
      <w:sz w:val="24"/>
      <w:szCs w:val="22"/>
      <w:lang w:eastAsia="en-AU"/>
    </w:rPr>
  </w:style>
  <w:style w:type="character" w:customStyle="1" w:styleId="Heading4Char">
    <w:name w:val="Heading 4 Char"/>
    <w:basedOn w:val="DefaultParagraphFont"/>
    <w:link w:val="Heading4"/>
    <w:uiPriority w:val="99"/>
    <w:rsid w:val="00D155B7"/>
    <w:rPr>
      <w:rFonts w:ascii="Verdana" w:eastAsiaTheme="majorEastAsia" w:hAnsi="Verdana"/>
      <w:b/>
      <w:bCs/>
      <w:i/>
      <w:iCs/>
      <w:sz w:val="22"/>
    </w:rPr>
  </w:style>
  <w:style w:type="paragraph" w:styleId="ListParagraph">
    <w:name w:val="List Paragraph"/>
    <w:basedOn w:val="Normal"/>
    <w:uiPriority w:val="34"/>
    <w:rsid w:val="00F167CA"/>
    <w:pPr>
      <w:ind w:left="720"/>
      <w:contextualSpacing/>
    </w:pPr>
  </w:style>
  <w:style w:type="paragraph" w:styleId="List5">
    <w:name w:val="List 5"/>
    <w:basedOn w:val="Normal"/>
    <w:uiPriority w:val="99"/>
    <w:semiHidden/>
    <w:rsid w:val="00C5215F"/>
    <w:pPr>
      <w:numPr>
        <w:ilvl w:val="4"/>
        <w:numId w:val="1"/>
      </w:numPr>
      <w:tabs>
        <w:tab w:val="num" w:pos="2520"/>
      </w:tabs>
      <w:ind w:left="2232" w:hanging="792"/>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rsid w:val="001D507A"/>
    <w:pPr>
      <w:pBdr>
        <w:bottom w:val="none" w:sz="0" w:space="0" w:color="auto"/>
      </w:pBdr>
    </w:pPr>
    <w:rPr>
      <w:color w:val="FFFFFF" w:themeColor="background1"/>
    </w:rPr>
  </w:style>
  <w:style w:type="character" w:customStyle="1" w:styleId="TitleChar">
    <w:name w:val="Title Char"/>
    <w:basedOn w:val="DefaultParagraphFont"/>
    <w:link w:val="Title"/>
    <w:uiPriority w:val="99"/>
    <w:rsid w:val="001D507A"/>
    <w:rPr>
      <w:rFonts w:ascii="Georgia" w:eastAsiaTheme="majorEastAsia" w:hAnsi="Georgia" w:cs="Arial"/>
      <w:b/>
      <w:bCs/>
      <w:color w:val="FFFFFF" w:themeColor="background1"/>
      <w:sz w:val="40"/>
      <w:szCs w:val="28"/>
    </w:rPr>
  </w:style>
  <w:style w:type="paragraph" w:styleId="Subtitle">
    <w:name w:val="Subtitle"/>
    <w:basedOn w:val="Normal"/>
    <w:next w:val="Normal"/>
    <w:link w:val="SubtitleChar"/>
    <w:uiPriority w:val="99"/>
    <w:qFormat/>
    <w:rsid w:val="00F167CA"/>
    <w:pPr>
      <w:numPr>
        <w:ilvl w:val="1"/>
      </w:numPr>
    </w:pPr>
    <w:rPr>
      <w:rFonts w:ascii="Arial" w:eastAsiaTheme="majorEastAsia" w:hAnsi="Arial" w:cs="Times New Roman"/>
      <w:i/>
      <w:iCs/>
      <w:spacing w:val="15"/>
      <w:kern w:val="0"/>
      <w:sz w:val="24"/>
      <w:szCs w:val="24"/>
    </w:rPr>
  </w:style>
  <w:style w:type="character" w:customStyle="1" w:styleId="SubtitleChar">
    <w:name w:val="Subtitle Char"/>
    <w:basedOn w:val="DefaultParagraphFont"/>
    <w:link w:val="Subtitle"/>
    <w:uiPriority w:val="99"/>
    <w:rsid w:val="00F167CA"/>
    <w:rPr>
      <w:rFonts w:ascii="Arial" w:eastAsiaTheme="majorEastAsia" w:hAnsi="Arial"/>
      <w:i/>
      <w:iCs/>
      <w:spacing w:val="15"/>
      <w:sz w:val="24"/>
      <w:szCs w:val="24"/>
    </w:rPr>
  </w:style>
  <w:style w:type="character" w:styleId="SubtleEmphasis">
    <w:name w:val="Subtle Emphasis"/>
    <w:basedOn w:val="DefaultParagraphFont"/>
    <w:uiPriority w:val="99"/>
    <w:rsid w:val="00F167CA"/>
    <w:rPr>
      <w:rFonts w:ascii="Arial" w:hAnsi="Arial" w:cs="Times New Roman"/>
      <w:i/>
      <w:iCs/>
      <w:color w:val="auto"/>
      <w:sz w:val="20"/>
    </w:rPr>
  </w:style>
  <w:style w:type="paragraph" w:customStyle="1" w:styleId="Bullet1">
    <w:name w:val="Bullet1"/>
    <w:basedOn w:val="Normal"/>
    <w:qFormat/>
    <w:rsid w:val="009E3D6F"/>
    <w:pPr>
      <w:numPr>
        <w:numId w:val="2"/>
      </w:numPr>
      <w:tabs>
        <w:tab w:val="clear" w:pos="360"/>
      </w:tabs>
      <w:suppressAutoHyphens/>
      <w:autoSpaceDE w:val="0"/>
      <w:autoSpaceDN w:val="0"/>
      <w:adjustRightInd w:val="0"/>
      <w:ind w:left="284" w:hanging="284"/>
      <w:textAlignment w:val="center"/>
    </w:pPr>
    <w:rPr>
      <w:rFonts w:eastAsia="Times New Roman"/>
      <w:lang w:eastAsia="en-AU"/>
    </w:rPr>
  </w:style>
  <w:style w:type="paragraph" w:customStyle="1" w:styleId="Bullet2">
    <w:name w:val="Bullet2"/>
    <w:qFormat/>
    <w:rsid w:val="006A5415"/>
    <w:pPr>
      <w:numPr>
        <w:numId w:val="3"/>
      </w:numPr>
      <w:tabs>
        <w:tab w:val="clear" w:pos="797"/>
      </w:tabs>
      <w:spacing w:before="120"/>
      <w:ind w:left="709" w:hanging="272"/>
    </w:pPr>
    <w:rPr>
      <w:rFonts w:ascii="Verdana" w:eastAsia="Times New Roman" w:hAnsi="Verdana"/>
      <w:lang w:eastAsia="en-AU"/>
    </w:rPr>
  </w:style>
  <w:style w:type="character" w:customStyle="1" w:styleId="Heading5Char">
    <w:name w:val="Heading 5 Char"/>
    <w:basedOn w:val="DefaultParagraphFont"/>
    <w:link w:val="Heading5"/>
    <w:uiPriority w:val="9"/>
    <w:semiHidden/>
    <w:rsid w:val="00F167CA"/>
    <w:rPr>
      <w:rFonts w:asciiTheme="majorHAnsi" w:eastAsiaTheme="majorEastAsia" w:hAnsiTheme="majorHAnsi" w:cstheme="majorBidi"/>
      <w:color w:val="243F60" w:themeColor="accent1" w:themeShade="7F"/>
      <w:sz w:val="22"/>
      <w:szCs w:val="22"/>
    </w:rPr>
  </w:style>
  <w:style w:type="character" w:styleId="Strong">
    <w:name w:val="Strong"/>
    <w:basedOn w:val="DefaultParagraphFont"/>
    <w:uiPriority w:val="22"/>
    <w:rsid w:val="00F167CA"/>
    <w:rPr>
      <w:b/>
      <w:bCs/>
    </w:rPr>
  </w:style>
  <w:style w:type="paragraph" w:styleId="TOCHeading">
    <w:name w:val="TOC Heading"/>
    <w:basedOn w:val="Heading1"/>
    <w:next w:val="Normal"/>
    <w:uiPriority w:val="39"/>
    <w:unhideWhenUsed/>
    <w:qFormat/>
    <w:rsid w:val="0038350A"/>
  </w:style>
  <w:style w:type="paragraph" w:styleId="BalloonText">
    <w:name w:val="Balloon Text"/>
    <w:basedOn w:val="Normal"/>
    <w:link w:val="BalloonTextChar"/>
    <w:uiPriority w:val="99"/>
    <w:semiHidden/>
    <w:rsid w:val="00F1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CA"/>
    <w:rPr>
      <w:rFonts w:ascii="Tahoma" w:hAnsi="Tahoma" w:cs="Tahoma"/>
      <w:kern w:val="28"/>
      <w:sz w:val="16"/>
      <w:szCs w:val="16"/>
      <w:lang w:val="en-US"/>
    </w:rPr>
  </w:style>
  <w:style w:type="paragraph" w:styleId="TOC1">
    <w:name w:val="toc 1"/>
    <w:basedOn w:val="Normal"/>
    <w:next w:val="Normal"/>
    <w:autoRedefine/>
    <w:uiPriority w:val="39"/>
    <w:rsid w:val="00D31036"/>
    <w:pPr>
      <w:tabs>
        <w:tab w:val="right" w:leader="dot" w:pos="9016"/>
      </w:tabs>
      <w:spacing w:after="100"/>
    </w:pPr>
    <w:rPr>
      <w:b/>
      <w:noProof/>
    </w:rPr>
  </w:style>
  <w:style w:type="character" w:styleId="Hyperlink">
    <w:name w:val="Hyperlink"/>
    <w:basedOn w:val="DefaultParagraphFont"/>
    <w:uiPriority w:val="99"/>
    <w:unhideWhenUsed/>
    <w:rsid w:val="00EC2CE7"/>
    <w:rPr>
      <w:color w:val="0000FF" w:themeColor="hyperlink"/>
      <w:u w:val="single"/>
    </w:rPr>
  </w:style>
  <w:style w:type="paragraph" w:styleId="TOC2">
    <w:name w:val="toc 2"/>
    <w:basedOn w:val="Normal"/>
    <w:next w:val="Normal"/>
    <w:autoRedefine/>
    <w:uiPriority w:val="39"/>
    <w:rsid w:val="00D31036"/>
    <w:pPr>
      <w:spacing w:after="100"/>
      <w:ind w:left="220"/>
    </w:pPr>
  </w:style>
  <w:style w:type="paragraph" w:styleId="Caption">
    <w:name w:val="caption"/>
    <w:basedOn w:val="Normal"/>
    <w:next w:val="Normal"/>
    <w:unhideWhenUsed/>
    <w:qFormat/>
    <w:locked/>
    <w:rsid w:val="006207F6"/>
    <w:pPr>
      <w:spacing w:after="200" w:line="240" w:lineRule="auto"/>
    </w:pPr>
    <w:rPr>
      <w:b/>
      <w:bCs/>
      <w:color w:val="4F81BD" w:themeColor="accent1"/>
      <w:sz w:val="18"/>
      <w:szCs w:val="18"/>
    </w:rPr>
  </w:style>
  <w:style w:type="paragraph" w:styleId="TableofFigures">
    <w:name w:val="table of figures"/>
    <w:basedOn w:val="Normal"/>
    <w:next w:val="Normal"/>
    <w:uiPriority w:val="99"/>
    <w:rsid w:val="00414E8A"/>
    <w:pPr>
      <w:spacing w:after="0"/>
    </w:pPr>
  </w:style>
  <w:style w:type="paragraph" w:styleId="TOC3">
    <w:name w:val="toc 3"/>
    <w:basedOn w:val="Normal"/>
    <w:next w:val="Normal"/>
    <w:autoRedefine/>
    <w:uiPriority w:val="39"/>
    <w:rsid w:val="000874C9"/>
    <w:pPr>
      <w:tabs>
        <w:tab w:val="right" w:leader="dot" w:pos="9016"/>
      </w:tabs>
      <w:spacing w:after="100"/>
      <w:ind w:left="720"/>
    </w:pPr>
  </w:style>
  <w:style w:type="paragraph" w:styleId="Header">
    <w:name w:val="header"/>
    <w:basedOn w:val="Normal"/>
    <w:link w:val="HeaderChar"/>
    <w:uiPriority w:val="99"/>
    <w:semiHidden/>
    <w:rsid w:val="003126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2697"/>
    <w:rPr>
      <w:rFonts w:ascii="Verdana" w:hAnsi="Verdana" w:cs="Arial"/>
      <w:kern w:val="28"/>
      <w:sz w:val="22"/>
      <w:lang w:val="en-US"/>
    </w:rPr>
  </w:style>
  <w:style w:type="paragraph" w:styleId="Footer">
    <w:name w:val="footer"/>
    <w:basedOn w:val="Normal"/>
    <w:link w:val="FooterChar"/>
    <w:uiPriority w:val="99"/>
    <w:rsid w:val="003126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697"/>
    <w:rPr>
      <w:rFonts w:ascii="Verdana" w:hAnsi="Verdana" w:cs="Arial"/>
      <w:kern w:val="28"/>
      <w:sz w:val="22"/>
      <w:lang w:val="en-US"/>
    </w:rPr>
  </w:style>
  <w:style w:type="paragraph" w:customStyle="1" w:styleId="Report">
    <w:name w:val="Report"/>
    <w:qFormat/>
    <w:rsid w:val="00B47CC6"/>
    <w:pPr>
      <w:pBdr>
        <w:bottom w:val="single" w:sz="24" w:space="9" w:color="121F6B"/>
      </w:pBdr>
      <w:spacing w:before="9960" w:line="960" w:lineRule="exact"/>
      <w:ind w:right="-1440"/>
    </w:pPr>
    <w:rPr>
      <w:rFonts w:ascii="Georgia" w:hAnsi="Georgia" w:cs="Arial"/>
      <w:b/>
      <w:noProof/>
      <w:color w:val="121F6B"/>
      <w:kern w:val="28"/>
      <w:sz w:val="96"/>
      <w:lang w:eastAsia="en-NZ"/>
    </w:rPr>
  </w:style>
  <w:style w:type="paragraph" w:customStyle="1" w:styleId="Report2">
    <w:name w:val="Report2"/>
    <w:qFormat/>
    <w:rsid w:val="00B47CC6"/>
    <w:pPr>
      <w:spacing w:before="240"/>
    </w:pPr>
    <w:rPr>
      <w:rFonts w:ascii="Georgia" w:hAnsi="Georgia" w:cs="Arial"/>
      <w:b/>
      <w:color w:val="121F6B"/>
      <w:kern w:val="28"/>
      <w:sz w:val="40"/>
      <w:szCs w:val="40"/>
      <w:lang w:val="en-US"/>
    </w:rPr>
  </w:style>
  <w:style w:type="paragraph" w:styleId="NormalWeb">
    <w:name w:val="Normal (Web)"/>
    <w:basedOn w:val="Normal"/>
    <w:uiPriority w:val="99"/>
    <w:semiHidden/>
    <w:rsid w:val="00E40DE5"/>
    <w:rPr>
      <w:rFonts w:cs="Times New Roman"/>
      <w:kern w:val="0"/>
      <w:szCs w:val="24"/>
    </w:rPr>
  </w:style>
  <w:style w:type="paragraph" w:styleId="FootnoteText">
    <w:name w:val="footnote text"/>
    <w:basedOn w:val="Normal"/>
    <w:link w:val="FootnoteTextChar"/>
    <w:rsid w:val="003505CE"/>
    <w:pPr>
      <w:spacing w:before="60" w:after="60" w:line="247" w:lineRule="auto"/>
    </w:pPr>
    <w:rPr>
      <w:rFonts w:eastAsia="Times New Roman" w:cs="Times New Roman"/>
      <w:kern w:val="0"/>
      <w:sz w:val="18"/>
      <w:lang w:val="en-AU" w:eastAsia="en-AU"/>
    </w:rPr>
  </w:style>
  <w:style w:type="character" w:customStyle="1" w:styleId="FootnoteTextChar">
    <w:name w:val="Footnote Text Char"/>
    <w:basedOn w:val="DefaultParagraphFont"/>
    <w:link w:val="FootnoteText"/>
    <w:rsid w:val="003505CE"/>
    <w:rPr>
      <w:rFonts w:ascii="Verdana" w:eastAsia="Times New Roman" w:hAnsi="Verdana"/>
      <w:sz w:val="18"/>
      <w:lang w:val="en-AU" w:eastAsia="en-AU"/>
    </w:rPr>
  </w:style>
  <w:style w:type="character" w:styleId="FootnoteReference">
    <w:name w:val="footnote reference"/>
    <w:rsid w:val="00AC5F28"/>
    <w:rPr>
      <w:rFonts w:ascii="Verdana" w:hAnsi="Verdana"/>
      <w:sz w:val="20"/>
      <w:vertAlign w:val="superscript"/>
    </w:rPr>
  </w:style>
  <w:style w:type="character" w:styleId="CommentReference">
    <w:name w:val="annotation reference"/>
    <w:uiPriority w:val="99"/>
    <w:semiHidden/>
    <w:rsid w:val="00845E9E"/>
    <w:rPr>
      <w:sz w:val="16"/>
      <w:szCs w:val="16"/>
    </w:rPr>
  </w:style>
  <w:style w:type="paragraph" w:customStyle="1" w:styleId="Default">
    <w:name w:val="Default"/>
    <w:rsid w:val="0068605A"/>
    <w:pPr>
      <w:autoSpaceDE w:val="0"/>
      <w:autoSpaceDN w:val="0"/>
      <w:adjustRightInd w:val="0"/>
    </w:pPr>
    <w:rPr>
      <w:rFonts w:ascii="National Semibold" w:hAnsi="National Semibold" w:cs="National Semibold"/>
      <w:color w:val="000000"/>
      <w:sz w:val="24"/>
      <w:szCs w:val="24"/>
    </w:rPr>
  </w:style>
  <w:style w:type="paragraph" w:customStyle="1" w:styleId="Pa8">
    <w:name w:val="Pa8"/>
    <w:basedOn w:val="Default"/>
    <w:next w:val="Default"/>
    <w:uiPriority w:val="99"/>
    <w:rsid w:val="0068605A"/>
    <w:pPr>
      <w:spacing w:line="281" w:lineRule="atLeast"/>
    </w:pPr>
    <w:rPr>
      <w:rFonts w:cs="Times New Roman"/>
      <w:color w:val="auto"/>
    </w:rPr>
  </w:style>
  <w:style w:type="paragraph" w:customStyle="1" w:styleId="Pa9">
    <w:name w:val="Pa9"/>
    <w:basedOn w:val="Default"/>
    <w:next w:val="Default"/>
    <w:uiPriority w:val="99"/>
    <w:rsid w:val="0068605A"/>
    <w:pPr>
      <w:spacing w:line="241" w:lineRule="atLeast"/>
    </w:pPr>
    <w:rPr>
      <w:rFonts w:cs="Times New Roman"/>
      <w:color w:val="auto"/>
    </w:rPr>
  </w:style>
  <w:style w:type="paragraph" w:customStyle="1" w:styleId="Pa6">
    <w:name w:val="Pa6"/>
    <w:basedOn w:val="Default"/>
    <w:next w:val="Default"/>
    <w:uiPriority w:val="99"/>
    <w:rsid w:val="0068605A"/>
    <w:pPr>
      <w:spacing w:line="201" w:lineRule="atLeast"/>
    </w:pPr>
    <w:rPr>
      <w:rFonts w:cs="Times New Roman"/>
      <w:color w:val="auto"/>
    </w:rPr>
  </w:style>
  <w:style w:type="paragraph" w:customStyle="1" w:styleId="summary">
    <w:name w:val="summary"/>
    <w:basedOn w:val="Normal"/>
    <w:rsid w:val="0047453A"/>
    <w:pPr>
      <w:spacing w:before="100" w:beforeAutospacing="1" w:after="100" w:afterAutospacing="1" w:line="240" w:lineRule="auto"/>
    </w:pPr>
    <w:rPr>
      <w:rFonts w:ascii="Times New Roman" w:eastAsia="Times New Roman" w:hAnsi="Times New Roman" w:cs="Times New Roman"/>
      <w:kern w:val="0"/>
      <w:sz w:val="24"/>
      <w:szCs w:val="24"/>
      <w:lang w:eastAsia="en-NZ"/>
    </w:rPr>
  </w:style>
  <w:style w:type="paragraph" w:styleId="CommentText">
    <w:name w:val="annotation text"/>
    <w:basedOn w:val="Normal"/>
    <w:link w:val="CommentTextChar"/>
    <w:uiPriority w:val="99"/>
    <w:semiHidden/>
    <w:rsid w:val="003B17B6"/>
    <w:pPr>
      <w:spacing w:line="240" w:lineRule="auto"/>
    </w:pPr>
  </w:style>
  <w:style w:type="character" w:customStyle="1" w:styleId="CommentTextChar">
    <w:name w:val="Comment Text Char"/>
    <w:basedOn w:val="DefaultParagraphFont"/>
    <w:link w:val="CommentText"/>
    <w:uiPriority w:val="99"/>
    <w:semiHidden/>
    <w:rsid w:val="003B17B6"/>
    <w:rPr>
      <w:rFonts w:ascii="Verdana" w:hAnsi="Verdana" w:cs="Arial"/>
      <w:kern w:val="28"/>
    </w:rPr>
  </w:style>
  <w:style w:type="paragraph" w:styleId="CommentSubject">
    <w:name w:val="annotation subject"/>
    <w:basedOn w:val="CommentText"/>
    <w:next w:val="CommentText"/>
    <w:link w:val="CommentSubjectChar"/>
    <w:uiPriority w:val="99"/>
    <w:semiHidden/>
    <w:rsid w:val="003B17B6"/>
    <w:rPr>
      <w:b/>
      <w:bCs/>
    </w:rPr>
  </w:style>
  <w:style w:type="character" w:customStyle="1" w:styleId="CommentSubjectChar">
    <w:name w:val="Comment Subject Char"/>
    <w:basedOn w:val="CommentTextChar"/>
    <w:link w:val="CommentSubject"/>
    <w:uiPriority w:val="99"/>
    <w:semiHidden/>
    <w:rsid w:val="003B17B6"/>
    <w:rPr>
      <w:rFonts w:ascii="Verdana" w:hAnsi="Verdana" w:cs="Arial"/>
      <w:b/>
      <w:bCs/>
      <w:kern w:val="28"/>
    </w:rPr>
  </w:style>
  <w:style w:type="paragraph" w:customStyle="1" w:styleId="Figuretitle">
    <w:name w:val="Figure title"/>
    <w:basedOn w:val="Normal"/>
    <w:qFormat/>
    <w:rsid w:val="00662131"/>
    <w:pPr>
      <w:keepNext/>
    </w:pPr>
    <w:rPr>
      <w:b/>
      <w:color w:val="000000" w:themeColor="text1"/>
      <w:sz w:val="18"/>
      <w:szCs w:val="18"/>
      <w:lang w:eastAsia="en-AU"/>
    </w:rPr>
  </w:style>
  <w:style w:type="paragraph" w:styleId="TOC4">
    <w:name w:val="toc 4"/>
    <w:basedOn w:val="Normal"/>
    <w:next w:val="Normal"/>
    <w:autoRedefine/>
    <w:uiPriority w:val="39"/>
    <w:rsid w:val="00C67C1A"/>
    <w:pPr>
      <w:spacing w:after="100"/>
      <w:ind w:left="600"/>
    </w:pPr>
  </w:style>
  <w:style w:type="paragraph" w:customStyle="1" w:styleId="Tabletitle">
    <w:name w:val="Table title"/>
    <w:basedOn w:val="Normal"/>
    <w:qFormat/>
    <w:rsid w:val="00732419"/>
    <w:pPr>
      <w:keepNext/>
    </w:pPr>
    <w:rPr>
      <w:b/>
      <w:color w:val="4F81BD" w:themeColor="accent1"/>
      <w:sz w:val="18"/>
      <w:szCs w:val="18"/>
      <w:lang w:eastAsia="en-AU"/>
    </w:rPr>
  </w:style>
  <w:style w:type="paragraph" w:styleId="TOC6">
    <w:name w:val="toc 6"/>
    <w:basedOn w:val="Normal"/>
    <w:next w:val="Normal"/>
    <w:autoRedefine/>
    <w:uiPriority w:val="39"/>
    <w:rsid w:val="00E433DA"/>
    <w:pPr>
      <w:spacing w:after="100"/>
      <w:ind w:left="1000"/>
    </w:pPr>
  </w:style>
  <w:style w:type="paragraph" w:styleId="TOC9">
    <w:name w:val="toc 9"/>
    <w:basedOn w:val="Normal"/>
    <w:next w:val="Normal"/>
    <w:autoRedefine/>
    <w:uiPriority w:val="39"/>
    <w:rsid w:val="00E433DA"/>
    <w:pPr>
      <w:spacing w:after="100"/>
      <w:ind w:left="1600"/>
    </w:pPr>
  </w:style>
  <w:style w:type="character" w:styleId="FollowedHyperlink">
    <w:name w:val="FollowedHyperlink"/>
    <w:basedOn w:val="DefaultParagraphFont"/>
    <w:uiPriority w:val="99"/>
    <w:semiHidden/>
    <w:rsid w:val="00C70835"/>
    <w:rPr>
      <w:color w:val="800080" w:themeColor="followedHyperlink"/>
      <w:u w:val="single"/>
    </w:rPr>
  </w:style>
  <w:style w:type="table" w:customStyle="1" w:styleId="TableGrid1">
    <w:name w:val="Table Grid1"/>
    <w:basedOn w:val="TableNormal"/>
    <w:next w:val="TableGrid"/>
    <w:uiPriority w:val="59"/>
    <w:rsid w:val="007A4E5A"/>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E5A"/>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rsid w:val="00DE4050"/>
    <w:rPr>
      <w:rFonts w:ascii="Verdana" w:hAnsi="Verdana"/>
      <w:sz w:val="18"/>
      <w:vertAlign w:val="superscript"/>
    </w:rPr>
  </w:style>
  <w:style w:type="paragraph" w:styleId="EndnoteText">
    <w:name w:val="endnote text"/>
    <w:basedOn w:val="Normal"/>
    <w:link w:val="EndnoteTextChar"/>
    <w:uiPriority w:val="99"/>
    <w:semiHidden/>
    <w:rsid w:val="00DE4050"/>
    <w:pPr>
      <w:spacing w:after="0" w:line="240" w:lineRule="auto"/>
    </w:pPr>
  </w:style>
  <w:style w:type="character" w:customStyle="1" w:styleId="EndnoteTextChar">
    <w:name w:val="Endnote Text Char"/>
    <w:basedOn w:val="DefaultParagraphFont"/>
    <w:link w:val="EndnoteText"/>
    <w:uiPriority w:val="99"/>
    <w:semiHidden/>
    <w:rsid w:val="00DE4050"/>
    <w:rPr>
      <w:rFonts w:ascii="Verdana" w:hAnsi="Verdana" w:cs="Arial"/>
      <w:kern w:val="28"/>
    </w:rPr>
  </w:style>
  <w:style w:type="paragraph" w:customStyle="1" w:styleId="Info1">
    <w:name w:val="Info1"/>
    <w:basedOn w:val="Normal"/>
    <w:qFormat/>
    <w:rsid w:val="00FC7E74"/>
    <w:pPr>
      <w:spacing w:before="240"/>
    </w:pPr>
    <w:rPr>
      <w:b/>
      <w:sz w:val="24"/>
    </w:rPr>
  </w:style>
  <w:style w:type="paragraph" w:customStyle="1" w:styleId="TableText">
    <w:name w:val="Table Text"/>
    <w:basedOn w:val="BodyText"/>
    <w:qFormat/>
    <w:rsid w:val="005548C9"/>
    <w:pPr>
      <w:widowControl w:val="0"/>
      <w:suppressAutoHyphens/>
      <w:autoSpaceDE w:val="0"/>
      <w:autoSpaceDN w:val="0"/>
      <w:adjustRightInd w:val="0"/>
      <w:spacing w:before="40" w:after="40" w:line="220" w:lineRule="atLeast"/>
      <w:textAlignment w:val="center"/>
    </w:pPr>
    <w:rPr>
      <w:rFonts w:eastAsiaTheme="minorHAnsi"/>
      <w:color w:val="1F497D" w:themeColor="text2"/>
      <w:kern w:val="0"/>
      <w:szCs w:val="16"/>
      <w:lang w:eastAsia="en-NZ"/>
    </w:rPr>
  </w:style>
  <w:style w:type="paragraph" w:styleId="BodyText">
    <w:name w:val="Body Text"/>
    <w:basedOn w:val="Normal"/>
    <w:link w:val="BodyTextChar"/>
    <w:uiPriority w:val="99"/>
    <w:semiHidden/>
    <w:unhideWhenUsed/>
    <w:rsid w:val="005548C9"/>
  </w:style>
  <w:style w:type="character" w:customStyle="1" w:styleId="BodyTextChar">
    <w:name w:val="Body Text Char"/>
    <w:basedOn w:val="DefaultParagraphFont"/>
    <w:link w:val="BodyText"/>
    <w:uiPriority w:val="99"/>
    <w:semiHidden/>
    <w:rsid w:val="005548C9"/>
    <w:rPr>
      <w:rFonts w:ascii="Verdana" w:hAnsi="Verdana" w:cs="Arial"/>
      <w:kern w:val="28"/>
    </w:rPr>
  </w:style>
  <w:style w:type="table" w:customStyle="1" w:styleId="ListTable1Light-Accent11">
    <w:name w:val="List Table 1 Light - Accent 11"/>
    <w:basedOn w:val="TableNormal"/>
    <w:uiPriority w:val="46"/>
    <w:rsid w:val="005548C9"/>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MSDreportstyle">
    <w:name w:val="MSDreportstyle"/>
    <w:basedOn w:val="TableNormal"/>
    <w:uiPriority w:val="99"/>
    <w:rsid w:val="00C3573E"/>
    <w:rPr>
      <w:rFonts w:ascii="Verdana" w:hAnsi="Verdana"/>
      <w:color w:val="262626" w:themeColor="text1" w:themeTint="D9"/>
    </w:rPr>
    <w:tblPr>
      <w:tblStyleRowBandSize w:val="1"/>
      <w:tblBorders>
        <w:bottom w:val="single" w:sz="4" w:space="0" w:color="auto"/>
      </w:tblBorders>
    </w:tblPr>
    <w:tblStylePr w:type="firstRow">
      <w:rPr>
        <w:rFonts w:ascii="Verdana" w:hAnsi="Verdana"/>
        <w:color w:val="FFFFFF" w:themeColor="background1"/>
        <w:sz w:val="20"/>
      </w:rPr>
      <w:tblPr/>
      <w:tcPr>
        <w:shd w:val="clear" w:color="auto" w:fill="1F497D" w:themeFill="text2"/>
      </w:tcPr>
    </w:tblStylePr>
    <w:tblStylePr w:type="lastRow">
      <w:tblPr/>
      <w:tcPr>
        <w:tcBorders>
          <w:bottom w:val="nil"/>
        </w:tcBorders>
      </w:tcPr>
    </w:tblStylePr>
    <w:tblStylePr w:type="band1Horz">
      <w:tblPr/>
      <w:tcPr>
        <w:shd w:val="clear" w:color="auto" w:fill="C6D9F1" w:themeFill="text2" w:themeFillTint="33"/>
      </w:tcPr>
    </w:tblStylePr>
  </w:style>
  <w:style w:type="table" w:styleId="LightShading-Accent1">
    <w:name w:val="Light Shading Accent 1"/>
    <w:basedOn w:val="TableNormal"/>
    <w:uiPriority w:val="60"/>
    <w:rsid w:val="00AC5F2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ReportBody">
    <w:name w:val="Report Body"/>
    <w:basedOn w:val="Normal"/>
    <w:link w:val="ReportBodyChar"/>
    <w:rsid w:val="00AC5F28"/>
    <w:pPr>
      <w:numPr>
        <w:numId w:val="4"/>
      </w:numPr>
      <w:spacing w:before="60" w:after="60" w:line="259" w:lineRule="auto"/>
    </w:pPr>
    <w:rPr>
      <w:rFonts w:eastAsia="Times New Roman" w:cs="Times New Roman"/>
      <w:color w:val="000000"/>
      <w:kern w:val="22"/>
      <w:szCs w:val="22"/>
    </w:rPr>
  </w:style>
  <w:style w:type="paragraph" w:customStyle="1" w:styleId="ReportBody2">
    <w:name w:val="Report Body 2"/>
    <w:basedOn w:val="ReportBody"/>
    <w:qFormat/>
    <w:rsid w:val="00AC5F28"/>
    <w:pPr>
      <w:numPr>
        <w:ilvl w:val="1"/>
      </w:numPr>
      <w:tabs>
        <w:tab w:val="clear" w:pos="493"/>
      </w:tabs>
      <w:ind w:left="1440" w:hanging="360"/>
    </w:pPr>
  </w:style>
  <w:style w:type="character" w:customStyle="1" w:styleId="ReportBodyChar">
    <w:name w:val="Report Body Char"/>
    <w:basedOn w:val="DefaultParagraphFont"/>
    <w:link w:val="ReportBody"/>
    <w:locked/>
    <w:rsid w:val="00AC5F28"/>
    <w:rPr>
      <w:rFonts w:ascii="Verdana" w:eastAsia="Times New Roman" w:hAnsi="Verdana"/>
      <w:color w:val="000000"/>
      <w:kern w:val="22"/>
      <w:szCs w:val="22"/>
    </w:rPr>
  </w:style>
  <w:style w:type="paragraph" w:styleId="ListBullet2">
    <w:name w:val="List Bullet 2"/>
    <w:basedOn w:val="Normal"/>
    <w:uiPriority w:val="99"/>
    <w:rsid w:val="00AC5F28"/>
    <w:pPr>
      <w:spacing w:before="60" w:after="60"/>
      <w:ind w:left="643" w:hanging="360"/>
      <w:contextualSpacing/>
    </w:pPr>
  </w:style>
  <w:style w:type="character" w:customStyle="1" w:styleId="Heading6Char">
    <w:name w:val="Heading 6 Char"/>
    <w:basedOn w:val="DefaultParagraphFont"/>
    <w:link w:val="Heading6"/>
    <w:uiPriority w:val="9"/>
    <w:semiHidden/>
    <w:rsid w:val="00EC28CF"/>
    <w:rPr>
      <w:rFonts w:ascii="Verdana" w:eastAsiaTheme="majorEastAsia" w:hAnsi="Verdana" w:cstheme="majorBidi"/>
      <w:i/>
      <w:iCs/>
      <w:color w:val="243F60" w:themeColor="accent1" w:themeShade="7F"/>
      <w:kern w:val="28"/>
    </w:rPr>
  </w:style>
  <w:style w:type="character" w:customStyle="1" w:styleId="Heading7Char">
    <w:name w:val="Heading 7 Char"/>
    <w:basedOn w:val="DefaultParagraphFont"/>
    <w:link w:val="Heading7"/>
    <w:uiPriority w:val="9"/>
    <w:semiHidden/>
    <w:rsid w:val="00EC28CF"/>
    <w:rPr>
      <w:rFonts w:ascii="Verdana" w:eastAsiaTheme="majorEastAsia" w:hAnsi="Verdana" w:cstheme="majorBidi"/>
      <w:i/>
      <w:iCs/>
      <w:color w:val="404040" w:themeColor="text1" w:themeTint="BF"/>
      <w:kern w:val="28"/>
    </w:rPr>
  </w:style>
  <w:style w:type="character" w:customStyle="1" w:styleId="Heading8Char">
    <w:name w:val="Heading 8 Char"/>
    <w:basedOn w:val="DefaultParagraphFont"/>
    <w:link w:val="Heading8"/>
    <w:uiPriority w:val="9"/>
    <w:semiHidden/>
    <w:rsid w:val="00EC28CF"/>
    <w:rPr>
      <w:rFonts w:ascii="Verdana" w:eastAsiaTheme="majorEastAsia" w:hAnsi="Verdana" w:cstheme="majorBidi"/>
      <w:color w:val="404040" w:themeColor="text1" w:themeTint="BF"/>
      <w:kern w:val="28"/>
    </w:rPr>
  </w:style>
  <w:style w:type="character" w:customStyle="1" w:styleId="Heading9Char">
    <w:name w:val="Heading 9 Char"/>
    <w:basedOn w:val="DefaultParagraphFont"/>
    <w:link w:val="Heading9"/>
    <w:uiPriority w:val="9"/>
    <w:semiHidden/>
    <w:rsid w:val="00EC28CF"/>
    <w:rPr>
      <w:rFonts w:ascii="Verdana" w:eastAsiaTheme="majorEastAsia" w:hAnsi="Verdana" w:cstheme="majorBidi"/>
      <w:i/>
      <w:iCs/>
      <w:color w:val="404040" w:themeColor="text1" w:themeTint="BF"/>
      <w:kern w:val="28"/>
    </w:rPr>
  </w:style>
  <w:style w:type="paragraph" w:styleId="NoSpacing">
    <w:name w:val="No Spacing"/>
    <w:uiPriority w:val="1"/>
    <w:rsid w:val="00EC28CF"/>
    <w:rPr>
      <w:rFonts w:ascii="Verdana" w:hAnsi="Verdana" w:cs="Arial"/>
      <w:kern w:val="28"/>
      <w:sz w:val="22"/>
    </w:rPr>
  </w:style>
  <w:style w:type="paragraph" w:styleId="Quote">
    <w:name w:val="Quote"/>
    <w:basedOn w:val="Normal"/>
    <w:next w:val="Normal"/>
    <w:link w:val="QuoteChar"/>
    <w:uiPriority w:val="29"/>
    <w:rsid w:val="00EC28CF"/>
    <w:pPr>
      <w:spacing w:before="60" w:after="60"/>
    </w:pPr>
    <w:rPr>
      <w:i/>
      <w:iCs/>
      <w:color w:val="000000" w:themeColor="text1"/>
    </w:rPr>
  </w:style>
  <w:style w:type="character" w:customStyle="1" w:styleId="QuoteChar">
    <w:name w:val="Quote Char"/>
    <w:basedOn w:val="DefaultParagraphFont"/>
    <w:link w:val="Quote"/>
    <w:uiPriority w:val="29"/>
    <w:rsid w:val="00EC28CF"/>
    <w:rPr>
      <w:rFonts w:ascii="Verdana" w:hAnsi="Verdana" w:cs="Arial"/>
      <w:i/>
      <w:iCs/>
      <w:color w:val="000000" w:themeColor="text1"/>
      <w:kern w:val="28"/>
    </w:rPr>
  </w:style>
  <w:style w:type="character" w:styleId="Emphasis">
    <w:name w:val="Emphasis"/>
    <w:basedOn w:val="DefaultParagraphFont"/>
    <w:uiPriority w:val="20"/>
    <w:locked/>
    <w:rsid w:val="00EC28CF"/>
    <w:rPr>
      <w:rFonts w:ascii="Verdana" w:hAnsi="Verdana"/>
      <w:b/>
      <w:sz w:val="20"/>
    </w:rPr>
  </w:style>
  <w:style w:type="paragraph" w:styleId="IntenseQuote">
    <w:name w:val="Intense Quote"/>
    <w:basedOn w:val="Normal"/>
    <w:next w:val="Normal"/>
    <w:link w:val="IntenseQuoteChar"/>
    <w:uiPriority w:val="30"/>
    <w:rsid w:val="00EC28CF"/>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EC28CF"/>
    <w:rPr>
      <w:rFonts w:ascii="Verdana" w:hAnsi="Verdana" w:cs="Arial"/>
      <w:b/>
      <w:bCs/>
      <w:i/>
      <w:iCs/>
      <w:kern w:val="28"/>
    </w:rPr>
  </w:style>
  <w:style w:type="paragraph" w:styleId="ListBullet">
    <w:name w:val="List Bullet"/>
    <w:basedOn w:val="Normal"/>
    <w:uiPriority w:val="99"/>
    <w:rsid w:val="00EC28CF"/>
    <w:pPr>
      <w:spacing w:before="60" w:after="60"/>
      <w:contextualSpacing/>
    </w:pPr>
  </w:style>
  <w:style w:type="character" w:styleId="BookTitle">
    <w:name w:val="Book Title"/>
    <w:basedOn w:val="DefaultParagraphFont"/>
    <w:uiPriority w:val="33"/>
    <w:rsid w:val="00EC28CF"/>
    <w:rPr>
      <w:rFonts w:ascii="Verdana" w:hAnsi="Verdana"/>
      <w:b w:val="0"/>
      <w:bCs/>
      <w:i/>
      <w:caps w:val="0"/>
      <w:smallCaps w:val="0"/>
      <w:spacing w:val="5"/>
      <w:sz w:val="20"/>
    </w:rPr>
  </w:style>
  <w:style w:type="character" w:styleId="IntenseReference">
    <w:name w:val="Intense Reference"/>
    <w:basedOn w:val="DefaultParagraphFont"/>
    <w:uiPriority w:val="32"/>
    <w:rsid w:val="00EC28CF"/>
    <w:rPr>
      <w:b/>
      <w:bCs/>
      <w:smallCaps/>
      <w:spacing w:val="5"/>
    </w:rPr>
  </w:style>
  <w:style w:type="character" w:styleId="SubtleReference">
    <w:name w:val="Subtle Reference"/>
    <w:basedOn w:val="DefaultParagraphFont"/>
    <w:uiPriority w:val="31"/>
    <w:rsid w:val="00EC28CF"/>
    <w:rPr>
      <w:smallCaps/>
    </w:rPr>
  </w:style>
  <w:style w:type="character" w:styleId="IntenseEmphasis">
    <w:name w:val="Intense Emphasis"/>
    <w:basedOn w:val="DefaultParagraphFont"/>
    <w:uiPriority w:val="21"/>
    <w:rsid w:val="00EC28CF"/>
    <w:rPr>
      <w:b/>
      <w:bCs/>
      <w:i/>
      <w:iCs/>
      <w:color w:val="auto"/>
    </w:rPr>
  </w:style>
  <w:style w:type="paragraph" w:styleId="BlockText">
    <w:name w:val="Block Text"/>
    <w:basedOn w:val="Normal"/>
    <w:uiPriority w:val="99"/>
    <w:semiHidden/>
    <w:rsid w:val="00EC28C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before="60" w:after="60"/>
      <w:ind w:left="1152" w:right="1152"/>
    </w:pPr>
    <w:rPr>
      <w:rFonts w:eastAsiaTheme="minorEastAsia" w:cstheme="minorBidi"/>
      <w:iCs/>
    </w:rPr>
  </w:style>
  <w:style w:type="paragraph" w:styleId="BodyText2">
    <w:name w:val="Body Text 2"/>
    <w:basedOn w:val="Normal"/>
    <w:link w:val="BodyText2Char"/>
    <w:uiPriority w:val="99"/>
    <w:semiHidden/>
    <w:rsid w:val="00EC28CF"/>
    <w:pPr>
      <w:spacing w:before="60" w:after="60" w:line="480" w:lineRule="auto"/>
    </w:pPr>
  </w:style>
  <w:style w:type="character" w:customStyle="1" w:styleId="BodyText2Char">
    <w:name w:val="Body Text 2 Char"/>
    <w:basedOn w:val="DefaultParagraphFont"/>
    <w:link w:val="BodyText2"/>
    <w:uiPriority w:val="99"/>
    <w:semiHidden/>
    <w:rsid w:val="00EC28CF"/>
    <w:rPr>
      <w:rFonts w:ascii="Verdana" w:hAnsi="Verdana" w:cs="Arial"/>
      <w:kern w:val="28"/>
    </w:rPr>
  </w:style>
  <w:style w:type="paragraph" w:styleId="BodyText3">
    <w:name w:val="Body Text 3"/>
    <w:basedOn w:val="Normal"/>
    <w:link w:val="BodyText3Char"/>
    <w:uiPriority w:val="99"/>
    <w:semiHidden/>
    <w:rsid w:val="00EC28CF"/>
    <w:pPr>
      <w:spacing w:before="60" w:after="60"/>
    </w:pPr>
    <w:rPr>
      <w:szCs w:val="16"/>
    </w:rPr>
  </w:style>
  <w:style w:type="character" w:customStyle="1" w:styleId="BodyText3Char">
    <w:name w:val="Body Text 3 Char"/>
    <w:basedOn w:val="DefaultParagraphFont"/>
    <w:link w:val="BodyText3"/>
    <w:uiPriority w:val="99"/>
    <w:semiHidden/>
    <w:rsid w:val="00EC28CF"/>
    <w:rPr>
      <w:rFonts w:ascii="Verdana" w:hAnsi="Verdana" w:cs="Arial"/>
      <w:kern w:val="28"/>
      <w:szCs w:val="16"/>
    </w:rPr>
  </w:style>
  <w:style w:type="paragraph" w:styleId="BodyTextIndent">
    <w:name w:val="Body Text Indent"/>
    <w:basedOn w:val="Normal"/>
    <w:link w:val="BodyTextIndentChar"/>
    <w:uiPriority w:val="99"/>
    <w:semiHidden/>
    <w:rsid w:val="00EC28CF"/>
    <w:pPr>
      <w:spacing w:before="60" w:after="60"/>
      <w:ind w:left="283"/>
    </w:pPr>
  </w:style>
  <w:style w:type="character" w:customStyle="1" w:styleId="BodyTextIndentChar">
    <w:name w:val="Body Text Indent Char"/>
    <w:basedOn w:val="DefaultParagraphFont"/>
    <w:link w:val="BodyTextIndent"/>
    <w:uiPriority w:val="99"/>
    <w:semiHidden/>
    <w:rsid w:val="00EC28CF"/>
    <w:rPr>
      <w:rFonts w:ascii="Verdana" w:hAnsi="Verdana" w:cs="Arial"/>
      <w:kern w:val="28"/>
    </w:rPr>
  </w:style>
  <w:style w:type="paragraph" w:styleId="TOC5">
    <w:name w:val="toc 5"/>
    <w:basedOn w:val="Normal"/>
    <w:next w:val="Normal"/>
    <w:autoRedefine/>
    <w:uiPriority w:val="39"/>
    <w:unhideWhenUsed/>
    <w:rsid w:val="00EC28CF"/>
    <w:pPr>
      <w:spacing w:after="100" w:line="276" w:lineRule="auto"/>
      <w:ind w:left="880"/>
    </w:pPr>
    <w:rPr>
      <w:rFonts w:asciiTheme="minorHAnsi" w:eastAsiaTheme="minorEastAsia" w:hAnsiTheme="minorHAnsi" w:cstheme="minorBidi"/>
      <w:kern w:val="0"/>
      <w:szCs w:val="22"/>
      <w:lang w:eastAsia="en-NZ"/>
    </w:rPr>
  </w:style>
  <w:style w:type="paragraph" w:styleId="TOC7">
    <w:name w:val="toc 7"/>
    <w:basedOn w:val="Normal"/>
    <w:next w:val="Normal"/>
    <w:autoRedefine/>
    <w:uiPriority w:val="39"/>
    <w:unhideWhenUsed/>
    <w:rsid w:val="00EC28CF"/>
    <w:pPr>
      <w:spacing w:after="100" w:line="276" w:lineRule="auto"/>
      <w:ind w:left="1320"/>
    </w:pPr>
    <w:rPr>
      <w:rFonts w:asciiTheme="minorHAnsi" w:eastAsiaTheme="minorEastAsia" w:hAnsiTheme="minorHAnsi" w:cstheme="minorBidi"/>
      <w:kern w:val="0"/>
      <w:szCs w:val="22"/>
      <w:lang w:eastAsia="en-NZ"/>
    </w:rPr>
  </w:style>
  <w:style w:type="paragraph" w:styleId="TOC8">
    <w:name w:val="toc 8"/>
    <w:basedOn w:val="Normal"/>
    <w:next w:val="Normal"/>
    <w:autoRedefine/>
    <w:uiPriority w:val="39"/>
    <w:unhideWhenUsed/>
    <w:rsid w:val="00EC28CF"/>
    <w:pPr>
      <w:spacing w:after="100" w:line="276" w:lineRule="auto"/>
      <w:ind w:left="1540"/>
    </w:pPr>
    <w:rPr>
      <w:rFonts w:asciiTheme="minorHAnsi" w:eastAsiaTheme="minorEastAsia" w:hAnsiTheme="minorHAnsi" w:cstheme="minorBidi"/>
      <w:kern w:val="0"/>
      <w:szCs w:val="22"/>
      <w:lang w:eastAsia="en-NZ"/>
    </w:rPr>
  </w:style>
  <w:style w:type="table" w:styleId="LightShading">
    <w:name w:val="Light Shading"/>
    <w:basedOn w:val="TableNormal"/>
    <w:uiPriority w:val="60"/>
    <w:rsid w:val="00EC28CF"/>
    <w:rPr>
      <w:rFonts w:ascii="Times New Roman" w:eastAsia="Times New Roman" w:hAnsi="Times New Roman"/>
      <w:color w:val="000000" w:themeColor="text1" w:themeShade="BF"/>
      <w:lang w:eastAsia="en-NZ"/>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EC28CF"/>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EC28CF"/>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EC28CF"/>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EC28C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EC28CF"/>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EC28CF"/>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EC28CF"/>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EC28CF"/>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EC28CF"/>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EC28CF"/>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EC28CF"/>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EC28CF"/>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EC28CF"/>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EC28CF"/>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EC28CF"/>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EC28CF"/>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EC28CF"/>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EC28CF"/>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EC28CF"/>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EC28CF"/>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EC28CF"/>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EC28CF"/>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C28CF"/>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C28CF"/>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C28CF"/>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C28CF"/>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C28CF"/>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C28CF"/>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C28CF"/>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C28CF"/>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C28CF"/>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C28CF"/>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C28CF"/>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C28CF"/>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C28CF"/>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C28CF"/>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C28CF"/>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C28CF"/>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EC28CF"/>
    <w:pPr>
      <w:spacing w:before="60"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EC28CF"/>
    <w:rPr>
      <w:rFonts w:ascii="Verdana" w:hAnsi="Verdana" w:cs="Tahoma"/>
      <w:kern w:val="28"/>
      <w:sz w:val="16"/>
      <w:szCs w:val="16"/>
    </w:rPr>
  </w:style>
  <w:style w:type="table" w:styleId="MediumShading1-Accent1">
    <w:name w:val="Medium Shading 1 Accent 1"/>
    <w:basedOn w:val="TableNormal"/>
    <w:uiPriority w:val="63"/>
    <w:rsid w:val="00EC28CF"/>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EC28CF"/>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C28CF"/>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C28CF"/>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C28CF"/>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C28CF"/>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EC28CF"/>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EC28CF"/>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EC28CF"/>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C28CF"/>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C28CF"/>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EC28CF"/>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EC28CF"/>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EC28CF"/>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EC28CF"/>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EC28CF"/>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EC28CF"/>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EC28CF"/>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EC28CF"/>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EC28CF"/>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EC28CF"/>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EC28CF"/>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EC28CF"/>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EC28CF"/>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EC28CF"/>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EC28CF"/>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EC28CF"/>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EC28CF"/>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C28CF"/>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C28CF"/>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C28CF"/>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C28CF"/>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C28CF"/>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C28CF"/>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EC28CF"/>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C28CF"/>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C28CF"/>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C28CF"/>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C28CF"/>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C28CF"/>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C28CF"/>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EC28CF"/>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EC28CF"/>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EC28CF"/>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EC28CF"/>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EC28CF"/>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EC28CF"/>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EC28CF"/>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EC28CF"/>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EC28CF"/>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EC28CF"/>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EC28CF"/>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EC28CF"/>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EC28CF"/>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EC28CF"/>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EC28CF"/>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EC28CF"/>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EC28CF"/>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EC28CF"/>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EC28CF"/>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EC28CF"/>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EC28CF"/>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EC28CF"/>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EC28CF"/>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EC28CF"/>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EC28CF"/>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EC28CF"/>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EC28CF"/>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EC28CF"/>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EC28CF"/>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EC28CF"/>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EC28CF"/>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EC28CF"/>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EC28CF"/>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EC28CF"/>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EC28CF"/>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EC28CF"/>
    <w:pPr>
      <w:framePr w:w="7920" w:h="1980" w:hRule="exact" w:hSpace="180" w:wrap="auto" w:hAnchor="page" w:xAlign="center" w:yAlign="bottom"/>
      <w:spacing w:before="60"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EC28CF"/>
    <w:pPr>
      <w:spacing w:before="60" w:after="0" w:line="240" w:lineRule="auto"/>
    </w:pPr>
    <w:rPr>
      <w:rFonts w:eastAsiaTheme="majorEastAsia" w:cstheme="majorBidi"/>
      <w:sz w:val="18"/>
    </w:rPr>
  </w:style>
  <w:style w:type="paragraph" w:styleId="Index1">
    <w:name w:val="index 1"/>
    <w:basedOn w:val="Normal"/>
    <w:next w:val="Normal"/>
    <w:autoRedefine/>
    <w:uiPriority w:val="99"/>
    <w:semiHidden/>
    <w:rsid w:val="00EC28CF"/>
    <w:pPr>
      <w:spacing w:before="60" w:after="0" w:line="240" w:lineRule="auto"/>
      <w:ind w:left="200" w:hanging="200"/>
    </w:pPr>
  </w:style>
  <w:style w:type="paragraph" w:styleId="IndexHeading">
    <w:name w:val="index heading"/>
    <w:basedOn w:val="Normal"/>
    <w:next w:val="Index1"/>
    <w:uiPriority w:val="99"/>
    <w:semiHidden/>
    <w:rsid w:val="00EC28CF"/>
    <w:pPr>
      <w:spacing w:before="60" w:after="60"/>
    </w:pPr>
    <w:rPr>
      <w:rFonts w:eastAsiaTheme="majorEastAsia" w:cstheme="majorBidi"/>
      <w:b/>
      <w:bCs/>
      <w:sz w:val="18"/>
    </w:rPr>
  </w:style>
  <w:style w:type="paragraph" w:styleId="MessageHeader">
    <w:name w:val="Message Header"/>
    <w:basedOn w:val="Normal"/>
    <w:link w:val="MessageHeaderChar"/>
    <w:uiPriority w:val="99"/>
    <w:semiHidden/>
    <w:rsid w:val="00EC28CF"/>
    <w:pPr>
      <w:pBdr>
        <w:top w:val="single" w:sz="6" w:space="1" w:color="auto"/>
        <w:left w:val="single" w:sz="6" w:space="1" w:color="auto"/>
        <w:bottom w:val="single" w:sz="6" w:space="1" w:color="auto"/>
        <w:right w:val="single" w:sz="6" w:space="1" w:color="auto"/>
      </w:pBdr>
      <w:shd w:val="pct20" w:color="auto" w:fill="auto"/>
      <w:spacing w:before="60"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EC28CF"/>
    <w:rPr>
      <w:rFonts w:ascii="Verdana" w:eastAsiaTheme="majorEastAsia" w:hAnsi="Verdana" w:cstheme="majorBidi"/>
      <w:kern w:val="28"/>
      <w:sz w:val="22"/>
      <w:szCs w:val="24"/>
      <w:shd w:val="pct20" w:color="auto" w:fill="auto"/>
    </w:rPr>
  </w:style>
  <w:style w:type="paragraph" w:styleId="PlainText">
    <w:name w:val="Plain Text"/>
    <w:basedOn w:val="Normal"/>
    <w:link w:val="PlainTextChar"/>
    <w:uiPriority w:val="99"/>
    <w:semiHidden/>
    <w:rsid w:val="00EC28CF"/>
    <w:pPr>
      <w:spacing w:before="60" w:after="0" w:line="240" w:lineRule="auto"/>
    </w:pPr>
    <w:rPr>
      <w:rFonts w:cs="Consolas"/>
      <w:szCs w:val="21"/>
    </w:rPr>
  </w:style>
  <w:style w:type="character" w:customStyle="1" w:styleId="PlainTextChar">
    <w:name w:val="Plain Text Char"/>
    <w:basedOn w:val="DefaultParagraphFont"/>
    <w:link w:val="PlainText"/>
    <w:uiPriority w:val="99"/>
    <w:semiHidden/>
    <w:rsid w:val="00EC28CF"/>
    <w:rPr>
      <w:rFonts w:ascii="Verdana" w:hAnsi="Verdana" w:cs="Consolas"/>
      <w:kern w:val="28"/>
      <w:szCs w:val="21"/>
    </w:rPr>
  </w:style>
  <w:style w:type="table" w:styleId="Table3Deffects1">
    <w:name w:val="Table 3D effects 1"/>
    <w:basedOn w:val="TableNormal"/>
    <w:uiPriority w:val="99"/>
    <w:semiHidden/>
    <w:unhideWhenUsed/>
    <w:rsid w:val="00EC28CF"/>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C28CF"/>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C28CF"/>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C28CF"/>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C28CF"/>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C28CF"/>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C28CF"/>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C28CF"/>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C28CF"/>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C28CF"/>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C28CF"/>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C28CF"/>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C28CF"/>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C28CF"/>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C28CF"/>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C28CF"/>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C28CF"/>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EC28CF"/>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semiHidden/>
    <w:unhideWhenUsed/>
    <w:rsid w:val="00EC28CF"/>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C28CF"/>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C28CF"/>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C28CF"/>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C28CF"/>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C28CF"/>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C28CF"/>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EC28CF"/>
    <w:pPr>
      <w:spacing w:before="120" w:after="60"/>
    </w:pPr>
    <w:rPr>
      <w:rFonts w:eastAsiaTheme="majorEastAsia" w:cstheme="majorBidi"/>
      <w:b/>
      <w:bCs/>
      <w:sz w:val="24"/>
      <w:szCs w:val="24"/>
    </w:rPr>
  </w:style>
  <w:style w:type="character" w:styleId="HTMLKeyboard">
    <w:name w:val="HTML Keyboard"/>
    <w:basedOn w:val="DefaultParagraphFont"/>
    <w:uiPriority w:val="99"/>
    <w:semiHidden/>
    <w:rsid w:val="00EC28CF"/>
    <w:rPr>
      <w:rFonts w:ascii="Verdana" w:hAnsi="Verdana" w:cs="Consolas"/>
      <w:sz w:val="20"/>
      <w:szCs w:val="20"/>
    </w:rPr>
  </w:style>
  <w:style w:type="paragraph" w:styleId="HTMLPreformatted">
    <w:name w:val="HTML Preformatted"/>
    <w:basedOn w:val="Normal"/>
    <w:link w:val="HTMLPreformattedChar"/>
    <w:uiPriority w:val="99"/>
    <w:semiHidden/>
    <w:rsid w:val="00EC28CF"/>
    <w:pPr>
      <w:spacing w:before="60" w:after="0" w:line="240" w:lineRule="auto"/>
    </w:pPr>
    <w:rPr>
      <w:rFonts w:cs="Consolas"/>
    </w:rPr>
  </w:style>
  <w:style w:type="character" w:customStyle="1" w:styleId="HTMLPreformattedChar">
    <w:name w:val="HTML Preformatted Char"/>
    <w:basedOn w:val="DefaultParagraphFont"/>
    <w:link w:val="HTMLPreformatted"/>
    <w:uiPriority w:val="99"/>
    <w:semiHidden/>
    <w:rsid w:val="00EC28CF"/>
    <w:rPr>
      <w:rFonts w:ascii="Verdana" w:hAnsi="Verdana" w:cs="Consolas"/>
      <w:kern w:val="28"/>
    </w:rPr>
  </w:style>
  <w:style w:type="character" w:styleId="HTMLSample">
    <w:name w:val="HTML Sample"/>
    <w:basedOn w:val="DefaultParagraphFont"/>
    <w:uiPriority w:val="99"/>
    <w:semiHidden/>
    <w:rsid w:val="00EC28CF"/>
    <w:rPr>
      <w:rFonts w:ascii="Verdana" w:hAnsi="Verdana" w:cs="Consolas"/>
      <w:sz w:val="24"/>
      <w:szCs w:val="24"/>
    </w:rPr>
  </w:style>
  <w:style w:type="character" w:styleId="HTMLTypewriter">
    <w:name w:val="HTML Typewriter"/>
    <w:basedOn w:val="DefaultParagraphFont"/>
    <w:uiPriority w:val="99"/>
    <w:semiHidden/>
    <w:rsid w:val="00EC28CF"/>
    <w:rPr>
      <w:rFonts w:ascii="Verdana" w:hAnsi="Verdana" w:cs="Consolas"/>
      <w:sz w:val="20"/>
      <w:szCs w:val="20"/>
    </w:rPr>
  </w:style>
  <w:style w:type="paragraph" w:styleId="MacroText">
    <w:name w:val="macro"/>
    <w:link w:val="MacroTextChar"/>
    <w:uiPriority w:val="99"/>
    <w:semiHidden/>
    <w:rsid w:val="00EC28CF"/>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EC28CF"/>
    <w:rPr>
      <w:rFonts w:ascii="Verdana" w:hAnsi="Verdana" w:cs="Consolas"/>
    </w:rPr>
  </w:style>
  <w:style w:type="paragraph" w:customStyle="1" w:styleId="ImpactBoxTxt">
    <w:name w:val="ImpactBoxTxt"/>
    <w:basedOn w:val="Normal"/>
    <w:qFormat/>
    <w:rsid w:val="00EC28CF"/>
    <w:pPr>
      <w:spacing w:after="0" w:line="240" w:lineRule="auto"/>
      <w:jc w:val="center"/>
    </w:pPr>
    <w:rPr>
      <w:color w:val="17365D" w:themeColor="text2" w:themeShade="BF"/>
      <w:sz w:val="16"/>
    </w:rPr>
  </w:style>
  <w:style w:type="paragraph" w:customStyle="1" w:styleId="TechnicalNotesText">
    <w:name w:val="TechnicalNotesText"/>
    <w:basedOn w:val="Normal"/>
    <w:qFormat/>
    <w:rsid w:val="00EC28CF"/>
    <w:pPr>
      <w:spacing w:before="60" w:after="60" w:line="240" w:lineRule="auto"/>
    </w:pPr>
    <w:rPr>
      <w:color w:val="4A442A" w:themeColor="background2" w:themeShade="40"/>
      <w:sz w:val="16"/>
    </w:rPr>
  </w:style>
  <w:style w:type="paragraph" w:customStyle="1" w:styleId="EAIntTitle">
    <w:name w:val="EAIntTitle"/>
    <w:basedOn w:val="Heading2"/>
    <w:qFormat/>
    <w:rsid w:val="00EC28CF"/>
    <w:pPr>
      <w:pBdr>
        <w:bottom w:val="single" w:sz="4" w:space="1" w:color="1F497D" w:themeColor="text2"/>
      </w:pBdr>
      <w:spacing w:before="600" w:after="60"/>
      <w:jc w:val="center"/>
    </w:pPr>
    <w:rPr>
      <w:rFonts w:eastAsia="Times New Roman"/>
      <w:noProof/>
      <w:color w:val="121F6B"/>
      <w:sz w:val="36"/>
    </w:rPr>
  </w:style>
  <w:style w:type="numbering" w:customStyle="1" w:styleId="RecList">
    <w:name w:val="Rec List"/>
    <w:basedOn w:val="NoList"/>
    <w:rsid w:val="00EC28CF"/>
    <w:pPr>
      <w:numPr>
        <w:numId w:val="7"/>
      </w:numPr>
    </w:pPr>
  </w:style>
  <w:style w:type="paragraph" w:customStyle="1" w:styleId="RecNumber">
    <w:name w:val="Rec Number"/>
    <w:basedOn w:val="Normal"/>
    <w:rsid w:val="00EC28CF"/>
    <w:pPr>
      <w:numPr>
        <w:numId w:val="7"/>
      </w:numPr>
      <w:spacing w:before="240" w:after="0" w:line="260" w:lineRule="exact"/>
      <w:jc w:val="both"/>
    </w:pPr>
    <w:rPr>
      <w:rFonts w:ascii="Arial Mäori" w:eastAsia="Times New Roman" w:hAnsi="Arial Mäori" w:cs="Times New Roman"/>
      <w:kern w:val="22"/>
      <w:szCs w:val="22"/>
    </w:rPr>
  </w:style>
  <w:style w:type="paragraph" w:customStyle="1" w:styleId="RecLevel2">
    <w:name w:val="Rec Level2"/>
    <w:basedOn w:val="RecNumber"/>
    <w:qFormat/>
    <w:rsid w:val="00EC28CF"/>
    <w:pPr>
      <w:numPr>
        <w:ilvl w:val="1"/>
      </w:numPr>
    </w:pPr>
  </w:style>
  <w:style w:type="character" w:customStyle="1" w:styleId="FootnoteTextChar1">
    <w:name w:val="Footnote Text Char1"/>
    <w:basedOn w:val="DefaultParagraphFont"/>
    <w:uiPriority w:val="99"/>
    <w:semiHidden/>
    <w:rsid w:val="00EC28CF"/>
    <w:rPr>
      <w:rFonts w:ascii="Verdana" w:hAnsi="Verdana" w:cs="Arial"/>
      <w:kern w:val="28"/>
    </w:rPr>
  </w:style>
  <w:style w:type="paragraph" w:customStyle="1" w:styleId="ReportBodyNoNum">
    <w:name w:val="Report Body No Num"/>
    <w:basedOn w:val="ReportBody"/>
    <w:qFormat/>
    <w:rsid w:val="00EC28CF"/>
    <w:pPr>
      <w:numPr>
        <w:numId w:val="0"/>
      </w:numPr>
      <w:spacing w:before="80" w:after="80"/>
      <w:ind w:left="397"/>
    </w:pPr>
  </w:style>
  <w:style w:type="paragraph" w:styleId="ListBullet5">
    <w:name w:val="List Bullet 5"/>
    <w:basedOn w:val="Normal"/>
    <w:semiHidden/>
    <w:rsid w:val="00EC28CF"/>
    <w:pPr>
      <w:numPr>
        <w:numId w:val="5"/>
      </w:numPr>
      <w:suppressAutoHyphens/>
      <w:autoSpaceDE w:val="0"/>
      <w:autoSpaceDN w:val="0"/>
      <w:adjustRightInd w:val="0"/>
      <w:spacing w:after="170" w:line="280" w:lineRule="atLeast"/>
      <w:textAlignment w:val="center"/>
    </w:pPr>
    <w:rPr>
      <w:rFonts w:ascii="Arial" w:eastAsia="Times New Roman" w:hAnsi="Arial"/>
      <w:color w:val="54534C"/>
      <w:kern w:val="0"/>
      <w:szCs w:val="22"/>
      <w:lang w:eastAsia="en-NZ"/>
    </w:rPr>
  </w:style>
  <w:style w:type="table" w:customStyle="1" w:styleId="TableGridLight1">
    <w:name w:val="Table Grid Light1"/>
    <w:basedOn w:val="TableNormal"/>
    <w:uiPriority w:val="40"/>
    <w:rsid w:val="00EC28C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EC28C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umbering">
    <w:name w:val="Numbering"/>
    <w:basedOn w:val="Normal"/>
    <w:qFormat/>
    <w:rsid w:val="00EC28CF"/>
    <w:pPr>
      <w:numPr>
        <w:numId w:val="6"/>
      </w:numPr>
      <w:spacing w:before="60" w:after="60"/>
    </w:pPr>
  </w:style>
  <w:style w:type="paragraph" w:customStyle="1" w:styleId="TableNotes">
    <w:name w:val="TableNotes"/>
    <w:basedOn w:val="TableText"/>
    <w:qFormat/>
    <w:rsid w:val="00EC28CF"/>
    <w:rPr>
      <w:sz w:val="16"/>
    </w:rPr>
  </w:style>
  <w:style w:type="paragraph" w:styleId="Revision">
    <w:name w:val="Revision"/>
    <w:hidden/>
    <w:uiPriority w:val="99"/>
    <w:semiHidden/>
    <w:rsid w:val="00EC28CF"/>
    <w:rPr>
      <w:rFonts w:ascii="Verdana" w:hAnsi="Verdana" w:cs="Arial"/>
      <w:kern w:val="28"/>
    </w:rPr>
  </w:style>
  <w:style w:type="table" w:customStyle="1" w:styleId="ImpactEvalTable">
    <w:name w:val="ImpactEvalTable"/>
    <w:basedOn w:val="TableNormal"/>
    <w:uiPriority w:val="61"/>
    <w:rsid w:val="00EC28CF"/>
    <w:rPr>
      <w:rFonts w:asciiTheme="minorHAnsi" w:eastAsiaTheme="minorHAnsi" w:hAnsiTheme="minorHAnsi" w:cstheme="minorBidi"/>
      <w:sz w:val="22"/>
      <w:szCs w:val="22"/>
      <w:lang w:val="en-GB"/>
    </w:rPr>
    <w:tblPr>
      <w:tblStyleRowBandSize w:val="1"/>
      <w:tblStyleColBandSize w:val="1"/>
      <w:tblBorders>
        <w:bottom w:val="single" w:sz="4" w:space="0" w:color="auto"/>
      </w:tblBorders>
    </w:tblPr>
    <w:tblStylePr w:type="firstRow">
      <w:pPr>
        <w:spacing w:before="0" w:after="0" w:line="240" w:lineRule="auto"/>
      </w:pPr>
      <w:rPr>
        <w:b/>
        <w:bCs/>
        <w:color w:val="1F497D" w:themeColor="text2"/>
      </w:rPr>
      <w:tblPr/>
      <w:tcPr>
        <w:tcBorders>
          <w:top w:val="single" w:sz="4" w:space="0" w:color="auto"/>
          <w:left w:val="nil"/>
          <w:bottom w:val="single" w:sz="4" w:space="0" w:color="auto"/>
          <w:right w:val="nil"/>
          <w:insideH w:val="nil"/>
          <w:insideV w:val="nil"/>
          <w:tl2br w:val="nil"/>
          <w:tr2bl w:val="nil"/>
        </w:tcBorders>
        <w:shd w:val="clear" w:color="auto" w:fill="C6D9F1" w:themeFill="text2" w:themeFillTint="33"/>
      </w:tcPr>
    </w:tblStylePr>
    <w:tblStylePr w:type="lastRow">
      <w:pPr>
        <w:spacing w:before="0" w:after="0" w:line="240" w:lineRule="auto"/>
      </w:pPr>
      <w:rPr>
        <w:b w:val="0"/>
        <w:bCs/>
      </w:rPr>
      <w:tblPr/>
      <w:tcPr>
        <w:tcBorders>
          <w:top w:val="nil"/>
          <w:left w:val="nil"/>
          <w:bottom w:val="single" w:sz="4" w:space="0" w:color="auto"/>
          <w:right w:val="nil"/>
          <w:insideH w:val="nil"/>
          <w:insideV w:val="nil"/>
          <w:tl2br w:val="nil"/>
          <w:tr2bl w:val="nil"/>
        </w:tcBorders>
      </w:tcPr>
    </w:tblStylePr>
    <w:tblStylePr w:type="firstCol">
      <w:rPr>
        <w:b w:val="0"/>
        <w:bCs/>
      </w:rPr>
      <w:tblPr/>
      <w:tcPr>
        <w:tcBorders>
          <w:top w:val="nil"/>
          <w:left w:val="nil"/>
          <w:bottom w:val="single" w:sz="4" w:space="0" w:color="auto"/>
          <w:right w:val="nil"/>
          <w:insideH w:val="nil"/>
          <w:insideV w:val="nil"/>
          <w:tl2br w:val="nil"/>
          <w:tr2bl w:val="nil"/>
        </w:tcBorders>
      </w:tcPr>
    </w:tblStylePr>
    <w:tblStylePr w:type="lastCol">
      <w:rPr>
        <w:b w:val="0"/>
        <w:bCs/>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seCell">
      <w:tblPr/>
      <w:tcPr>
        <w:tcBorders>
          <w:bottom w:val="single" w:sz="4" w:space="0" w:color="auto"/>
        </w:tcBorders>
      </w:tcPr>
    </w:tblStylePr>
    <w:tblStylePr w:type="swCell">
      <w:tblPr/>
      <w:tcPr>
        <w:tcBorders>
          <w:bottom w:val="single" w:sz="4" w:space="0" w:color="auto"/>
        </w:tcBorders>
      </w:tcPr>
    </w:tblStylePr>
  </w:style>
  <w:style w:type="paragraph" w:customStyle="1" w:styleId="xl65">
    <w:name w:val="xl65"/>
    <w:basedOn w:val="Normal"/>
    <w:rsid w:val="00EC28CF"/>
    <w:pPr>
      <w:pBdr>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NZ"/>
    </w:rPr>
  </w:style>
  <w:style w:type="paragraph" w:customStyle="1" w:styleId="xl66">
    <w:name w:val="xl66"/>
    <w:basedOn w:val="Normal"/>
    <w:rsid w:val="00EC28CF"/>
    <w:pPr>
      <w:spacing w:before="100" w:beforeAutospacing="1" w:after="100" w:afterAutospacing="1" w:line="240" w:lineRule="auto"/>
      <w:jc w:val="center"/>
    </w:pPr>
    <w:rPr>
      <w:rFonts w:ascii="Times New Roman" w:eastAsia="Times New Roman" w:hAnsi="Times New Roman" w:cs="Times New Roman"/>
      <w:kern w:val="0"/>
      <w:sz w:val="24"/>
      <w:szCs w:val="24"/>
      <w:lang w:eastAsia="en-NZ"/>
    </w:rPr>
  </w:style>
  <w:style w:type="paragraph" w:customStyle="1" w:styleId="xl67">
    <w:name w:val="xl67"/>
    <w:basedOn w:val="Normal"/>
    <w:rsid w:val="00EC28CF"/>
    <w:pPr>
      <w:pBdr>
        <w:top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n-NZ"/>
    </w:rPr>
  </w:style>
  <w:style w:type="paragraph" w:customStyle="1" w:styleId="xl68">
    <w:name w:val="xl68"/>
    <w:basedOn w:val="Normal"/>
    <w:rsid w:val="00EC28CF"/>
    <w:pPr>
      <w:pBdr>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n-NZ"/>
    </w:rPr>
  </w:style>
  <w:style w:type="paragraph" w:customStyle="1" w:styleId="InfoBody">
    <w:name w:val="Info Body"/>
    <w:basedOn w:val="Normal"/>
    <w:qFormat/>
    <w:rsid w:val="00EC28CF"/>
  </w:style>
  <w:style w:type="paragraph" w:customStyle="1" w:styleId="Info2">
    <w:name w:val="Info2"/>
    <w:basedOn w:val="Normal"/>
    <w:qFormat/>
    <w:rsid w:val="00EC28CF"/>
    <w:rPr>
      <w:b/>
      <w:sz w:val="24"/>
    </w:rPr>
  </w:style>
  <w:style w:type="paragraph" w:customStyle="1" w:styleId="xl74">
    <w:name w:val="xl74"/>
    <w:basedOn w:val="Normal"/>
    <w:rsid w:val="00CE3659"/>
    <w:pPr>
      <w:spacing w:before="100" w:beforeAutospacing="1" w:after="100" w:afterAutospacing="1" w:line="240" w:lineRule="auto"/>
    </w:pPr>
    <w:rPr>
      <w:rFonts w:ascii="Times New Roman" w:eastAsia="Times New Roman" w:hAnsi="Times New Roman" w:cs="Times New Roman"/>
      <w:color w:val="1F497D"/>
      <w:kern w:val="0"/>
      <w:sz w:val="24"/>
      <w:szCs w:val="24"/>
      <w:lang w:eastAsia="en-NZ"/>
    </w:rPr>
  </w:style>
  <w:style w:type="paragraph" w:customStyle="1" w:styleId="xl75">
    <w:name w:val="xl75"/>
    <w:basedOn w:val="Normal"/>
    <w:rsid w:val="00CE3659"/>
    <w:pPr>
      <w:pBdr>
        <w:left w:val="single" w:sz="4" w:space="0" w:color="1F497D"/>
      </w:pBdr>
      <w:spacing w:before="100" w:beforeAutospacing="1" w:after="100" w:afterAutospacing="1" w:line="240" w:lineRule="auto"/>
    </w:pPr>
    <w:rPr>
      <w:rFonts w:ascii="Times New Roman" w:eastAsia="Times New Roman" w:hAnsi="Times New Roman" w:cs="Times New Roman"/>
      <w:color w:val="1F497D"/>
      <w:kern w:val="0"/>
      <w:sz w:val="24"/>
      <w:szCs w:val="24"/>
      <w:lang w:eastAsia="en-NZ"/>
    </w:rPr>
  </w:style>
  <w:style w:type="paragraph" w:customStyle="1" w:styleId="xl76">
    <w:name w:val="xl76"/>
    <w:basedOn w:val="Normal"/>
    <w:rsid w:val="00CE3659"/>
    <w:pPr>
      <w:spacing w:before="100" w:beforeAutospacing="1" w:after="100" w:afterAutospacing="1" w:line="240" w:lineRule="auto"/>
    </w:pPr>
    <w:rPr>
      <w:rFonts w:ascii="Times New Roman" w:eastAsia="Times New Roman" w:hAnsi="Times New Roman" w:cs="Times New Roman"/>
      <w:b/>
      <w:bCs/>
      <w:color w:val="1F497D"/>
      <w:kern w:val="0"/>
      <w:sz w:val="24"/>
      <w:szCs w:val="24"/>
      <w:lang w:eastAsia="en-NZ"/>
    </w:rPr>
  </w:style>
  <w:style w:type="paragraph" w:customStyle="1" w:styleId="xl77">
    <w:name w:val="xl77"/>
    <w:basedOn w:val="Normal"/>
    <w:rsid w:val="00CE3659"/>
    <w:pPr>
      <w:spacing w:before="100" w:beforeAutospacing="1" w:after="100" w:afterAutospacing="1" w:line="240" w:lineRule="auto"/>
      <w:jc w:val="center"/>
    </w:pPr>
    <w:rPr>
      <w:rFonts w:ascii="Times New Roman" w:eastAsia="Times New Roman" w:hAnsi="Times New Roman" w:cs="Times New Roman"/>
      <w:b/>
      <w:bCs/>
      <w:color w:val="1F497D"/>
      <w:kern w:val="0"/>
      <w:sz w:val="24"/>
      <w:szCs w:val="24"/>
      <w:lang w:eastAsia="en-NZ"/>
    </w:rPr>
  </w:style>
  <w:style w:type="paragraph" w:customStyle="1" w:styleId="xl78">
    <w:name w:val="xl78"/>
    <w:basedOn w:val="Normal"/>
    <w:rsid w:val="00CE3659"/>
    <w:pPr>
      <w:pBdr>
        <w:bottom w:val="single" w:sz="4" w:space="0" w:color="4F81BD"/>
      </w:pBdr>
      <w:spacing w:before="100" w:beforeAutospacing="1" w:after="100" w:afterAutospacing="1" w:line="240" w:lineRule="auto"/>
    </w:pPr>
    <w:rPr>
      <w:rFonts w:ascii="Times New Roman" w:eastAsia="Times New Roman" w:hAnsi="Times New Roman" w:cs="Times New Roman"/>
      <w:b/>
      <w:bCs/>
      <w:color w:val="1F497D"/>
      <w:kern w:val="0"/>
      <w:sz w:val="24"/>
      <w:szCs w:val="24"/>
      <w:lang w:eastAsia="en-NZ"/>
    </w:rPr>
  </w:style>
  <w:style w:type="paragraph" w:customStyle="1" w:styleId="xl79">
    <w:name w:val="xl79"/>
    <w:basedOn w:val="Normal"/>
    <w:rsid w:val="00CE3659"/>
    <w:pPr>
      <w:pBdr>
        <w:left w:val="single" w:sz="4" w:space="0" w:color="4F81BD"/>
      </w:pBdr>
      <w:spacing w:before="100" w:beforeAutospacing="1" w:after="100" w:afterAutospacing="1" w:line="240" w:lineRule="auto"/>
      <w:jc w:val="center"/>
    </w:pPr>
    <w:rPr>
      <w:rFonts w:ascii="Times New Roman" w:eastAsia="Times New Roman" w:hAnsi="Times New Roman" w:cs="Times New Roman"/>
      <w:b/>
      <w:bCs/>
      <w:color w:val="1F497D"/>
      <w:kern w:val="0"/>
      <w:sz w:val="24"/>
      <w:szCs w:val="24"/>
      <w:lang w:eastAsia="en-NZ"/>
    </w:rPr>
  </w:style>
  <w:style w:type="paragraph" w:customStyle="1" w:styleId="xl80">
    <w:name w:val="xl80"/>
    <w:basedOn w:val="Normal"/>
    <w:rsid w:val="00CE3659"/>
    <w:pPr>
      <w:pBdr>
        <w:left w:val="single" w:sz="4" w:space="0" w:color="4F81BD"/>
        <w:bottom w:val="single" w:sz="4" w:space="0" w:color="4F81BD"/>
      </w:pBdr>
      <w:spacing w:before="100" w:beforeAutospacing="1" w:after="100" w:afterAutospacing="1" w:line="240" w:lineRule="auto"/>
    </w:pPr>
    <w:rPr>
      <w:rFonts w:ascii="Times New Roman" w:eastAsia="Times New Roman" w:hAnsi="Times New Roman" w:cs="Times New Roman"/>
      <w:b/>
      <w:bCs/>
      <w:color w:val="1F497D"/>
      <w:kern w:val="0"/>
      <w:sz w:val="24"/>
      <w:szCs w:val="24"/>
      <w:lang w:eastAsia="en-NZ"/>
    </w:rPr>
  </w:style>
  <w:style w:type="paragraph" w:customStyle="1" w:styleId="xl81">
    <w:name w:val="xl81"/>
    <w:basedOn w:val="Normal"/>
    <w:rsid w:val="00CE3659"/>
    <w:pPr>
      <w:pBdr>
        <w:left w:val="single" w:sz="4" w:space="0" w:color="4F81BD"/>
      </w:pBdr>
      <w:spacing w:before="100" w:beforeAutospacing="1" w:after="100" w:afterAutospacing="1" w:line="240" w:lineRule="auto"/>
    </w:pPr>
    <w:rPr>
      <w:rFonts w:ascii="Times New Roman" w:eastAsia="Times New Roman" w:hAnsi="Times New Roman" w:cs="Times New Roman"/>
      <w:color w:val="1F497D"/>
      <w:kern w:val="0"/>
      <w:sz w:val="24"/>
      <w:szCs w:val="24"/>
      <w:lang w:eastAsia="en-NZ"/>
    </w:rPr>
  </w:style>
  <w:style w:type="paragraph" w:customStyle="1" w:styleId="xl82">
    <w:name w:val="xl82"/>
    <w:basedOn w:val="Normal"/>
    <w:rsid w:val="00CE3659"/>
    <w:pPr>
      <w:pBdr>
        <w:right w:val="single" w:sz="4" w:space="0" w:color="4F81BD"/>
      </w:pBdr>
      <w:spacing w:before="100" w:beforeAutospacing="1" w:after="100" w:afterAutospacing="1" w:line="240" w:lineRule="auto"/>
      <w:jc w:val="center"/>
    </w:pPr>
    <w:rPr>
      <w:rFonts w:ascii="Times New Roman" w:eastAsia="Times New Roman" w:hAnsi="Times New Roman" w:cs="Times New Roman"/>
      <w:b/>
      <w:bCs/>
      <w:color w:val="1F497D"/>
      <w:kern w:val="0"/>
      <w:sz w:val="24"/>
      <w:szCs w:val="24"/>
      <w:lang w:eastAsia="en-NZ"/>
    </w:rPr>
  </w:style>
  <w:style w:type="paragraph" w:customStyle="1" w:styleId="xl83">
    <w:name w:val="xl83"/>
    <w:basedOn w:val="Normal"/>
    <w:rsid w:val="00CE3659"/>
    <w:pPr>
      <w:pBdr>
        <w:bottom w:val="single" w:sz="4" w:space="0" w:color="4F81BD"/>
        <w:right w:val="single" w:sz="4" w:space="0" w:color="4F81BD"/>
      </w:pBdr>
      <w:spacing w:before="100" w:beforeAutospacing="1" w:after="100" w:afterAutospacing="1" w:line="240" w:lineRule="auto"/>
    </w:pPr>
    <w:rPr>
      <w:rFonts w:ascii="Times New Roman" w:eastAsia="Times New Roman" w:hAnsi="Times New Roman" w:cs="Times New Roman"/>
      <w:b/>
      <w:bCs/>
      <w:color w:val="1F497D"/>
      <w:kern w:val="0"/>
      <w:sz w:val="24"/>
      <w:szCs w:val="24"/>
      <w:lang w:eastAsia="en-NZ"/>
    </w:rPr>
  </w:style>
  <w:style w:type="paragraph" w:customStyle="1" w:styleId="xl84">
    <w:name w:val="xl84"/>
    <w:basedOn w:val="Normal"/>
    <w:rsid w:val="00CE3659"/>
    <w:pPr>
      <w:pBdr>
        <w:right w:val="single" w:sz="4" w:space="0" w:color="4F81BD"/>
      </w:pBdr>
      <w:spacing w:before="100" w:beforeAutospacing="1" w:after="100" w:afterAutospacing="1" w:line="240" w:lineRule="auto"/>
    </w:pPr>
    <w:rPr>
      <w:rFonts w:ascii="Times New Roman" w:eastAsia="Times New Roman" w:hAnsi="Times New Roman" w:cs="Times New Roman"/>
      <w:color w:val="1F497D"/>
      <w:kern w:val="0"/>
      <w:sz w:val="24"/>
      <w:szCs w:val="24"/>
      <w:lang w:eastAsia="en-NZ"/>
    </w:rPr>
  </w:style>
  <w:style w:type="paragraph" w:customStyle="1" w:styleId="xl85">
    <w:name w:val="xl85"/>
    <w:basedOn w:val="Normal"/>
    <w:rsid w:val="00CE3659"/>
    <w:pPr>
      <w:spacing w:before="100" w:beforeAutospacing="1" w:after="100" w:afterAutospacing="1" w:line="240" w:lineRule="auto"/>
      <w:textAlignment w:val="top"/>
    </w:pPr>
    <w:rPr>
      <w:rFonts w:ascii="Times New Roman" w:eastAsia="Times New Roman" w:hAnsi="Times New Roman" w:cs="Times New Roman"/>
      <w:color w:val="1F497D"/>
      <w:kern w:val="0"/>
      <w:sz w:val="24"/>
      <w:szCs w:val="24"/>
      <w:lang w:eastAsia="en-NZ"/>
    </w:rPr>
  </w:style>
  <w:style w:type="paragraph" w:customStyle="1" w:styleId="xl86">
    <w:name w:val="xl86"/>
    <w:basedOn w:val="Normal"/>
    <w:rsid w:val="00CE3659"/>
    <w:pPr>
      <w:pBdr>
        <w:right w:val="single" w:sz="4" w:space="0" w:color="4F81BD"/>
      </w:pBdr>
      <w:spacing w:before="100" w:beforeAutospacing="1" w:after="100" w:afterAutospacing="1" w:line="240" w:lineRule="auto"/>
    </w:pPr>
    <w:rPr>
      <w:rFonts w:ascii="Times New Roman" w:eastAsia="Times New Roman" w:hAnsi="Times New Roman" w:cs="Times New Roman"/>
      <w:color w:val="1F497D"/>
      <w:kern w:val="0"/>
      <w:sz w:val="24"/>
      <w:szCs w:val="24"/>
      <w:lang w:eastAsia="en-NZ"/>
    </w:rPr>
  </w:style>
  <w:style w:type="paragraph" w:customStyle="1" w:styleId="xl87">
    <w:name w:val="xl87"/>
    <w:basedOn w:val="Normal"/>
    <w:rsid w:val="00CE3659"/>
    <w:pPr>
      <w:spacing w:before="100" w:beforeAutospacing="1" w:after="100" w:afterAutospacing="1" w:line="240" w:lineRule="auto"/>
      <w:textAlignment w:val="top"/>
    </w:pPr>
    <w:rPr>
      <w:rFonts w:ascii="Times New Roman" w:eastAsia="Times New Roman" w:hAnsi="Times New Roman" w:cs="Times New Roman"/>
      <w:color w:val="1F497D"/>
      <w:kern w:val="0"/>
      <w:sz w:val="24"/>
      <w:szCs w:val="24"/>
      <w:lang w:eastAsia="en-NZ"/>
    </w:rPr>
  </w:style>
  <w:style w:type="paragraph" w:customStyle="1" w:styleId="Table">
    <w:name w:val="Table"/>
    <w:basedOn w:val="Normal"/>
    <w:qFormat/>
    <w:rsid w:val="00CE3659"/>
    <w:pPr>
      <w:suppressAutoHyphens/>
      <w:autoSpaceDE w:val="0"/>
      <w:autoSpaceDN w:val="0"/>
      <w:adjustRightInd w:val="0"/>
      <w:spacing w:before="40" w:after="40" w:line="240" w:lineRule="auto"/>
      <w:textAlignment w:val="center"/>
    </w:pPr>
    <w:rPr>
      <w:rFonts w:eastAsia="Times New Roman" w:cs="Times New Roman"/>
      <w:color w:val="262626" w:themeColor="text1" w:themeTint="D9"/>
      <w:kern w:val="0"/>
      <w:szCs w:val="22"/>
      <w:lang w:eastAsia="en-NZ"/>
    </w:rPr>
  </w:style>
  <w:style w:type="table" w:customStyle="1" w:styleId="Style1">
    <w:name w:val="Style1"/>
    <w:basedOn w:val="TableNormal"/>
    <w:uiPriority w:val="99"/>
    <w:rsid w:val="00CE3659"/>
    <w:tblPr>
      <w:tblStyleRowBandSize w:val="1"/>
      <w:tblStyleColBandSize w:val="1"/>
      <w:tblBorders>
        <w:top w:val="single" w:sz="4" w:space="0" w:color="4F81BD" w:themeColor="accent1"/>
        <w:bottom w:val="single" w:sz="4" w:space="0" w:color="4F81BD" w:themeColor="accent1"/>
      </w:tblBorders>
    </w:tblPr>
    <w:tblStylePr w:type="firstRow">
      <w:rPr>
        <w:b/>
      </w:rPr>
    </w:tblStylePr>
    <w:tblStylePr w:type="lastCol">
      <w:tblPr/>
      <w:tcPr>
        <w:tcBorders>
          <w:bottom w:val="nil"/>
        </w:tcBorders>
      </w:tcPr>
    </w:tblStylePr>
    <w:tblStylePr w:type="band1Horz">
      <w:tblPr/>
      <w:tcPr>
        <w:shd w:val="clear" w:color="auto" w:fill="FFFFFF" w:themeFill="background1"/>
      </w:tcPr>
    </w:tblStylePr>
    <w:tblStylePr w:type="band2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3624">
      <w:bodyDiv w:val="1"/>
      <w:marLeft w:val="0"/>
      <w:marRight w:val="0"/>
      <w:marTop w:val="0"/>
      <w:marBottom w:val="0"/>
      <w:divBdr>
        <w:top w:val="none" w:sz="0" w:space="0" w:color="auto"/>
        <w:left w:val="none" w:sz="0" w:space="0" w:color="auto"/>
        <w:bottom w:val="none" w:sz="0" w:space="0" w:color="auto"/>
        <w:right w:val="none" w:sz="0" w:space="0" w:color="auto"/>
      </w:divBdr>
    </w:div>
    <w:div w:id="98650000">
      <w:bodyDiv w:val="1"/>
      <w:marLeft w:val="0"/>
      <w:marRight w:val="0"/>
      <w:marTop w:val="0"/>
      <w:marBottom w:val="0"/>
      <w:divBdr>
        <w:top w:val="none" w:sz="0" w:space="0" w:color="auto"/>
        <w:left w:val="none" w:sz="0" w:space="0" w:color="auto"/>
        <w:bottom w:val="none" w:sz="0" w:space="0" w:color="auto"/>
        <w:right w:val="none" w:sz="0" w:space="0" w:color="auto"/>
      </w:divBdr>
    </w:div>
    <w:div w:id="303318100">
      <w:bodyDiv w:val="1"/>
      <w:marLeft w:val="0"/>
      <w:marRight w:val="0"/>
      <w:marTop w:val="0"/>
      <w:marBottom w:val="0"/>
      <w:divBdr>
        <w:top w:val="none" w:sz="0" w:space="0" w:color="auto"/>
        <w:left w:val="none" w:sz="0" w:space="0" w:color="auto"/>
        <w:bottom w:val="none" w:sz="0" w:space="0" w:color="auto"/>
        <w:right w:val="none" w:sz="0" w:space="0" w:color="auto"/>
      </w:divBdr>
    </w:div>
    <w:div w:id="365258065">
      <w:bodyDiv w:val="1"/>
      <w:marLeft w:val="0"/>
      <w:marRight w:val="0"/>
      <w:marTop w:val="0"/>
      <w:marBottom w:val="0"/>
      <w:divBdr>
        <w:top w:val="none" w:sz="0" w:space="0" w:color="auto"/>
        <w:left w:val="none" w:sz="0" w:space="0" w:color="auto"/>
        <w:bottom w:val="none" w:sz="0" w:space="0" w:color="auto"/>
        <w:right w:val="none" w:sz="0" w:space="0" w:color="auto"/>
      </w:divBdr>
    </w:div>
    <w:div w:id="729809269">
      <w:bodyDiv w:val="1"/>
      <w:marLeft w:val="0"/>
      <w:marRight w:val="0"/>
      <w:marTop w:val="0"/>
      <w:marBottom w:val="0"/>
      <w:divBdr>
        <w:top w:val="none" w:sz="0" w:space="0" w:color="auto"/>
        <w:left w:val="none" w:sz="0" w:space="0" w:color="auto"/>
        <w:bottom w:val="none" w:sz="0" w:space="0" w:color="auto"/>
        <w:right w:val="none" w:sz="0" w:space="0" w:color="auto"/>
      </w:divBdr>
    </w:div>
    <w:div w:id="780414124">
      <w:bodyDiv w:val="1"/>
      <w:marLeft w:val="0"/>
      <w:marRight w:val="0"/>
      <w:marTop w:val="0"/>
      <w:marBottom w:val="0"/>
      <w:divBdr>
        <w:top w:val="none" w:sz="0" w:space="0" w:color="auto"/>
        <w:left w:val="none" w:sz="0" w:space="0" w:color="auto"/>
        <w:bottom w:val="none" w:sz="0" w:space="0" w:color="auto"/>
        <w:right w:val="none" w:sz="0" w:space="0" w:color="auto"/>
      </w:divBdr>
    </w:div>
    <w:div w:id="937323459">
      <w:bodyDiv w:val="1"/>
      <w:marLeft w:val="0"/>
      <w:marRight w:val="0"/>
      <w:marTop w:val="0"/>
      <w:marBottom w:val="0"/>
      <w:divBdr>
        <w:top w:val="none" w:sz="0" w:space="0" w:color="auto"/>
        <w:left w:val="none" w:sz="0" w:space="0" w:color="auto"/>
        <w:bottom w:val="none" w:sz="0" w:space="0" w:color="auto"/>
        <w:right w:val="none" w:sz="0" w:space="0" w:color="auto"/>
      </w:divBdr>
    </w:div>
    <w:div w:id="1135100809">
      <w:bodyDiv w:val="1"/>
      <w:marLeft w:val="0"/>
      <w:marRight w:val="0"/>
      <w:marTop w:val="0"/>
      <w:marBottom w:val="0"/>
      <w:divBdr>
        <w:top w:val="none" w:sz="0" w:space="0" w:color="auto"/>
        <w:left w:val="none" w:sz="0" w:space="0" w:color="auto"/>
        <w:bottom w:val="none" w:sz="0" w:space="0" w:color="auto"/>
        <w:right w:val="none" w:sz="0" w:space="0" w:color="auto"/>
      </w:divBdr>
    </w:div>
    <w:div w:id="1284000838">
      <w:bodyDiv w:val="1"/>
      <w:marLeft w:val="0"/>
      <w:marRight w:val="0"/>
      <w:marTop w:val="0"/>
      <w:marBottom w:val="0"/>
      <w:divBdr>
        <w:top w:val="none" w:sz="0" w:space="0" w:color="auto"/>
        <w:left w:val="none" w:sz="0" w:space="0" w:color="auto"/>
        <w:bottom w:val="none" w:sz="0" w:space="0" w:color="auto"/>
        <w:right w:val="none" w:sz="0" w:space="0" w:color="auto"/>
      </w:divBdr>
    </w:div>
    <w:div w:id="1288196665">
      <w:bodyDiv w:val="1"/>
      <w:marLeft w:val="0"/>
      <w:marRight w:val="0"/>
      <w:marTop w:val="0"/>
      <w:marBottom w:val="0"/>
      <w:divBdr>
        <w:top w:val="none" w:sz="0" w:space="0" w:color="auto"/>
        <w:left w:val="none" w:sz="0" w:space="0" w:color="auto"/>
        <w:bottom w:val="none" w:sz="0" w:space="0" w:color="auto"/>
        <w:right w:val="none" w:sz="0" w:space="0" w:color="auto"/>
      </w:divBdr>
    </w:div>
    <w:div w:id="1490362213">
      <w:bodyDiv w:val="1"/>
      <w:marLeft w:val="0"/>
      <w:marRight w:val="0"/>
      <w:marTop w:val="0"/>
      <w:marBottom w:val="0"/>
      <w:divBdr>
        <w:top w:val="none" w:sz="0" w:space="0" w:color="auto"/>
        <w:left w:val="none" w:sz="0" w:space="0" w:color="auto"/>
        <w:bottom w:val="none" w:sz="0" w:space="0" w:color="auto"/>
        <w:right w:val="none" w:sz="0" w:space="0" w:color="auto"/>
      </w:divBdr>
    </w:div>
    <w:div w:id="1493643203">
      <w:bodyDiv w:val="1"/>
      <w:marLeft w:val="0"/>
      <w:marRight w:val="0"/>
      <w:marTop w:val="0"/>
      <w:marBottom w:val="0"/>
      <w:divBdr>
        <w:top w:val="none" w:sz="0" w:space="0" w:color="auto"/>
        <w:left w:val="none" w:sz="0" w:space="0" w:color="auto"/>
        <w:bottom w:val="none" w:sz="0" w:space="0" w:color="auto"/>
        <w:right w:val="none" w:sz="0" w:space="0" w:color="auto"/>
      </w:divBdr>
    </w:div>
    <w:div w:id="1678773113">
      <w:bodyDiv w:val="1"/>
      <w:marLeft w:val="0"/>
      <w:marRight w:val="0"/>
      <w:marTop w:val="0"/>
      <w:marBottom w:val="0"/>
      <w:divBdr>
        <w:top w:val="none" w:sz="0" w:space="0" w:color="auto"/>
        <w:left w:val="none" w:sz="0" w:space="0" w:color="auto"/>
        <w:bottom w:val="none" w:sz="0" w:space="0" w:color="auto"/>
        <w:right w:val="none" w:sz="0" w:space="0" w:color="auto"/>
      </w:divBdr>
    </w:div>
    <w:div w:id="1690330096">
      <w:bodyDiv w:val="1"/>
      <w:marLeft w:val="0"/>
      <w:marRight w:val="0"/>
      <w:marTop w:val="0"/>
      <w:marBottom w:val="0"/>
      <w:divBdr>
        <w:top w:val="none" w:sz="0" w:space="0" w:color="auto"/>
        <w:left w:val="none" w:sz="0" w:space="0" w:color="auto"/>
        <w:bottom w:val="none" w:sz="0" w:space="0" w:color="auto"/>
        <w:right w:val="none" w:sz="0" w:space="0" w:color="auto"/>
      </w:divBdr>
    </w:div>
    <w:div w:id="1876964591">
      <w:bodyDiv w:val="1"/>
      <w:marLeft w:val="0"/>
      <w:marRight w:val="0"/>
      <w:marTop w:val="0"/>
      <w:marBottom w:val="0"/>
      <w:divBdr>
        <w:top w:val="none" w:sz="0" w:space="0" w:color="auto"/>
        <w:left w:val="none" w:sz="0" w:space="0" w:color="auto"/>
        <w:bottom w:val="none" w:sz="0" w:space="0" w:color="auto"/>
        <w:right w:val="none" w:sz="0" w:space="0" w:color="auto"/>
      </w:divBdr>
      <w:divsChild>
        <w:div w:id="1138298293">
          <w:marLeft w:val="0"/>
          <w:marRight w:val="0"/>
          <w:marTop w:val="0"/>
          <w:marBottom w:val="0"/>
          <w:divBdr>
            <w:top w:val="none" w:sz="0" w:space="0" w:color="auto"/>
            <w:left w:val="none" w:sz="0" w:space="0" w:color="auto"/>
            <w:bottom w:val="none" w:sz="0" w:space="0" w:color="auto"/>
            <w:right w:val="none" w:sz="0" w:space="0" w:color="auto"/>
          </w:divBdr>
          <w:divsChild>
            <w:div w:id="673335831">
              <w:marLeft w:val="0"/>
              <w:marRight w:val="0"/>
              <w:marTop w:val="0"/>
              <w:marBottom w:val="0"/>
              <w:divBdr>
                <w:top w:val="none" w:sz="0" w:space="0" w:color="auto"/>
                <w:left w:val="none" w:sz="0" w:space="0" w:color="auto"/>
                <w:bottom w:val="none" w:sz="0" w:space="0" w:color="auto"/>
                <w:right w:val="none" w:sz="0" w:space="0" w:color="auto"/>
              </w:divBdr>
            </w:div>
            <w:div w:id="1924676904">
              <w:marLeft w:val="0"/>
              <w:marRight w:val="0"/>
              <w:marTop w:val="0"/>
              <w:marBottom w:val="0"/>
              <w:divBdr>
                <w:top w:val="none" w:sz="0" w:space="0" w:color="auto"/>
                <w:left w:val="none" w:sz="0" w:space="0" w:color="auto"/>
                <w:bottom w:val="none" w:sz="0" w:space="0" w:color="auto"/>
                <w:right w:val="none" w:sz="0" w:space="0" w:color="auto"/>
              </w:divBdr>
            </w:div>
            <w:div w:id="1224755333">
              <w:marLeft w:val="0"/>
              <w:marRight w:val="0"/>
              <w:marTop w:val="0"/>
              <w:marBottom w:val="0"/>
              <w:divBdr>
                <w:top w:val="none" w:sz="0" w:space="0" w:color="auto"/>
                <w:left w:val="none" w:sz="0" w:space="0" w:color="auto"/>
                <w:bottom w:val="none" w:sz="0" w:space="0" w:color="auto"/>
                <w:right w:val="none" w:sz="0" w:space="0" w:color="auto"/>
              </w:divBdr>
            </w:div>
          </w:divsChild>
        </w:div>
        <w:div w:id="1403989990">
          <w:marLeft w:val="0"/>
          <w:marRight w:val="0"/>
          <w:marTop w:val="0"/>
          <w:marBottom w:val="0"/>
          <w:divBdr>
            <w:top w:val="none" w:sz="0" w:space="0" w:color="auto"/>
            <w:left w:val="none" w:sz="0" w:space="0" w:color="auto"/>
            <w:bottom w:val="none" w:sz="0" w:space="0" w:color="auto"/>
            <w:right w:val="none" w:sz="0" w:space="0" w:color="auto"/>
          </w:divBdr>
        </w:div>
        <w:div w:id="440807488">
          <w:marLeft w:val="0"/>
          <w:marRight w:val="0"/>
          <w:marTop w:val="0"/>
          <w:marBottom w:val="0"/>
          <w:divBdr>
            <w:top w:val="none" w:sz="0" w:space="0" w:color="auto"/>
            <w:left w:val="none" w:sz="0" w:space="0" w:color="auto"/>
            <w:bottom w:val="none" w:sz="0" w:space="0" w:color="auto"/>
            <w:right w:val="none" w:sz="0" w:space="0" w:color="auto"/>
          </w:divBdr>
        </w:div>
        <w:div w:id="316539807">
          <w:marLeft w:val="0"/>
          <w:marRight w:val="0"/>
          <w:marTop w:val="0"/>
          <w:marBottom w:val="0"/>
          <w:divBdr>
            <w:top w:val="none" w:sz="0" w:space="0" w:color="auto"/>
            <w:left w:val="none" w:sz="0" w:space="0" w:color="auto"/>
            <w:bottom w:val="none" w:sz="0" w:space="0" w:color="auto"/>
            <w:right w:val="none" w:sz="0" w:space="0" w:color="auto"/>
          </w:divBdr>
        </w:div>
      </w:divsChild>
    </w:div>
    <w:div w:id="201938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dconnect.atlassian.net/wiki/spaces/DHUB/pages/127044412/Employment+Assistance" TargetMode="Externa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sdconnect.atlassian.net/wiki/spaces/DHUB/pages/127044412/Employment+Assistance" TargetMode="Externa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s>
</file>

<file path=word/_rels/footnotes.xml.rels><?xml version="1.0" encoding="UTF-8" standalone="yes"?>
<Relationships xmlns="http://schemas.openxmlformats.org/package/2006/relationships"><Relationship Id="rId1" Type="http://schemas.openxmlformats.org/officeDocument/2006/relationships/hyperlink" Target="https://treasury.govt.nz/publications/guide/guide-appropriations-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debo001\Objective\objective.ssi.govt.nz-8000-mdebo001\Objects\Data%202018%20EA%20cost%20effectiveness%20report%202016_20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debo001\Objective\objective.ssi.govt.nz-8000-mdebo001\Objects\Data%202018%20EA%20cost%20effectiveness%20report%202016_2017.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C:\Users\mdebo001\Objective\objective.ssi.govt.nz-8000-mdebo001\Objects\Report%202016%20Data%20tables%20for%202016%20Cost-effectiveness%20report.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mdebo001\Objective\objective.ssi.govt.nz-8000-mdebo001\Objects\Report%202016%20Data%20tables%20for%202016%20Cost-effectiveness%20report.xlsx"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mdebo001\Objective\objective.ssi.govt.nz-8000-mdebo001\Objects\Report%202016%20Data%20tables%20for%202016%20Cost-effectiveness%20repo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JP_example!$D$478</c:f>
              <c:strCache>
                <c:ptCount val="1"/>
                <c:pt idx="0">
                  <c:v>Participants</c:v>
                </c:pt>
              </c:strCache>
            </c:strRef>
          </c:tx>
          <c:marker>
            <c:symbol val="circle"/>
            <c:size val="5"/>
            <c:spPr>
              <a:solidFill>
                <a:schemeClr val="bg1"/>
              </a:solidFill>
            </c:spPr>
          </c:marker>
          <c:xVal>
            <c:numRef>
              <c:f>JP_example!$C$479:$C$531</c:f>
              <c:numCache>
                <c:formatCode>0.0</c:formatCode>
                <c:ptCount val="53"/>
                <c:pt idx="0">
                  <c:v>-1</c:v>
                </c:pt>
                <c:pt idx="1">
                  <c:v>-0.91666666666666663</c:v>
                </c:pt>
                <c:pt idx="2">
                  <c:v>-0.83333333333333337</c:v>
                </c:pt>
                <c:pt idx="3">
                  <c:v>-0.75</c:v>
                </c:pt>
                <c:pt idx="4">
                  <c:v>-0.66666666666666663</c:v>
                </c:pt>
                <c:pt idx="5">
                  <c:v>-0.58333333333333337</c:v>
                </c:pt>
                <c:pt idx="6">
                  <c:v>-0.5</c:v>
                </c:pt>
                <c:pt idx="7">
                  <c:v>-0.41666666666666669</c:v>
                </c:pt>
                <c:pt idx="8">
                  <c:v>-0.33333333333333331</c:v>
                </c:pt>
                <c:pt idx="9">
                  <c:v>-0.25</c:v>
                </c:pt>
                <c:pt idx="10">
                  <c:v>-0.16666666666666666</c:v>
                </c:pt>
                <c:pt idx="11">
                  <c:v>-8.3333333333333329E-2</c:v>
                </c:pt>
                <c:pt idx="12">
                  <c:v>0</c:v>
                </c:pt>
                <c:pt idx="13">
                  <c:v>8.3333333333333329E-2</c:v>
                </c:pt>
                <c:pt idx="14">
                  <c:v>0.16666666666666666</c:v>
                </c:pt>
                <c:pt idx="15">
                  <c:v>0.25</c:v>
                </c:pt>
                <c:pt idx="16">
                  <c:v>0.33333333333333331</c:v>
                </c:pt>
                <c:pt idx="17">
                  <c:v>0.41666666666666669</c:v>
                </c:pt>
                <c:pt idx="18">
                  <c:v>0.5</c:v>
                </c:pt>
                <c:pt idx="19">
                  <c:v>0.58333333333333337</c:v>
                </c:pt>
                <c:pt idx="20">
                  <c:v>0.66666666666666663</c:v>
                </c:pt>
                <c:pt idx="21">
                  <c:v>0.75</c:v>
                </c:pt>
                <c:pt idx="22">
                  <c:v>0.83333333333333337</c:v>
                </c:pt>
                <c:pt idx="23">
                  <c:v>0.91666666666666663</c:v>
                </c:pt>
                <c:pt idx="24">
                  <c:v>1</c:v>
                </c:pt>
                <c:pt idx="25">
                  <c:v>1.0833333333333333</c:v>
                </c:pt>
                <c:pt idx="26">
                  <c:v>1.1666666666666667</c:v>
                </c:pt>
                <c:pt idx="27">
                  <c:v>1.25</c:v>
                </c:pt>
                <c:pt idx="28">
                  <c:v>1.3333333333333333</c:v>
                </c:pt>
                <c:pt idx="29">
                  <c:v>1.4166666666666667</c:v>
                </c:pt>
                <c:pt idx="30">
                  <c:v>1.5</c:v>
                </c:pt>
                <c:pt idx="31">
                  <c:v>1.5833333333333333</c:v>
                </c:pt>
                <c:pt idx="32">
                  <c:v>1.6666666666666667</c:v>
                </c:pt>
                <c:pt idx="33">
                  <c:v>1.75</c:v>
                </c:pt>
                <c:pt idx="34">
                  <c:v>1.8333333333333333</c:v>
                </c:pt>
                <c:pt idx="35">
                  <c:v>1.9166666666666667</c:v>
                </c:pt>
                <c:pt idx="36">
                  <c:v>2</c:v>
                </c:pt>
                <c:pt idx="37">
                  <c:v>2.1666666666666665</c:v>
                </c:pt>
                <c:pt idx="38">
                  <c:v>2.3333333333333335</c:v>
                </c:pt>
                <c:pt idx="39">
                  <c:v>2.5</c:v>
                </c:pt>
                <c:pt idx="40">
                  <c:v>2.6666666666666665</c:v>
                </c:pt>
                <c:pt idx="41">
                  <c:v>2.8333333333333335</c:v>
                </c:pt>
                <c:pt idx="42">
                  <c:v>3</c:v>
                </c:pt>
                <c:pt idx="43">
                  <c:v>3.1666666666666665</c:v>
                </c:pt>
                <c:pt idx="44">
                  <c:v>3.3333333333333335</c:v>
                </c:pt>
                <c:pt idx="45">
                  <c:v>3.5</c:v>
                </c:pt>
                <c:pt idx="46">
                  <c:v>3.6666666666666665</c:v>
                </c:pt>
                <c:pt idx="47">
                  <c:v>3.8333333333333335</c:v>
                </c:pt>
                <c:pt idx="48">
                  <c:v>4</c:v>
                </c:pt>
                <c:pt idx="49">
                  <c:v>4.25</c:v>
                </c:pt>
                <c:pt idx="50">
                  <c:v>4.5</c:v>
                </c:pt>
                <c:pt idx="51">
                  <c:v>4.75</c:v>
                </c:pt>
                <c:pt idx="52">
                  <c:v>5</c:v>
                </c:pt>
              </c:numCache>
            </c:numRef>
          </c:xVal>
          <c:yVal>
            <c:numRef>
              <c:f>JP_example!$D$479:$D$531</c:f>
              <c:numCache>
                <c:formatCode>0</c:formatCode>
                <c:ptCount val="53"/>
                <c:pt idx="0">
                  <c:v>11.618721461</c:v>
                </c:pt>
                <c:pt idx="1">
                  <c:v>11.399875493</c:v>
                </c:pt>
                <c:pt idx="2">
                  <c:v>11.142175176</c:v>
                </c:pt>
                <c:pt idx="3">
                  <c:v>10.511101888000001</c:v>
                </c:pt>
                <c:pt idx="4">
                  <c:v>9.8924865088999994</c:v>
                </c:pt>
                <c:pt idx="5">
                  <c:v>9.1983402489999992</c:v>
                </c:pt>
                <c:pt idx="6">
                  <c:v>8.5008302199999992</c:v>
                </c:pt>
                <c:pt idx="7">
                  <c:v>7.9153526971000003</c:v>
                </c:pt>
                <c:pt idx="8">
                  <c:v>7.1496471565000004</c:v>
                </c:pt>
                <c:pt idx="9">
                  <c:v>6.2775933610000001</c:v>
                </c:pt>
                <c:pt idx="10">
                  <c:v>5.1353258614000001</c:v>
                </c:pt>
                <c:pt idx="11">
                  <c:v>4.6287611538000002</c:v>
                </c:pt>
                <c:pt idx="12">
                  <c:v>0.97841427979999995</c:v>
                </c:pt>
                <c:pt idx="13">
                  <c:v>2.0273802116000001</c:v>
                </c:pt>
                <c:pt idx="14">
                  <c:v>2.8717310086999999</c:v>
                </c:pt>
                <c:pt idx="15">
                  <c:v>5.4368388301000001</c:v>
                </c:pt>
                <c:pt idx="16">
                  <c:v>7.0531230546000003</c:v>
                </c:pt>
                <c:pt idx="17">
                  <c:v>8.1831190376999992</c:v>
                </c:pt>
                <c:pt idx="18">
                  <c:v>16.968665697999999</c:v>
                </c:pt>
                <c:pt idx="19">
                  <c:v>17.162139747000001</c:v>
                </c:pt>
                <c:pt idx="20">
                  <c:v>17.476546285000001</c:v>
                </c:pt>
                <c:pt idx="21">
                  <c:v>19.416131039</c:v>
                </c:pt>
                <c:pt idx="22">
                  <c:v>19.808881510999999</c:v>
                </c:pt>
                <c:pt idx="23">
                  <c:v>19.892620231999999</c:v>
                </c:pt>
                <c:pt idx="24">
                  <c:v>20.356297987000001</c:v>
                </c:pt>
                <c:pt idx="25">
                  <c:v>20.435440414999999</c:v>
                </c:pt>
                <c:pt idx="26">
                  <c:v>20.525518672</c:v>
                </c:pt>
                <c:pt idx="27">
                  <c:v>20.445895522000001</c:v>
                </c:pt>
                <c:pt idx="28">
                  <c:v>20.420124480999998</c:v>
                </c:pt>
                <c:pt idx="29">
                  <c:v>20.229430052000001</c:v>
                </c:pt>
                <c:pt idx="30">
                  <c:v>20.049377592999999</c:v>
                </c:pt>
                <c:pt idx="31">
                  <c:v>19.901119402999999</c:v>
                </c:pt>
                <c:pt idx="32">
                  <c:v>19.832987551999999</c:v>
                </c:pt>
                <c:pt idx="33">
                  <c:v>19.934494195999999</c:v>
                </c:pt>
                <c:pt idx="34">
                  <c:v>19.855394190999998</c:v>
                </c:pt>
                <c:pt idx="35">
                  <c:v>19.981761658</c:v>
                </c:pt>
                <c:pt idx="36">
                  <c:v>20.164522821999999</c:v>
                </c:pt>
                <c:pt idx="37">
                  <c:v>20.518664455</c:v>
                </c:pt>
                <c:pt idx="38">
                  <c:v>20.347023439000001</c:v>
                </c:pt>
                <c:pt idx="39">
                  <c:v>20.338174274</c:v>
                </c:pt>
                <c:pt idx="40">
                  <c:v>20.423595273</c:v>
                </c:pt>
                <c:pt idx="41">
                  <c:v>20.642886769</c:v>
                </c:pt>
                <c:pt idx="42">
                  <c:v>20.935283135999999</c:v>
                </c:pt>
                <c:pt idx="43">
                  <c:v>21.309780356000001</c:v>
                </c:pt>
                <c:pt idx="44">
                  <c:v>21.245905038</c:v>
                </c:pt>
                <c:pt idx="45">
                  <c:v>21.372329392000001</c:v>
                </c:pt>
                <c:pt idx="46">
                  <c:v>21.436386241000001</c:v>
                </c:pt>
                <c:pt idx="47">
                  <c:v>21.381712626999999</c:v>
                </c:pt>
                <c:pt idx="48">
                  <c:v>21.278572910000001</c:v>
                </c:pt>
                <c:pt idx="49">
                  <c:v>20.978643997999999</c:v>
                </c:pt>
                <c:pt idx="50">
                  <c:v>20.725632518000001</c:v>
                </c:pt>
                <c:pt idx="51">
                  <c:v>20.082296848999999</c:v>
                </c:pt>
                <c:pt idx="52">
                  <c:v>19.418705931000002</c:v>
                </c:pt>
              </c:numCache>
            </c:numRef>
          </c:yVal>
          <c:smooth val="1"/>
          <c:extLst xmlns:c16r2="http://schemas.microsoft.com/office/drawing/2015/06/chart">
            <c:ext xmlns:c16="http://schemas.microsoft.com/office/drawing/2014/chart" uri="{C3380CC4-5D6E-409C-BE32-E72D297353CC}">
              <c16:uniqueId val="{00000000-F410-4DE1-B9F3-EE9C0520760D}"/>
            </c:ext>
          </c:extLst>
        </c:ser>
        <c:ser>
          <c:idx val="1"/>
          <c:order val="1"/>
          <c:tx>
            <c:strRef>
              <c:f>JP_example!$E$478</c:f>
              <c:strCache>
                <c:ptCount val="1"/>
                <c:pt idx="0">
                  <c:v>Comparison</c:v>
                </c:pt>
              </c:strCache>
            </c:strRef>
          </c:tx>
          <c:marker>
            <c:symbol val="square"/>
            <c:size val="4"/>
            <c:spPr>
              <a:solidFill>
                <a:schemeClr val="accent2"/>
              </a:solidFill>
            </c:spPr>
          </c:marker>
          <c:xVal>
            <c:numRef>
              <c:f>JP_example!$C$479:$C$531</c:f>
              <c:numCache>
                <c:formatCode>0.0</c:formatCode>
                <c:ptCount val="53"/>
                <c:pt idx="0">
                  <c:v>-1</c:v>
                </c:pt>
                <c:pt idx="1">
                  <c:v>-0.91666666666666663</c:v>
                </c:pt>
                <c:pt idx="2">
                  <c:v>-0.83333333333333337</c:v>
                </c:pt>
                <c:pt idx="3">
                  <c:v>-0.75</c:v>
                </c:pt>
                <c:pt idx="4">
                  <c:v>-0.66666666666666663</c:v>
                </c:pt>
                <c:pt idx="5">
                  <c:v>-0.58333333333333337</c:v>
                </c:pt>
                <c:pt idx="6">
                  <c:v>-0.5</c:v>
                </c:pt>
                <c:pt idx="7">
                  <c:v>-0.41666666666666669</c:v>
                </c:pt>
                <c:pt idx="8">
                  <c:v>-0.33333333333333331</c:v>
                </c:pt>
                <c:pt idx="9">
                  <c:v>-0.25</c:v>
                </c:pt>
                <c:pt idx="10">
                  <c:v>-0.16666666666666666</c:v>
                </c:pt>
                <c:pt idx="11">
                  <c:v>-8.3333333333333329E-2</c:v>
                </c:pt>
                <c:pt idx="12">
                  <c:v>0</c:v>
                </c:pt>
                <c:pt idx="13">
                  <c:v>8.3333333333333329E-2</c:v>
                </c:pt>
                <c:pt idx="14">
                  <c:v>0.16666666666666666</c:v>
                </c:pt>
                <c:pt idx="15">
                  <c:v>0.25</c:v>
                </c:pt>
                <c:pt idx="16">
                  <c:v>0.33333333333333331</c:v>
                </c:pt>
                <c:pt idx="17">
                  <c:v>0.41666666666666669</c:v>
                </c:pt>
                <c:pt idx="18">
                  <c:v>0.5</c:v>
                </c:pt>
                <c:pt idx="19">
                  <c:v>0.58333333333333337</c:v>
                </c:pt>
                <c:pt idx="20">
                  <c:v>0.66666666666666663</c:v>
                </c:pt>
                <c:pt idx="21">
                  <c:v>0.75</c:v>
                </c:pt>
                <c:pt idx="22">
                  <c:v>0.83333333333333337</c:v>
                </c:pt>
                <c:pt idx="23">
                  <c:v>0.91666666666666663</c:v>
                </c:pt>
                <c:pt idx="24">
                  <c:v>1</c:v>
                </c:pt>
                <c:pt idx="25">
                  <c:v>1.0833333333333333</c:v>
                </c:pt>
                <c:pt idx="26">
                  <c:v>1.1666666666666667</c:v>
                </c:pt>
                <c:pt idx="27">
                  <c:v>1.25</c:v>
                </c:pt>
                <c:pt idx="28">
                  <c:v>1.3333333333333333</c:v>
                </c:pt>
                <c:pt idx="29">
                  <c:v>1.4166666666666667</c:v>
                </c:pt>
                <c:pt idx="30">
                  <c:v>1.5</c:v>
                </c:pt>
                <c:pt idx="31">
                  <c:v>1.5833333333333333</c:v>
                </c:pt>
                <c:pt idx="32">
                  <c:v>1.6666666666666667</c:v>
                </c:pt>
                <c:pt idx="33">
                  <c:v>1.75</c:v>
                </c:pt>
                <c:pt idx="34">
                  <c:v>1.8333333333333333</c:v>
                </c:pt>
                <c:pt idx="35">
                  <c:v>1.9166666666666667</c:v>
                </c:pt>
                <c:pt idx="36">
                  <c:v>2</c:v>
                </c:pt>
                <c:pt idx="37">
                  <c:v>2.1666666666666665</c:v>
                </c:pt>
                <c:pt idx="38">
                  <c:v>2.3333333333333335</c:v>
                </c:pt>
                <c:pt idx="39">
                  <c:v>2.5</c:v>
                </c:pt>
                <c:pt idx="40">
                  <c:v>2.6666666666666665</c:v>
                </c:pt>
                <c:pt idx="41">
                  <c:v>2.8333333333333335</c:v>
                </c:pt>
                <c:pt idx="42">
                  <c:v>3</c:v>
                </c:pt>
                <c:pt idx="43">
                  <c:v>3.1666666666666665</c:v>
                </c:pt>
                <c:pt idx="44">
                  <c:v>3.3333333333333335</c:v>
                </c:pt>
                <c:pt idx="45">
                  <c:v>3.5</c:v>
                </c:pt>
                <c:pt idx="46">
                  <c:v>3.6666666666666665</c:v>
                </c:pt>
                <c:pt idx="47">
                  <c:v>3.8333333333333335</c:v>
                </c:pt>
                <c:pt idx="48">
                  <c:v>4</c:v>
                </c:pt>
                <c:pt idx="49">
                  <c:v>4.25</c:v>
                </c:pt>
                <c:pt idx="50">
                  <c:v>4.5</c:v>
                </c:pt>
                <c:pt idx="51">
                  <c:v>4.75</c:v>
                </c:pt>
                <c:pt idx="52">
                  <c:v>5</c:v>
                </c:pt>
              </c:numCache>
            </c:numRef>
          </c:xVal>
          <c:yVal>
            <c:numRef>
              <c:f>JP_example!$E$479:$E$531</c:f>
              <c:numCache>
                <c:formatCode>0</c:formatCode>
                <c:ptCount val="53"/>
                <c:pt idx="0">
                  <c:v>11.702787022000001</c:v>
                </c:pt>
                <c:pt idx="1">
                  <c:v>11.559001041</c:v>
                </c:pt>
                <c:pt idx="2">
                  <c:v>11.429373829999999</c:v>
                </c:pt>
                <c:pt idx="3">
                  <c:v>11.124661810999999</c:v>
                </c:pt>
                <c:pt idx="4">
                  <c:v>10.486469609</c:v>
                </c:pt>
                <c:pt idx="5">
                  <c:v>9.9286308780999999</c:v>
                </c:pt>
                <c:pt idx="6">
                  <c:v>8.9270725119000005</c:v>
                </c:pt>
                <c:pt idx="7">
                  <c:v>8.1702039117999998</c:v>
                </c:pt>
                <c:pt idx="8">
                  <c:v>7.2491694351999998</c:v>
                </c:pt>
                <c:pt idx="9">
                  <c:v>5.9180191427000004</c:v>
                </c:pt>
                <c:pt idx="10">
                  <c:v>4.9852635949000002</c:v>
                </c:pt>
                <c:pt idx="11">
                  <c:v>4.8454337425</c:v>
                </c:pt>
                <c:pt idx="12">
                  <c:v>8.4007887090000004</c:v>
                </c:pt>
                <c:pt idx="13">
                  <c:v>10.259829415</c:v>
                </c:pt>
                <c:pt idx="14">
                  <c:v>11.383800623000001</c:v>
                </c:pt>
                <c:pt idx="15">
                  <c:v>12.040981901</c:v>
                </c:pt>
                <c:pt idx="16">
                  <c:v>12.576475478000001</c:v>
                </c:pt>
                <c:pt idx="17">
                  <c:v>13.171416684</c:v>
                </c:pt>
                <c:pt idx="18">
                  <c:v>13.664660718</c:v>
                </c:pt>
                <c:pt idx="19">
                  <c:v>13.806283812</c:v>
                </c:pt>
                <c:pt idx="20">
                  <c:v>14.150238638999999</c:v>
                </c:pt>
                <c:pt idx="21">
                  <c:v>14.448003328</c:v>
                </c:pt>
                <c:pt idx="22">
                  <c:v>14.656016598000001</c:v>
                </c:pt>
                <c:pt idx="23">
                  <c:v>14.814837904999999</c:v>
                </c:pt>
                <c:pt idx="24">
                  <c:v>15.087001661</c:v>
                </c:pt>
                <c:pt idx="25">
                  <c:v>15.400789528000001</c:v>
                </c:pt>
                <c:pt idx="26">
                  <c:v>15.581448433</c:v>
                </c:pt>
                <c:pt idx="27">
                  <c:v>15.685720224000001</c:v>
                </c:pt>
                <c:pt idx="28">
                  <c:v>16.041727216000002</c:v>
                </c:pt>
                <c:pt idx="29">
                  <c:v>16.317057968</c:v>
                </c:pt>
                <c:pt idx="30">
                  <c:v>16.352977796000001</c:v>
                </c:pt>
                <c:pt idx="31">
                  <c:v>16.255920233000001</c:v>
                </c:pt>
                <c:pt idx="32">
                  <c:v>16.355334163999999</c:v>
                </c:pt>
                <c:pt idx="33">
                  <c:v>16.558994598999998</c:v>
                </c:pt>
                <c:pt idx="34">
                  <c:v>16.778908034000001</c:v>
                </c:pt>
                <c:pt idx="35">
                  <c:v>16.936695724</c:v>
                </c:pt>
                <c:pt idx="36">
                  <c:v>16.798505914</c:v>
                </c:pt>
                <c:pt idx="37">
                  <c:v>17.208298755000001</c:v>
                </c:pt>
                <c:pt idx="38">
                  <c:v>17.544340601999998</c:v>
                </c:pt>
                <c:pt idx="39">
                  <c:v>17.719028844</c:v>
                </c:pt>
                <c:pt idx="40">
                  <c:v>17.74870305</c:v>
                </c:pt>
                <c:pt idx="41">
                  <c:v>17.969080722000001</c:v>
                </c:pt>
                <c:pt idx="42">
                  <c:v>18.286336304999999</c:v>
                </c:pt>
                <c:pt idx="43">
                  <c:v>18.835718731</c:v>
                </c:pt>
                <c:pt idx="44">
                  <c:v>18.941249741</c:v>
                </c:pt>
                <c:pt idx="45">
                  <c:v>19.111157196000001</c:v>
                </c:pt>
                <c:pt idx="46">
                  <c:v>19.035655058</c:v>
                </c:pt>
                <c:pt idx="47">
                  <c:v>18.951067800000001</c:v>
                </c:pt>
                <c:pt idx="48">
                  <c:v>18.896351575000001</c:v>
                </c:pt>
                <c:pt idx="49">
                  <c:v>18.948952065</c:v>
                </c:pt>
                <c:pt idx="50">
                  <c:v>18.652155886999999</c:v>
                </c:pt>
                <c:pt idx="51">
                  <c:v>17.900601784999999</c:v>
                </c:pt>
                <c:pt idx="52">
                  <c:v>17.591625207</c:v>
                </c:pt>
              </c:numCache>
            </c:numRef>
          </c:yVal>
          <c:smooth val="1"/>
          <c:extLst xmlns:c16r2="http://schemas.microsoft.com/office/drawing/2015/06/chart">
            <c:ext xmlns:c16="http://schemas.microsoft.com/office/drawing/2014/chart" uri="{C3380CC4-5D6E-409C-BE32-E72D297353CC}">
              <c16:uniqueId val="{00000001-F410-4DE1-B9F3-EE9C0520760D}"/>
            </c:ext>
          </c:extLst>
        </c:ser>
        <c:dLbls>
          <c:showLegendKey val="0"/>
          <c:showVal val="0"/>
          <c:showCatName val="0"/>
          <c:showSerName val="0"/>
          <c:showPercent val="0"/>
          <c:showBubbleSize val="0"/>
        </c:dLbls>
        <c:axId val="110603264"/>
        <c:axId val="110851584"/>
      </c:scatterChart>
      <c:valAx>
        <c:axId val="110603264"/>
        <c:scaling>
          <c:orientation val="minMax"/>
          <c:max val="5"/>
          <c:min val="-1"/>
        </c:scaling>
        <c:delete val="0"/>
        <c:axPos val="b"/>
        <c:title>
          <c:tx>
            <c:rich>
              <a:bodyPr/>
              <a:lstStyle/>
              <a:p>
                <a:pPr>
                  <a:defRPr/>
                </a:pPr>
                <a:r>
                  <a:rPr lang="en-NZ"/>
                  <a:t>Years from participation start</a:t>
                </a:r>
              </a:p>
            </c:rich>
          </c:tx>
          <c:layout>
            <c:manualLayout>
              <c:xMode val="edge"/>
              <c:yMode val="edge"/>
              <c:x val="0.39765932882771859"/>
              <c:y val="0.82590335344915156"/>
            </c:manualLayout>
          </c:layout>
          <c:overlay val="0"/>
        </c:title>
        <c:numFmt formatCode="0.0" sourceLinked="1"/>
        <c:majorTickMark val="cross"/>
        <c:minorTickMark val="in"/>
        <c:tickLblPos val="nextTo"/>
        <c:txPr>
          <a:bodyPr rot="0" vert="horz"/>
          <a:lstStyle/>
          <a:p>
            <a:pPr>
              <a:defRPr/>
            </a:pPr>
            <a:endParaRPr lang="en-US"/>
          </a:p>
        </c:txPr>
        <c:crossAx val="110851584"/>
        <c:crosses val="autoZero"/>
        <c:crossBetween val="midCat"/>
        <c:majorUnit val="0.5"/>
        <c:minorUnit val="0.25"/>
      </c:valAx>
      <c:valAx>
        <c:axId val="110851584"/>
        <c:scaling>
          <c:orientation val="minMax"/>
        </c:scaling>
        <c:delete val="0"/>
        <c:axPos val="l"/>
        <c:majorGridlines/>
        <c:title>
          <c:tx>
            <c:rich>
              <a:bodyPr rot="-5400000" vert="horz"/>
              <a:lstStyle/>
              <a:p>
                <a:pPr>
                  <a:defRPr/>
                </a:pPr>
                <a:r>
                  <a:rPr lang="en-NZ"/>
                  <a:t>Days Independent of welfare assistance</a:t>
                </a:r>
              </a:p>
            </c:rich>
          </c:tx>
          <c:layout>
            <c:manualLayout>
              <c:xMode val="edge"/>
              <c:yMode val="edge"/>
              <c:x val="1.0982987591667321E-2"/>
              <c:y val="6.5407820227405156E-2"/>
            </c:manualLayout>
          </c:layout>
          <c:overlay val="0"/>
        </c:title>
        <c:numFmt formatCode="0" sourceLinked="1"/>
        <c:majorTickMark val="out"/>
        <c:minorTickMark val="none"/>
        <c:tickLblPos val="nextTo"/>
        <c:crossAx val="110603264"/>
        <c:crossesAt val="-1"/>
        <c:crossBetween val="midCat"/>
      </c:valAx>
    </c:plotArea>
    <c:legend>
      <c:legendPos val="b"/>
      <c:overlay val="0"/>
    </c:legend>
    <c:plotVisOnly val="1"/>
    <c:dispBlanksAs val="gap"/>
    <c:showDLblsOverMax val="0"/>
  </c:chart>
  <c:spPr>
    <a:ln>
      <a:noFill/>
    </a:ln>
  </c:spPr>
  <c:txPr>
    <a:bodyPr/>
    <a:lstStyle/>
    <a:p>
      <a:pPr>
        <a:defRPr b="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JP_example!$N$478</c:f>
              <c:strCache>
                <c:ptCount val="1"/>
                <c:pt idx="0">
                  <c:v>Participants</c:v>
                </c:pt>
              </c:strCache>
            </c:strRef>
          </c:tx>
          <c:marker>
            <c:symbol val="circle"/>
            <c:size val="5"/>
            <c:spPr>
              <a:solidFill>
                <a:schemeClr val="bg1"/>
              </a:solidFill>
            </c:spPr>
          </c:marker>
          <c:cat>
            <c:numRef>
              <c:f>JP_example!$M$479:$M$488</c:f>
              <c:numCache>
                <c:formatCode>0.0</c:formatCode>
                <c:ptCount val="10"/>
                <c:pt idx="0">
                  <c:v>0.5</c:v>
                </c:pt>
                <c:pt idx="1">
                  <c:v>1</c:v>
                </c:pt>
                <c:pt idx="2">
                  <c:v>1.5</c:v>
                </c:pt>
                <c:pt idx="3">
                  <c:v>2</c:v>
                </c:pt>
                <c:pt idx="4">
                  <c:v>2.5</c:v>
                </c:pt>
                <c:pt idx="5">
                  <c:v>3</c:v>
                </c:pt>
                <c:pt idx="6">
                  <c:v>3.5</c:v>
                </c:pt>
                <c:pt idx="7">
                  <c:v>4</c:v>
                </c:pt>
                <c:pt idx="8">
                  <c:v>4.5</c:v>
                </c:pt>
                <c:pt idx="9">
                  <c:v>5</c:v>
                </c:pt>
              </c:numCache>
            </c:numRef>
          </c:cat>
          <c:val>
            <c:numRef>
              <c:f>JP_example!$N$479:$N$488</c:f>
              <c:numCache>
                <c:formatCode>0</c:formatCode>
                <c:ptCount val="10"/>
                <c:pt idx="0">
                  <c:v>26.555946953999999</c:v>
                </c:pt>
                <c:pt idx="1">
                  <c:v>137.39100705000001</c:v>
                </c:pt>
                <c:pt idx="2">
                  <c:v>259.83713219999999</c:v>
                </c:pt>
                <c:pt idx="3">
                  <c:v>379.46249482000002</c:v>
                </c:pt>
                <c:pt idx="4">
                  <c:v>501.42706175000001</c:v>
                </c:pt>
                <c:pt idx="5">
                  <c:v>624.80314960999999</c:v>
                </c:pt>
                <c:pt idx="6">
                  <c:v>751.80957315000001</c:v>
                </c:pt>
                <c:pt idx="7">
                  <c:v>880.36303356999997</c:v>
                </c:pt>
                <c:pt idx="8">
                  <c:v>1007.0443431</c:v>
                </c:pt>
                <c:pt idx="9">
                  <c:v>1128.3188975999999</c:v>
                </c:pt>
              </c:numCache>
            </c:numRef>
          </c:val>
          <c:smooth val="1"/>
          <c:extLst xmlns:c16r2="http://schemas.microsoft.com/office/drawing/2015/06/chart">
            <c:ext xmlns:c16="http://schemas.microsoft.com/office/drawing/2014/chart" uri="{C3380CC4-5D6E-409C-BE32-E72D297353CC}">
              <c16:uniqueId val="{00000000-3946-4F57-A890-8159155A7F70}"/>
            </c:ext>
          </c:extLst>
        </c:ser>
        <c:ser>
          <c:idx val="1"/>
          <c:order val="1"/>
          <c:tx>
            <c:strRef>
              <c:f>JP_example!$O$478</c:f>
              <c:strCache>
                <c:ptCount val="1"/>
                <c:pt idx="0">
                  <c:v>Comparison</c:v>
                </c:pt>
              </c:strCache>
            </c:strRef>
          </c:tx>
          <c:marker>
            <c:symbol val="square"/>
            <c:size val="4"/>
            <c:spPr>
              <a:solidFill>
                <a:schemeClr val="accent2"/>
              </a:solidFill>
            </c:spPr>
          </c:marker>
          <c:cat>
            <c:numRef>
              <c:f>JP_example!$M$479:$M$488</c:f>
              <c:numCache>
                <c:formatCode>0.0</c:formatCode>
                <c:ptCount val="10"/>
                <c:pt idx="0">
                  <c:v>0.5</c:v>
                </c:pt>
                <c:pt idx="1">
                  <c:v>1</c:v>
                </c:pt>
                <c:pt idx="2">
                  <c:v>1.5</c:v>
                </c:pt>
                <c:pt idx="3">
                  <c:v>2</c:v>
                </c:pt>
                <c:pt idx="4">
                  <c:v>2.5</c:v>
                </c:pt>
                <c:pt idx="5">
                  <c:v>3</c:v>
                </c:pt>
                <c:pt idx="6">
                  <c:v>3.5</c:v>
                </c:pt>
                <c:pt idx="7">
                  <c:v>4</c:v>
                </c:pt>
                <c:pt idx="8">
                  <c:v>4.5</c:v>
                </c:pt>
                <c:pt idx="9">
                  <c:v>5</c:v>
                </c:pt>
              </c:numCache>
            </c:numRef>
          </c:cat>
          <c:val>
            <c:numRef>
              <c:f>JP_example!$O$479:$O$488</c:f>
              <c:numCache>
                <c:formatCode>0</c:formatCode>
                <c:ptCount val="10"/>
                <c:pt idx="0">
                  <c:v>67.846042271000002</c:v>
                </c:pt>
                <c:pt idx="1">
                  <c:v>153.53833402000001</c:v>
                </c:pt>
                <c:pt idx="2">
                  <c:v>247.76792374999999</c:v>
                </c:pt>
                <c:pt idx="3">
                  <c:v>347.00352258999999</c:v>
                </c:pt>
                <c:pt idx="4">
                  <c:v>450.79859097000002</c:v>
                </c:pt>
                <c:pt idx="5">
                  <c:v>557.85184417999994</c:v>
                </c:pt>
                <c:pt idx="6">
                  <c:v>670.46974720000003</c:v>
                </c:pt>
                <c:pt idx="7">
                  <c:v>784.78346456999998</c:v>
                </c:pt>
                <c:pt idx="8">
                  <c:v>898.24388727999997</c:v>
                </c:pt>
                <c:pt idx="9">
                  <c:v>1006.9488189</c:v>
                </c:pt>
              </c:numCache>
            </c:numRef>
          </c:val>
          <c:smooth val="1"/>
          <c:extLst xmlns:c16r2="http://schemas.microsoft.com/office/drawing/2015/06/chart">
            <c:ext xmlns:c16="http://schemas.microsoft.com/office/drawing/2014/chart" uri="{C3380CC4-5D6E-409C-BE32-E72D297353CC}">
              <c16:uniqueId val="{00000001-3946-4F57-A890-8159155A7F70}"/>
            </c:ext>
          </c:extLst>
        </c:ser>
        <c:dLbls>
          <c:showLegendKey val="0"/>
          <c:showVal val="0"/>
          <c:showCatName val="0"/>
          <c:showSerName val="0"/>
          <c:showPercent val="0"/>
          <c:showBubbleSize val="0"/>
        </c:dLbls>
        <c:marker val="1"/>
        <c:smooth val="0"/>
        <c:axId val="115073024"/>
        <c:axId val="115076096"/>
      </c:lineChart>
      <c:catAx>
        <c:axId val="115073024"/>
        <c:scaling>
          <c:orientation val="minMax"/>
        </c:scaling>
        <c:delete val="0"/>
        <c:axPos val="b"/>
        <c:title>
          <c:tx>
            <c:rich>
              <a:bodyPr/>
              <a:lstStyle/>
              <a:p>
                <a:pPr>
                  <a:defRPr/>
                </a:pPr>
                <a:r>
                  <a:rPr lang="en-NZ"/>
                  <a:t>Years from participation start</a:t>
                </a:r>
              </a:p>
            </c:rich>
          </c:tx>
          <c:layout>
            <c:manualLayout>
              <c:xMode val="edge"/>
              <c:yMode val="edge"/>
              <c:x val="0.39765932882771859"/>
              <c:y val="0.82590335344915156"/>
            </c:manualLayout>
          </c:layout>
          <c:overlay val="0"/>
        </c:title>
        <c:numFmt formatCode="0.0" sourceLinked="1"/>
        <c:majorTickMark val="cross"/>
        <c:minorTickMark val="in"/>
        <c:tickLblPos val="nextTo"/>
        <c:txPr>
          <a:bodyPr rot="0" vert="horz"/>
          <a:lstStyle/>
          <a:p>
            <a:pPr>
              <a:defRPr/>
            </a:pPr>
            <a:endParaRPr lang="en-US"/>
          </a:p>
        </c:txPr>
        <c:crossAx val="115076096"/>
        <c:crosses val="autoZero"/>
        <c:auto val="1"/>
        <c:lblAlgn val="ctr"/>
        <c:lblOffset val="100"/>
        <c:noMultiLvlLbl val="0"/>
      </c:catAx>
      <c:valAx>
        <c:axId val="115076096"/>
        <c:scaling>
          <c:orientation val="minMax"/>
        </c:scaling>
        <c:delete val="0"/>
        <c:axPos val="l"/>
        <c:majorGridlines/>
        <c:title>
          <c:tx>
            <c:rich>
              <a:bodyPr rot="-5400000" vert="horz"/>
              <a:lstStyle/>
              <a:p>
                <a:pPr>
                  <a:defRPr/>
                </a:pPr>
                <a:r>
                  <a:rPr lang="en-NZ"/>
                  <a:t> Independent of welfare assistance</a:t>
                </a:r>
              </a:p>
            </c:rich>
          </c:tx>
          <c:layout>
            <c:manualLayout>
              <c:xMode val="edge"/>
              <c:yMode val="edge"/>
              <c:x val="1.3165113771580516E-2"/>
              <c:y val="0.11109149908502988"/>
            </c:manualLayout>
          </c:layout>
          <c:overlay val="0"/>
        </c:title>
        <c:numFmt formatCode="0" sourceLinked="1"/>
        <c:majorTickMark val="out"/>
        <c:minorTickMark val="none"/>
        <c:tickLblPos val="nextTo"/>
        <c:crossAx val="115073024"/>
        <c:crossesAt val="-1"/>
        <c:crossBetween val="between"/>
      </c:valAx>
    </c:plotArea>
    <c:legend>
      <c:legendPos val="b"/>
      <c:overlay val="0"/>
    </c:legend>
    <c:plotVisOnly val="1"/>
    <c:dispBlanksAs val="gap"/>
    <c:showDLblsOverMax val="0"/>
  </c:chart>
  <c:spPr>
    <a:ln>
      <a:noFill/>
    </a:ln>
  </c:spPr>
  <c:txPr>
    <a:bodyPr/>
    <a:lstStyle/>
    <a:p>
      <a:pPr>
        <a:defRPr b="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smoothMarker"/>
        <c:varyColors val="0"/>
        <c:ser>
          <c:idx val="1"/>
          <c:order val="1"/>
          <c:tx>
            <c:strRef>
              <c:f>Method!$E$434</c:f>
              <c:strCache>
                <c:ptCount val="1"/>
                <c:pt idx="0">
                  <c:v>Cumulative</c:v>
                </c:pt>
              </c:strCache>
            </c:strRef>
          </c:tx>
          <c:spPr>
            <a:ln w="12700"/>
          </c:spPr>
          <c:marker>
            <c:symbol val="diamond"/>
            <c:size val="3"/>
          </c:marker>
          <c:yVal>
            <c:numRef>
              <c:f>Method!$E$435:$E$476</c:f>
              <c:numCache>
                <c:formatCode>General</c:formatCode>
                <c:ptCount val="42"/>
                <c:pt idx="0">
                  <c:v>1</c:v>
                </c:pt>
                <c:pt idx="1">
                  <c:v>2.0300000000000002</c:v>
                </c:pt>
                <c:pt idx="2">
                  <c:v>3.0909000000000004</c:v>
                </c:pt>
                <c:pt idx="3">
                  <c:v>4.1836270000000004</c:v>
                </c:pt>
                <c:pt idx="4">
                  <c:v>5.3091358100000008</c:v>
                </c:pt>
                <c:pt idx="5">
                  <c:v>6.4684098843000006</c:v>
                </c:pt>
                <c:pt idx="6">
                  <c:v>7.6624621808290012</c:v>
                </c:pt>
                <c:pt idx="7">
                  <c:v>8.8923360462538721</c:v>
                </c:pt>
                <c:pt idx="8">
                  <c:v>10.159106127641488</c:v>
                </c:pt>
                <c:pt idx="9">
                  <c:v>11.463879311470732</c:v>
                </c:pt>
                <c:pt idx="10">
                  <c:v>12.807795690814855</c:v>
                </c:pt>
                <c:pt idx="11">
                  <c:v>14.1920295615393</c:v>
                </c:pt>
                <c:pt idx="12">
                  <c:v>15.617790448385479</c:v>
                </c:pt>
                <c:pt idx="13">
                  <c:v>17.086324161837044</c:v>
                </c:pt>
                <c:pt idx="14">
                  <c:v>18.598913886692156</c:v>
                </c:pt>
                <c:pt idx="15">
                  <c:v>20.15688130329292</c:v>
                </c:pt>
                <c:pt idx="16">
                  <c:v>21.761587742391708</c:v>
                </c:pt>
                <c:pt idx="17">
                  <c:v>23.414435374663459</c:v>
                </c:pt>
                <c:pt idx="18">
                  <c:v>25.116868435903363</c:v>
                </c:pt>
                <c:pt idx="19">
                  <c:v>26.870374488980467</c:v>
                </c:pt>
                <c:pt idx="20">
                  <c:v>28.676485723649883</c:v>
                </c:pt>
                <c:pt idx="21">
                  <c:v>30.428413621279216</c:v>
                </c:pt>
                <c:pt idx="22">
                  <c:v>32.127783681979665</c:v>
                </c:pt>
                <c:pt idx="23">
                  <c:v>33.776172640859102</c:v>
                </c:pt>
                <c:pt idx="24">
                  <c:v>35.375109930972158</c:v>
                </c:pt>
                <c:pt idx="25">
                  <c:v>36.92607910238182</c:v>
                </c:pt>
                <c:pt idx="26">
                  <c:v>38.430519198649193</c:v>
                </c:pt>
                <c:pt idx="27">
                  <c:v>39.889826092028549</c:v>
                </c:pt>
                <c:pt idx="28">
                  <c:v>41.305353778606523</c:v>
                </c:pt>
                <c:pt idx="29">
                  <c:v>42.678415634587154</c:v>
                </c:pt>
                <c:pt idx="30">
                  <c:v>44.010285634888369</c:v>
                </c:pt>
                <c:pt idx="31">
                  <c:v>45.302199535180549</c:v>
                </c:pt>
                <c:pt idx="32">
                  <c:v>46.555356018463961</c:v>
                </c:pt>
                <c:pt idx="33">
                  <c:v>47.770917807248871</c:v>
                </c:pt>
                <c:pt idx="34">
                  <c:v>48.950012742370234</c:v>
                </c:pt>
                <c:pt idx="35">
                  <c:v>50.093734829437956</c:v>
                </c:pt>
                <c:pt idx="36">
                  <c:v>51.203145253893645</c:v>
                </c:pt>
                <c:pt idx="37">
                  <c:v>52.279273365615666</c:v>
                </c:pt>
                <c:pt idx="38">
                  <c:v>53.323117633986023</c:v>
                </c:pt>
                <c:pt idx="39">
                  <c:v>54.335646574305272</c:v>
                </c:pt>
                <c:pt idx="40">
                  <c:v>55.31779964641494</c:v>
                </c:pt>
                <c:pt idx="41">
                  <c:v>56.270488126361322</c:v>
                </c:pt>
              </c:numCache>
            </c:numRef>
          </c:yVal>
          <c:smooth val="1"/>
          <c:extLst xmlns:c16r2="http://schemas.microsoft.com/office/drawing/2015/06/chart">
            <c:ext xmlns:c16="http://schemas.microsoft.com/office/drawing/2014/chart" uri="{C3380CC4-5D6E-409C-BE32-E72D297353CC}">
              <c16:uniqueId val="{00000000-BF22-4893-83F3-EFDABF27B91D}"/>
            </c:ext>
          </c:extLst>
        </c:ser>
        <c:dLbls>
          <c:showLegendKey val="0"/>
          <c:showVal val="0"/>
          <c:showCatName val="0"/>
          <c:showSerName val="0"/>
          <c:showPercent val="0"/>
          <c:showBubbleSize val="0"/>
        </c:dLbls>
        <c:axId val="131153280"/>
        <c:axId val="133075712"/>
      </c:scatterChart>
      <c:scatterChart>
        <c:scatterStyle val="smoothMarker"/>
        <c:varyColors val="0"/>
        <c:ser>
          <c:idx val="0"/>
          <c:order val="0"/>
          <c:tx>
            <c:strRef>
              <c:f>Method!$D$434</c:f>
              <c:strCache>
                <c:ptCount val="1"/>
                <c:pt idx="0">
                  <c:v>Interval</c:v>
                </c:pt>
              </c:strCache>
            </c:strRef>
          </c:tx>
          <c:spPr>
            <a:ln w="12700"/>
          </c:spPr>
          <c:marker>
            <c:symbol val="circle"/>
            <c:size val="3"/>
            <c:spPr>
              <a:solidFill>
                <a:schemeClr val="bg1"/>
              </a:solidFill>
            </c:spPr>
          </c:marker>
          <c:yVal>
            <c:numRef>
              <c:f>Method!$D$435:$D$476</c:f>
              <c:numCache>
                <c:formatCode>General</c:formatCode>
                <c:ptCount val="42"/>
                <c:pt idx="0">
                  <c:v>1</c:v>
                </c:pt>
                <c:pt idx="1">
                  <c:v>1.03</c:v>
                </c:pt>
                <c:pt idx="2">
                  <c:v>1.0609</c:v>
                </c:pt>
                <c:pt idx="3">
                  <c:v>1.092727</c:v>
                </c:pt>
                <c:pt idx="4">
                  <c:v>1.1255088100000001</c:v>
                </c:pt>
                <c:pt idx="5">
                  <c:v>1.1592740743000001</c:v>
                </c:pt>
                <c:pt idx="6">
                  <c:v>1.1940522965290001</c:v>
                </c:pt>
                <c:pt idx="7">
                  <c:v>1.2298738654248702</c:v>
                </c:pt>
                <c:pt idx="8">
                  <c:v>1.2667700813876164</c:v>
                </c:pt>
                <c:pt idx="9">
                  <c:v>1.3047731838292449</c:v>
                </c:pt>
                <c:pt idx="10">
                  <c:v>1.3439163793441222</c:v>
                </c:pt>
                <c:pt idx="11">
                  <c:v>1.3842338707244459</c:v>
                </c:pt>
                <c:pt idx="12">
                  <c:v>1.4257608868461793</c:v>
                </c:pt>
                <c:pt idx="13">
                  <c:v>1.4685337134515648</c:v>
                </c:pt>
                <c:pt idx="14">
                  <c:v>1.5125897248551119</c:v>
                </c:pt>
                <c:pt idx="15">
                  <c:v>1.5579674166007653</c:v>
                </c:pt>
                <c:pt idx="16">
                  <c:v>1.6047064390987884</c:v>
                </c:pt>
                <c:pt idx="17">
                  <c:v>1.652847632271752</c:v>
                </c:pt>
                <c:pt idx="18">
                  <c:v>1.7024330612399046</c:v>
                </c:pt>
                <c:pt idx="19">
                  <c:v>1.7535060530771018</c:v>
                </c:pt>
                <c:pt idx="20">
                  <c:v>1.806111234669415</c:v>
                </c:pt>
                <c:pt idx="21">
                  <c:v>1.7519278976293327</c:v>
                </c:pt>
                <c:pt idx="22">
                  <c:v>1.6993700607004527</c:v>
                </c:pt>
                <c:pt idx="23">
                  <c:v>1.6483889588794391</c:v>
                </c:pt>
                <c:pt idx="24">
                  <c:v>1.5989372901130561</c:v>
                </c:pt>
                <c:pt idx="25">
                  <c:v>1.5509691714096645</c:v>
                </c:pt>
                <c:pt idx="26">
                  <c:v>1.5044400962673745</c:v>
                </c:pt>
                <c:pt idx="27">
                  <c:v>1.4593068933793534</c:v>
                </c:pt>
                <c:pt idx="28">
                  <c:v>1.4155276865779727</c:v>
                </c:pt>
                <c:pt idx="29">
                  <c:v>1.3730618559806336</c:v>
                </c:pt>
                <c:pt idx="30">
                  <c:v>1.3318700003012145</c:v>
                </c:pt>
                <c:pt idx="31">
                  <c:v>1.291913900292178</c:v>
                </c:pt>
                <c:pt idx="32">
                  <c:v>1.2531564832834126</c:v>
                </c:pt>
                <c:pt idx="33">
                  <c:v>1.2155617887849102</c:v>
                </c:pt>
                <c:pt idx="34">
                  <c:v>1.1790949351213629</c:v>
                </c:pt>
                <c:pt idx="35">
                  <c:v>1.143722087067722</c:v>
                </c:pt>
                <c:pt idx="36">
                  <c:v>1.1094104244556904</c:v>
                </c:pt>
                <c:pt idx="37">
                  <c:v>1.0761281117220196</c:v>
                </c:pt>
                <c:pt idx="38">
                  <c:v>1.043844268370359</c:v>
                </c:pt>
                <c:pt idx="39">
                  <c:v>1.0125289403192483</c:v>
                </c:pt>
                <c:pt idx="40">
                  <c:v>0.98215307210967084</c:v>
                </c:pt>
                <c:pt idx="41">
                  <c:v>0.95268847994638073</c:v>
                </c:pt>
              </c:numCache>
            </c:numRef>
          </c:yVal>
          <c:smooth val="1"/>
          <c:extLst xmlns:c16r2="http://schemas.microsoft.com/office/drawing/2015/06/chart">
            <c:ext xmlns:c16="http://schemas.microsoft.com/office/drawing/2014/chart" uri="{C3380CC4-5D6E-409C-BE32-E72D297353CC}">
              <c16:uniqueId val="{00000001-BF22-4893-83F3-EFDABF27B91D}"/>
            </c:ext>
          </c:extLst>
        </c:ser>
        <c:dLbls>
          <c:showLegendKey val="0"/>
          <c:showVal val="0"/>
          <c:showCatName val="0"/>
          <c:showSerName val="0"/>
          <c:showPercent val="0"/>
          <c:showBubbleSize val="0"/>
        </c:dLbls>
        <c:axId val="133187840"/>
        <c:axId val="133159168"/>
      </c:scatterChart>
      <c:valAx>
        <c:axId val="131153280"/>
        <c:scaling>
          <c:orientation val="minMax"/>
        </c:scaling>
        <c:delete val="0"/>
        <c:axPos val="b"/>
        <c:title>
          <c:tx>
            <c:rich>
              <a:bodyPr/>
              <a:lstStyle/>
              <a:p>
                <a:pPr>
                  <a:defRPr/>
                </a:pPr>
                <a:r>
                  <a:rPr lang="en-NZ"/>
                  <a:t>Lapse period from intervention start</a:t>
                </a:r>
              </a:p>
            </c:rich>
          </c:tx>
          <c:overlay val="0"/>
        </c:title>
        <c:majorTickMark val="cross"/>
        <c:minorTickMark val="in"/>
        <c:tickLblPos val="nextTo"/>
        <c:crossAx val="133075712"/>
        <c:crosses val="autoZero"/>
        <c:crossBetween val="midCat"/>
        <c:minorUnit val="2"/>
      </c:valAx>
      <c:valAx>
        <c:axId val="133075712"/>
        <c:scaling>
          <c:orientation val="minMax"/>
        </c:scaling>
        <c:delete val="0"/>
        <c:axPos val="l"/>
        <c:majorGridlines/>
        <c:title>
          <c:tx>
            <c:rich>
              <a:bodyPr rot="-5400000" vert="horz"/>
              <a:lstStyle/>
              <a:p>
                <a:pPr>
                  <a:defRPr/>
                </a:pPr>
                <a:r>
                  <a:rPr lang="en-US"/>
                  <a:t>Cumulative impact</a:t>
                </a:r>
              </a:p>
            </c:rich>
          </c:tx>
          <c:overlay val="0"/>
        </c:title>
        <c:numFmt formatCode="General" sourceLinked="1"/>
        <c:majorTickMark val="cross"/>
        <c:minorTickMark val="in"/>
        <c:tickLblPos val="nextTo"/>
        <c:crossAx val="131153280"/>
        <c:crosses val="autoZero"/>
        <c:crossBetween val="midCat"/>
      </c:valAx>
      <c:valAx>
        <c:axId val="133159168"/>
        <c:scaling>
          <c:orientation val="minMax"/>
          <c:min val="0"/>
        </c:scaling>
        <c:delete val="0"/>
        <c:axPos val="r"/>
        <c:title>
          <c:tx>
            <c:rich>
              <a:bodyPr rot="-5400000" vert="horz"/>
              <a:lstStyle/>
              <a:p>
                <a:pPr>
                  <a:defRPr/>
                </a:pPr>
                <a:r>
                  <a:rPr lang="en-US"/>
                  <a:t>Interval impact</a:t>
                </a:r>
              </a:p>
            </c:rich>
          </c:tx>
          <c:overlay val="0"/>
        </c:title>
        <c:numFmt formatCode="General" sourceLinked="1"/>
        <c:majorTickMark val="cross"/>
        <c:minorTickMark val="in"/>
        <c:tickLblPos val="nextTo"/>
        <c:crossAx val="133187840"/>
        <c:crosses val="max"/>
        <c:crossBetween val="midCat"/>
      </c:valAx>
      <c:valAx>
        <c:axId val="133187840"/>
        <c:scaling>
          <c:orientation val="minMax"/>
        </c:scaling>
        <c:delete val="1"/>
        <c:axPos val="b"/>
        <c:majorTickMark val="out"/>
        <c:minorTickMark val="none"/>
        <c:tickLblPos val="nextTo"/>
        <c:crossAx val="133159168"/>
        <c:crosses val="autoZero"/>
        <c:crossBetween val="midCat"/>
      </c:valAx>
    </c:plotArea>
    <c:legend>
      <c:legendPos val="b"/>
      <c:overlay val="0"/>
    </c:legend>
    <c:plotVisOnly val="1"/>
    <c:dispBlanksAs val="gap"/>
    <c:showDLblsOverMax val="0"/>
  </c:chart>
  <c:spPr>
    <a:ln>
      <a:noFill/>
    </a:ln>
  </c:spPr>
  <c:txPr>
    <a:bodyPr/>
    <a:lstStyle/>
    <a:p>
      <a:pPr>
        <a:defRPr sz="900" b="0">
          <a:latin typeface="Verdana" panose="020B0604030504040204" pitchFamily="34" charset="0"/>
          <a:ea typeface="Verdana" panose="020B0604030504040204" pitchFamily="34" charset="0"/>
          <a:cs typeface="Verdana" panose="020B0604030504040204"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smoothMarker"/>
        <c:varyColors val="0"/>
        <c:ser>
          <c:idx val="1"/>
          <c:order val="1"/>
          <c:tx>
            <c:strRef>
              <c:f>Method!$E$434</c:f>
              <c:strCache>
                <c:ptCount val="1"/>
                <c:pt idx="0">
                  <c:v>Cumulative</c:v>
                </c:pt>
              </c:strCache>
            </c:strRef>
          </c:tx>
          <c:spPr>
            <a:ln w="12700"/>
          </c:spPr>
          <c:marker>
            <c:symbol val="diamond"/>
            <c:size val="3"/>
          </c:marker>
          <c:yVal>
            <c:numRef>
              <c:f>Method!$E$435:$E$503</c:f>
              <c:numCache>
                <c:formatCode>General</c:formatCode>
                <c:ptCount val="69"/>
                <c:pt idx="0">
                  <c:v>1</c:v>
                </c:pt>
                <c:pt idx="1">
                  <c:v>2.0300000000000002</c:v>
                </c:pt>
                <c:pt idx="2">
                  <c:v>3.0909000000000004</c:v>
                </c:pt>
                <c:pt idx="3">
                  <c:v>4.1836270000000004</c:v>
                </c:pt>
                <c:pt idx="4">
                  <c:v>5.3091358100000008</c:v>
                </c:pt>
                <c:pt idx="5">
                  <c:v>6.4684098843000006</c:v>
                </c:pt>
                <c:pt idx="6">
                  <c:v>7.6624621808290012</c:v>
                </c:pt>
                <c:pt idx="7">
                  <c:v>8.8923360462538721</c:v>
                </c:pt>
                <c:pt idx="8">
                  <c:v>10.159106127641488</c:v>
                </c:pt>
                <c:pt idx="9">
                  <c:v>11.463879311470732</c:v>
                </c:pt>
                <c:pt idx="10">
                  <c:v>12.807795690814855</c:v>
                </c:pt>
                <c:pt idx="11">
                  <c:v>14.1920295615393</c:v>
                </c:pt>
                <c:pt idx="12">
                  <c:v>15.617790448385479</c:v>
                </c:pt>
                <c:pt idx="13">
                  <c:v>17.086324161837044</c:v>
                </c:pt>
                <c:pt idx="14">
                  <c:v>18.598913886692156</c:v>
                </c:pt>
                <c:pt idx="15">
                  <c:v>20.15688130329292</c:v>
                </c:pt>
                <c:pt idx="16">
                  <c:v>21.761587742391708</c:v>
                </c:pt>
                <c:pt idx="17">
                  <c:v>23.414435374663459</c:v>
                </c:pt>
                <c:pt idx="18">
                  <c:v>25.116868435903363</c:v>
                </c:pt>
                <c:pt idx="19">
                  <c:v>26.870374488980467</c:v>
                </c:pt>
                <c:pt idx="20">
                  <c:v>28.676485723649883</c:v>
                </c:pt>
                <c:pt idx="21">
                  <c:v>30.428413621279216</c:v>
                </c:pt>
                <c:pt idx="22">
                  <c:v>32.127783681979665</c:v>
                </c:pt>
                <c:pt idx="23">
                  <c:v>33.776172640859102</c:v>
                </c:pt>
                <c:pt idx="24">
                  <c:v>35.375109930972158</c:v>
                </c:pt>
                <c:pt idx="25">
                  <c:v>36.92607910238182</c:v>
                </c:pt>
                <c:pt idx="26">
                  <c:v>38.430519198649193</c:v>
                </c:pt>
                <c:pt idx="27">
                  <c:v>39.889826092028549</c:v>
                </c:pt>
                <c:pt idx="28">
                  <c:v>41.305353778606523</c:v>
                </c:pt>
                <c:pt idx="29">
                  <c:v>42.678415634587154</c:v>
                </c:pt>
                <c:pt idx="30">
                  <c:v>44.010285634888369</c:v>
                </c:pt>
                <c:pt idx="31">
                  <c:v>45.302199535180549</c:v>
                </c:pt>
                <c:pt idx="32">
                  <c:v>46.555356018463961</c:v>
                </c:pt>
                <c:pt idx="33">
                  <c:v>47.770917807248871</c:v>
                </c:pt>
                <c:pt idx="34">
                  <c:v>48.950012742370234</c:v>
                </c:pt>
                <c:pt idx="35">
                  <c:v>50.093734829437956</c:v>
                </c:pt>
                <c:pt idx="36">
                  <c:v>51.203145253893645</c:v>
                </c:pt>
                <c:pt idx="37">
                  <c:v>52.279273365615666</c:v>
                </c:pt>
                <c:pt idx="38">
                  <c:v>53.323117633986023</c:v>
                </c:pt>
                <c:pt idx="39">
                  <c:v>54.335646574305272</c:v>
                </c:pt>
                <c:pt idx="40">
                  <c:v>55.31779964641494</c:v>
                </c:pt>
                <c:pt idx="41">
                  <c:v>56.270488126361322</c:v>
                </c:pt>
              </c:numCache>
            </c:numRef>
          </c:yVal>
          <c:smooth val="1"/>
          <c:extLst xmlns:c16r2="http://schemas.microsoft.com/office/drawing/2015/06/chart">
            <c:ext xmlns:c16="http://schemas.microsoft.com/office/drawing/2014/chart" uri="{C3380CC4-5D6E-409C-BE32-E72D297353CC}">
              <c16:uniqueId val="{00000000-4636-4984-BCD8-4A6509718622}"/>
            </c:ext>
          </c:extLst>
        </c:ser>
        <c:ser>
          <c:idx val="3"/>
          <c:order val="3"/>
          <c:tx>
            <c:strRef>
              <c:f>Method!$G$434</c:f>
              <c:strCache>
                <c:ptCount val="1"/>
                <c:pt idx="0">
                  <c:v>Projected Cumulative</c:v>
                </c:pt>
              </c:strCache>
            </c:strRef>
          </c:tx>
          <c:spPr>
            <a:ln w="12700"/>
          </c:spPr>
          <c:marker>
            <c:symbol val="x"/>
            <c:size val="4"/>
          </c:marker>
          <c:yVal>
            <c:numRef>
              <c:f>Method!$G$435:$G$503</c:f>
              <c:numCache>
                <c:formatCode>General</c:formatCode>
                <c:ptCount val="69"/>
                <c:pt idx="42">
                  <c:v>57.17940999961877</c:v>
                </c:pt>
                <c:pt idx="43">
                  <c:v>58.053908667585382</c:v>
                </c:pt>
                <c:pt idx="44">
                  <c:v>58.893984130261167</c:v>
                </c:pt>
                <c:pt idx="45">
                  <c:v>59.699636387646116</c:v>
                </c:pt>
                <c:pt idx="46">
                  <c:v>60.470865439740237</c:v>
                </c:pt>
                <c:pt idx="47">
                  <c:v>61.20767128654353</c:v>
                </c:pt>
                <c:pt idx="48">
                  <c:v>61.910053928055987</c:v>
                </c:pt>
                <c:pt idx="49">
                  <c:v>62.578013364277616</c:v>
                </c:pt>
                <c:pt idx="50">
                  <c:v>63.21154959520841</c:v>
                </c:pt>
                <c:pt idx="51">
                  <c:v>63.810662620848376</c:v>
                </c:pt>
                <c:pt idx="52">
                  <c:v>64.375352441197506</c:v>
                </c:pt>
                <c:pt idx="53">
                  <c:v>64.905619056255816</c:v>
                </c:pt>
                <c:pt idx="54">
                  <c:v>65.40146246602329</c:v>
                </c:pt>
                <c:pt idx="55">
                  <c:v>65.862882670499928</c:v>
                </c:pt>
                <c:pt idx="56">
                  <c:v>66.289879669685732</c:v>
                </c:pt>
                <c:pt idx="57">
                  <c:v>66.682453463580714</c:v>
                </c:pt>
                <c:pt idx="58">
                  <c:v>67.040604052184861</c:v>
                </c:pt>
                <c:pt idx="59">
                  <c:v>67.364331435498173</c:v>
                </c:pt>
                <c:pt idx="60">
                  <c:v>67.653635613520663</c:v>
                </c:pt>
                <c:pt idx="61">
                  <c:v>67.908516586252318</c:v>
                </c:pt>
                <c:pt idx="62">
                  <c:v>68.128974353693138</c:v>
                </c:pt>
                <c:pt idx="63">
                  <c:v>68.315008915843123</c:v>
                </c:pt>
                <c:pt idx="64">
                  <c:v>68.466620272702286</c:v>
                </c:pt>
                <c:pt idx="65">
                  <c:v>68.583808424270615</c:v>
                </c:pt>
                <c:pt idx="66">
                  <c:v>68.666573370548107</c:v>
                </c:pt>
                <c:pt idx="67">
                  <c:v>68.714915111534779</c:v>
                </c:pt>
                <c:pt idx="68">
                  <c:v>68.728833647230616</c:v>
                </c:pt>
              </c:numCache>
            </c:numRef>
          </c:yVal>
          <c:smooth val="1"/>
          <c:extLst xmlns:c16r2="http://schemas.microsoft.com/office/drawing/2015/06/chart">
            <c:ext xmlns:c16="http://schemas.microsoft.com/office/drawing/2014/chart" uri="{C3380CC4-5D6E-409C-BE32-E72D297353CC}">
              <c16:uniqueId val="{00000001-4636-4984-BCD8-4A6509718622}"/>
            </c:ext>
          </c:extLst>
        </c:ser>
        <c:dLbls>
          <c:showLegendKey val="0"/>
          <c:showVal val="0"/>
          <c:showCatName val="0"/>
          <c:showSerName val="0"/>
          <c:showPercent val="0"/>
          <c:showBubbleSize val="0"/>
        </c:dLbls>
        <c:axId val="156845184"/>
        <c:axId val="156861952"/>
      </c:scatterChart>
      <c:scatterChart>
        <c:scatterStyle val="smoothMarker"/>
        <c:varyColors val="0"/>
        <c:ser>
          <c:idx val="0"/>
          <c:order val="0"/>
          <c:tx>
            <c:strRef>
              <c:f>Method!$D$434</c:f>
              <c:strCache>
                <c:ptCount val="1"/>
                <c:pt idx="0">
                  <c:v>Interval</c:v>
                </c:pt>
              </c:strCache>
            </c:strRef>
          </c:tx>
          <c:spPr>
            <a:ln w="12700"/>
          </c:spPr>
          <c:marker>
            <c:symbol val="circle"/>
            <c:size val="3"/>
            <c:spPr>
              <a:solidFill>
                <a:schemeClr val="bg1"/>
              </a:solidFill>
            </c:spPr>
          </c:marker>
          <c:yVal>
            <c:numRef>
              <c:f>Method!$D$435:$D$503</c:f>
              <c:numCache>
                <c:formatCode>General</c:formatCode>
                <c:ptCount val="69"/>
                <c:pt idx="0">
                  <c:v>1</c:v>
                </c:pt>
                <c:pt idx="1">
                  <c:v>1.03</c:v>
                </c:pt>
                <c:pt idx="2">
                  <c:v>1.0609</c:v>
                </c:pt>
                <c:pt idx="3">
                  <c:v>1.092727</c:v>
                </c:pt>
                <c:pt idx="4">
                  <c:v>1.1255088100000001</c:v>
                </c:pt>
                <c:pt idx="5">
                  <c:v>1.1592740743000001</c:v>
                </c:pt>
                <c:pt idx="6">
                  <c:v>1.1940522965290001</c:v>
                </c:pt>
                <c:pt idx="7">
                  <c:v>1.2298738654248702</c:v>
                </c:pt>
                <c:pt idx="8">
                  <c:v>1.2667700813876164</c:v>
                </c:pt>
                <c:pt idx="9">
                  <c:v>1.3047731838292449</c:v>
                </c:pt>
                <c:pt idx="10">
                  <c:v>1.3439163793441222</c:v>
                </c:pt>
                <c:pt idx="11">
                  <c:v>1.3842338707244459</c:v>
                </c:pt>
                <c:pt idx="12">
                  <c:v>1.4257608868461793</c:v>
                </c:pt>
                <c:pt idx="13">
                  <c:v>1.4685337134515648</c:v>
                </c:pt>
                <c:pt idx="14">
                  <c:v>1.5125897248551119</c:v>
                </c:pt>
                <c:pt idx="15">
                  <c:v>1.5579674166007653</c:v>
                </c:pt>
                <c:pt idx="16">
                  <c:v>1.6047064390987884</c:v>
                </c:pt>
                <c:pt idx="17">
                  <c:v>1.652847632271752</c:v>
                </c:pt>
                <c:pt idx="18">
                  <c:v>1.7024330612399046</c:v>
                </c:pt>
                <c:pt idx="19">
                  <c:v>1.7535060530771018</c:v>
                </c:pt>
                <c:pt idx="20">
                  <c:v>1.806111234669415</c:v>
                </c:pt>
                <c:pt idx="21">
                  <c:v>1.7519278976293327</c:v>
                </c:pt>
                <c:pt idx="22">
                  <c:v>1.6993700607004527</c:v>
                </c:pt>
                <c:pt idx="23">
                  <c:v>1.6483889588794391</c:v>
                </c:pt>
                <c:pt idx="24">
                  <c:v>1.5989372901130561</c:v>
                </c:pt>
                <c:pt idx="25">
                  <c:v>1.5509691714096645</c:v>
                </c:pt>
                <c:pt idx="26">
                  <c:v>1.5044400962673745</c:v>
                </c:pt>
                <c:pt idx="27">
                  <c:v>1.4593068933793534</c:v>
                </c:pt>
                <c:pt idx="28">
                  <c:v>1.4155276865779727</c:v>
                </c:pt>
                <c:pt idx="29">
                  <c:v>1.3730618559806336</c:v>
                </c:pt>
                <c:pt idx="30">
                  <c:v>1.3318700003012145</c:v>
                </c:pt>
                <c:pt idx="31">
                  <c:v>1.291913900292178</c:v>
                </c:pt>
                <c:pt idx="32">
                  <c:v>1.2531564832834126</c:v>
                </c:pt>
                <c:pt idx="33">
                  <c:v>1.2155617887849102</c:v>
                </c:pt>
                <c:pt idx="34">
                  <c:v>1.1790949351213629</c:v>
                </c:pt>
                <c:pt idx="35">
                  <c:v>1.143722087067722</c:v>
                </c:pt>
                <c:pt idx="36">
                  <c:v>1.1094104244556904</c:v>
                </c:pt>
                <c:pt idx="37">
                  <c:v>1.0761281117220196</c:v>
                </c:pt>
                <c:pt idx="38">
                  <c:v>1.043844268370359</c:v>
                </c:pt>
                <c:pt idx="39">
                  <c:v>1.0125289403192483</c:v>
                </c:pt>
                <c:pt idx="40">
                  <c:v>0.98215307210967084</c:v>
                </c:pt>
                <c:pt idx="41">
                  <c:v>0.95268847994638073</c:v>
                </c:pt>
              </c:numCache>
            </c:numRef>
          </c:yVal>
          <c:smooth val="1"/>
          <c:extLst xmlns:c16r2="http://schemas.microsoft.com/office/drawing/2015/06/chart">
            <c:ext xmlns:c16="http://schemas.microsoft.com/office/drawing/2014/chart" uri="{C3380CC4-5D6E-409C-BE32-E72D297353CC}">
              <c16:uniqueId val="{00000002-4636-4984-BCD8-4A6509718622}"/>
            </c:ext>
          </c:extLst>
        </c:ser>
        <c:ser>
          <c:idx val="2"/>
          <c:order val="2"/>
          <c:tx>
            <c:strRef>
              <c:f>Method!$F$434</c:f>
              <c:strCache>
                <c:ptCount val="1"/>
                <c:pt idx="0">
                  <c:v>Projected interval</c:v>
                </c:pt>
              </c:strCache>
            </c:strRef>
          </c:tx>
          <c:spPr>
            <a:ln w="12700">
              <a:solidFill>
                <a:schemeClr val="accent6">
                  <a:lumMod val="75000"/>
                </a:schemeClr>
              </a:solidFill>
            </a:ln>
          </c:spPr>
          <c:marker>
            <c:symbol val="triangle"/>
            <c:size val="3"/>
            <c:spPr>
              <a:solidFill>
                <a:schemeClr val="accent6">
                  <a:lumMod val="50000"/>
                </a:schemeClr>
              </a:solidFill>
            </c:spPr>
          </c:marker>
          <c:yVal>
            <c:numRef>
              <c:f>Method!$F$435:$F$503</c:f>
              <c:numCache>
                <c:formatCode>General</c:formatCode>
                <c:ptCount val="69"/>
                <c:pt idx="30">
                  <c:v>1.3220003367474185</c:v>
                </c:pt>
                <c:pt idx="31">
                  <c:v>1.2875771314565874</c:v>
                </c:pt>
                <c:pt idx="32">
                  <c:v>1.2531539261657563</c:v>
                </c:pt>
                <c:pt idx="33">
                  <c:v>1.2187307208749252</c:v>
                </c:pt>
                <c:pt idx="34">
                  <c:v>1.1843075155840941</c:v>
                </c:pt>
                <c:pt idx="35">
                  <c:v>1.1498843102932628</c:v>
                </c:pt>
                <c:pt idx="36">
                  <c:v>1.1154611050024317</c:v>
                </c:pt>
                <c:pt idx="37">
                  <c:v>1.0810378997116006</c:v>
                </c:pt>
                <c:pt idx="38">
                  <c:v>1.0466146944207695</c:v>
                </c:pt>
                <c:pt idx="39">
                  <c:v>1.0121914891299384</c:v>
                </c:pt>
                <c:pt idx="40">
                  <c:v>0.97776828383910708</c:v>
                </c:pt>
                <c:pt idx="41">
                  <c:v>0.94334507854827598</c:v>
                </c:pt>
                <c:pt idx="42">
                  <c:v>0.90892187325744489</c:v>
                </c:pt>
                <c:pt idx="43">
                  <c:v>0.8744986679666138</c:v>
                </c:pt>
                <c:pt idx="44">
                  <c:v>0.8400754626757827</c:v>
                </c:pt>
                <c:pt idx="45">
                  <c:v>0.80565225738495161</c:v>
                </c:pt>
                <c:pt idx="46">
                  <c:v>0.77122905209412029</c:v>
                </c:pt>
                <c:pt idx="47">
                  <c:v>0.7368058468032892</c:v>
                </c:pt>
                <c:pt idx="48">
                  <c:v>0.70238264151245811</c:v>
                </c:pt>
                <c:pt idx="49">
                  <c:v>0.66795943622162701</c:v>
                </c:pt>
                <c:pt idx="50">
                  <c:v>0.63353623093079592</c:v>
                </c:pt>
                <c:pt idx="51">
                  <c:v>0.5991130256399646</c:v>
                </c:pt>
                <c:pt idx="52">
                  <c:v>0.56468982034913351</c:v>
                </c:pt>
                <c:pt idx="53">
                  <c:v>0.53026661505830242</c:v>
                </c:pt>
                <c:pt idx="54">
                  <c:v>0.49584340976747132</c:v>
                </c:pt>
                <c:pt idx="55">
                  <c:v>0.46142020447664023</c:v>
                </c:pt>
                <c:pt idx="56">
                  <c:v>0.42699699918580913</c:v>
                </c:pt>
                <c:pt idx="57">
                  <c:v>0.39257379389497782</c:v>
                </c:pt>
                <c:pt idx="58">
                  <c:v>0.35815058860414672</c:v>
                </c:pt>
                <c:pt idx="59">
                  <c:v>0.32372738331331563</c:v>
                </c:pt>
                <c:pt idx="60">
                  <c:v>0.28930417802248432</c:v>
                </c:pt>
                <c:pt idx="61">
                  <c:v>0.25488097273165344</c:v>
                </c:pt>
                <c:pt idx="62">
                  <c:v>0.22045776744082213</c:v>
                </c:pt>
                <c:pt idx="63">
                  <c:v>0.18603456214999126</c:v>
                </c:pt>
                <c:pt idx="64">
                  <c:v>0.15161135685915994</c:v>
                </c:pt>
                <c:pt idx="65">
                  <c:v>0.11718815156832862</c:v>
                </c:pt>
                <c:pt idx="66">
                  <c:v>8.2764946277497753E-2</c:v>
                </c:pt>
                <c:pt idx="67">
                  <c:v>4.8341740986666437E-2</c:v>
                </c:pt>
                <c:pt idx="68">
                  <c:v>1.3918535695835565E-2</c:v>
                </c:pt>
              </c:numCache>
            </c:numRef>
          </c:yVal>
          <c:smooth val="1"/>
          <c:extLst xmlns:c16r2="http://schemas.microsoft.com/office/drawing/2015/06/chart">
            <c:ext xmlns:c16="http://schemas.microsoft.com/office/drawing/2014/chart" uri="{C3380CC4-5D6E-409C-BE32-E72D297353CC}">
              <c16:uniqueId val="{00000003-4636-4984-BCD8-4A6509718622}"/>
            </c:ext>
          </c:extLst>
        </c:ser>
        <c:dLbls>
          <c:showLegendKey val="0"/>
          <c:showVal val="0"/>
          <c:showCatName val="0"/>
          <c:showSerName val="0"/>
          <c:showPercent val="0"/>
          <c:showBubbleSize val="0"/>
        </c:dLbls>
        <c:axId val="167963264"/>
        <c:axId val="156863872"/>
      </c:scatterChart>
      <c:valAx>
        <c:axId val="156845184"/>
        <c:scaling>
          <c:orientation val="minMax"/>
        </c:scaling>
        <c:delete val="0"/>
        <c:axPos val="b"/>
        <c:title>
          <c:tx>
            <c:rich>
              <a:bodyPr/>
              <a:lstStyle/>
              <a:p>
                <a:pPr>
                  <a:defRPr/>
                </a:pPr>
                <a:r>
                  <a:rPr lang="en-NZ"/>
                  <a:t>Lapse period from intervention start</a:t>
                </a:r>
              </a:p>
            </c:rich>
          </c:tx>
          <c:overlay val="0"/>
        </c:title>
        <c:majorTickMark val="cross"/>
        <c:minorTickMark val="in"/>
        <c:tickLblPos val="nextTo"/>
        <c:crossAx val="156861952"/>
        <c:crosses val="autoZero"/>
        <c:crossBetween val="midCat"/>
        <c:minorUnit val="2"/>
      </c:valAx>
      <c:valAx>
        <c:axId val="156861952"/>
        <c:scaling>
          <c:orientation val="minMax"/>
        </c:scaling>
        <c:delete val="0"/>
        <c:axPos val="l"/>
        <c:majorGridlines/>
        <c:title>
          <c:tx>
            <c:rich>
              <a:bodyPr rot="-5400000" vert="horz"/>
              <a:lstStyle/>
              <a:p>
                <a:pPr>
                  <a:defRPr/>
                </a:pPr>
                <a:r>
                  <a:rPr lang="en-US"/>
                  <a:t>Cumulative impact</a:t>
                </a:r>
              </a:p>
            </c:rich>
          </c:tx>
          <c:overlay val="0"/>
        </c:title>
        <c:numFmt formatCode="General" sourceLinked="1"/>
        <c:majorTickMark val="cross"/>
        <c:minorTickMark val="in"/>
        <c:tickLblPos val="nextTo"/>
        <c:crossAx val="156845184"/>
        <c:crosses val="autoZero"/>
        <c:crossBetween val="midCat"/>
      </c:valAx>
      <c:valAx>
        <c:axId val="156863872"/>
        <c:scaling>
          <c:orientation val="minMax"/>
          <c:min val="0"/>
        </c:scaling>
        <c:delete val="0"/>
        <c:axPos val="r"/>
        <c:title>
          <c:tx>
            <c:rich>
              <a:bodyPr rot="-5400000" vert="horz"/>
              <a:lstStyle/>
              <a:p>
                <a:pPr>
                  <a:defRPr/>
                </a:pPr>
                <a:r>
                  <a:rPr lang="en-US"/>
                  <a:t>Interval impact</a:t>
                </a:r>
              </a:p>
            </c:rich>
          </c:tx>
          <c:overlay val="0"/>
        </c:title>
        <c:numFmt formatCode="General" sourceLinked="1"/>
        <c:majorTickMark val="cross"/>
        <c:minorTickMark val="in"/>
        <c:tickLblPos val="nextTo"/>
        <c:crossAx val="167963264"/>
        <c:crosses val="max"/>
        <c:crossBetween val="midCat"/>
      </c:valAx>
      <c:valAx>
        <c:axId val="167963264"/>
        <c:scaling>
          <c:orientation val="minMax"/>
        </c:scaling>
        <c:delete val="1"/>
        <c:axPos val="b"/>
        <c:majorTickMark val="out"/>
        <c:minorTickMark val="none"/>
        <c:tickLblPos val="nextTo"/>
        <c:crossAx val="156863872"/>
        <c:crosses val="autoZero"/>
        <c:crossBetween val="midCat"/>
      </c:valAx>
    </c:plotArea>
    <c:legend>
      <c:legendPos val="b"/>
      <c:overlay val="0"/>
    </c:legend>
    <c:plotVisOnly val="1"/>
    <c:dispBlanksAs val="gap"/>
    <c:showDLblsOverMax val="0"/>
  </c:chart>
  <c:spPr>
    <a:ln>
      <a:noFill/>
    </a:ln>
  </c:spPr>
  <c:txPr>
    <a:bodyPr/>
    <a:lstStyle/>
    <a:p>
      <a:pPr>
        <a:defRPr sz="900" b="0">
          <a:latin typeface="Verdana" panose="020B0604030504040204" pitchFamily="34" charset="0"/>
          <a:ea typeface="Verdana" panose="020B0604030504040204" pitchFamily="34" charset="0"/>
          <a:cs typeface="Verdana" panose="020B0604030504040204"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Method!$U$435</c:f>
              <c:strCache>
                <c:ptCount val="1"/>
                <c:pt idx="0">
                  <c:v>Observed interval impact</c:v>
                </c:pt>
              </c:strCache>
            </c:strRef>
          </c:tx>
          <c:xVal>
            <c:numRef>
              <c:f>Method!$T$436:$T$489</c:f>
              <c:numCache>
                <c:formatCode>General</c:formatCode>
                <c:ptCount val="5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numCache>
            </c:numRef>
          </c:xVal>
          <c:yVal>
            <c:numRef>
              <c:f>Method!$U$436:$U$489</c:f>
              <c:numCache>
                <c:formatCode>General</c:formatCode>
                <c:ptCount val="54"/>
                <c:pt idx="0">
                  <c:v>-2</c:v>
                </c:pt>
                <c:pt idx="1">
                  <c:v>-1.77</c:v>
                </c:pt>
                <c:pt idx="2">
                  <c:v>-1.54</c:v>
                </c:pt>
                <c:pt idx="3">
                  <c:v>-1.31</c:v>
                </c:pt>
                <c:pt idx="4">
                  <c:v>-1.08</c:v>
                </c:pt>
                <c:pt idx="5">
                  <c:v>-0.85000000000000009</c:v>
                </c:pt>
                <c:pt idx="6">
                  <c:v>-0.62000000000000011</c:v>
                </c:pt>
                <c:pt idx="7">
                  <c:v>-0.39000000000000012</c:v>
                </c:pt>
                <c:pt idx="8">
                  <c:v>-0.16000000000000011</c:v>
                </c:pt>
                <c:pt idx="9">
                  <c:v>6.9999999999999896E-2</c:v>
                </c:pt>
                <c:pt idx="10">
                  <c:v>0.29999999999999993</c:v>
                </c:pt>
                <c:pt idx="11">
                  <c:v>0.52999999999999992</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numCache>
            </c:numRef>
          </c:yVal>
          <c:smooth val="1"/>
          <c:extLst xmlns:c16r2="http://schemas.microsoft.com/office/drawing/2015/06/chart">
            <c:ext xmlns:c16="http://schemas.microsoft.com/office/drawing/2014/chart" uri="{C3380CC4-5D6E-409C-BE32-E72D297353CC}">
              <c16:uniqueId val="{00000000-A13E-4888-97A4-E828025CF37D}"/>
            </c:ext>
          </c:extLst>
        </c:ser>
        <c:ser>
          <c:idx val="1"/>
          <c:order val="1"/>
          <c:tx>
            <c:strRef>
              <c:f>Method!$V$435</c:f>
              <c:strCache>
                <c:ptCount val="1"/>
                <c:pt idx="0">
                  <c:v>Projected Interval Impact</c:v>
                </c:pt>
              </c:strCache>
            </c:strRef>
          </c:tx>
          <c:spPr>
            <a:ln w="12700"/>
          </c:spPr>
          <c:marker>
            <c:symbol val="square"/>
            <c:size val="3"/>
            <c:spPr>
              <a:noFill/>
            </c:spPr>
          </c:marker>
          <c:xVal>
            <c:numRef>
              <c:f>Method!$T$436:$T$489</c:f>
              <c:numCache>
                <c:formatCode>General</c:formatCode>
                <c:ptCount val="5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numCache>
            </c:numRef>
          </c:xVal>
          <c:yVal>
            <c:numRef>
              <c:f>Method!$V$436:$V$489</c:f>
              <c:numCache>
                <c:formatCode>General</c:formatCode>
                <c:ptCount val="54"/>
                <c:pt idx="0">
                  <c:v>-2.0000000000000004</c:v>
                </c:pt>
                <c:pt idx="1">
                  <c:v>-1.7700000000000005</c:v>
                </c:pt>
                <c:pt idx="2">
                  <c:v>-1.5400000000000005</c:v>
                </c:pt>
                <c:pt idx="3">
                  <c:v>-1.3100000000000005</c:v>
                </c:pt>
                <c:pt idx="4">
                  <c:v>-1.0800000000000003</c:v>
                </c:pt>
                <c:pt idx="5">
                  <c:v>-0.85000000000000031</c:v>
                </c:pt>
                <c:pt idx="6">
                  <c:v>-0.62000000000000033</c:v>
                </c:pt>
                <c:pt idx="7">
                  <c:v>-0.39000000000000035</c:v>
                </c:pt>
                <c:pt idx="8">
                  <c:v>-0.16000000000000014</c:v>
                </c:pt>
                <c:pt idx="9">
                  <c:v>6.999999999999984E-2</c:v>
                </c:pt>
                <c:pt idx="10">
                  <c:v>0.29999999999999982</c:v>
                </c:pt>
                <c:pt idx="11">
                  <c:v>0.5299999999999998</c:v>
                </c:pt>
                <c:pt idx="12">
                  <c:v>0.75999999999999979</c:v>
                </c:pt>
                <c:pt idx="13">
                  <c:v>0.98999999999999977</c:v>
                </c:pt>
                <c:pt idx="14">
                  <c:v>1.2199999999999998</c:v>
                </c:pt>
                <c:pt idx="15">
                  <c:v>1.4499999999999997</c:v>
                </c:pt>
                <c:pt idx="16">
                  <c:v>1.6799999999999997</c:v>
                </c:pt>
                <c:pt idx="17">
                  <c:v>1.9100000000000001</c:v>
                </c:pt>
                <c:pt idx="18">
                  <c:v>2.1399999999999997</c:v>
                </c:pt>
                <c:pt idx="19">
                  <c:v>2.37</c:v>
                </c:pt>
                <c:pt idx="20">
                  <c:v>2.5999999999999996</c:v>
                </c:pt>
                <c:pt idx="21">
                  <c:v>2.83</c:v>
                </c:pt>
                <c:pt idx="22">
                  <c:v>3.0599999999999996</c:v>
                </c:pt>
                <c:pt idx="23">
                  <c:v>3.29</c:v>
                </c:pt>
                <c:pt idx="24">
                  <c:v>3.5199999999999996</c:v>
                </c:pt>
                <c:pt idx="25">
                  <c:v>3.75</c:v>
                </c:pt>
                <c:pt idx="26">
                  <c:v>3.9799999999999995</c:v>
                </c:pt>
                <c:pt idx="27">
                  <c:v>4.21</c:v>
                </c:pt>
                <c:pt idx="28">
                  <c:v>4.4399999999999995</c:v>
                </c:pt>
                <c:pt idx="29">
                  <c:v>4.67</c:v>
                </c:pt>
                <c:pt idx="30">
                  <c:v>4.8999999999999995</c:v>
                </c:pt>
                <c:pt idx="31">
                  <c:v>5.13</c:v>
                </c:pt>
                <c:pt idx="32">
                  <c:v>5.36</c:v>
                </c:pt>
                <c:pt idx="33">
                  <c:v>5.59</c:v>
                </c:pt>
                <c:pt idx="34">
                  <c:v>5.82</c:v>
                </c:pt>
                <c:pt idx="35">
                  <c:v>6.0500000000000007</c:v>
                </c:pt>
                <c:pt idx="36">
                  <c:v>6.2799999999999994</c:v>
                </c:pt>
                <c:pt idx="37">
                  <c:v>6.51</c:v>
                </c:pt>
                <c:pt idx="38">
                  <c:v>6.74</c:v>
                </c:pt>
                <c:pt idx="39">
                  <c:v>6.9700000000000006</c:v>
                </c:pt>
                <c:pt idx="40">
                  <c:v>7.1999999999999993</c:v>
                </c:pt>
                <c:pt idx="41">
                  <c:v>7.43</c:v>
                </c:pt>
                <c:pt idx="42">
                  <c:v>7.66</c:v>
                </c:pt>
                <c:pt idx="43">
                  <c:v>7.8900000000000006</c:v>
                </c:pt>
                <c:pt idx="44">
                  <c:v>8.1199999999999992</c:v>
                </c:pt>
                <c:pt idx="45">
                  <c:v>8.35</c:v>
                </c:pt>
                <c:pt idx="46">
                  <c:v>8.58</c:v>
                </c:pt>
                <c:pt idx="47">
                  <c:v>8.81</c:v>
                </c:pt>
                <c:pt idx="48">
                  <c:v>9.0400000000000009</c:v>
                </c:pt>
                <c:pt idx="49">
                  <c:v>9.27</c:v>
                </c:pt>
                <c:pt idx="50">
                  <c:v>9.5</c:v>
                </c:pt>
                <c:pt idx="51">
                  <c:v>9.73</c:v>
                </c:pt>
                <c:pt idx="52">
                  <c:v>9.9600000000000009</c:v>
                </c:pt>
                <c:pt idx="53">
                  <c:v>10.19</c:v>
                </c:pt>
              </c:numCache>
            </c:numRef>
          </c:yVal>
          <c:smooth val="1"/>
          <c:extLst xmlns:c16r2="http://schemas.microsoft.com/office/drawing/2015/06/chart">
            <c:ext xmlns:c16="http://schemas.microsoft.com/office/drawing/2014/chart" uri="{C3380CC4-5D6E-409C-BE32-E72D297353CC}">
              <c16:uniqueId val="{00000001-A13E-4888-97A4-E828025CF37D}"/>
            </c:ext>
          </c:extLst>
        </c:ser>
        <c:ser>
          <c:idx val="2"/>
          <c:order val="2"/>
          <c:tx>
            <c:strRef>
              <c:f>Method!$W$435</c:f>
              <c:strCache>
                <c:ptCount val="1"/>
                <c:pt idx="0">
                  <c:v>Tapering interval impact</c:v>
                </c:pt>
              </c:strCache>
            </c:strRef>
          </c:tx>
          <c:spPr>
            <a:ln w="12700"/>
          </c:spPr>
          <c:marker>
            <c:symbol val="triangle"/>
            <c:size val="3"/>
          </c:marker>
          <c:xVal>
            <c:numRef>
              <c:f>Method!$T$436:$T$489</c:f>
              <c:numCache>
                <c:formatCode>General</c:formatCode>
                <c:ptCount val="5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numCache>
            </c:numRef>
          </c:xVal>
          <c:yVal>
            <c:numRef>
              <c:f>Method!$W$436:$W$489</c:f>
              <c:numCache>
                <c:formatCode>General</c:formatCode>
                <c:ptCount val="54"/>
                <c:pt idx="0">
                  <c:v>#N/A</c:v>
                </c:pt>
                <c:pt idx="1">
                  <c:v>#N/A</c:v>
                </c:pt>
                <c:pt idx="2">
                  <c:v>#N/A</c:v>
                </c:pt>
                <c:pt idx="3">
                  <c:v>#N/A</c:v>
                </c:pt>
                <c:pt idx="4">
                  <c:v>#N/A</c:v>
                </c:pt>
                <c:pt idx="5">
                  <c:v>#N/A</c:v>
                </c:pt>
                <c:pt idx="6">
                  <c:v>#N/A</c:v>
                </c:pt>
                <c:pt idx="7">
                  <c:v>#N/A</c:v>
                </c:pt>
                <c:pt idx="8">
                  <c:v>#N/A</c:v>
                </c:pt>
                <c:pt idx="9">
                  <c:v>#N/A</c:v>
                </c:pt>
                <c:pt idx="10">
                  <c:v>#N/A</c:v>
                </c:pt>
                <c:pt idx="11">
                  <c:v>#N/A</c:v>
                </c:pt>
                <c:pt idx="12">
                  <c:v>0.56239999999999979</c:v>
                </c:pt>
                <c:pt idx="13">
                  <c:v>0.71279999999999977</c:v>
                </c:pt>
                <c:pt idx="14">
                  <c:v>0.85399999999999976</c:v>
                </c:pt>
                <c:pt idx="15">
                  <c:v>0.98599999999999977</c:v>
                </c:pt>
                <c:pt idx="16">
                  <c:v>1.1087999999999998</c:v>
                </c:pt>
                <c:pt idx="17">
                  <c:v>1.2224000000000002</c:v>
                </c:pt>
                <c:pt idx="18">
                  <c:v>1.3267999999999998</c:v>
                </c:pt>
                <c:pt idx="19">
                  <c:v>1.4219999999999999</c:v>
                </c:pt>
                <c:pt idx="20">
                  <c:v>1.508</c:v>
                </c:pt>
                <c:pt idx="21">
                  <c:v>1.5848000000000002</c:v>
                </c:pt>
                <c:pt idx="22">
                  <c:v>1.6523999999999999</c:v>
                </c:pt>
                <c:pt idx="23">
                  <c:v>1.7108000000000001</c:v>
                </c:pt>
                <c:pt idx="24">
                  <c:v>1.7599999999999998</c:v>
                </c:pt>
                <c:pt idx="25">
                  <c:v>1.7999999999999998</c:v>
                </c:pt>
                <c:pt idx="26">
                  <c:v>1.8307999999999995</c:v>
                </c:pt>
                <c:pt idx="27">
                  <c:v>1.8523999999999998</c:v>
                </c:pt>
                <c:pt idx="28">
                  <c:v>1.8648</c:v>
                </c:pt>
                <c:pt idx="29">
                  <c:v>1.8680000000000001</c:v>
                </c:pt>
                <c:pt idx="30">
                  <c:v>1.8619999999999999</c:v>
                </c:pt>
                <c:pt idx="31">
                  <c:v>1.8468</c:v>
                </c:pt>
                <c:pt idx="32">
                  <c:v>1.8224</c:v>
                </c:pt>
                <c:pt idx="33">
                  <c:v>1.7887999999999997</c:v>
                </c:pt>
                <c:pt idx="34">
                  <c:v>1.7459999999999998</c:v>
                </c:pt>
                <c:pt idx="35">
                  <c:v>1.6940000000000004</c:v>
                </c:pt>
                <c:pt idx="36">
                  <c:v>1.6327999999999998</c:v>
                </c:pt>
                <c:pt idx="37">
                  <c:v>1.5623999999999998</c:v>
                </c:pt>
                <c:pt idx="38">
                  <c:v>1.4827999999999999</c:v>
                </c:pt>
                <c:pt idx="39">
                  <c:v>1.3939999999999999</c:v>
                </c:pt>
                <c:pt idx="40">
                  <c:v>1.2959999999999994</c:v>
                </c:pt>
                <c:pt idx="41">
                  <c:v>1.1888000000000001</c:v>
                </c:pt>
                <c:pt idx="42">
                  <c:v>1.0724</c:v>
                </c:pt>
                <c:pt idx="43">
                  <c:v>0.94680000000000009</c:v>
                </c:pt>
                <c:pt idx="44">
                  <c:v>0.81199999999999972</c:v>
                </c:pt>
                <c:pt idx="45">
                  <c:v>0.66799999999999959</c:v>
                </c:pt>
                <c:pt idx="46">
                  <c:v>0.51479999999999948</c:v>
                </c:pt>
                <c:pt idx="47">
                  <c:v>0.35240000000000032</c:v>
                </c:pt>
                <c:pt idx="48">
                  <c:v>0.18080000000000018</c:v>
                </c:pt>
                <c:pt idx="49">
                  <c:v>0</c:v>
                </c:pt>
                <c:pt idx="50">
                  <c:v>0</c:v>
                </c:pt>
                <c:pt idx="51">
                  <c:v>0</c:v>
                </c:pt>
                <c:pt idx="52">
                  <c:v>0</c:v>
                </c:pt>
                <c:pt idx="53">
                  <c:v>0</c:v>
                </c:pt>
              </c:numCache>
            </c:numRef>
          </c:yVal>
          <c:smooth val="1"/>
          <c:extLst xmlns:c16r2="http://schemas.microsoft.com/office/drawing/2015/06/chart">
            <c:ext xmlns:c16="http://schemas.microsoft.com/office/drawing/2014/chart" uri="{C3380CC4-5D6E-409C-BE32-E72D297353CC}">
              <c16:uniqueId val="{00000002-A13E-4888-97A4-E828025CF37D}"/>
            </c:ext>
          </c:extLst>
        </c:ser>
        <c:dLbls>
          <c:showLegendKey val="0"/>
          <c:showVal val="0"/>
          <c:showCatName val="0"/>
          <c:showSerName val="0"/>
          <c:showPercent val="0"/>
          <c:showBubbleSize val="0"/>
        </c:dLbls>
        <c:axId val="188795904"/>
        <c:axId val="188917248"/>
      </c:scatterChart>
      <c:valAx>
        <c:axId val="188795904"/>
        <c:scaling>
          <c:orientation val="minMax"/>
        </c:scaling>
        <c:delete val="0"/>
        <c:axPos val="b"/>
        <c:title>
          <c:tx>
            <c:rich>
              <a:bodyPr/>
              <a:lstStyle/>
              <a:p>
                <a:pPr>
                  <a:defRPr/>
                </a:pPr>
                <a:r>
                  <a:rPr lang="en-US"/>
                  <a:t>Lapse period of intervention start</a:t>
                </a:r>
              </a:p>
            </c:rich>
          </c:tx>
          <c:overlay val="0"/>
        </c:title>
        <c:numFmt formatCode="General" sourceLinked="1"/>
        <c:majorTickMark val="out"/>
        <c:minorTickMark val="none"/>
        <c:tickLblPos val="nextTo"/>
        <c:crossAx val="188917248"/>
        <c:crosses val="autoZero"/>
        <c:crossBetween val="midCat"/>
      </c:valAx>
      <c:valAx>
        <c:axId val="188917248"/>
        <c:scaling>
          <c:orientation val="minMax"/>
        </c:scaling>
        <c:delete val="0"/>
        <c:axPos val="l"/>
        <c:majorGridlines/>
        <c:title>
          <c:tx>
            <c:rich>
              <a:bodyPr rot="-5400000" vert="horz"/>
              <a:lstStyle/>
              <a:p>
                <a:pPr>
                  <a:defRPr/>
                </a:pPr>
                <a:r>
                  <a:rPr lang="en-US"/>
                  <a:t>Interval Impact</a:t>
                </a:r>
              </a:p>
            </c:rich>
          </c:tx>
          <c:overlay val="0"/>
        </c:title>
        <c:numFmt formatCode="General" sourceLinked="1"/>
        <c:majorTickMark val="out"/>
        <c:minorTickMark val="none"/>
        <c:tickLblPos val="nextTo"/>
        <c:crossAx val="188795904"/>
        <c:crosses val="autoZero"/>
        <c:crossBetween val="midCat"/>
      </c:valAx>
    </c:plotArea>
    <c:legend>
      <c:legendPos val="b"/>
      <c:overlay val="0"/>
    </c:legend>
    <c:plotVisOnly val="1"/>
    <c:dispBlanksAs val="zero"/>
    <c:showDLblsOverMax val="0"/>
  </c:chart>
  <c:spPr>
    <a:ln>
      <a:noFill/>
    </a:ln>
  </c:spPr>
  <c:txPr>
    <a:bodyPr/>
    <a:lstStyle/>
    <a:p>
      <a:pPr>
        <a:defRPr sz="900" b="0">
          <a:latin typeface="Verdana" panose="020B0604030504040204" pitchFamily="34" charset="0"/>
          <a:ea typeface="Verdana" panose="020B0604030504040204" pitchFamily="34" charset="0"/>
          <a:cs typeface="Verdana" panose="020B060403050404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0D360-60B3-441D-B34A-C8E63BE4A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15769</Words>
  <Characters>89889</Characters>
  <Application>Microsoft Office Word</Application>
  <DocSecurity>4</DocSecurity>
  <Lines>749</Lines>
  <Paragraphs>210</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105448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Dominick</dc:creator>
  <cp:lastModifiedBy>Deborah O'Kane</cp:lastModifiedBy>
  <cp:revision>2</cp:revision>
  <cp:lastPrinted>2018-11-25T20:45:00Z</cp:lastPrinted>
  <dcterms:created xsi:type="dcterms:W3CDTF">2019-02-14T00:11:00Z</dcterms:created>
  <dcterms:modified xsi:type="dcterms:W3CDTF">2019-02-14T00:11:00Z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A9993242</vt:lpwstr>
  </property>
  <property fmtid="{D5CDD505-2E9C-101B-9397-08002B2CF9AE}" pid="4" name="Objective-Title">
    <vt:lpwstr>2018 MSD Employment Assistance cost-effectiveness 2016_2017 Technical Report</vt:lpwstr>
  </property>
  <property fmtid="{D5CDD505-2E9C-101B-9397-08002B2CF9AE}" pid="5" name="Objective-Comment">
    <vt:lpwstr/>
  </property>
  <property fmtid="{D5CDD505-2E9C-101B-9397-08002B2CF9AE}" pid="6" name="Objective-CreationStamp">
    <vt:filetime>2017-10-01T23:27:30Z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2019-02-12T22:49:10Z</vt:filetime>
  </property>
  <property fmtid="{D5CDD505-2E9C-101B-9397-08002B2CF9AE}" pid="10" name="Objective-ModificationStamp">
    <vt:filetime>2019-02-12T22:49:10Z</vt:filetime>
  </property>
  <property fmtid="{D5CDD505-2E9C-101B-9397-08002B2CF9AE}" pid="11" name="Objective-Owner">
    <vt:lpwstr>Bryan Ku</vt:lpwstr>
  </property>
  <property fmtid="{D5CDD505-2E9C-101B-9397-08002B2CF9AE}" pid="12" name="Objective-Path">
    <vt:lpwstr>Global Folder:MSD INFORMATION REPOSITORY:Social Research &amp; Evaluation:Employment:487 Sustainable Employment Annual Report:2017 Employment Assistance Cost-Effectiveness:10 Reports:</vt:lpwstr>
  </property>
  <property fmtid="{D5CDD505-2E9C-101B-9397-08002B2CF9AE}" pid="13" name="Objective-Parent">
    <vt:lpwstr>10 Reports</vt:lpwstr>
  </property>
  <property fmtid="{D5CDD505-2E9C-101B-9397-08002B2CF9AE}" pid="14" name="Objective-State">
    <vt:lpwstr>Published</vt:lpwstr>
  </property>
  <property fmtid="{D5CDD505-2E9C-101B-9397-08002B2CF9AE}" pid="15" name="Objective-Version">
    <vt:lpwstr>29.0</vt:lpwstr>
  </property>
  <property fmtid="{D5CDD505-2E9C-101B-9397-08002B2CF9AE}" pid="16" name="Objective-VersionNumber">
    <vt:r8>44</vt:r8>
  </property>
  <property fmtid="{D5CDD505-2E9C-101B-9397-08002B2CF9AE}" pid="17" name="Objective-VersionComment">
    <vt:lpwstr>Accept minor edits</vt:lpwstr>
  </property>
  <property fmtid="{D5CDD505-2E9C-101B-9397-08002B2CF9AE}" pid="18" name="Objective-FileNumber">
    <vt:lpwstr>SR/EM/32/16-26781</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Final</vt:lpwstr>
  </property>
  <property fmtid="{D5CDD505-2E9C-101B-9397-08002B2CF9AE}" pid="22" name="Objective-Email is Vaulted? [system]">
    <vt:lpwstr/>
  </property>
  <property fmtid="{D5CDD505-2E9C-101B-9397-08002B2CF9AE}" pid="23" name="Mendeley Document_1">
    <vt:lpwstr>True</vt:lpwstr>
  </property>
  <property fmtid="{D5CDD505-2E9C-101B-9397-08002B2CF9AE}" pid="24" name="Mendeley Unique User Id_1">
    <vt:lpwstr>f5e9f5f8-8532-3a77-9d4a-5fe4f4fe0120</vt:lpwstr>
  </property>
  <property fmtid="{D5CDD505-2E9C-101B-9397-08002B2CF9AE}" pid="25" name="Mendeley Citation Style_1">
    <vt:lpwstr>http://www.zotero.org/styles/apa</vt:lpwstr>
  </property>
  <property fmtid="{D5CDD505-2E9C-101B-9397-08002B2CF9AE}" pid="26" name="Mendeley Recent Style Id 0_1">
    <vt:lpwstr>http://www.zotero.org/styles/american-medical-association</vt:lpwstr>
  </property>
  <property fmtid="{D5CDD505-2E9C-101B-9397-08002B2CF9AE}" pid="27" name="Mendeley Recent Style Name 0_1">
    <vt:lpwstr>American Medical Association</vt:lpwstr>
  </property>
  <property fmtid="{D5CDD505-2E9C-101B-9397-08002B2CF9AE}" pid="28" name="Mendeley Recent Style Id 1_1">
    <vt:lpwstr>http://www.zotero.org/styles/american-political-science-association</vt:lpwstr>
  </property>
  <property fmtid="{D5CDD505-2E9C-101B-9397-08002B2CF9AE}" pid="29" name="Mendeley Recent Style Name 1_1">
    <vt:lpwstr>American Political Science Association</vt:lpwstr>
  </property>
  <property fmtid="{D5CDD505-2E9C-101B-9397-08002B2CF9AE}" pid="30" name="Mendeley Recent Style Id 2_1">
    <vt:lpwstr>http://www.zotero.org/styles/apa</vt:lpwstr>
  </property>
  <property fmtid="{D5CDD505-2E9C-101B-9397-08002B2CF9AE}" pid="31" name="Mendeley Recent Style Name 2_1">
    <vt:lpwstr>American Psychological Association 6th edition</vt:lpwstr>
  </property>
  <property fmtid="{D5CDD505-2E9C-101B-9397-08002B2CF9AE}" pid="32" name="Mendeley Recent Style Id 3_1">
    <vt:lpwstr>http://www.zotero.org/styles/american-sociological-association</vt:lpwstr>
  </property>
  <property fmtid="{D5CDD505-2E9C-101B-9397-08002B2CF9AE}" pid="33" name="Mendeley Recent Style Name 3_1">
    <vt:lpwstr>American Sociological Association</vt:lpwstr>
  </property>
  <property fmtid="{D5CDD505-2E9C-101B-9397-08002B2CF9AE}" pid="34" name="Mendeley Recent Style Id 4_1">
    <vt:lpwstr>http://www.zotero.org/styles/chicago-author-date</vt:lpwstr>
  </property>
  <property fmtid="{D5CDD505-2E9C-101B-9397-08002B2CF9AE}" pid="35" name="Mendeley Recent Style Name 4_1">
    <vt:lpwstr>Chicago Manual of Style 16th edition (author-date)</vt:lpwstr>
  </property>
  <property fmtid="{D5CDD505-2E9C-101B-9397-08002B2CF9AE}" pid="36" name="Mendeley Recent Style Id 5_1">
    <vt:lpwstr>http://www.zotero.org/styles/harvard1</vt:lpwstr>
  </property>
  <property fmtid="{D5CDD505-2E9C-101B-9397-08002B2CF9AE}" pid="37" name="Mendeley Recent Style Name 5_1">
    <vt:lpwstr>Harvard Reference format 1 (author-date)</vt:lpwstr>
  </property>
  <property fmtid="{D5CDD505-2E9C-101B-9397-08002B2CF9AE}" pid="38" name="Mendeley Recent Style Id 6_1">
    <vt:lpwstr>http://www.zotero.org/styles/ieee</vt:lpwstr>
  </property>
  <property fmtid="{D5CDD505-2E9C-101B-9397-08002B2CF9AE}" pid="39" name="Mendeley Recent Style Name 6_1">
    <vt:lpwstr>IEEE</vt:lpwstr>
  </property>
  <property fmtid="{D5CDD505-2E9C-101B-9397-08002B2CF9AE}" pid="40" name="Mendeley Recent Style Id 7_1">
    <vt:lpwstr>http://www.zotero.org/styles/modern-humanities-research-association</vt:lpwstr>
  </property>
  <property fmtid="{D5CDD505-2E9C-101B-9397-08002B2CF9AE}" pid="41" name="Mendeley Recent Style Name 7_1">
    <vt:lpwstr>Modern Humanities Research Association 3rd edition (note with bibliography)</vt:lpwstr>
  </property>
  <property fmtid="{D5CDD505-2E9C-101B-9397-08002B2CF9AE}" pid="42" name="Mendeley Recent Style Id 8_1">
    <vt:lpwstr>http://www.zotero.org/styles/modern-language-association</vt:lpwstr>
  </property>
  <property fmtid="{D5CDD505-2E9C-101B-9397-08002B2CF9AE}" pid="43" name="Mendeley Recent Style Name 8_1">
    <vt:lpwstr>Modern Language Association 7th edition</vt:lpwstr>
  </property>
  <property fmtid="{D5CDD505-2E9C-101B-9397-08002B2CF9AE}" pid="44" name="Mendeley Recent Style Id 9_1">
    <vt:lpwstr>http://www.zotero.org/styles/nature</vt:lpwstr>
  </property>
  <property fmtid="{D5CDD505-2E9C-101B-9397-08002B2CF9AE}" pid="45" name="Mendeley Recent Style Name 9_1">
    <vt:lpwstr>Nature</vt:lpwstr>
  </property>
  <property fmtid="{D5CDD505-2E9C-101B-9397-08002B2CF9AE}" pid="46" name="Objective-Report Type [system]">
    <vt:lpwstr>Research/Evaluation</vt:lpwstr>
  </property>
</Properties>
</file>